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3.xml" ContentType="application/vnd.openxmlformats-officedocument.themeOverride+xml"/>
  <Override PartName="/word/drawings/drawing1.xml" ContentType="application/vnd.openxmlformats-officedocument.drawingml.chartshapes+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817" w:rsidRPr="002B4451" w:rsidRDefault="00CA7817" w:rsidP="00CA7817"/>
    <w:p w:rsidR="00CA7817" w:rsidRPr="002B4451" w:rsidRDefault="00521A06" w:rsidP="00CA7817">
      <w:r w:rsidRPr="002B4451">
        <w:rPr>
          <w:noProof/>
          <w:lang w:val="en-US" w:eastAsia="en-US"/>
        </w:rPr>
        <w:drawing>
          <wp:anchor distT="0" distB="0" distL="114300" distR="114300" simplePos="0" relativeHeight="251734016" behindDoc="0" locked="0" layoutInCell="1" allowOverlap="1" wp14:anchorId="2944FF15" wp14:editId="56FA84F2">
            <wp:simplePos x="0" y="0"/>
            <wp:positionH relativeFrom="margin">
              <wp:align>center</wp:align>
            </wp:positionH>
            <wp:positionV relativeFrom="paragraph">
              <wp:posOffset>17780</wp:posOffset>
            </wp:positionV>
            <wp:extent cx="1280160" cy="1207770"/>
            <wp:effectExtent l="0" t="0" r="0" b="0"/>
            <wp:wrapNone/>
            <wp:docPr id="7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rsidR="00CA7817" w:rsidRPr="002B4451" w:rsidRDefault="00CA7817" w:rsidP="00CA7817"/>
    <w:p w:rsidR="00CA7817" w:rsidRPr="002B4451" w:rsidRDefault="00CA7817" w:rsidP="00CA7817"/>
    <w:p w:rsidR="00CA7817" w:rsidRPr="002B4451" w:rsidRDefault="00CA7817" w:rsidP="00CA7817"/>
    <w:p w:rsidR="00CA7817" w:rsidRPr="002B4451" w:rsidRDefault="00CA7817" w:rsidP="00CA7817"/>
    <w:p w:rsidR="00CA7817" w:rsidRPr="002B4451" w:rsidRDefault="00CA7817" w:rsidP="00CA7817">
      <w:r w:rsidRPr="002B4451">
        <w:rPr>
          <w:noProof/>
          <w:lang w:val="en-US" w:eastAsia="en-US"/>
        </w:rPr>
        <mc:AlternateContent>
          <mc:Choice Requires="wps">
            <w:drawing>
              <wp:anchor distT="0" distB="0" distL="114300" distR="114300" simplePos="0" relativeHeight="251737088" behindDoc="0" locked="0" layoutInCell="1" allowOverlap="1" wp14:anchorId="4C2B37B7" wp14:editId="31053602">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rsidR="00DA4FB5" w:rsidRPr="005C548C" w:rsidRDefault="00DA4FB5" w:rsidP="00CA781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2B37B7" id="_x0000_t202" coordsize="21600,21600" o:spt="202" path="m,l,21600r21600,l21600,xe">
                <v:stroke joinstyle="miter"/>
                <v:path gradientshapeok="t" o:connecttype="rect"/>
              </v:shapetype>
              <v:shape id="object 6" o:spid="_x0000_s1026" type="#_x0000_t202" style="position:absolute;left:0;text-align:left;margin-left:0;margin-top:.9pt;width:148.4pt;height:13.9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" filled="f" stroked="f">
                <v:textbox inset="0,1pt,0,0">
                  <w:txbxContent>
                    <w:p w:rsidR="00DA4FB5" w:rsidRPr="005C548C" w:rsidRDefault="00DA4FB5" w:rsidP="00CA781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rsidR="00CA7817" w:rsidRPr="002B4451" w:rsidRDefault="00CA7817" w:rsidP="00CA7817"/>
    <w:p w:rsidR="00CA7817" w:rsidRPr="002B4451" w:rsidRDefault="00CA7817" w:rsidP="00CA7817"/>
    <w:p w:rsidR="001F32E4" w:rsidRPr="002B4451" w:rsidRDefault="00CA7817" w:rsidP="001F32E4">
      <w:r>
        <w:rPr>
          <w:noProof/>
          <w:lang w:val="en-US" w:eastAsia="en-US"/>
        </w:rPr>
        <mc:AlternateContent>
          <mc:Choice Requires="wps">
            <w:drawing>
              <wp:anchor distT="4294967295" distB="4294967295" distL="114300" distR="114300" simplePos="0" relativeHeight="251740160" behindDoc="0" locked="0" layoutInCell="1" allowOverlap="1" wp14:anchorId="5F94C12B" wp14:editId="68C38A40">
                <wp:simplePos x="0" y="0"/>
                <wp:positionH relativeFrom="margin">
                  <wp:align>center</wp:align>
                </wp:positionH>
                <wp:positionV relativeFrom="paragraph">
                  <wp:posOffset>2152650</wp:posOffset>
                </wp:positionV>
                <wp:extent cx="463550" cy="0"/>
                <wp:effectExtent l="0" t="19050" r="31750" b="19050"/>
                <wp:wrapNone/>
                <wp:docPr id="7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5E5634" id="Straight Connector 9" o:spid="_x0000_s1026" style="position:absolute;z-index:2517401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9.5pt" to="36.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" strokecolor="#c8b688" strokeweight="2.25pt">
                <v:stroke joinstyle="miter"/>
                <o:lock v:ext="edit" shapetype="f"/>
                <w10:wrap anchorx="margin"/>
              </v:line>
            </w:pict>
          </mc:Fallback>
        </mc:AlternateContent>
      </w:r>
      <w:r>
        <w:rPr>
          <w:noProof/>
          <w:lang w:val="en-US" w:eastAsia="en-US"/>
        </w:rPr>
        <mc:AlternateContent>
          <mc:Choice Requires="wps">
            <w:drawing>
              <wp:anchor distT="0" distB="0" distL="114300" distR="114300" simplePos="0" relativeHeight="251739136" behindDoc="0" locked="0" layoutInCell="1" allowOverlap="1" wp14:anchorId="309BAE37" wp14:editId="5F773C36">
                <wp:simplePos x="0" y="0"/>
                <wp:positionH relativeFrom="column">
                  <wp:posOffset>4719955</wp:posOffset>
                </wp:positionH>
                <wp:positionV relativeFrom="paragraph">
                  <wp:posOffset>8886825</wp:posOffset>
                </wp:positionV>
                <wp:extent cx="542925" cy="509270"/>
                <wp:effectExtent l="0" t="0" r="9525" b="5080"/>
                <wp:wrapNone/>
                <wp:docPr id="7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2E9E26" id="Freeform: Shape 44" o:spid="_x0000_s1026" style="position:absolute;margin-left:371.65pt;margin-top:699.75pt;width:42.75pt;height:40.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sn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Dn37Jw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p>
    <w:p w:rsidR="001F32E4" w:rsidRPr="002B4451" w:rsidRDefault="001F32E4" w:rsidP="001F32E4"/>
    <w:p w:rsidR="001F32E4" w:rsidRPr="002B4451" w:rsidRDefault="001F32E4" w:rsidP="001F32E4">
      <w:bookmarkStart w:id="0" w:name="_Hlk86404256"/>
      <w:bookmarkEnd w:id="0"/>
    </w:p>
    <w:p w:rsidR="001F32E4" w:rsidRPr="002B4451" w:rsidRDefault="00521A06" w:rsidP="001F32E4">
      <w:r w:rsidRPr="002B4451">
        <w:rPr>
          <w:noProof/>
          <w:lang w:val="en-US" w:eastAsia="en-US"/>
        </w:rPr>
        <mc:AlternateContent>
          <mc:Choice Requires="wps">
            <w:drawing>
              <wp:anchor distT="0" distB="0" distL="114300" distR="114300" simplePos="0" relativeHeight="251735040" behindDoc="0" locked="0" layoutInCell="1" allowOverlap="1" wp14:anchorId="3E5A7DDD" wp14:editId="309B4F71">
                <wp:simplePos x="0" y="0"/>
                <wp:positionH relativeFrom="margin">
                  <wp:align>center</wp:align>
                </wp:positionH>
                <wp:positionV relativeFrom="paragraph">
                  <wp:posOffset>134620</wp:posOffset>
                </wp:positionV>
                <wp:extent cx="5758815" cy="978196"/>
                <wp:effectExtent l="0" t="0" r="0" b="0"/>
                <wp:wrapNone/>
                <wp:docPr id="6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rsidR="00DA4FB5" w:rsidRDefault="00DA4FB5" w:rsidP="00CA7817">
                            <w:pPr>
                              <w:spacing w:after="0"/>
                              <w:jc w:val="center"/>
                              <w:rPr>
                                <w:b/>
                                <w:bCs/>
                                <w:color w:val="D5B788"/>
                                <w:spacing w:val="60"/>
                                <w:kern w:val="24"/>
                                <w:sz w:val="56"/>
                                <w:szCs w:val="56"/>
                              </w:rPr>
                            </w:pPr>
                            <w:r w:rsidRPr="008D7F4E">
                              <w:rPr>
                                <w:b/>
                                <w:bCs/>
                                <w:color w:val="D5B788"/>
                                <w:spacing w:val="60"/>
                                <w:kern w:val="24"/>
                                <w:sz w:val="56"/>
                                <w:szCs w:val="56"/>
                              </w:rPr>
                              <w:t xml:space="preserve">MEMORIA </w:t>
                            </w:r>
                          </w:p>
                          <w:p w:rsidR="00DA4FB5" w:rsidRPr="008D7F4E" w:rsidRDefault="00DA4FB5" w:rsidP="00CA7817">
                            <w:pPr>
                              <w:spacing w:after="0"/>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E5A7DDD" id="object 4" o:spid="_x0000_s1027" type="#_x0000_t202" style="position:absolute;left:0;text-align:left;margin-left:0;margin-top:10.6pt;width:453.45pt;height:77p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" filled="f" stroked="f">
                <v:textbox inset="0,1.35pt,0,0">
                  <w:txbxContent>
                    <w:p w:rsidR="00DA4FB5" w:rsidRDefault="00DA4FB5" w:rsidP="00CA7817">
                      <w:pPr>
                        <w:spacing w:after="0"/>
                        <w:jc w:val="center"/>
                        <w:rPr>
                          <w:b/>
                          <w:bCs/>
                          <w:color w:val="D5B788"/>
                          <w:spacing w:val="60"/>
                          <w:kern w:val="24"/>
                          <w:sz w:val="56"/>
                          <w:szCs w:val="56"/>
                        </w:rPr>
                      </w:pPr>
                      <w:r w:rsidRPr="008D7F4E">
                        <w:rPr>
                          <w:b/>
                          <w:bCs/>
                          <w:color w:val="D5B788"/>
                          <w:spacing w:val="60"/>
                          <w:kern w:val="24"/>
                          <w:sz w:val="56"/>
                          <w:szCs w:val="56"/>
                        </w:rPr>
                        <w:t xml:space="preserve">MEMORIA </w:t>
                      </w:r>
                    </w:p>
                    <w:p w:rsidR="00DA4FB5" w:rsidRPr="008D7F4E" w:rsidRDefault="00DA4FB5" w:rsidP="00CA7817">
                      <w:pPr>
                        <w:spacing w:after="0"/>
                        <w:jc w:val="center"/>
                        <w:rPr>
                          <w:b/>
                          <w:bCs/>
                          <w:color w:val="D5B788"/>
                          <w:spacing w:val="60"/>
                          <w:kern w:val="24"/>
                          <w:sz w:val="56"/>
                          <w:szCs w:val="56"/>
                        </w:rPr>
                      </w:pPr>
                      <w:r w:rsidRPr="008D7F4E">
                        <w:rPr>
                          <w:b/>
                          <w:bCs/>
                          <w:color w:val="D5B788"/>
                          <w:spacing w:val="60"/>
                          <w:kern w:val="24"/>
                          <w:sz w:val="56"/>
                          <w:szCs w:val="56"/>
                        </w:rPr>
                        <w:t>INSTITUCIONAL</w:t>
                      </w:r>
                    </w:p>
                  </w:txbxContent>
                </v:textbox>
                <w10:wrap anchorx="margin"/>
              </v:shape>
            </w:pict>
          </mc:Fallback>
        </mc:AlternateContent>
      </w:r>
    </w:p>
    <w:p w:rsidR="001F32E4" w:rsidRPr="002B4451" w:rsidRDefault="001F32E4" w:rsidP="001F32E4"/>
    <w:p w:rsidR="001F32E4" w:rsidRPr="002B4451" w:rsidRDefault="001F32E4" w:rsidP="001F32E4"/>
    <w:p w:rsidR="001F32E4" w:rsidRPr="002B4451" w:rsidRDefault="001F32E4" w:rsidP="001F32E4"/>
    <w:p w:rsidR="001F32E4" w:rsidRPr="002B4451" w:rsidRDefault="001F32E4" w:rsidP="001F32E4"/>
    <w:p w:rsidR="00D04791" w:rsidRDefault="0016073D" w:rsidP="00521A06">
      <w:pPr>
        <w:sectPr w:rsidR="00D04791" w:rsidSect="00566AC0">
          <w:footerReference w:type="default" r:id="rId9"/>
          <w:pgSz w:w="12242" w:h="15842" w:code="1"/>
          <w:pgMar w:top="1440" w:right="2160" w:bottom="1440" w:left="2160" w:header="706" w:footer="115" w:gutter="0"/>
          <w:cols w:space="708"/>
          <w:titlePg/>
          <w:docGrid w:linePitch="360"/>
        </w:sectPr>
      </w:pPr>
      <w:r>
        <w:rPr>
          <w:noProof/>
          <w:lang w:val="en-US" w:eastAsia="en-US"/>
        </w:rPr>
        <w:drawing>
          <wp:anchor distT="0" distB="0" distL="114300" distR="114300" simplePos="0" relativeHeight="251742208" behindDoc="0" locked="0" layoutInCell="1" allowOverlap="1" wp14:anchorId="15FE72D3" wp14:editId="5D87D65A">
            <wp:simplePos x="0" y="0"/>
            <wp:positionH relativeFrom="margin">
              <wp:posOffset>3512185</wp:posOffset>
            </wp:positionH>
            <wp:positionV relativeFrom="margin">
              <wp:posOffset>7526020</wp:posOffset>
            </wp:positionV>
            <wp:extent cx="2108835" cy="704850"/>
            <wp:effectExtent l="0" t="0" r="5715"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08835" cy="704850"/>
                    </a:xfrm>
                    <a:prstGeom prst="rect">
                      <a:avLst/>
                    </a:prstGeom>
                  </pic:spPr>
                </pic:pic>
              </a:graphicData>
            </a:graphic>
            <wp14:sizeRelH relativeFrom="margin">
              <wp14:pctWidth>0</wp14:pctWidth>
            </wp14:sizeRelH>
            <wp14:sizeRelV relativeFrom="margin">
              <wp14:pctHeight>0</wp14:pctHeight>
            </wp14:sizeRelV>
          </wp:anchor>
        </w:drawing>
      </w:r>
      <w:r w:rsidR="00CA7817" w:rsidRPr="002B4451">
        <w:rPr>
          <w:noProof/>
          <w:lang w:val="en-US" w:eastAsia="en-US"/>
        </w:rPr>
        <mc:AlternateContent>
          <mc:Choice Requires="wps">
            <w:drawing>
              <wp:anchor distT="0" distB="0" distL="114300" distR="114300" simplePos="0" relativeHeight="251736064" behindDoc="0" locked="0" layoutInCell="1" allowOverlap="1" wp14:anchorId="076DEE8A" wp14:editId="1F64E6AC">
                <wp:simplePos x="0" y="0"/>
                <wp:positionH relativeFrom="margin">
                  <wp:align>center</wp:align>
                </wp:positionH>
                <wp:positionV relativeFrom="paragraph">
                  <wp:posOffset>10160</wp:posOffset>
                </wp:positionV>
                <wp:extent cx="1210945" cy="308610"/>
                <wp:effectExtent l="0" t="0" r="0" b="0"/>
                <wp:wrapNone/>
                <wp:docPr id="72"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DA4FB5" w:rsidRPr="00F36012" w:rsidRDefault="00DA4FB5" w:rsidP="00CA781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6DEE8A" id="object 5" o:spid="_x0000_s1028" type="#_x0000_t202" style="position:absolute;left:0;text-align:left;margin-left:0;margin-top:.8pt;width:95.35pt;height:24.3pt;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" filled="f" stroked="f">
                <v:textbox inset="0,1pt,0,0">
                  <w:txbxContent>
                    <w:p w:rsidR="00DA4FB5" w:rsidRPr="00F36012" w:rsidRDefault="00DA4FB5" w:rsidP="00CA781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v:textbox>
                <w10:wrap anchorx="margin"/>
              </v:shape>
            </w:pict>
          </mc:Fallback>
        </mc:AlternateContent>
      </w:r>
      <w:r w:rsidR="00CA7817">
        <w:rPr>
          <w:noProof/>
          <w:lang w:val="en-US" w:eastAsia="en-US"/>
        </w:rPr>
        <mc:AlternateContent>
          <mc:Choice Requires="wpg">
            <w:drawing>
              <wp:anchor distT="0" distB="0" distL="114300" distR="114300" simplePos="0" relativeHeight="251738112" behindDoc="0" locked="0" layoutInCell="1" allowOverlap="1" wp14:anchorId="6A429CCC" wp14:editId="188631F4">
                <wp:simplePos x="0" y="0"/>
                <wp:positionH relativeFrom="column">
                  <wp:posOffset>-438150</wp:posOffset>
                </wp:positionH>
                <wp:positionV relativeFrom="paragraph">
                  <wp:posOffset>2268220</wp:posOffset>
                </wp:positionV>
                <wp:extent cx="2486025" cy="1043940"/>
                <wp:effectExtent l="0" t="0" r="0" b="3810"/>
                <wp:wrapNone/>
                <wp:docPr id="67" name="Group 11"/>
                <wp:cNvGraphicFramePr/>
                <a:graphic xmlns:a="http://schemas.openxmlformats.org/drawingml/2006/main">
                  <a:graphicData uri="http://schemas.microsoft.com/office/word/2010/wordprocessingGroup">
                    <wpg:wgp>
                      <wpg:cNvGrpSpPr/>
                      <wpg:grpSpPr>
                        <a:xfrm>
                          <a:off x="0" y="0"/>
                          <a:ext cx="2486025" cy="1043940"/>
                          <a:chOff x="0" y="0"/>
                          <a:chExt cx="2486025" cy="1043940"/>
                        </a:xfrm>
                      </wpg:grpSpPr>
                      <wps:wsp>
                        <wps:cNvPr id="68" name="Text Box 34"/>
                        <wps:cNvSpPr txBox="1">
                          <a:spLocks/>
                        </wps:cNvSpPr>
                        <wps:spPr>
                          <a:xfrm>
                            <a:off x="0" y="600075"/>
                            <a:ext cx="2486025" cy="371475"/>
                          </a:xfrm>
                          <a:prstGeom prst="rect">
                            <a:avLst/>
                          </a:prstGeom>
                        </wps:spPr>
                        <wps:txbx>
                          <w:txbxContent>
                            <w:p w:rsidR="00DA4FB5" w:rsidRPr="003A00CC" w:rsidRDefault="00DA4FB5" w:rsidP="00CA7817">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DA4FB5" w:rsidRDefault="00DA4FB5" w:rsidP="00CA7817">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69" name="Group 10"/>
                        <wpg:cNvGrpSpPr/>
                        <wpg:grpSpPr>
                          <a:xfrm>
                            <a:off x="0" y="0"/>
                            <a:ext cx="612775" cy="1043940"/>
                            <a:chOff x="0" y="0"/>
                            <a:chExt cx="612775" cy="1043940"/>
                          </a:xfrm>
                        </wpg:grpSpPr>
                        <wps:wsp>
                          <wps:cNvPr id="70" name="Freeform: Shape 33"/>
                          <wps:cNvSpPr>
                            <a:spLocks/>
                          </wps:cNvSpPr>
                          <wps:spPr>
                            <a:xfrm>
                              <a:off x="9525" y="10191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71" name="Picture 35"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A429CCC" id="Group 11" o:spid="_x0000_s1029" style="position:absolute;left:0;text-align:left;margin-left:-34.5pt;margin-top:178.6pt;width:195.75pt;height:82.2pt;z-index:251738112;mso-width-relative:margin;mso-height-relative:margin" coordsize="24860,10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">
                <v:shape id="Text Box 34" o:spid="_x0000_s1030" type="#_x0000_t202" style="position:absolute;top:6000;width:2486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eF74A&#10;AADbAAAADwAAAGRycy9kb3ducmV2LnhtbERPTYvCMBC9C/sfwizsTdPdg2g1iiwu7lUtgrexGZtq&#10;MylJrPXfm4Pg8fG+58veNqIjH2rHCr5HGQji0umaKwXF/m84AREissbGMSl4UIDl4mMwx1y7O2+p&#10;28VKpBAOOSowMba5lKE0ZDGMXEucuLPzFmOCvpLa4z2F20b+ZNlYWqw5NRhs6ddQed3drIJN2xVU&#10;6sNxuuaL0dtpUfvTWqmvz341AxGpj2/xy/2vFYzT2PQl/QC5e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GXhe+AAAA2wAAAA8AAAAAAAAAAAAAAAAAmAIAAGRycy9kb3ducmV2&#10;LnhtbFBLBQYAAAAABAAEAPUAAACDAwAAAAA=&#10;" filled="f" stroked="f">
                  <v:path arrowok="t"/>
                  <v:textbox inset="0,1.2pt,0,0">
                    <w:txbxContent>
                      <w:p w:rsidR="00DA4FB5" w:rsidRPr="003A00CC" w:rsidRDefault="00DA4FB5" w:rsidP="00CA7817">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DA4FB5" w:rsidRDefault="00DA4FB5" w:rsidP="00CA7817">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439" coordsize="6127,10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Shape 33" o:spid="_x0000_s1032" style="position:absolute;left:95;top:10191;width:5131;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fd8AA&#10;AADbAAAADwAAAGRycy9kb3ducmV2LnhtbERP3WrCMBS+F3yHcITdaaoDN6tRpCBOYRfr9gDH5qwp&#10;a05KEm339uZC8PLj+9/sBtuKG/nQOFYwn2UgiCunG64V/Hwfpu8gQkTW2DomBf8UYLcdjzaYa9fz&#10;F93KWIsUwiFHBSbGLpcyVIYshpnriBP367zFmKCvpfbYp3DbykWWLaXFhlODwY4KQ9VfebUKnHld&#10;Fufj8fNEp37ly3jpi/lFqZfJsF+DiDTEp/jh/tAK3tL69CX9ALm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hfd8AAAADbAAAADwAAAAAAAAAAAAAAAACYAgAAZHJzL2Rvd25y&#10;ZXYueG1sUEsFBgAAAAAEAAQA9QAAAIU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Gn3DEAAAA2wAAAA8AAABkcnMvZG93bnJldi54bWxEj8FqwzAQRO+F/IPYQG+17EDt4kYxJRBI&#10;ySl2CPS2WFvbVFoZS02cfH1VKPQ4zMwbZl3N1ogLTX5wrCBLUhDErdMDdwpOze7pBYQPyBqNY1Jw&#10;Iw/VZvGwxlK7Kx/pUodORAj7EhX0IYyllL7tyaJP3EgcvU83WQxRTp3UE14j3Bq5StNcWhw4LvQ4&#10;0ran9qv+tgqe03dzPAytWcnDR+Hu+bnZs1XqcTm/vYIINIf/8F97rxUUGfx+iT9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Gn3DEAAAA2wAAAA8AAAAAAAAAAAAAAAAA&#10;nwIAAGRycy9kb3ducmV2LnhtbFBLBQYAAAAABAAEAPcAAACQAwAAAAA=&#10;">
                    <v:imagedata r:id="rId12" o:title="Icon&#10;&#10;Description automatically generated"/>
                    <v:path arrowok="t"/>
                  </v:shape>
                </v:group>
              </v:group>
            </w:pict>
          </mc:Fallback>
        </mc:AlternateContent>
      </w:r>
      <w:r w:rsidR="001F32E4">
        <w:rPr>
          <w:noProof/>
          <w:lang w:val="en-US" w:eastAsia="en-US"/>
        </w:rPr>
        <mc:AlternateContent>
          <mc:Choice Requires="wps">
            <w:drawing>
              <wp:anchor distT="0" distB="0" distL="114300" distR="114300" simplePos="0" relativeHeight="251731968" behindDoc="0" locked="0" layoutInCell="1" allowOverlap="1" wp14:anchorId="6F370A12" wp14:editId="2D8A49B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ED88BD" id="Freeform: Shape 44" o:spid="_x0000_s1026" style="position:absolute;margin-left:371.65pt;margin-top:699.75pt;width:42.75pt;height:40.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r w:rsidR="001F32E4" w:rsidRPr="002B4451">
        <w:tab/>
      </w:r>
    </w:p>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r>
        <w:rPr>
          <w:noProof/>
          <w:lang w:val="en-US" w:eastAsia="en-US"/>
        </w:rPr>
        <mc:AlternateContent>
          <mc:Choice Requires="wps">
            <w:drawing>
              <wp:anchor distT="4294967295" distB="4294967295" distL="114300" distR="114300" simplePos="0" relativeHeight="251768832" behindDoc="0" locked="0" layoutInCell="1" allowOverlap="1" wp14:anchorId="01E16288" wp14:editId="3E8D9ACD">
                <wp:simplePos x="0" y="0"/>
                <wp:positionH relativeFrom="margin">
                  <wp:align>center</wp:align>
                </wp:positionH>
                <wp:positionV relativeFrom="paragraph">
                  <wp:posOffset>2152650</wp:posOffset>
                </wp:positionV>
                <wp:extent cx="463550" cy="0"/>
                <wp:effectExtent l="0" t="19050" r="31750" b="19050"/>
                <wp:wrapNone/>
                <wp:docPr id="5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D6009F" id="Straight Connector 9" o:spid="_x0000_s1026" style="position:absolute;z-index:2517688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9.5pt" to="36.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" strokecolor="#c8b688" strokeweight="2.25pt">
                <v:stroke joinstyle="miter"/>
                <o:lock v:ext="edit" shapetype="f"/>
                <w10:wrap anchorx="margin"/>
              </v:line>
            </w:pict>
          </mc:Fallback>
        </mc:AlternateContent>
      </w:r>
      <w:r>
        <w:rPr>
          <w:noProof/>
          <w:lang w:val="en-US" w:eastAsia="en-US"/>
        </w:rPr>
        <mc:AlternateContent>
          <mc:Choice Requires="wps">
            <w:drawing>
              <wp:anchor distT="0" distB="0" distL="114300" distR="114300" simplePos="0" relativeHeight="251767808" behindDoc="0" locked="0" layoutInCell="1" allowOverlap="1" wp14:anchorId="5978886F" wp14:editId="0016F2A1">
                <wp:simplePos x="0" y="0"/>
                <wp:positionH relativeFrom="column">
                  <wp:posOffset>4719955</wp:posOffset>
                </wp:positionH>
                <wp:positionV relativeFrom="paragraph">
                  <wp:posOffset>8886825</wp:posOffset>
                </wp:positionV>
                <wp:extent cx="542925" cy="509270"/>
                <wp:effectExtent l="0" t="0" r="9525" b="5080"/>
                <wp:wrapNone/>
                <wp:docPr id="55"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769AB8" id="Freeform: Shape 44" o:spid="_x0000_s1026" style="position:absolute;margin-left:371.65pt;margin-top:699.75pt;width:42.75pt;height:40.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p>
    <w:p w:rsidR="00D04791" w:rsidRPr="002B4451" w:rsidRDefault="00D04791" w:rsidP="00D04791"/>
    <w:p w:rsidR="00D04791" w:rsidRPr="002B4451" w:rsidRDefault="00D04791" w:rsidP="00D04791"/>
    <w:p w:rsidR="00D04791" w:rsidRPr="002B4451" w:rsidRDefault="00D04791" w:rsidP="00D04791">
      <w:r w:rsidRPr="002B4451">
        <w:rPr>
          <w:noProof/>
          <w:lang w:val="en-US" w:eastAsia="en-US"/>
        </w:rPr>
        <mc:AlternateContent>
          <mc:Choice Requires="wps">
            <w:drawing>
              <wp:anchor distT="0" distB="0" distL="114300" distR="114300" simplePos="0" relativeHeight="251763712" behindDoc="0" locked="0" layoutInCell="1" allowOverlap="1" wp14:anchorId="0B66B7F9" wp14:editId="7EAC88BF">
                <wp:simplePos x="0" y="0"/>
                <wp:positionH relativeFrom="margin">
                  <wp:align>center</wp:align>
                </wp:positionH>
                <wp:positionV relativeFrom="paragraph">
                  <wp:posOffset>134620</wp:posOffset>
                </wp:positionV>
                <wp:extent cx="5758815" cy="978196"/>
                <wp:effectExtent l="0" t="0" r="0" b="0"/>
                <wp:wrapNone/>
                <wp:docPr id="56"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rsidR="00DA4FB5" w:rsidRDefault="00DA4FB5" w:rsidP="00D04791">
                            <w:pPr>
                              <w:spacing w:after="0"/>
                              <w:jc w:val="center"/>
                              <w:rPr>
                                <w:b/>
                                <w:bCs/>
                                <w:color w:val="D5B788"/>
                                <w:spacing w:val="60"/>
                                <w:kern w:val="24"/>
                                <w:sz w:val="56"/>
                                <w:szCs w:val="56"/>
                              </w:rPr>
                            </w:pPr>
                            <w:r w:rsidRPr="008D7F4E">
                              <w:rPr>
                                <w:b/>
                                <w:bCs/>
                                <w:color w:val="D5B788"/>
                                <w:spacing w:val="60"/>
                                <w:kern w:val="24"/>
                                <w:sz w:val="56"/>
                                <w:szCs w:val="56"/>
                              </w:rPr>
                              <w:t xml:space="preserve">MEMORIA </w:t>
                            </w:r>
                          </w:p>
                          <w:p w:rsidR="00DA4FB5" w:rsidRPr="008D7F4E" w:rsidRDefault="00DA4FB5" w:rsidP="00D04791">
                            <w:pPr>
                              <w:spacing w:after="0"/>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B66B7F9" id="_x0000_s1034" type="#_x0000_t202" style="position:absolute;left:0;text-align:left;margin-left:0;margin-top:10.6pt;width:453.45pt;height:77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" filled="f" stroked="f">
                <v:textbox inset="0,1.35pt,0,0">
                  <w:txbxContent>
                    <w:p w:rsidR="00DA4FB5" w:rsidRDefault="00DA4FB5" w:rsidP="00D04791">
                      <w:pPr>
                        <w:spacing w:after="0"/>
                        <w:jc w:val="center"/>
                        <w:rPr>
                          <w:b/>
                          <w:bCs/>
                          <w:color w:val="D5B788"/>
                          <w:spacing w:val="60"/>
                          <w:kern w:val="24"/>
                          <w:sz w:val="56"/>
                          <w:szCs w:val="56"/>
                        </w:rPr>
                      </w:pPr>
                      <w:r w:rsidRPr="008D7F4E">
                        <w:rPr>
                          <w:b/>
                          <w:bCs/>
                          <w:color w:val="D5B788"/>
                          <w:spacing w:val="60"/>
                          <w:kern w:val="24"/>
                          <w:sz w:val="56"/>
                          <w:szCs w:val="56"/>
                        </w:rPr>
                        <w:t xml:space="preserve">MEMORIA </w:t>
                      </w:r>
                    </w:p>
                    <w:p w:rsidR="00DA4FB5" w:rsidRPr="008D7F4E" w:rsidRDefault="00DA4FB5" w:rsidP="00D04791">
                      <w:pPr>
                        <w:spacing w:after="0"/>
                        <w:jc w:val="center"/>
                        <w:rPr>
                          <w:b/>
                          <w:bCs/>
                          <w:color w:val="D5B788"/>
                          <w:spacing w:val="60"/>
                          <w:kern w:val="24"/>
                          <w:sz w:val="56"/>
                          <w:szCs w:val="56"/>
                        </w:rPr>
                      </w:pPr>
                      <w:r w:rsidRPr="008D7F4E">
                        <w:rPr>
                          <w:b/>
                          <w:bCs/>
                          <w:color w:val="D5B788"/>
                          <w:spacing w:val="60"/>
                          <w:kern w:val="24"/>
                          <w:sz w:val="56"/>
                          <w:szCs w:val="56"/>
                        </w:rPr>
                        <w:t>INSTITUCIONAL</w:t>
                      </w:r>
                    </w:p>
                  </w:txbxContent>
                </v:textbox>
                <w10:wrap anchorx="margin"/>
              </v:shape>
            </w:pict>
          </mc:Fallback>
        </mc:AlternateContent>
      </w:r>
    </w:p>
    <w:p w:rsidR="00D04791" w:rsidRPr="002B4451" w:rsidRDefault="00D04791" w:rsidP="00D04791"/>
    <w:p w:rsidR="00D04791" w:rsidRPr="002B4451" w:rsidRDefault="00D04791" w:rsidP="00D04791"/>
    <w:p w:rsidR="00D04791" w:rsidRPr="002B4451" w:rsidRDefault="00D04791" w:rsidP="00D04791"/>
    <w:p w:rsidR="00D04791" w:rsidRPr="002B4451" w:rsidRDefault="00D04791" w:rsidP="00D04791"/>
    <w:p w:rsidR="00D04791" w:rsidRDefault="00D04791" w:rsidP="00D04791">
      <w:pPr>
        <w:sectPr w:rsidR="00D04791" w:rsidSect="00566AC0">
          <w:footerReference w:type="default" r:id="rId13"/>
          <w:pgSz w:w="12242" w:h="15842" w:code="1"/>
          <w:pgMar w:top="1440" w:right="2160" w:bottom="1440" w:left="2160" w:header="706" w:footer="115" w:gutter="0"/>
          <w:cols w:space="708"/>
          <w:titlePg/>
          <w:docGrid w:linePitch="360"/>
        </w:sectPr>
      </w:pPr>
      <w:r>
        <w:rPr>
          <w:noProof/>
          <w:lang w:val="en-US" w:eastAsia="en-US"/>
        </w:rPr>
        <w:drawing>
          <wp:anchor distT="0" distB="0" distL="114300" distR="114300" simplePos="0" relativeHeight="251769856" behindDoc="0" locked="0" layoutInCell="1" allowOverlap="1" wp14:anchorId="3C070536" wp14:editId="745FB9C3">
            <wp:simplePos x="0" y="0"/>
            <wp:positionH relativeFrom="margin">
              <wp:posOffset>3512185</wp:posOffset>
            </wp:positionH>
            <wp:positionV relativeFrom="margin">
              <wp:posOffset>7526020</wp:posOffset>
            </wp:positionV>
            <wp:extent cx="2108835" cy="704850"/>
            <wp:effectExtent l="0" t="0" r="5715" b="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08835" cy="704850"/>
                    </a:xfrm>
                    <a:prstGeom prst="rect">
                      <a:avLst/>
                    </a:prstGeom>
                  </pic:spPr>
                </pic:pic>
              </a:graphicData>
            </a:graphic>
            <wp14:sizeRelH relativeFrom="margin">
              <wp14:pctWidth>0</wp14:pctWidth>
            </wp14:sizeRelH>
            <wp14:sizeRelV relativeFrom="margin">
              <wp14:pctHeight>0</wp14:pctHeight>
            </wp14:sizeRelV>
          </wp:anchor>
        </w:drawing>
      </w:r>
      <w:r w:rsidRPr="002B4451">
        <w:rPr>
          <w:noProof/>
          <w:lang w:val="en-US" w:eastAsia="en-US"/>
        </w:rPr>
        <mc:AlternateContent>
          <mc:Choice Requires="wps">
            <w:drawing>
              <wp:anchor distT="0" distB="0" distL="114300" distR="114300" simplePos="0" relativeHeight="251764736" behindDoc="0" locked="0" layoutInCell="1" allowOverlap="1" wp14:anchorId="1766632E" wp14:editId="4DF7A092">
                <wp:simplePos x="0" y="0"/>
                <wp:positionH relativeFrom="margin">
                  <wp:align>center</wp:align>
                </wp:positionH>
                <wp:positionV relativeFrom="paragraph">
                  <wp:posOffset>10160</wp:posOffset>
                </wp:positionV>
                <wp:extent cx="1210945" cy="308610"/>
                <wp:effectExtent l="0" t="0" r="0" b="0"/>
                <wp:wrapNone/>
                <wp:docPr id="57"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DA4FB5" w:rsidRPr="00F36012" w:rsidRDefault="00DA4FB5" w:rsidP="00D0479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66632E" id="_x0000_s1035" type="#_x0000_t202" style="position:absolute;left:0;text-align:left;margin-left:0;margin-top:.8pt;width:95.35pt;height:24.3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" filled="f" stroked="f">
                <v:textbox inset="0,1pt,0,0">
                  <w:txbxContent>
                    <w:p w:rsidR="00DA4FB5" w:rsidRPr="00F36012" w:rsidRDefault="00DA4FB5" w:rsidP="00D0479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v:textbox>
                <w10:wrap anchorx="margin"/>
              </v:shape>
            </w:pict>
          </mc:Fallback>
        </mc:AlternateContent>
      </w:r>
      <w:r>
        <w:rPr>
          <w:noProof/>
          <w:lang w:val="en-US" w:eastAsia="en-US"/>
        </w:rPr>
        <mc:AlternateContent>
          <mc:Choice Requires="wpg">
            <w:drawing>
              <wp:anchor distT="0" distB="0" distL="114300" distR="114300" simplePos="0" relativeHeight="251766784" behindDoc="0" locked="0" layoutInCell="1" allowOverlap="1" wp14:anchorId="2FD7D81B" wp14:editId="068A6033">
                <wp:simplePos x="0" y="0"/>
                <wp:positionH relativeFrom="column">
                  <wp:posOffset>-438150</wp:posOffset>
                </wp:positionH>
                <wp:positionV relativeFrom="paragraph">
                  <wp:posOffset>2268220</wp:posOffset>
                </wp:positionV>
                <wp:extent cx="2486025" cy="1043940"/>
                <wp:effectExtent l="0" t="0" r="0" b="3810"/>
                <wp:wrapNone/>
                <wp:docPr id="58" name="Group 11"/>
                <wp:cNvGraphicFramePr/>
                <a:graphic xmlns:a="http://schemas.openxmlformats.org/drawingml/2006/main">
                  <a:graphicData uri="http://schemas.microsoft.com/office/word/2010/wordprocessingGroup">
                    <wpg:wgp>
                      <wpg:cNvGrpSpPr/>
                      <wpg:grpSpPr>
                        <a:xfrm>
                          <a:off x="0" y="0"/>
                          <a:ext cx="2486025" cy="1043940"/>
                          <a:chOff x="0" y="0"/>
                          <a:chExt cx="2486025" cy="1043940"/>
                        </a:xfrm>
                      </wpg:grpSpPr>
                      <wps:wsp>
                        <wps:cNvPr id="59" name="Text Box 34"/>
                        <wps:cNvSpPr txBox="1">
                          <a:spLocks/>
                        </wps:cNvSpPr>
                        <wps:spPr>
                          <a:xfrm>
                            <a:off x="0" y="600075"/>
                            <a:ext cx="2486025" cy="371475"/>
                          </a:xfrm>
                          <a:prstGeom prst="rect">
                            <a:avLst/>
                          </a:prstGeom>
                        </wps:spPr>
                        <wps:txbx>
                          <w:txbxContent>
                            <w:p w:rsidR="00DA4FB5" w:rsidRPr="003A00CC" w:rsidRDefault="00DA4FB5" w:rsidP="00D0479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DA4FB5" w:rsidRDefault="00DA4FB5" w:rsidP="00D0479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60" name="Group 10"/>
                        <wpg:cNvGrpSpPr/>
                        <wpg:grpSpPr>
                          <a:xfrm>
                            <a:off x="0" y="0"/>
                            <a:ext cx="612775" cy="1043940"/>
                            <a:chOff x="0" y="0"/>
                            <a:chExt cx="612775" cy="1043940"/>
                          </a:xfrm>
                        </wpg:grpSpPr>
                        <wps:wsp>
                          <wps:cNvPr id="61" name="Freeform: Shape 33"/>
                          <wps:cNvSpPr>
                            <a:spLocks/>
                          </wps:cNvSpPr>
                          <wps:spPr>
                            <a:xfrm>
                              <a:off x="9525" y="10191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2" name="Picture 35"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D7D81B" id="_x0000_s1036" style="position:absolute;left:0;text-align:left;margin-left:-34.5pt;margin-top:178.6pt;width:195.75pt;height:82.2pt;z-index:251766784;mso-width-relative:margin;mso-height-relative:margin" coordsize="24860,10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">
                <v:shape id="Text Box 34" o:spid="_x0000_s1037" type="#_x0000_t202" style="position:absolute;top:6000;width:2486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xMcIA&#10;AADbAAAADwAAAGRycy9kb3ducmV2LnhtbESPQWsCMRSE74L/ITyhN822UHFXo5Riaa/qInh7bp6b&#10;bTcvS5Ku6783QqHHYWa+YVabwbaiJx8axwqeZxkI4srphmsF5eFjugARIrLG1jEpuFGAzXo8WmGh&#10;3ZV31O9jLRKEQ4EKTIxdIWWoDFkMM9cRJ+/ivMWYpK+l9nhNcNvKlyybS4sNpwWDHb0bqn72v1bB&#10;Z9eXVOnjKd/yt9G7vGz8eavU02R4W4KINMT/8F/7Syt4zeHxJf0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5jExwgAAANsAAAAPAAAAAAAAAAAAAAAAAJgCAABkcnMvZG93&#10;bnJldi54bWxQSwUGAAAAAAQABAD1AAAAhwMAAAAA&#10;" filled="f" stroked="f">
                  <v:path arrowok="t"/>
                  <v:textbox inset="0,1.2pt,0,0">
                    <w:txbxContent>
                      <w:p w:rsidR="00DA4FB5" w:rsidRPr="003A00CC" w:rsidRDefault="00DA4FB5" w:rsidP="00D0479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DA4FB5" w:rsidRDefault="00DA4FB5" w:rsidP="00D0479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8" style="position:absolute;width:6127;height:10439" coordsize="6127,10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Shape 33" o:spid="_x0000_s1039" style="position:absolute;left:95;top:10191;width:5131;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1sMcMA&#10;AADbAAAADwAAAGRycy9kb3ducmV2LnhtbESPwWrDMBBE74X+g9hCbo3sBkzjRgnFUJIUeqjTD9hY&#10;G8vEWhlJjZ2/rwKBHoeZecOsNpPtxYV86BwryOcZCOLG6Y5bBT+Hj+dXECEia+wdk4IrBdisHx9W&#10;WGo38jdd6tiKBOFQogIT41BKGRpDFsPcDcTJOzlvMSbpW6k9jglue/mSZYW02HFaMDhQZag5179W&#10;gTOLovrcbr/2tB+Xvo7HscqPSs2epvc3EJGm+B++t3daQZHD7Uv6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1sMcMAAADbAAAADwAAAAAAAAAAAAAAAACYAgAAZHJzL2Rv&#10;d25yZXYueG1sUEsFBgAAAAAEAAQA9QAAAIgDAAAAAA==&#10;" path="m512457,l,,,24256r512457,l512457,xe" fillcolor="#d5b788" stroked="f">
                    <v:path arrowok="t"/>
                  </v:shape>
                  <v:shape id="Picture 35" o:spid="_x0000_s1040"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Nl9rCAAAA2wAAAA8AAABkcnMvZG93bnJldi54bWxEj0+LwjAUxO+C3yE8wZumFuxKNcoiLCie&#10;/IPg7dE827LJS2myWv30RhD2OMzMb5jFqrNG3Kj1tWMFk3ECgrhwuuZSwen4M5qB8AFZo3FMCh7k&#10;YbXs9xaYa3fnPd0OoRQRwj5HBVUITS6lLyqy6MeuIY7e1bUWQ5RtKXWL9wi3RqZJkkmLNceFChta&#10;V1T8Hv6sgmmyNftdXZhU7i5f7pmdjxu2Sg0H3fccRKAu/Ic/7Y1WkKXw/hJ/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DZfawgAAANsAAAAPAAAAAAAAAAAAAAAAAJ8C&#10;AABkcnMvZG93bnJldi54bWxQSwUGAAAAAAQABAD3AAAAjgMAAAAA&#10;">
                    <v:imagedata r:id="rId12" o:title="Icon&#10;&#10;Description automatically generated"/>
                    <v:path arrowok="t"/>
                  </v:shape>
                </v:group>
              </v:group>
            </w:pict>
          </mc:Fallback>
        </mc:AlternateContent>
      </w:r>
      <w:r>
        <w:rPr>
          <w:noProof/>
          <w:lang w:val="en-US" w:eastAsia="en-US"/>
        </w:rPr>
        <mc:AlternateContent>
          <mc:Choice Requires="wps">
            <w:drawing>
              <wp:anchor distT="0" distB="0" distL="114300" distR="114300" simplePos="0" relativeHeight="251761664" behindDoc="0" locked="0" layoutInCell="1" allowOverlap="1" wp14:anchorId="05993695" wp14:editId="61CFB27E">
                <wp:simplePos x="0" y="0"/>
                <wp:positionH relativeFrom="column">
                  <wp:posOffset>4719955</wp:posOffset>
                </wp:positionH>
                <wp:positionV relativeFrom="paragraph">
                  <wp:posOffset>8886825</wp:posOffset>
                </wp:positionV>
                <wp:extent cx="542925" cy="509270"/>
                <wp:effectExtent l="0" t="0" r="9525" b="5080"/>
                <wp:wrapNone/>
                <wp:docPr id="63"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AEFEA0" id="Freeform: Shape 44" o:spid="_x0000_s1026" style="position:absolute;margin-left:371.65pt;margin-top:699.75pt;width:42.75pt;height:40.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MR6W2w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9662DE" w:rsidRPr="006F0C62" w:rsidRDefault="001F32E4" w:rsidP="0014446C">
      <w:pPr>
        <w:rPr>
          <w:spacing w:val="20"/>
          <w:sz w:val="28"/>
        </w:rPr>
      </w:pPr>
      <w:r w:rsidRPr="002B4451">
        <w:lastRenderedPageBreak/>
        <w:tab/>
      </w:r>
      <w:r w:rsidRPr="002B4451">
        <w:tab/>
      </w:r>
      <w:r w:rsidR="0014446C">
        <w:tab/>
      </w:r>
      <w:r w:rsidR="000437CA" w:rsidRPr="006F0C62">
        <w:rPr>
          <w:spacing w:val="20"/>
          <w:sz w:val="28"/>
        </w:rPr>
        <w:t>TABLA</w:t>
      </w:r>
      <w:bookmarkStart w:id="1" w:name="_GoBack"/>
      <w:bookmarkEnd w:id="1"/>
      <w:r w:rsidR="000437CA" w:rsidRPr="006F0C62">
        <w:rPr>
          <w:spacing w:val="20"/>
          <w:sz w:val="28"/>
        </w:rPr>
        <w:t xml:space="preserve"> DE CONTENIDOS</w:t>
      </w:r>
    </w:p>
    <w:p w:rsidR="009662DE" w:rsidRPr="006F0C62" w:rsidRDefault="000110B8" w:rsidP="009662DE">
      <w:r w:rsidRPr="006F0C62">
        <w:rPr>
          <w:noProof/>
          <w:lang w:val="en-US" w:eastAsia="en-US"/>
        </w:rPr>
        <mc:AlternateContent>
          <mc:Choice Requires="wps">
            <w:drawing>
              <wp:anchor distT="0" distB="0" distL="114300" distR="114300" simplePos="0" relativeHeight="251642880" behindDoc="0" locked="0" layoutInCell="1" allowOverlap="1">
                <wp:simplePos x="0" y="0"/>
                <wp:positionH relativeFrom="margin">
                  <wp:posOffset>2280285</wp:posOffset>
                </wp:positionH>
                <wp:positionV relativeFrom="paragraph">
                  <wp:posOffset>15875</wp:posOffset>
                </wp:positionV>
                <wp:extent cx="463550" cy="0"/>
                <wp:effectExtent l="22860" t="23495" r="18415" b="14605"/>
                <wp:wrapNone/>
                <wp:docPr id="3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43A96" id="Conector recto 4"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DtDpxI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rsidR="009662DE" w:rsidRPr="006F0C62" w:rsidRDefault="00E715BA" w:rsidP="000437CA">
      <w:pPr>
        <w:jc w:val="center"/>
        <w:rPr>
          <w:spacing w:val="20"/>
          <w:szCs w:val="24"/>
        </w:rPr>
      </w:pPr>
      <w:r>
        <w:rPr>
          <w:spacing w:val="20"/>
          <w:szCs w:val="24"/>
        </w:rPr>
        <w:t>Memoria Institucional 2021</w:t>
      </w:r>
    </w:p>
    <w:p w:rsidR="000437CA" w:rsidRPr="00374805" w:rsidRDefault="000437CA">
      <w:pPr>
        <w:rPr>
          <w:szCs w:val="24"/>
        </w:rPr>
      </w:pPr>
    </w:p>
    <w:p w:rsidR="00131C77" w:rsidRPr="00131C77" w:rsidRDefault="004F1E40">
      <w:pPr>
        <w:pStyle w:val="TDC1"/>
        <w:tabs>
          <w:tab w:val="left" w:pos="480"/>
          <w:tab w:val="right" w:pos="7912"/>
        </w:tabs>
        <w:rPr>
          <w:rFonts w:eastAsiaTheme="minorEastAsia" w:cs="Times New Roman"/>
          <w:b w:val="0"/>
          <w:bCs w:val="0"/>
          <w:caps w:val="0"/>
          <w:noProof/>
          <w:color w:val="auto"/>
          <w:lang w:val="en-US" w:eastAsia="en-US"/>
        </w:rPr>
      </w:pPr>
      <w:r w:rsidRPr="00652769">
        <w:rPr>
          <w:rFonts w:cs="Times New Roman"/>
        </w:rPr>
        <w:fldChar w:fldCharType="begin"/>
      </w:r>
      <w:r w:rsidRPr="00652769">
        <w:rPr>
          <w:rFonts w:cs="Times New Roman"/>
        </w:rPr>
        <w:instrText xml:space="preserve"> TOC \o "1-3" \h \z \u </w:instrText>
      </w:r>
      <w:r w:rsidRPr="00652769">
        <w:rPr>
          <w:rFonts w:cs="Times New Roman"/>
        </w:rPr>
        <w:fldChar w:fldCharType="separate"/>
      </w:r>
      <w:hyperlink w:anchor="_Toc90936633" w:history="1">
        <w:r w:rsidR="00131C77" w:rsidRPr="00131C77">
          <w:rPr>
            <w:rStyle w:val="Hipervnculo"/>
            <w:rFonts w:cs="Times New Roman"/>
            <w:noProof/>
          </w:rPr>
          <w:t>I.</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RESUMEN EJECUTIVO</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_Toc90936633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4</w:t>
        </w:r>
        <w:r w:rsidR="00131C77" w:rsidRPr="00131C77">
          <w:rPr>
            <w:rFonts w:cs="Times New Roman"/>
            <w:noProof/>
            <w:webHidden/>
          </w:rPr>
          <w:fldChar w:fldCharType="end"/>
        </w:r>
      </w:hyperlink>
    </w:p>
    <w:p w:rsidR="00131C77" w:rsidRPr="00131C77" w:rsidRDefault="00DA4FB5">
      <w:pPr>
        <w:pStyle w:val="TDC1"/>
        <w:tabs>
          <w:tab w:val="left" w:pos="480"/>
          <w:tab w:val="right" w:pos="7912"/>
        </w:tabs>
        <w:rPr>
          <w:rFonts w:eastAsiaTheme="minorEastAsia" w:cs="Times New Roman"/>
          <w:b w:val="0"/>
          <w:bCs w:val="0"/>
          <w:caps w:val="0"/>
          <w:noProof/>
          <w:color w:val="auto"/>
          <w:lang w:val="en-US" w:eastAsia="en-US"/>
        </w:rPr>
      </w:pPr>
      <w:hyperlink w:anchor="_Toc90936634" w:history="1">
        <w:r w:rsidR="00131C77" w:rsidRPr="00131C77">
          <w:rPr>
            <w:rStyle w:val="Hipervnculo"/>
            <w:rFonts w:cs="Times New Roman"/>
            <w:noProof/>
          </w:rPr>
          <w:t>II.</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INFORMACIÓN INSTITUCIONAL</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_Toc90936634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11</w:t>
        </w:r>
        <w:r w:rsidR="00131C77" w:rsidRPr="00131C77">
          <w:rPr>
            <w:rFonts w:cs="Times New Roman"/>
            <w:noProof/>
            <w:webHidden/>
          </w:rPr>
          <w:fldChar w:fldCharType="end"/>
        </w:r>
      </w:hyperlink>
    </w:p>
    <w:p w:rsidR="00131C77" w:rsidRPr="00131C77" w:rsidRDefault="00DA4FB5">
      <w:pPr>
        <w:pStyle w:val="TDC2"/>
        <w:tabs>
          <w:tab w:val="right" w:pos="7912"/>
        </w:tabs>
        <w:rPr>
          <w:rFonts w:ascii="Times New Roman" w:eastAsiaTheme="minorEastAsia" w:hAnsi="Times New Roman" w:cs="Times New Roman"/>
          <w:b w:val="0"/>
          <w:bCs w:val="0"/>
          <w:noProof/>
          <w:color w:val="auto"/>
          <w:sz w:val="24"/>
          <w:szCs w:val="24"/>
          <w:lang w:val="en-US" w:eastAsia="en-US"/>
        </w:rPr>
      </w:pPr>
      <w:hyperlink w:anchor="_Toc90936635" w:history="1">
        <w:r w:rsidR="00131C77" w:rsidRPr="00131C77">
          <w:rPr>
            <w:rStyle w:val="Hipervnculo"/>
            <w:rFonts w:ascii="Times New Roman" w:hAnsi="Times New Roman" w:cs="Times New Roman"/>
            <w:noProof/>
            <w:spacing w:val="20"/>
            <w:sz w:val="24"/>
            <w:szCs w:val="24"/>
          </w:rPr>
          <w:t>2.1 Marco Filosófico Institucional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_Toc90936635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11</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left" w:pos="720"/>
          <w:tab w:val="right" w:pos="7912"/>
        </w:tabs>
        <w:rPr>
          <w:rFonts w:ascii="Times New Roman" w:eastAsiaTheme="minorEastAsia" w:hAnsi="Times New Roman" w:cs="Times New Roman"/>
          <w:noProof/>
          <w:color w:val="auto"/>
          <w:sz w:val="24"/>
          <w:szCs w:val="24"/>
          <w:lang w:val="en-US" w:eastAsia="en-US"/>
        </w:rPr>
      </w:pPr>
      <w:hyperlink w:anchor="_Toc90936636" w:history="1">
        <w:r w:rsidR="00131C77" w:rsidRPr="00131C77">
          <w:rPr>
            <w:rStyle w:val="Hipervnculo"/>
            <w:rFonts w:ascii="Times New Roman" w:hAnsi="Times New Roman" w:cs="Times New Roman"/>
            <w:noProof/>
            <w:sz w:val="24"/>
            <w:szCs w:val="24"/>
          </w:rPr>
          <w:t>a.</w:t>
        </w:r>
        <w:r w:rsidR="00131C77" w:rsidRPr="00131C77">
          <w:rPr>
            <w:rFonts w:ascii="Times New Roman" w:eastAsiaTheme="minorEastAsia" w:hAnsi="Times New Roman" w:cs="Times New Roman"/>
            <w:noProof/>
            <w:color w:val="auto"/>
            <w:sz w:val="24"/>
            <w:szCs w:val="24"/>
            <w:lang w:val="en-US" w:eastAsia="en-US"/>
          </w:rPr>
          <w:tab/>
        </w:r>
        <w:r w:rsidR="00131C77" w:rsidRPr="00131C77">
          <w:rPr>
            <w:rStyle w:val="Hipervnculo"/>
            <w:rFonts w:ascii="Times New Roman" w:hAnsi="Times New Roman" w:cs="Times New Roman"/>
            <w:noProof/>
            <w:sz w:val="24"/>
            <w:szCs w:val="24"/>
          </w:rPr>
          <w:t>Misión</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_Toc90936636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11</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left" w:pos="720"/>
          <w:tab w:val="right" w:pos="7912"/>
        </w:tabs>
        <w:rPr>
          <w:rFonts w:ascii="Times New Roman" w:eastAsiaTheme="minorEastAsia" w:hAnsi="Times New Roman" w:cs="Times New Roman"/>
          <w:noProof/>
          <w:color w:val="auto"/>
          <w:sz w:val="24"/>
          <w:szCs w:val="24"/>
          <w:lang w:val="en-US" w:eastAsia="en-US"/>
        </w:rPr>
      </w:pPr>
      <w:hyperlink w:anchor="_Toc90936637" w:history="1">
        <w:r w:rsidR="00131C77" w:rsidRPr="00131C77">
          <w:rPr>
            <w:rStyle w:val="Hipervnculo"/>
            <w:rFonts w:ascii="Times New Roman" w:hAnsi="Times New Roman" w:cs="Times New Roman"/>
            <w:noProof/>
            <w:sz w:val="24"/>
            <w:szCs w:val="24"/>
          </w:rPr>
          <w:t>b.</w:t>
        </w:r>
        <w:r w:rsidR="00131C77" w:rsidRPr="00131C77">
          <w:rPr>
            <w:rFonts w:ascii="Times New Roman" w:eastAsiaTheme="minorEastAsia" w:hAnsi="Times New Roman" w:cs="Times New Roman"/>
            <w:noProof/>
            <w:color w:val="auto"/>
            <w:sz w:val="24"/>
            <w:szCs w:val="24"/>
            <w:lang w:val="en-US" w:eastAsia="en-US"/>
          </w:rPr>
          <w:tab/>
        </w:r>
        <w:r w:rsidR="00131C77" w:rsidRPr="00131C77">
          <w:rPr>
            <w:rStyle w:val="Hipervnculo"/>
            <w:rFonts w:ascii="Times New Roman" w:hAnsi="Times New Roman" w:cs="Times New Roman"/>
            <w:noProof/>
            <w:sz w:val="24"/>
            <w:szCs w:val="24"/>
          </w:rPr>
          <w:t>Visión</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_Toc90936637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11</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left" w:pos="720"/>
          <w:tab w:val="right" w:pos="7912"/>
        </w:tabs>
        <w:rPr>
          <w:rFonts w:ascii="Times New Roman" w:eastAsiaTheme="minorEastAsia" w:hAnsi="Times New Roman" w:cs="Times New Roman"/>
          <w:noProof/>
          <w:color w:val="auto"/>
          <w:sz w:val="24"/>
          <w:szCs w:val="24"/>
          <w:lang w:val="en-US" w:eastAsia="en-US"/>
        </w:rPr>
      </w:pPr>
      <w:hyperlink w:anchor="_Toc90936638" w:history="1">
        <w:r w:rsidR="00131C77" w:rsidRPr="00131C77">
          <w:rPr>
            <w:rStyle w:val="Hipervnculo"/>
            <w:rFonts w:ascii="Times New Roman" w:hAnsi="Times New Roman" w:cs="Times New Roman"/>
            <w:noProof/>
            <w:sz w:val="24"/>
            <w:szCs w:val="24"/>
          </w:rPr>
          <w:t>c.</w:t>
        </w:r>
        <w:r w:rsidR="00131C77" w:rsidRPr="00131C77">
          <w:rPr>
            <w:rFonts w:ascii="Times New Roman" w:eastAsiaTheme="minorEastAsia" w:hAnsi="Times New Roman" w:cs="Times New Roman"/>
            <w:noProof/>
            <w:color w:val="auto"/>
            <w:sz w:val="24"/>
            <w:szCs w:val="24"/>
            <w:lang w:val="en-US" w:eastAsia="en-US"/>
          </w:rPr>
          <w:tab/>
        </w:r>
        <w:r w:rsidR="00131C77" w:rsidRPr="00131C77">
          <w:rPr>
            <w:rStyle w:val="Hipervnculo"/>
            <w:rFonts w:ascii="Times New Roman" w:hAnsi="Times New Roman" w:cs="Times New Roman"/>
            <w:noProof/>
            <w:sz w:val="24"/>
            <w:szCs w:val="24"/>
          </w:rPr>
          <w:t>Valores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_Toc90936638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11</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2"/>
        <w:tabs>
          <w:tab w:val="right" w:pos="7912"/>
        </w:tabs>
        <w:rPr>
          <w:rFonts w:ascii="Times New Roman" w:eastAsiaTheme="minorEastAsia" w:hAnsi="Times New Roman" w:cs="Times New Roman"/>
          <w:b w:val="0"/>
          <w:bCs w:val="0"/>
          <w:noProof/>
          <w:color w:val="auto"/>
          <w:sz w:val="24"/>
          <w:szCs w:val="24"/>
          <w:lang w:val="en-US" w:eastAsia="en-US"/>
        </w:rPr>
      </w:pPr>
      <w:hyperlink w:anchor="_Toc90936639" w:history="1">
        <w:r w:rsidR="00131C77" w:rsidRPr="00131C77">
          <w:rPr>
            <w:rStyle w:val="Hipervnculo"/>
            <w:rFonts w:ascii="Times New Roman" w:hAnsi="Times New Roman" w:cs="Times New Roman"/>
            <w:noProof/>
            <w:spacing w:val="20"/>
            <w:sz w:val="24"/>
            <w:szCs w:val="24"/>
          </w:rPr>
          <w:t>2.2 Base Legal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_Toc90936639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12</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2"/>
        <w:tabs>
          <w:tab w:val="right" w:pos="7912"/>
        </w:tabs>
        <w:rPr>
          <w:rFonts w:ascii="Times New Roman" w:eastAsiaTheme="minorEastAsia" w:hAnsi="Times New Roman" w:cs="Times New Roman"/>
          <w:b w:val="0"/>
          <w:bCs w:val="0"/>
          <w:noProof/>
          <w:color w:val="auto"/>
          <w:sz w:val="24"/>
          <w:szCs w:val="24"/>
          <w:lang w:val="en-US" w:eastAsia="en-US"/>
        </w:rPr>
      </w:pPr>
      <w:hyperlink w:anchor="_Toc90936640" w:history="1">
        <w:r w:rsidR="00131C77" w:rsidRPr="00131C77">
          <w:rPr>
            <w:rStyle w:val="Hipervnculo"/>
            <w:rFonts w:ascii="Times New Roman" w:hAnsi="Times New Roman" w:cs="Times New Roman"/>
            <w:noProof/>
            <w:spacing w:val="20"/>
            <w:sz w:val="24"/>
            <w:szCs w:val="24"/>
          </w:rPr>
          <w:t>2.3 Estructura Organizativa</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_Toc90936640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13</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2"/>
        <w:tabs>
          <w:tab w:val="right" w:pos="7912"/>
        </w:tabs>
        <w:rPr>
          <w:rFonts w:ascii="Times New Roman" w:eastAsiaTheme="minorEastAsia" w:hAnsi="Times New Roman" w:cs="Times New Roman"/>
          <w:b w:val="0"/>
          <w:bCs w:val="0"/>
          <w:noProof/>
          <w:color w:val="auto"/>
          <w:sz w:val="24"/>
          <w:szCs w:val="24"/>
          <w:lang w:val="en-US" w:eastAsia="en-US"/>
        </w:rPr>
      </w:pPr>
      <w:hyperlink w:anchor="_Toc90936641" w:history="1">
        <w:r w:rsidR="00131C77" w:rsidRPr="00131C77">
          <w:rPr>
            <w:rStyle w:val="Hipervnculo"/>
            <w:rFonts w:ascii="Times New Roman" w:hAnsi="Times New Roman" w:cs="Times New Roman"/>
            <w:noProof/>
            <w:spacing w:val="20"/>
            <w:sz w:val="24"/>
            <w:szCs w:val="24"/>
          </w:rPr>
          <w:t>2.4 Planificación Estratégica Institucional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_Toc90936641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14</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1"/>
        <w:tabs>
          <w:tab w:val="left" w:pos="720"/>
          <w:tab w:val="right" w:pos="7912"/>
        </w:tabs>
        <w:rPr>
          <w:rFonts w:eastAsiaTheme="minorEastAsia" w:cs="Times New Roman"/>
          <w:b w:val="0"/>
          <w:bCs w:val="0"/>
          <w:caps w:val="0"/>
          <w:noProof/>
          <w:color w:val="auto"/>
          <w:lang w:val="en-US" w:eastAsia="en-US"/>
        </w:rPr>
      </w:pPr>
      <w:hyperlink w:anchor="_Toc90936642" w:history="1">
        <w:r w:rsidR="00131C77" w:rsidRPr="00131C77">
          <w:rPr>
            <w:rStyle w:val="Hipervnculo"/>
            <w:rFonts w:cs="Times New Roman"/>
            <w:noProof/>
          </w:rPr>
          <w:t>III.</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RESULTADOS MISIONALES</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_Toc90936642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19</w:t>
        </w:r>
        <w:r w:rsidR="00131C77" w:rsidRPr="00131C77">
          <w:rPr>
            <w:rFonts w:cs="Times New Roman"/>
            <w:noProof/>
            <w:webHidden/>
          </w:rPr>
          <w:fldChar w:fldCharType="end"/>
        </w:r>
      </w:hyperlink>
    </w:p>
    <w:p w:rsidR="00131C77" w:rsidRPr="00131C77" w:rsidRDefault="00DA4FB5">
      <w:pPr>
        <w:pStyle w:val="TDC2"/>
        <w:tabs>
          <w:tab w:val="right" w:pos="7912"/>
        </w:tabs>
        <w:rPr>
          <w:rFonts w:ascii="Times New Roman" w:eastAsiaTheme="minorEastAsia" w:hAnsi="Times New Roman" w:cs="Times New Roman"/>
          <w:b w:val="0"/>
          <w:bCs w:val="0"/>
          <w:noProof/>
          <w:color w:val="auto"/>
          <w:sz w:val="24"/>
          <w:szCs w:val="24"/>
          <w:lang w:val="en-US" w:eastAsia="en-US"/>
        </w:rPr>
      </w:pPr>
      <w:hyperlink w:anchor="_Toc90936643" w:history="1">
        <w:r w:rsidR="00131C77" w:rsidRPr="00131C77">
          <w:rPr>
            <w:rStyle w:val="Hipervnculo"/>
            <w:rFonts w:ascii="Times New Roman" w:hAnsi="Times New Roman" w:cs="Times New Roman"/>
            <w:noProof/>
            <w:spacing w:val="20"/>
            <w:sz w:val="24"/>
            <w:szCs w:val="24"/>
          </w:rPr>
          <w:t>Información Cuantitativa, Cualitativa e Indicadores de los Procesos Misionales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_Toc90936643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19</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44" w:history="1">
        <w:r w:rsidR="00131C77" w:rsidRPr="00131C77">
          <w:rPr>
            <w:rStyle w:val="Hipervnculo"/>
            <w:rFonts w:ascii="Times New Roman" w:hAnsi="Times New Roman" w:cs="Times New Roman"/>
            <w:noProof/>
            <w:sz w:val="24"/>
            <w:szCs w:val="24"/>
          </w:rPr>
          <w:t>Regulación y Defensa de la Competencia</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_Toc90936644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19</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45" w:history="1">
        <w:r w:rsidR="00131C77" w:rsidRPr="00131C77">
          <w:rPr>
            <w:rStyle w:val="Hipervnculo"/>
            <w:rFonts w:ascii="Times New Roman" w:hAnsi="Times New Roman" w:cs="Times New Roman"/>
            <w:noProof/>
            <w:sz w:val="24"/>
            <w:szCs w:val="24"/>
          </w:rPr>
          <w:t>Espectro Radioeléctrico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_Toc90936645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29</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46" w:history="1">
        <w:r w:rsidR="00131C77" w:rsidRPr="00131C77">
          <w:rPr>
            <w:rStyle w:val="Hipervnculo"/>
            <w:rFonts w:ascii="Times New Roman" w:hAnsi="Times New Roman" w:cs="Times New Roman"/>
            <w:noProof/>
            <w:sz w:val="24"/>
            <w:szCs w:val="24"/>
          </w:rPr>
          <w:t>Fiscalización</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_Toc90936646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41</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47" w:history="1">
        <w:r w:rsidR="00131C77" w:rsidRPr="00131C77">
          <w:rPr>
            <w:rStyle w:val="Hipervnculo"/>
            <w:rFonts w:ascii="Times New Roman" w:hAnsi="Times New Roman" w:cs="Times New Roman"/>
            <w:noProof/>
            <w:sz w:val="24"/>
            <w:szCs w:val="24"/>
          </w:rPr>
          <w:t>Autorizaciones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_Toc90936647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46</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48" w:history="1">
        <w:r w:rsidR="00131C77" w:rsidRPr="00131C77">
          <w:rPr>
            <w:rStyle w:val="Hipervnculo"/>
            <w:rFonts w:ascii="Times New Roman" w:hAnsi="Times New Roman" w:cs="Times New Roman"/>
            <w:noProof/>
            <w:sz w:val="24"/>
            <w:szCs w:val="24"/>
          </w:rPr>
          <w:t>Protección al Usuario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_Toc90936648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50</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49" w:history="1">
        <w:r w:rsidR="00131C77" w:rsidRPr="00131C77">
          <w:rPr>
            <w:rStyle w:val="Hipervnculo"/>
            <w:rFonts w:ascii="Times New Roman" w:hAnsi="Times New Roman" w:cs="Times New Roman"/>
            <w:noProof/>
            <w:sz w:val="24"/>
            <w:szCs w:val="24"/>
          </w:rPr>
          <w:t>Fondo para el Desarrollo de las Telecomunicaciones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_Toc90936649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67</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0" w:history="1">
        <w:r w:rsidR="00131C77" w:rsidRPr="00131C77">
          <w:rPr>
            <w:rStyle w:val="Hipervnculo"/>
            <w:rFonts w:ascii="Times New Roman" w:hAnsi="Times New Roman" w:cs="Times New Roman"/>
            <w:noProof/>
            <w:sz w:val="24"/>
            <w:szCs w:val="24"/>
          </w:rPr>
          <w:t>Ciberseguridad, Comercio Electrónico y Firma Digital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_Toc90936650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77</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1"/>
        <w:tabs>
          <w:tab w:val="left" w:pos="720"/>
          <w:tab w:val="right" w:pos="7912"/>
        </w:tabs>
        <w:rPr>
          <w:rFonts w:eastAsiaTheme="minorEastAsia" w:cs="Times New Roman"/>
          <w:b w:val="0"/>
          <w:bCs w:val="0"/>
          <w:caps w:val="0"/>
          <w:noProof/>
          <w:color w:val="auto"/>
          <w:lang w:val="en-US" w:eastAsia="en-US"/>
        </w:rPr>
      </w:pPr>
      <w:hyperlink w:anchor="_Toc90936651" w:history="1">
        <w:r w:rsidR="00131C77" w:rsidRPr="00131C77">
          <w:rPr>
            <w:rStyle w:val="Hipervnculo"/>
            <w:rFonts w:cs="Times New Roman"/>
            <w:noProof/>
          </w:rPr>
          <w:t>IV.</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RESULTADOS ÁREAS TRANSVERSALES  Y DE APOYO</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_Toc90936651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88</w:t>
        </w:r>
        <w:r w:rsidR="00131C77" w:rsidRPr="00131C77">
          <w:rPr>
            <w:rFonts w:cs="Times New Roman"/>
            <w:noProof/>
            <w:webHidden/>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2" w:history="1">
        <w:r w:rsidR="00131C77" w:rsidRPr="00131C77">
          <w:rPr>
            <w:rStyle w:val="Hipervnculo"/>
            <w:rFonts w:ascii="Times New Roman" w:hAnsi="Times New Roman" w:cs="Times New Roman"/>
            <w:noProof/>
            <w:sz w:val="24"/>
            <w:szCs w:val="24"/>
          </w:rPr>
          <w:t>Desempeño Administrativo y Financiero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_Toc90936652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88</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3" w:history="1">
        <w:r w:rsidR="00131C77" w:rsidRPr="00131C77">
          <w:rPr>
            <w:rStyle w:val="Hipervnculo"/>
            <w:rFonts w:ascii="Times New Roman" w:hAnsi="Times New Roman" w:cs="Times New Roman"/>
            <w:noProof/>
            <w:sz w:val="24"/>
            <w:szCs w:val="24"/>
          </w:rPr>
          <w:t>Desempeño de los Recursos Humanos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_Toc90936653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105</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4" w:history="1">
        <w:r w:rsidR="00131C77" w:rsidRPr="00131C77">
          <w:rPr>
            <w:rStyle w:val="Hipervnculo"/>
            <w:rFonts w:ascii="Times New Roman" w:hAnsi="Times New Roman" w:cs="Times New Roman"/>
            <w:noProof/>
            <w:sz w:val="24"/>
            <w:szCs w:val="24"/>
          </w:rPr>
          <w:t>Desempeño de los Procesos Jurídicos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_Toc90936654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123</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5" w:history="1">
        <w:r w:rsidR="00131C77" w:rsidRPr="00131C77">
          <w:rPr>
            <w:rStyle w:val="Hipervnculo"/>
            <w:rFonts w:ascii="Times New Roman" w:hAnsi="Times New Roman" w:cs="Times New Roman"/>
            <w:noProof/>
            <w:sz w:val="24"/>
            <w:szCs w:val="24"/>
          </w:rPr>
          <w:t>Desempeño de la Tecnología</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_Toc90936655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130</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6" w:history="1">
        <w:r w:rsidR="00131C77" w:rsidRPr="00131C77">
          <w:rPr>
            <w:rStyle w:val="Hipervnculo"/>
            <w:rFonts w:ascii="Times New Roman" w:hAnsi="Times New Roman" w:cs="Times New Roman"/>
            <w:noProof/>
            <w:sz w:val="24"/>
            <w:szCs w:val="24"/>
          </w:rPr>
          <w:t>Desempeño del Sistema de Planificación y Desarrollo Institucional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_Toc90936656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135</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7" w:history="1">
        <w:r w:rsidR="00131C77" w:rsidRPr="00131C77">
          <w:rPr>
            <w:rStyle w:val="Hipervnculo"/>
            <w:rFonts w:ascii="Times New Roman" w:hAnsi="Times New Roman" w:cs="Times New Roman"/>
            <w:noProof/>
            <w:sz w:val="24"/>
            <w:szCs w:val="24"/>
          </w:rPr>
          <w:t>Equidad de Género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_Toc90936657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140</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8" w:history="1">
        <w:r w:rsidR="00131C77" w:rsidRPr="00131C77">
          <w:rPr>
            <w:rStyle w:val="Hipervnculo"/>
            <w:rFonts w:ascii="Times New Roman" w:hAnsi="Times New Roman" w:cs="Times New Roman"/>
            <w:noProof/>
            <w:sz w:val="24"/>
            <w:szCs w:val="24"/>
          </w:rPr>
          <w:t>Desempeño del Área de Comunicaciones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_Toc90936658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142</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59" w:history="1">
        <w:r w:rsidR="00131C77" w:rsidRPr="00131C77">
          <w:rPr>
            <w:rStyle w:val="Hipervnculo"/>
            <w:rFonts w:ascii="Times New Roman" w:hAnsi="Times New Roman" w:cs="Times New Roman"/>
            <w:noProof/>
            <w:sz w:val="24"/>
            <w:szCs w:val="24"/>
          </w:rPr>
          <w:t>Relaciones Institucionales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_Toc90936659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152</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0" w:history="1">
        <w:r w:rsidR="00131C77" w:rsidRPr="00131C77">
          <w:rPr>
            <w:rStyle w:val="Hipervnculo"/>
            <w:rFonts w:ascii="Times New Roman" w:hAnsi="Times New Roman" w:cs="Times New Roman"/>
            <w:noProof/>
            <w:sz w:val="24"/>
            <w:szCs w:val="24"/>
          </w:rPr>
          <w:t>Relaciones Internacionales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_Toc90936660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161</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1" w:history="1">
        <w:r w:rsidR="00131C77" w:rsidRPr="00131C77">
          <w:rPr>
            <w:rStyle w:val="Hipervnculo"/>
            <w:rFonts w:ascii="Times New Roman" w:hAnsi="Times New Roman" w:cs="Times New Roman"/>
            <w:noProof/>
            <w:sz w:val="24"/>
            <w:szCs w:val="24"/>
          </w:rPr>
          <w:t>Centro INDOTEL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_Toc90936661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174</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2" w:history="1">
        <w:r w:rsidR="00131C77" w:rsidRPr="00131C77">
          <w:rPr>
            <w:rStyle w:val="Hipervnculo"/>
            <w:rFonts w:ascii="Times New Roman" w:hAnsi="Times New Roman" w:cs="Times New Roman"/>
            <w:noProof/>
            <w:sz w:val="24"/>
            <w:szCs w:val="24"/>
          </w:rPr>
          <w:t>Comisión de Ética Pública (CEP) del INDOTEL</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_Toc90936662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180</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1"/>
        <w:tabs>
          <w:tab w:val="left" w:pos="480"/>
          <w:tab w:val="right" w:pos="7912"/>
        </w:tabs>
        <w:rPr>
          <w:rFonts w:eastAsiaTheme="minorEastAsia" w:cs="Times New Roman"/>
          <w:b w:val="0"/>
          <w:bCs w:val="0"/>
          <w:caps w:val="0"/>
          <w:noProof/>
          <w:color w:val="auto"/>
          <w:lang w:val="en-US" w:eastAsia="en-US"/>
        </w:rPr>
      </w:pPr>
      <w:hyperlink w:anchor="_Toc90936663" w:history="1">
        <w:r w:rsidR="00131C77" w:rsidRPr="00131C77">
          <w:rPr>
            <w:rStyle w:val="Hipervnculo"/>
            <w:rFonts w:cs="Times New Roman"/>
            <w:noProof/>
          </w:rPr>
          <w:t>V.</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SERVICIO AL CIUDADANO  Y TRANSPARENCIA INSTITUCIONAL</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_Toc90936663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185</w:t>
        </w:r>
        <w:r w:rsidR="00131C77" w:rsidRPr="00131C77">
          <w:rPr>
            <w:rFonts w:cs="Times New Roman"/>
            <w:noProof/>
            <w:webHidden/>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4" w:history="1">
        <w:r w:rsidR="00131C77" w:rsidRPr="00131C77">
          <w:rPr>
            <w:rStyle w:val="Hipervnculo"/>
            <w:rFonts w:ascii="Times New Roman" w:hAnsi="Times New Roman" w:cs="Times New Roman"/>
            <w:noProof/>
            <w:sz w:val="24"/>
            <w:szCs w:val="24"/>
          </w:rPr>
          <w:t>Nivel de la Satisfacción con el Servicio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_Toc90936664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185</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5" w:history="1">
        <w:r w:rsidR="00131C77" w:rsidRPr="00131C77">
          <w:rPr>
            <w:rStyle w:val="Hipervnculo"/>
            <w:rFonts w:ascii="Times New Roman" w:hAnsi="Times New Roman" w:cs="Times New Roman"/>
            <w:noProof/>
            <w:sz w:val="24"/>
            <w:szCs w:val="24"/>
          </w:rPr>
          <w:t>Nivel de Cumplimiento Acceso a la Información</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_Toc90936665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196</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6" w:history="1">
        <w:r w:rsidR="00131C77" w:rsidRPr="00131C77">
          <w:rPr>
            <w:rStyle w:val="Hipervnculo"/>
            <w:rFonts w:ascii="Times New Roman" w:hAnsi="Times New Roman" w:cs="Times New Roman"/>
            <w:noProof/>
            <w:sz w:val="24"/>
            <w:szCs w:val="24"/>
          </w:rPr>
          <w:t>Resultado Sistema de Quejas, Reclamos y Sugerencias</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_Toc90936666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197</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7" w:history="1">
        <w:r w:rsidR="00131C77" w:rsidRPr="00131C77">
          <w:rPr>
            <w:rStyle w:val="Hipervnculo"/>
            <w:rFonts w:ascii="Times New Roman" w:hAnsi="Times New Roman" w:cs="Times New Roman"/>
            <w:noProof/>
            <w:sz w:val="24"/>
            <w:szCs w:val="24"/>
          </w:rPr>
          <w:t>Resultado Mediciones del Portal de Transparencia</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_Toc90936667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198</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1"/>
        <w:tabs>
          <w:tab w:val="left" w:pos="720"/>
          <w:tab w:val="right" w:pos="7912"/>
        </w:tabs>
        <w:rPr>
          <w:rFonts w:eastAsiaTheme="minorEastAsia" w:cs="Times New Roman"/>
          <w:b w:val="0"/>
          <w:bCs w:val="0"/>
          <w:caps w:val="0"/>
          <w:noProof/>
          <w:color w:val="auto"/>
          <w:lang w:val="en-US" w:eastAsia="en-US"/>
        </w:rPr>
      </w:pPr>
      <w:hyperlink w:anchor="_Toc90936668" w:history="1">
        <w:r w:rsidR="00131C77" w:rsidRPr="00131C77">
          <w:rPr>
            <w:rStyle w:val="Hipervnculo"/>
            <w:rFonts w:cs="Times New Roman"/>
            <w:noProof/>
          </w:rPr>
          <w:t>VI.</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PROYECCIONES</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_Toc90936668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199</w:t>
        </w:r>
        <w:r w:rsidR="00131C77" w:rsidRPr="00131C77">
          <w:rPr>
            <w:rFonts w:cs="Times New Roman"/>
            <w:noProof/>
            <w:webHidden/>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69" w:history="1">
        <w:r w:rsidR="00131C77" w:rsidRPr="00131C77">
          <w:rPr>
            <w:rStyle w:val="Hipervnculo"/>
            <w:rFonts w:ascii="Times New Roman" w:hAnsi="Times New Roman" w:cs="Times New Roman"/>
            <w:noProof/>
            <w:sz w:val="24"/>
            <w:szCs w:val="24"/>
          </w:rPr>
          <w:t>Proyecciones Año 2022</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_Toc90936669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199</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1"/>
        <w:tabs>
          <w:tab w:val="left" w:pos="720"/>
          <w:tab w:val="right" w:pos="7912"/>
        </w:tabs>
        <w:rPr>
          <w:rFonts w:eastAsiaTheme="minorEastAsia" w:cs="Times New Roman"/>
          <w:b w:val="0"/>
          <w:bCs w:val="0"/>
          <w:caps w:val="0"/>
          <w:noProof/>
          <w:color w:val="auto"/>
          <w:lang w:val="en-US" w:eastAsia="en-US"/>
        </w:rPr>
      </w:pPr>
      <w:hyperlink w:anchor="_Toc90936670" w:history="1">
        <w:r w:rsidR="00131C77" w:rsidRPr="00131C77">
          <w:rPr>
            <w:rStyle w:val="Hipervnculo"/>
            <w:rFonts w:cs="Times New Roman"/>
            <w:noProof/>
          </w:rPr>
          <w:t>VII.</w:t>
        </w:r>
        <w:r w:rsidR="00131C77" w:rsidRPr="00131C77">
          <w:rPr>
            <w:rFonts w:eastAsiaTheme="minorEastAsia" w:cs="Times New Roman"/>
            <w:b w:val="0"/>
            <w:bCs w:val="0"/>
            <w:caps w:val="0"/>
            <w:noProof/>
            <w:color w:val="auto"/>
            <w:lang w:val="en-US" w:eastAsia="en-US"/>
          </w:rPr>
          <w:tab/>
        </w:r>
        <w:r w:rsidR="00131C77" w:rsidRPr="00131C77">
          <w:rPr>
            <w:rStyle w:val="Hipervnculo"/>
            <w:rFonts w:cs="Times New Roman"/>
            <w:noProof/>
          </w:rPr>
          <w:t>ANEXOS</w:t>
        </w:r>
        <w:r w:rsidR="00131C77" w:rsidRPr="00131C77">
          <w:rPr>
            <w:rFonts w:cs="Times New Roman"/>
            <w:noProof/>
            <w:webHidden/>
          </w:rPr>
          <w:tab/>
        </w:r>
        <w:r w:rsidR="00131C77" w:rsidRPr="00131C77">
          <w:rPr>
            <w:rFonts w:cs="Times New Roman"/>
            <w:noProof/>
            <w:webHidden/>
          </w:rPr>
          <w:fldChar w:fldCharType="begin"/>
        </w:r>
        <w:r w:rsidR="00131C77" w:rsidRPr="00131C77">
          <w:rPr>
            <w:rFonts w:cs="Times New Roman"/>
            <w:noProof/>
            <w:webHidden/>
          </w:rPr>
          <w:instrText xml:space="preserve"> PAGEREF _Toc90936670 \h </w:instrText>
        </w:r>
        <w:r w:rsidR="00131C77" w:rsidRPr="00131C77">
          <w:rPr>
            <w:rFonts w:cs="Times New Roman"/>
            <w:noProof/>
            <w:webHidden/>
          </w:rPr>
        </w:r>
        <w:r w:rsidR="00131C77" w:rsidRPr="00131C77">
          <w:rPr>
            <w:rFonts w:cs="Times New Roman"/>
            <w:noProof/>
            <w:webHidden/>
          </w:rPr>
          <w:fldChar w:fldCharType="separate"/>
        </w:r>
        <w:r w:rsidR="00C90852">
          <w:rPr>
            <w:rFonts w:cs="Times New Roman"/>
            <w:noProof/>
            <w:webHidden/>
          </w:rPr>
          <w:t>206</w:t>
        </w:r>
        <w:r w:rsidR="00131C77" w:rsidRPr="00131C77">
          <w:rPr>
            <w:rFonts w:cs="Times New Roman"/>
            <w:noProof/>
            <w:webHidden/>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71" w:history="1">
        <w:r w:rsidR="00131C77" w:rsidRPr="00131C77">
          <w:rPr>
            <w:rStyle w:val="Hipervnculo"/>
            <w:rFonts w:ascii="Times New Roman" w:hAnsi="Times New Roman" w:cs="Times New Roman"/>
            <w:noProof/>
            <w:sz w:val="24"/>
            <w:szCs w:val="24"/>
          </w:rPr>
          <w:t>Matriz de Principales Indicadores de Gestión por Proceso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_Toc90936671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206</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72" w:history="1">
        <w:r w:rsidR="00131C77" w:rsidRPr="00131C77">
          <w:rPr>
            <w:rStyle w:val="Hipervnculo"/>
            <w:rFonts w:ascii="Times New Roman" w:hAnsi="Times New Roman" w:cs="Times New Roman"/>
            <w:noProof/>
            <w:sz w:val="24"/>
            <w:szCs w:val="24"/>
          </w:rPr>
          <w:t>Matriz Índice de Gestión Presupuestaria Anual (IGP)</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_Toc90936672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207</w:t>
        </w:r>
        <w:r w:rsidR="00131C77" w:rsidRPr="00131C77">
          <w:rPr>
            <w:rFonts w:ascii="Times New Roman" w:hAnsi="Times New Roman" w:cs="Times New Roman"/>
            <w:noProof/>
            <w:webHidden/>
            <w:sz w:val="24"/>
            <w:szCs w:val="24"/>
          </w:rPr>
          <w:fldChar w:fldCharType="end"/>
        </w:r>
      </w:hyperlink>
    </w:p>
    <w:p w:rsidR="00131C77" w:rsidRPr="00131C77" w:rsidRDefault="00DA4FB5">
      <w:pPr>
        <w:pStyle w:val="TDC3"/>
        <w:tabs>
          <w:tab w:val="right" w:pos="7912"/>
        </w:tabs>
        <w:rPr>
          <w:rFonts w:ascii="Times New Roman" w:eastAsiaTheme="minorEastAsia" w:hAnsi="Times New Roman" w:cs="Times New Roman"/>
          <w:noProof/>
          <w:color w:val="auto"/>
          <w:sz w:val="24"/>
          <w:szCs w:val="24"/>
          <w:lang w:val="en-US" w:eastAsia="en-US"/>
        </w:rPr>
      </w:pPr>
      <w:hyperlink w:anchor="_Toc90936673" w:history="1">
        <w:r w:rsidR="00131C77" w:rsidRPr="00131C77">
          <w:rPr>
            <w:rStyle w:val="Hipervnculo"/>
            <w:rFonts w:ascii="Times New Roman" w:hAnsi="Times New Roman" w:cs="Times New Roman"/>
            <w:noProof/>
            <w:sz w:val="24"/>
            <w:szCs w:val="24"/>
          </w:rPr>
          <w:t>Plan Anual de Compras y Contrataciones (PACC)</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_Toc90936673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208</w:t>
        </w:r>
        <w:r w:rsidR="00131C77" w:rsidRPr="00131C77">
          <w:rPr>
            <w:rFonts w:ascii="Times New Roman" w:hAnsi="Times New Roman" w:cs="Times New Roman"/>
            <w:noProof/>
            <w:webHidden/>
            <w:sz w:val="24"/>
            <w:szCs w:val="24"/>
          </w:rPr>
          <w:fldChar w:fldCharType="end"/>
        </w:r>
      </w:hyperlink>
    </w:p>
    <w:p w:rsidR="00131C77" w:rsidRDefault="00DA4FB5">
      <w:pPr>
        <w:pStyle w:val="TDC3"/>
        <w:tabs>
          <w:tab w:val="right" w:pos="7912"/>
        </w:tabs>
        <w:rPr>
          <w:rFonts w:asciiTheme="minorHAnsi" w:eastAsiaTheme="minorEastAsia" w:hAnsiTheme="minorHAnsi" w:cstheme="minorBidi"/>
          <w:noProof/>
          <w:color w:val="auto"/>
          <w:sz w:val="22"/>
          <w:szCs w:val="22"/>
          <w:lang w:val="en-US" w:eastAsia="en-US"/>
        </w:rPr>
      </w:pPr>
      <w:hyperlink w:anchor="_Toc90936674" w:history="1">
        <w:r w:rsidR="00131C77" w:rsidRPr="00131C77">
          <w:rPr>
            <w:rStyle w:val="Hipervnculo"/>
            <w:rFonts w:ascii="Times New Roman" w:hAnsi="Times New Roman" w:cs="Times New Roman"/>
            <w:noProof/>
            <w:sz w:val="24"/>
            <w:szCs w:val="24"/>
          </w:rPr>
          <w:t>Resoluciones del Consejo Directivo</w:t>
        </w:r>
        <w:r w:rsidR="00131C77" w:rsidRPr="00131C77">
          <w:rPr>
            <w:rFonts w:ascii="Times New Roman" w:hAnsi="Times New Roman" w:cs="Times New Roman"/>
            <w:noProof/>
            <w:webHidden/>
            <w:sz w:val="24"/>
            <w:szCs w:val="24"/>
          </w:rPr>
          <w:tab/>
        </w:r>
        <w:r w:rsidR="00131C77" w:rsidRPr="00131C77">
          <w:rPr>
            <w:rFonts w:ascii="Times New Roman" w:hAnsi="Times New Roman" w:cs="Times New Roman"/>
            <w:noProof/>
            <w:webHidden/>
            <w:sz w:val="24"/>
            <w:szCs w:val="24"/>
          </w:rPr>
          <w:fldChar w:fldCharType="begin"/>
        </w:r>
        <w:r w:rsidR="00131C77" w:rsidRPr="00131C77">
          <w:rPr>
            <w:rFonts w:ascii="Times New Roman" w:hAnsi="Times New Roman" w:cs="Times New Roman"/>
            <w:noProof/>
            <w:webHidden/>
            <w:sz w:val="24"/>
            <w:szCs w:val="24"/>
          </w:rPr>
          <w:instrText xml:space="preserve"> PAGEREF _Toc90936674 \h </w:instrText>
        </w:r>
        <w:r w:rsidR="00131C77" w:rsidRPr="00131C77">
          <w:rPr>
            <w:rFonts w:ascii="Times New Roman" w:hAnsi="Times New Roman" w:cs="Times New Roman"/>
            <w:noProof/>
            <w:webHidden/>
            <w:sz w:val="24"/>
            <w:szCs w:val="24"/>
          </w:rPr>
        </w:r>
        <w:r w:rsidR="00131C77" w:rsidRPr="00131C77">
          <w:rPr>
            <w:rFonts w:ascii="Times New Roman" w:hAnsi="Times New Roman" w:cs="Times New Roman"/>
            <w:noProof/>
            <w:webHidden/>
            <w:sz w:val="24"/>
            <w:szCs w:val="24"/>
          </w:rPr>
          <w:fldChar w:fldCharType="separate"/>
        </w:r>
        <w:r w:rsidR="00C90852">
          <w:rPr>
            <w:rFonts w:ascii="Times New Roman" w:hAnsi="Times New Roman" w:cs="Times New Roman"/>
            <w:noProof/>
            <w:webHidden/>
            <w:sz w:val="24"/>
            <w:szCs w:val="24"/>
          </w:rPr>
          <w:t>210</w:t>
        </w:r>
        <w:r w:rsidR="00131C77" w:rsidRPr="00131C77">
          <w:rPr>
            <w:rFonts w:ascii="Times New Roman" w:hAnsi="Times New Roman" w:cs="Times New Roman"/>
            <w:noProof/>
            <w:webHidden/>
            <w:sz w:val="24"/>
            <w:szCs w:val="24"/>
          </w:rPr>
          <w:fldChar w:fldCharType="end"/>
        </w:r>
      </w:hyperlink>
    </w:p>
    <w:p w:rsidR="00FA1393" w:rsidRPr="00652769" w:rsidRDefault="004F1E40" w:rsidP="00A3748B">
      <w:pPr>
        <w:spacing w:line="240" w:lineRule="auto"/>
        <w:rPr>
          <w:b/>
          <w:bCs/>
          <w:szCs w:val="24"/>
        </w:rPr>
      </w:pPr>
      <w:r w:rsidRPr="00652769">
        <w:rPr>
          <w:szCs w:val="24"/>
        </w:rPr>
        <w:fldChar w:fldCharType="end"/>
      </w:r>
    </w:p>
    <w:p w:rsidR="006F1C35" w:rsidRPr="001B7C9C" w:rsidRDefault="006F1C35">
      <w:pPr>
        <w:rPr>
          <w:b/>
          <w:bCs/>
        </w:rPr>
      </w:pPr>
    </w:p>
    <w:p w:rsidR="000437CA" w:rsidRPr="001B7C9C" w:rsidRDefault="000437CA" w:rsidP="009662DE"/>
    <w:p w:rsidR="009662DE" w:rsidRPr="003A47C9" w:rsidRDefault="009662DE" w:rsidP="004C567E">
      <w:pPr>
        <w:pStyle w:val="Textonotasalpie"/>
        <w:rPr>
          <w:rFonts w:ascii="Times New Roman" w:hAnsi="Times New Roman"/>
        </w:rPr>
      </w:pPr>
    </w:p>
    <w:p w:rsidR="009662DE" w:rsidRDefault="009662DE" w:rsidP="009662DE"/>
    <w:p w:rsidR="00B3628C" w:rsidRDefault="00B3628C" w:rsidP="009662DE"/>
    <w:p w:rsidR="00B3628C" w:rsidRDefault="00B3628C" w:rsidP="009662DE"/>
    <w:p w:rsidR="00B3628C" w:rsidRDefault="00B3628C" w:rsidP="009662DE"/>
    <w:p w:rsidR="00B3628C" w:rsidRDefault="00B3628C" w:rsidP="009662DE"/>
    <w:p w:rsidR="00B3628C" w:rsidRPr="003A47C9" w:rsidRDefault="00B3628C" w:rsidP="009662DE"/>
    <w:p w:rsidR="009662DE" w:rsidRPr="003A47C9" w:rsidRDefault="009662DE" w:rsidP="009662DE"/>
    <w:p w:rsidR="001C30D5" w:rsidRPr="003A47C9" w:rsidRDefault="001C30D5" w:rsidP="009662DE"/>
    <w:p w:rsidR="00A3761D" w:rsidRDefault="00A3761D" w:rsidP="00C96273">
      <w:pPr>
        <w:rPr>
          <w:spacing w:val="20"/>
          <w:sz w:val="28"/>
        </w:rPr>
      </w:pPr>
    </w:p>
    <w:p w:rsidR="00C96273" w:rsidRPr="002B3E80" w:rsidRDefault="00C96273" w:rsidP="00A17C7C">
      <w:pPr>
        <w:pStyle w:val="Ttulo1"/>
        <w:numPr>
          <w:ilvl w:val="0"/>
          <w:numId w:val="25"/>
        </w:numPr>
        <w:ind w:left="90"/>
        <w:rPr>
          <w:sz w:val="28"/>
        </w:rPr>
      </w:pPr>
      <w:bookmarkStart w:id="2" w:name="_Toc90936633"/>
      <w:r w:rsidRPr="002B3E80">
        <w:rPr>
          <w:color w:val="767171"/>
          <w:sz w:val="28"/>
        </w:rPr>
        <w:lastRenderedPageBreak/>
        <w:t>RESUMEN EJECUTIVO</w:t>
      </w:r>
      <w:bookmarkEnd w:id="2"/>
    </w:p>
    <w:p w:rsidR="00C96273" w:rsidRPr="006F0C62" w:rsidRDefault="00C96273" w:rsidP="002B3E80">
      <w:r w:rsidRPr="006F0C62">
        <w:rPr>
          <w:noProof/>
          <w:lang w:val="en-US" w:eastAsia="en-US"/>
        </w:rPr>
        <mc:AlternateContent>
          <mc:Choice Requires="wps">
            <w:drawing>
              <wp:anchor distT="0" distB="0" distL="114300" distR="114300" simplePos="0" relativeHeight="251675648" behindDoc="0" locked="1" layoutInCell="1" allowOverlap="1" wp14:anchorId="09BD46E9" wp14:editId="3D560BF9">
                <wp:simplePos x="0" y="0"/>
                <wp:positionH relativeFrom="margin">
                  <wp:posOffset>2280285</wp:posOffset>
                </wp:positionH>
                <wp:positionV relativeFrom="paragraph">
                  <wp:posOffset>15875</wp:posOffset>
                </wp:positionV>
                <wp:extent cx="463550" cy="0"/>
                <wp:effectExtent l="22860" t="20320" r="18415" b="17780"/>
                <wp:wrapNone/>
                <wp:docPr id="2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951DA" id="Conector recto 4"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RDLA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" strokecolor="#ee2a24" strokeweight="2.25pt">
                <v:stroke joinstyle="miter"/>
                <w10:wrap anchorx="margin"/>
                <w10:anchorlock/>
              </v:line>
            </w:pict>
          </mc:Fallback>
        </mc:AlternateContent>
      </w:r>
    </w:p>
    <w:p w:rsidR="00C96273" w:rsidRPr="006F0C62" w:rsidRDefault="00E715BA" w:rsidP="002B3E80">
      <w:pPr>
        <w:jc w:val="center"/>
        <w:rPr>
          <w:spacing w:val="20"/>
          <w:szCs w:val="24"/>
        </w:rPr>
      </w:pPr>
      <w:r>
        <w:rPr>
          <w:spacing w:val="20"/>
          <w:szCs w:val="24"/>
        </w:rPr>
        <w:t>Memoria Institucional 2021</w:t>
      </w:r>
    </w:p>
    <w:p w:rsidR="00C96273" w:rsidRPr="00447727" w:rsidRDefault="00C96273" w:rsidP="002B3E80">
      <w:pPr>
        <w:spacing w:line="360" w:lineRule="auto"/>
        <w:rPr>
          <w:spacing w:val="20"/>
          <w:sz w:val="16"/>
        </w:rPr>
      </w:pPr>
    </w:p>
    <w:p w:rsidR="00487FE6" w:rsidRPr="00557575" w:rsidRDefault="00487FE6" w:rsidP="002B3E80">
      <w:pPr>
        <w:spacing w:line="360" w:lineRule="auto"/>
      </w:pPr>
      <w:r w:rsidRPr="00557575">
        <w:t xml:space="preserve">El Instituto Dominicano de las Telecomunicaciones (INDOTEL), órgano regulador de las telecomunicaciones en la República Dominicana en el ejercicio de las facultades que les confiere la Ley General de Telecomunicaciones, Núm. 153-98, presenta un resumen ejecutivo de su accionar durante el año 2021, en el cual se plasman las principales actividades que se desarrollaron para el cumplimiento de los compromisos asumidos en los instrumentos de planificación y presupuesto, </w:t>
      </w:r>
      <w:r w:rsidR="00CB2040">
        <w:t>alineados</w:t>
      </w:r>
      <w:r w:rsidRPr="00557575">
        <w:t xml:space="preserve"> </w:t>
      </w:r>
      <w:r w:rsidR="00CB2040">
        <w:t>a</w:t>
      </w:r>
      <w:r w:rsidRPr="00557575">
        <w:t xml:space="preserve"> la Estrategia Nacional de Desarrollo (END</w:t>
      </w:r>
      <w:r w:rsidR="00CB2040">
        <w:t>) 2030</w:t>
      </w:r>
      <w:r w:rsidRPr="00557575">
        <w:t>, el Plan Nacional Plurianual del Sector Público (PNPSP), los Objetivos de Desarrollo Sostenible (ODS), el Plan Estratégico Institucional (PEI)</w:t>
      </w:r>
      <w:r w:rsidR="00CB2040">
        <w:t>, el Plan Operativo Anual (POA)</w:t>
      </w:r>
      <w:r w:rsidRPr="00557575">
        <w:t xml:space="preserve"> y conforme a su misión de garantizar la oferta y acceso universal de los servicios de telecomunicaciones, favoreciendo los derechos de los usuarios, mediante el desarrollo y regulación del sector y la firma digital.</w:t>
      </w:r>
    </w:p>
    <w:p w:rsidR="00487FE6" w:rsidRPr="00557575" w:rsidRDefault="00487FE6" w:rsidP="002B3E80">
      <w:pPr>
        <w:spacing w:line="360" w:lineRule="auto"/>
      </w:pPr>
      <w:r w:rsidRPr="00557575">
        <w:t>La Máxima Autoridad del INDOTEL junto con las direcciones que tienen la obligación de transparentar su accionar, han asumido como suyo el compromiso del Presidente de la República, de hacer un ejercicio ético y transparente  en la</w:t>
      </w:r>
      <w:r w:rsidR="0008209D">
        <w:t xml:space="preserve"> función pública, reflejándose </w:t>
      </w:r>
      <w:r w:rsidRPr="00557575">
        <w:t xml:space="preserve">en la obtención de </w:t>
      </w:r>
      <w:r w:rsidR="0008209D">
        <w:t>una calificación promedio de un</w:t>
      </w:r>
      <w:r w:rsidRPr="00557575">
        <w:t xml:space="preserve"> </w:t>
      </w:r>
      <w:r w:rsidR="0008209D">
        <w:t>99.44%</w:t>
      </w:r>
      <w:r w:rsidRPr="00557575">
        <w:t xml:space="preserve"> en las evaluaciones </w:t>
      </w:r>
      <w:r w:rsidR="00570E33">
        <w:t>realizadas</w:t>
      </w:r>
      <w:r w:rsidRPr="00557575">
        <w:t xml:space="preserve"> por</w:t>
      </w:r>
      <w:r w:rsidR="0008209D">
        <w:t xml:space="preserve"> la DIGEIG en el periodo enero – julio de 2021</w:t>
      </w:r>
      <w:r w:rsidRPr="00557575">
        <w:t>.</w:t>
      </w:r>
    </w:p>
    <w:p w:rsidR="00487FE6" w:rsidRDefault="00487FE6" w:rsidP="002B3E80">
      <w:pPr>
        <w:spacing w:line="360" w:lineRule="auto"/>
        <w:rPr>
          <w:rFonts w:eastAsia="Times New Roman"/>
          <w:bdr w:val="none" w:sz="0" w:space="0" w:color="auto" w:frame="1"/>
        </w:rPr>
      </w:pPr>
      <w:r w:rsidRPr="00557575">
        <w:rPr>
          <w:rFonts w:eastAsia="Times New Roman"/>
          <w:bdr w:val="none" w:sz="0" w:space="0" w:color="auto" w:frame="1"/>
        </w:rPr>
        <w:t>A fin de cumplir con los mandatos establecidos por</w:t>
      </w:r>
      <w:r w:rsidR="00644B03">
        <w:rPr>
          <w:rFonts w:eastAsia="Times New Roman"/>
          <w:bdr w:val="none" w:sz="0" w:space="0" w:color="auto" w:frame="1"/>
        </w:rPr>
        <w:t xml:space="preserve"> el</w:t>
      </w:r>
      <w:r w:rsidRPr="00557575">
        <w:rPr>
          <w:rFonts w:eastAsia="Times New Roman"/>
          <w:bdr w:val="none" w:sz="0" w:space="0" w:color="auto" w:frame="1"/>
        </w:rPr>
        <w:t xml:space="preserve"> Decreto</w:t>
      </w:r>
      <w:r w:rsidR="00644B03">
        <w:rPr>
          <w:rFonts w:eastAsia="Times New Roman"/>
          <w:bdr w:val="none" w:sz="0" w:space="0" w:color="auto" w:frame="1"/>
        </w:rPr>
        <w:t xml:space="preserve"> Núm.</w:t>
      </w:r>
      <w:r w:rsidRPr="00557575">
        <w:rPr>
          <w:rFonts w:eastAsia="Times New Roman"/>
          <w:bdr w:val="none" w:sz="0" w:space="0" w:color="auto" w:frame="1"/>
        </w:rPr>
        <w:t xml:space="preserve"> 539-20, de fecha 7 de octubre de</w:t>
      </w:r>
      <w:r w:rsidR="00644B03">
        <w:rPr>
          <w:rFonts w:eastAsia="Times New Roman"/>
          <w:bdr w:val="none" w:sz="0" w:space="0" w:color="auto" w:frame="1"/>
        </w:rPr>
        <w:t xml:space="preserve"> </w:t>
      </w:r>
      <w:r w:rsidRPr="00557575">
        <w:rPr>
          <w:rFonts w:eastAsia="Times New Roman"/>
          <w:bdr w:val="none" w:sz="0" w:space="0" w:color="auto" w:frame="1"/>
        </w:rPr>
        <w:t xml:space="preserve">2020, que declara de alto interés nacional el derecho esencial de acceso universal a Internet de Banda Ancha de última generación y el uso productivo de las Tecnologías de la Información y la Comunicación (TIC), el Consejo Directivo del INDOTEL dicta la Resolución Núm. 005-2021 “Que Aprueba el Pliego de condiciones, Designa el Comité Evaluador y Convoca a la </w:t>
      </w:r>
      <w:r w:rsidRPr="00557575">
        <w:rPr>
          <w:rFonts w:eastAsia="Times New Roman"/>
          <w:bdr w:val="none" w:sz="0" w:space="0" w:color="auto" w:frame="1"/>
        </w:rPr>
        <w:lastRenderedPageBreak/>
        <w:t>Licitación Pública Internacional INDOTEL/LPI-001- 2021, para el “Otorgamiento de concesiones y las licencias vinculadas para la prestación de servicios públicos portador y finales de telefonía y acceso a Internet, a través de la explotación de frecuencias radioeléctricas dentro de las bandas de 698-806 MHz y 3300-3600 MHz en todo el territorio nacional”</w:t>
      </w:r>
      <w:r w:rsidR="000614BF" w:rsidRPr="000614BF">
        <w:rPr>
          <w:rFonts w:eastAsia="Times New Roman"/>
          <w:bdr w:val="none" w:sz="0" w:space="0" w:color="auto" w:frame="1"/>
        </w:rPr>
        <w:t>.</w:t>
      </w:r>
    </w:p>
    <w:p w:rsidR="000614BF" w:rsidRDefault="000614BF" w:rsidP="000614BF">
      <w:pPr>
        <w:spacing w:after="0" w:line="360" w:lineRule="auto"/>
        <w:rPr>
          <w:rFonts w:eastAsiaTheme="minorHAnsi"/>
          <w:szCs w:val="24"/>
          <w:lang w:val="es-ES" w:eastAsia="en-US"/>
        </w:rPr>
      </w:pPr>
      <w:r w:rsidRPr="00936564">
        <w:rPr>
          <w:rFonts w:eastAsiaTheme="minorHAnsi"/>
          <w:szCs w:val="24"/>
          <w:lang w:val="es-ES" w:eastAsia="en-US"/>
        </w:rPr>
        <w:t xml:space="preserve">Como resultado de la referida Licitación, en fecha 28 de octubre de 2021 el Consejo Directivo del INDOTEL, mediante la Resolución Núm. 115-2021, declaró a las concesionarias: Compañía Dominicana de Teléfonos, S.A. (CLARO) adjudicataria de un total de 70 MHz en el segmento de 3300-3700 MHz y </w:t>
      </w:r>
      <w:proofErr w:type="spellStart"/>
      <w:r w:rsidRPr="00936564">
        <w:rPr>
          <w:rFonts w:eastAsiaTheme="minorHAnsi"/>
          <w:szCs w:val="24"/>
          <w:lang w:val="es-ES" w:eastAsia="en-US"/>
        </w:rPr>
        <w:t>Altice</w:t>
      </w:r>
      <w:proofErr w:type="spellEnd"/>
      <w:r w:rsidRPr="00936564">
        <w:rPr>
          <w:rFonts w:eastAsiaTheme="minorHAnsi"/>
          <w:szCs w:val="24"/>
          <w:lang w:val="es-ES" w:eastAsia="en-US"/>
        </w:rPr>
        <w:t>, S.A. un total de 70 MHz en el segmento de 3400-3470 MHz, para la prestación de servicios públicos de portadores y fin</w:t>
      </w:r>
      <w:r>
        <w:rPr>
          <w:rFonts w:eastAsiaTheme="minorHAnsi"/>
          <w:szCs w:val="24"/>
          <w:lang w:val="es-ES" w:eastAsia="en-US"/>
        </w:rPr>
        <w:t xml:space="preserve">ales, tanto fijos como móviles. </w:t>
      </w:r>
    </w:p>
    <w:p w:rsidR="00580BFE" w:rsidRPr="00936564" w:rsidRDefault="00580BFE" w:rsidP="000C2BA2">
      <w:pPr>
        <w:pStyle w:val="Textonotasalpie"/>
        <w:rPr>
          <w:lang w:val="es-ES" w:eastAsia="en-US"/>
        </w:rPr>
      </w:pPr>
    </w:p>
    <w:p w:rsidR="000614BF" w:rsidRPr="00936564" w:rsidRDefault="000614BF" w:rsidP="000614BF">
      <w:pPr>
        <w:spacing w:line="360" w:lineRule="auto"/>
        <w:ind w:left="-5" w:right="-9"/>
        <w:rPr>
          <w:rFonts w:eastAsiaTheme="minorHAnsi"/>
          <w:szCs w:val="24"/>
          <w:lang w:val="es-ES" w:eastAsia="en-US"/>
        </w:rPr>
      </w:pPr>
      <w:r w:rsidRPr="00936564">
        <w:rPr>
          <w:rFonts w:eastAsiaTheme="minorHAnsi"/>
          <w:szCs w:val="24"/>
          <w:lang w:val="es-ES" w:eastAsia="en-US"/>
        </w:rPr>
        <w:t>Este acuerdo por uso de las bandas representará para el</w:t>
      </w:r>
      <w:r w:rsidRPr="00936564">
        <w:rPr>
          <w:rFonts w:eastAsiaTheme="minorHAnsi"/>
          <w:color w:val="FF0000"/>
          <w:szCs w:val="24"/>
          <w:lang w:val="es-ES" w:eastAsia="en-US"/>
        </w:rPr>
        <w:t xml:space="preserve"> </w:t>
      </w:r>
      <w:r w:rsidRPr="00936564">
        <w:rPr>
          <w:rFonts w:eastAsiaTheme="minorHAnsi"/>
          <w:szCs w:val="24"/>
          <w:lang w:val="es-ES" w:eastAsia="en-US"/>
        </w:rPr>
        <w:t>Estado Dominicano unos ingresos totales de Setenta y Tres Millones Setecientos Ochenta y Nueve Mil Ciento Veintiocho Dólares de los Estados Unidos de Norteamérica</w:t>
      </w:r>
      <w:r>
        <w:rPr>
          <w:rFonts w:eastAsiaTheme="minorHAnsi"/>
          <w:szCs w:val="24"/>
          <w:lang w:val="es-ES" w:eastAsia="en-US"/>
        </w:rPr>
        <w:t xml:space="preserve"> con 00/100 (US$73,789,128.00)</w:t>
      </w:r>
      <w:r w:rsidRPr="00936564">
        <w:rPr>
          <w:rFonts w:eastAsiaTheme="minorHAnsi"/>
          <w:szCs w:val="24"/>
          <w:lang w:val="es-ES" w:eastAsia="en-US"/>
        </w:rPr>
        <w:t>.</w:t>
      </w:r>
    </w:p>
    <w:p w:rsidR="00580BFE" w:rsidRDefault="00570E33" w:rsidP="002B3E80">
      <w:pPr>
        <w:spacing w:line="360" w:lineRule="auto"/>
        <w:rPr>
          <w:rFonts w:eastAsiaTheme="minorHAnsi"/>
          <w:szCs w:val="24"/>
          <w:lang w:val="es-ES" w:eastAsia="en-US"/>
        </w:rPr>
      </w:pPr>
      <w:r>
        <w:rPr>
          <w:rFonts w:eastAsiaTheme="minorHAnsi"/>
          <w:szCs w:val="24"/>
          <w:lang w:val="es-ES" w:eastAsia="en-US"/>
        </w:rPr>
        <w:t xml:space="preserve">El </w:t>
      </w:r>
      <w:r w:rsidR="00580BFE" w:rsidRPr="000A5B99">
        <w:rPr>
          <w:rFonts w:eastAsiaTheme="minorHAnsi"/>
          <w:szCs w:val="24"/>
          <w:lang w:val="es-ES" w:eastAsia="en-US"/>
        </w:rPr>
        <w:t xml:space="preserve">INDOTEL fue premiado en fecha 27 de abril de 2021 como “Regulador Innovador del Año” durante el evento “5G </w:t>
      </w:r>
      <w:proofErr w:type="spellStart"/>
      <w:r w:rsidR="00580BFE" w:rsidRPr="000A5B99">
        <w:rPr>
          <w:rFonts w:eastAsiaTheme="minorHAnsi"/>
          <w:szCs w:val="24"/>
          <w:lang w:val="es-ES" w:eastAsia="en-US"/>
        </w:rPr>
        <w:t>Latin</w:t>
      </w:r>
      <w:proofErr w:type="spellEnd"/>
      <w:r w:rsidR="00580BFE" w:rsidRPr="000A5B99">
        <w:rPr>
          <w:rFonts w:eastAsiaTheme="minorHAnsi"/>
          <w:szCs w:val="24"/>
          <w:lang w:val="es-ES" w:eastAsia="en-US"/>
        </w:rPr>
        <w:t xml:space="preserve"> </w:t>
      </w:r>
      <w:proofErr w:type="spellStart"/>
      <w:r w:rsidR="00580BFE" w:rsidRPr="000A5B99">
        <w:rPr>
          <w:rFonts w:eastAsiaTheme="minorHAnsi"/>
          <w:szCs w:val="24"/>
          <w:lang w:val="es-ES" w:eastAsia="en-US"/>
        </w:rPr>
        <w:t>America</w:t>
      </w:r>
      <w:proofErr w:type="spellEnd"/>
      <w:r w:rsidR="00580BFE" w:rsidRPr="000A5B99">
        <w:rPr>
          <w:rFonts w:eastAsiaTheme="minorHAnsi"/>
          <w:szCs w:val="24"/>
          <w:lang w:val="es-ES" w:eastAsia="en-US"/>
        </w:rPr>
        <w:t xml:space="preserve">: Digital </w:t>
      </w:r>
      <w:proofErr w:type="spellStart"/>
      <w:r w:rsidR="00580BFE" w:rsidRPr="000A5B99">
        <w:rPr>
          <w:rFonts w:eastAsiaTheme="minorHAnsi"/>
          <w:szCs w:val="24"/>
          <w:lang w:val="es-ES" w:eastAsia="en-US"/>
        </w:rPr>
        <w:t>Symposium</w:t>
      </w:r>
      <w:proofErr w:type="spellEnd"/>
      <w:r w:rsidR="00580BFE" w:rsidRPr="000A5B99">
        <w:rPr>
          <w:rFonts w:eastAsiaTheme="minorHAnsi"/>
          <w:szCs w:val="24"/>
          <w:lang w:val="es-ES" w:eastAsia="en-US"/>
        </w:rPr>
        <w:t xml:space="preserve">” por el </w:t>
      </w:r>
      <w:r w:rsidR="00580BFE">
        <w:rPr>
          <w:rFonts w:eastAsiaTheme="minorHAnsi"/>
          <w:szCs w:val="24"/>
          <w:lang w:val="es-ES" w:eastAsia="en-US"/>
        </w:rPr>
        <w:t xml:space="preserve">citado </w:t>
      </w:r>
      <w:r w:rsidR="00580BFE" w:rsidRPr="000A5B99">
        <w:rPr>
          <w:rFonts w:eastAsiaTheme="minorHAnsi"/>
          <w:szCs w:val="24"/>
          <w:lang w:val="es-ES" w:eastAsia="en-US"/>
        </w:rPr>
        <w:t>proyecto de licitación</w:t>
      </w:r>
      <w:r w:rsidR="00580BFE">
        <w:rPr>
          <w:rFonts w:eastAsiaTheme="minorHAnsi"/>
          <w:szCs w:val="24"/>
          <w:lang w:val="es-ES" w:eastAsia="en-US"/>
        </w:rPr>
        <w:t>.</w:t>
      </w:r>
      <w:r w:rsidR="00580BFE" w:rsidRPr="000A5B99">
        <w:rPr>
          <w:rFonts w:eastAsiaTheme="minorHAnsi"/>
          <w:szCs w:val="24"/>
          <w:lang w:val="es-ES" w:eastAsia="en-US"/>
        </w:rPr>
        <w:t xml:space="preserve"> </w:t>
      </w:r>
    </w:p>
    <w:p w:rsidR="00487FE6" w:rsidRPr="00557575" w:rsidRDefault="00580BFE" w:rsidP="002B3E80">
      <w:pPr>
        <w:spacing w:line="360" w:lineRule="auto"/>
        <w:rPr>
          <w:rFonts w:eastAsia="Times New Roman"/>
        </w:rPr>
      </w:pPr>
      <w:r w:rsidRPr="00580BFE">
        <w:rPr>
          <w:rFonts w:eastAsia="Times New Roman"/>
        </w:rPr>
        <w:t>E</w:t>
      </w:r>
      <w:r w:rsidR="00487FE6" w:rsidRPr="00580BFE">
        <w:rPr>
          <w:rFonts w:eastAsia="Times New Roman"/>
        </w:rPr>
        <w:t>l</w:t>
      </w:r>
      <w:r w:rsidR="00487FE6" w:rsidRPr="00557575">
        <w:rPr>
          <w:rFonts w:eastAsia="Times New Roman"/>
        </w:rPr>
        <w:t xml:space="preserve"> Consejo Directivo mediante las Resoluciones </w:t>
      </w:r>
      <w:r w:rsidR="00644B03">
        <w:rPr>
          <w:rFonts w:eastAsia="Times New Roman"/>
        </w:rPr>
        <w:t>N</w:t>
      </w:r>
      <w:r w:rsidR="00D22EDA">
        <w:rPr>
          <w:rFonts w:eastAsia="Times New Roman"/>
        </w:rPr>
        <w:t>úmeros 121</w:t>
      </w:r>
      <w:r w:rsidR="00487FE6" w:rsidRPr="00557575">
        <w:rPr>
          <w:rFonts w:eastAsia="Times New Roman"/>
        </w:rPr>
        <w:t xml:space="preserve">-2021 </w:t>
      </w:r>
      <w:r w:rsidR="00644B03">
        <w:rPr>
          <w:rFonts w:eastAsia="Times New Roman"/>
        </w:rPr>
        <w:t>y</w:t>
      </w:r>
      <w:r w:rsidR="00D22EDA">
        <w:rPr>
          <w:rFonts w:eastAsia="Times New Roman"/>
        </w:rPr>
        <w:t xml:space="preserve"> 122</w:t>
      </w:r>
      <w:r w:rsidR="00644B03">
        <w:rPr>
          <w:rFonts w:eastAsia="Times New Roman"/>
        </w:rPr>
        <w:t xml:space="preserve">-2021, </w:t>
      </w:r>
      <w:r w:rsidR="00D22EDA">
        <w:rPr>
          <w:rFonts w:eastAsia="Times New Roman"/>
        </w:rPr>
        <w:t>aprob</w:t>
      </w:r>
      <w:r w:rsidR="00487FE6" w:rsidRPr="00557575">
        <w:rPr>
          <w:rFonts w:eastAsia="Times New Roman"/>
        </w:rPr>
        <w:t>ó el </w:t>
      </w:r>
      <w:r w:rsidR="00487FE6" w:rsidRPr="00557575">
        <w:rPr>
          <w:rFonts w:eastAsia="Times New Roman"/>
          <w:bdr w:val="none" w:sz="0" w:space="0" w:color="auto" w:frame="1"/>
        </w:rPr>
        <w:t xml:space="preserve">Reglamento del Servicio de Televisión Terrestre Digital en la República Dominicana y el Plan de Transición a la Televisión Terrestre Digital en la República Dominicana, respectivamente. </w:t>
      </w:r>
      <w:r w:rsidR="00B77501">
        <w:rPr>
          <w:rFonts w:eastAsia="Times New Roman"/>
          <w:bdr w:val="none" w:sz="0" w:space="0" w:color="auto" w:frame="1"/>
        </w:rPr>
        <w:t>E</w:t>
      </w:r>
      <w:r w:rsidR="00487FE6" w:rsidRPr="00557575">
        <w:rPr>
          <w:rFonts w:eastAsia="Times New Roman"/>
          <w:bdr w:val="none" w:sz="0" w:space="0" w:color="auto" w:frame="1"/>
        </w:rPr>
        <w:t xml:space="preserve">l referido </w:t>
      </w:r>
      <w:r w:rsidR="00570E33">
        <w:rPr>
          <w:rFonts w:eastAsia="Times New Roman"/>
          <w:bdr w:val="none" w:sz="0" w:space="0" w:color="auto" w:frame="1"/>
        </w:rPr>
        <w:t>R</w:t>
      </w:r>
      <w:r w:rsidR="00487FE6" w:rsidRPr="00557575">
        <w:rPr>
          <w:rFonts w:eastAsia="Times New Roman"/>
          <w:bdr w:val="none" w:sz="0" w:space="0" w:color="auto" w:frame="1"/>
        </w:rPr>
        <w:t xml:space="preserve">eglamento tiene por objetivo establecer las disposiciones administrativas y técnicas que regulen la radiodifusión televisiva y la transición hacia la Televisión Terrestre Digital (TTD); junto a un </w:t>
      </w:r>
      <w:r w:rsidR="00570E33">
        <w:rPr>
          <w:rFonts w:eastAsia="Times New Roman"/>
          <w:bdr w:val="none" w:sz="0" w:space="0" w:color="auto" w:frame="1"/>
        </w:rPr>
        <w:t>P</w:t>
      </w:r>
      <w:r w:rsidR="00487FE6" w:rsidRPr="00557575">
        <w:rPr>
          <w:rFonts w:eastAsia="Times New Roman"/>
          <w:bdr w:val="none" w:sz="0" w:space="0" w:color="auto" w:frame="1"/>
        </w:rPr>
        <w:t xml:space="preserve">lan de </w:t>
      </w:r>
      <w:r w:rsidR="00570E33">
        <w:rPr>
          <w:rFonts w:eastAsia="Times New Roman"/>
          <w:bdr w:val="none" w:sz="0" w:space="0" w:color="auto" w:frame="1"/>
        </w:rPr>
        <w:t>T</w:t>
      </w:r>
      <w:r w:rsidR="00487FE6" w:rsidRPr="00557575">
        <w:rPr>
          <w:rFonts w:eastAsia="Times New Roman"/>
          <w:bdr w:val="none" w:sz="0" w:space="0" w:color="auto" w:frame="1"/>
        </w:rPr>
        <w:t xml:space="preserve">ransición </w:t>
      </w:r>
      <w:r w:rsidR="00B77501">
        <w:rPr>
          <w:rFonts w:eastAsia="Times New Roman"/>
          <w:bdr w:val="none" w:sz="0" w:space="0" w:color="auto" w:frame="1"/>
        </w:rPr>
        <w:t xml:space="preserve">cuya finalidad es </w:t>
      </w:r>
      <w:r w:rsidR="00487FE6" w:rsidRPr="00557575">
        <w:rPr>
          <w:rFonts w:eastAsia="Times New Roman"/>
          <w:bdr w:val="none" w:sz="0" w:space="0" w:color="auto" w:frame="1"/>
        </w:rPr>
        <w:t xml:space="preserve">establecer las condiciones y directrices a seguir por parte de las concesionarias del servicio de radiodifusión televisiva y que deberán tomar en consideración para la transición de la televisión analógica a la </w:t>
      </w:r>
      <w:r w:rsidR="00487FE6" w:rsidRPr="00557575">
        <w:rPr>
          <w:rFonts w:eastAsia="Times New Roman"/>
          <w:bdr w:val="none" w:sz="0" w:space="0" w:color="auto" w:frame="1"/>
        </w:rPr>
        <w:lastRenderedPageBreak/>
        <w:t>digital, así como definir el cronograma de implementación de la Televisión Terrestre Digital a fin de cumplir con los mandatos establecidos por Decreto, la Ley General de Telecomunicaciones, Núm. 153-98 y las reglamentaciones aplicables.</w:t>
      </w:r>
    </w:p>
    <w:p w:rsidR="00AF1EE9" w:rsidRDefault="00487FE6" w:rsidP="002B3E80">
      <w:pPr>
        <w:spacing w:line="360" w:lineRule="auto"/>
        <w:rPr>
          <w:rFonts w:eastAsia="Times New Roman"/>
          <w:bdr w:val="none" w:sz="0" w:space="0" w:color="auto" w:frame="1"/>
        </w:rPr>
      </w:pPr>
      <w:r w:rsidRPr="00557575">
        <w:rPr>
          <w:rFonts w:eastAsia="Times New Roman"/>
        </w:rPr>
        <w:t>En adición, INDOTEL inició </w:t>
      </w:r>
      <w:r w:rsidRPr="00557575">
        <w:rPr>
          <w:rFonts w:eastAsia="Times New Roman"/>
          <w:bdr w:val="none" w:sz="0" w:space="0" w:color="auto" w:frame="1"/>
        </w:rPr>
        <w:t>un proceso de consulta en aras de lograr una actualización y modernización de la Ley General de Telecomunicaciones – Evolución a una Ley de Tecnologías de la Información y las Comunicaciones (TIC). El objetivo principal de la puesta en consulta pública de este documento es la revisión, actualización y modernización de la Ley General de Telecomunicaciones, Núm. 153-98 para facilitar el despliegue y ampliación de las redes, impulsar condiciones de competencia más efectivas y el uso más eficiente del espectro radioeléctrico, que redunden en mejores ofertas para los usuarios, acompañadas de una adecuada protección de los datos de carácter personal y la privacidad de éstos y el fortalecimiento de las capacidades de regulación y control del INDOTEL para ordenar el funcionamiento del mercado e intervenir ante fallas en el mismo, de cara al cumplimiento de los Objetivos de Desarrollo Sostenible (ODS) y la Estrategia Nac</w:t>
      </w:r>
      <w:r w:rsidR="00AF1EE9">
        <w:rPr>
          <w:rFonts w:eastAsia="Times New Roman"/>
          <w:bdr w:val="none" w:sz="0" w:space="0" w:color="auto" w:frame="1"/>
        </w:rPr>
        <w:t>ional de Desarrollo (END) 2030</w:t>
      </w:r>
      <w:r w:rsidR="00570E33">
        <w:rPr>
          <w:rFonts w:eastAsia="Times New Roman"/>
          <w:bdr w:val="none" w:sz="0" w:space="0" w:color="auto" w:frame="1"/>
        </w:rPr>
        <w:t>.</w:t>
      </w:r>
    </w:p>
    <w:p w:rsidR="002E5C44" w:rsidRDefault="00487FE6" w:rsidP="002B3E80">
      <w:pPr>
        <w:spacing w:line="360" w:lineRule="auto"/>
        <w:rPr>
          <w:rFonts w:eastAsiaTheme="minorHAnsi"/>
          <w:lang w:eastAsia="en-US"/>
        </w:rPr>
      </w:pPr>
      <w:r w:rsidRPr="00557575">
        <w:rPr>
          <w:rFonts w:eastAsiaTheme="minorHAnsi"/>
          <w:lang w:eastAsia="en-US"/>
        </w:rPr>
        <w:t xml:space="preserve">Con la finalidad de </w:t>
      </w:r>
      <w:proofErr w:type="spellStart"/>
      <w:r w:rsidRPr="00557575">
        <w:rPr>
          <w:rFonts w:eastAsiaTheme="minorHAnsi"/>
          <w:lang w:eastAsia="en-US"/>
        </w:rPr>
        <w:t>eficientizar</w:t>
      </w:r>
      <w:proofErr w:type="spellEnd"/>
      <w:r w:rsidRPr="00557575">
        <w:rPr>
          <w:rFonts w:eastAsiaTheme="minorHAnsi"/>
          <w:lang w:eastAsia="en-US"/>
        </w:rPr>
        <w:t xml:space="preserve"> el uso del espectro radioeléctrico hemos incorporado las nuevas fórmulas al </w:t>
      </w:r>
      <w:r w:rsidR="00B77501">
        <w:rPr>
          <w:rFonts w:eastAsiaTheme="minorHAnsi"/>
          <w:lang w:eastAsia="en-US"/>
        </w:rPr>
        <w:t>S</w:t>
      </w:r>
      <w:r w:rsidRPr="00557575">
        <w:rPr>
          <w:rFonts w:eastAsiaTheme="minorHAnsi"/>
          <w:lang w:eastAsia="en-US"/>
        </w:rPr>
        <w:t xml:space="preserve">istema de </w:t>
      </w:r>
      <w:r w:rsidR="00B77501">
        <w:rPr>
          <w:rFonts w:eastAsiaTheme="minorHAnsi"/>
          <w:lang w:eastAsia="en-US"/>
        </w:rPr>
        <w:t>G</w:t>
      </w:r>
      <w:r w:rsidRPr="00557575">
        <w:rPr>
          <w:rFonts w:eastAsiaTheme="minorHAnsi"/>
          <w:lang w:eastAsia="en-US"/>
        </w:rPr>
        <w:t xml:space="preserve">estión del Espectro Radioeléctrico </w:t>
      </w:r>
      <w:r w:rsidR="00B77501">
        <w:rPr>
          <w:rFonts w:eastAsiaTheme="minorHAnsi"/>
          <w:lang w:eastAsia="en-US"/>
        </w:rPr>
        <w:t>(</w:t>
      </w:r>
      <w:r w:rsidRPr="00557575">
        <w:rPr>
          <w:rFonts w:eastAsiaTheme="minorHAnsi"/>
          <w:lang w:eastAsia="en-US"/>
        </w:rPr>
        <w:t>ASMS</w:t>
      </w:r>
      <w:r w:rsidR="00B77501">
        <w:rPr>
          <w:rFonts w:eastAsiaTheme="minorHAnsi"/>
          <w:lang w:eastAsia="en-US"/>
        </w:rPr>
        <w:t>)</w:t>
      </w:r>
      <w:r w:rsidRPr="00557575">
        <w:rPr>
          <w:rFonts w:eastAsiaTheme="minorHAnsi"/>
          <w:lang w:eastAsia="en-US"/>
        </w:rPr>
        <w:t>, permitiendo la emisión de los Derechos de Uso del Espectro Radioeléctrico por un monto de RD$321</w:t>
      </w:r>
      <w:proofErr w:type="gramStart"/>
      <w:r w:rsidRPr="00557575">
        <w:rPr>
          <w:rFonts w:eastAsiaTheme="minorHAnsi"/>
          <w:lang w:eastAsia="en-US"/>
        </w:rPr>
        <w:t>,341,918.30</w:t>
      </w:r>
      <w:proofErr w:type="gramEnd"/>
      <w:r w:rsidRPr="00557575">
        <w:rPr>
          <w:rFonts w:eastAsiaTheme="minorHAnsi"/>
          <w:lang w:eastAsia="en-US"/>
        </w:rPr>
        <w:t xml:space="preserve">. </w:t>
      </w:r>
    </w:p>
    <w:p w:rsidR="00385839" w:rsidRPr="00936564" w:rsidRDefault="00487FE6" w:rsidP="00385839">
      <w:pPr>
        <w:spacing w:after="0" w:line="360" w:lineRule="auto"/>
        <w:rPr>
          <w:rFonts w:eastAsiaTheme="minorHAnsi"/>
          <w:szCs w:val="24"/>
          <w:lang w:val="es-ES" w:eastAsia="en-US"/>
        </w:rPr>
      </w:pPr>
      <w:r w:rsidRPr="00557575">
        <w:rPr>
          <w:rFonts w:eastAsiaTheme="minorHAnsi"/>
          <w:lang w:eastAsia="en-US"/>
        </w:rPr>
        <w:t xml:space="preserve">Por otra parte, </w:t>
      </w:r>
      <w:r w:rsidR="00385839">
        <w:rPr>
          <w:rFonts w:eastAsiaTheme="minorHAnsi"/>
          <w:szCs w:val="24"/>
          <w:lang w:val="es-ES" w:eastAsia="en-US"/>
        </w:rPr>
        <w:t>e</w:t>
      </w:r>
      <w:r w:rsidR="00385839" w:rsidRPr="00936564">
        <w:rPr>
          <w:rFonts w:eastAsiaTheme="minorHAnsi"/>
          <w:szCs w:val="24"/>
          <w:lang w:val="es-ES" w:eastAsia="en-US"/>
        </w:rPr>
        <w:t>n fecha 22 de julio de 2021, el Consejo Directivo del INDOTEL mediante la Resolución Núm. 071-2021, aprobó el Plan Maestro de Uso del Espectro Radioeléctrico para la República Dominicana para los próximos cinco (5) años.</w:t>
      </w:r>
    </w:p>
    <w:p w:rsidR="00385839" w:rsidRPr="00936564" w:rsidRDefault="00385839" w:rsidP="00385839">
      <w:pPr>
        <w:spacing w:after="0" w:line="360" w:lineRule="auto"/>
        <w:rPr>
          <w:rFonts w:eastAsiaTheme="minorHAnsi"/>
          <w:szCs w:val="24"/>
          <w:lang w:val="es-ES" w:eastAsia="en-US"/>
        </w:rPr>
      </w:pPr>
    </w:p>
    <w:p w:rsidR="00487FE6" w:rsidRPr="00385839" w:rsidRDefault="00385839" w:rsidP="00385839">
      <w:pPr>
        <w:spacing w:after="0" w:line="360" w:lineRule="auto"/>
        <w:rPr>
          <w:rFonts w:eastAsiaTheme="minorHAnsi"/>
          <w:szCs w:val="24"/>
          <w:lang w:val="es-ES" w:eastAsia="en-US"/>
        </w:rPr>
      </w:pPr>
      <w:r w:rsidRPr="00936564">
        <w:rPr>
          <w:rFonts w:eastAsiaTheme="minorHAnsi"/>
          <w:szCs w:val="24"/>
          <w:lang w:val="es-ES" w:eastAsia="en-US"/>
        </w:rPr>
        <w:t>El propósito del Plan Maestro de Uso del Espectro Radioeléctrico (PMUER) es definir las acciones, metas y objetivos en relación con la gestión de espectro radioeléctrico a ser ejecutados por el INDOT</w:t>
      </w:r>
      <w:r>
        <w:rPr>
          <w:rFonts w:eastAsiaTheme="minorHAnsi"/>
          <w:szCs w:val="24"/>
          <w:lang w:val="es-ES" w:eastAsia="en-US"/>
        </w:rPr>
        <w:t>EL durante los próximos 5 años</w:t>
      </w:r>
      <w:r w:rsidR="00487FE6" w:rsidRPr="00557575">
        <w:rPr>
          <w:rFonts w:eastAsiaTheme="minorHAnsi"/>
          <w:lang w:eastAsia="en-US"/>
        </w:rPr>
        <w:t>.</w:t>
      </w:r>
    </w:p>
    <w:p w:rsidR="00487FE6" w:rsidRPr="00557575" w:rsidRDefault="002E5C44" w:rsidP="002B3E80">
      <w:pPr>
        <w:spacing w:line="360" w:lineRule="auto"/>
        <w:rPr>
          <w:rFonts w:eastAsiaTheme="minorHAnsi"/>
          <w:lang w:eastAsia="en-US"/>
        </w:rPr>
      </w:pPr>
      <w:r>
        <w:rPr>
          <w:rFonts w:eastAsiaTheme="minorHAnsi"/>
          <w:lang w:eastAsia="en-US"/>
        </w:rPr>
        <w:lastRenderedPageBreak/>
        <w:t>D</w:t>
      </w:r>
      <w:r w:rsidR="00487FE6" w:rsidRPr="00557575">
        <w:rPr>
          <w:rFonts w:eastAsiaTheme="minorHAnsi"/>
          <w:lang w:eastAsia="en-US"/>
        </w:rPr>
        <w:t xml:space="preserve">esde el mes de enero </w:t>
      </w:r>
      <w:r>
        <w:rPr>
          <w:rFonts w:eastAsiaTheme="minorHAnsi"/>
          <w:lang w:eastAsia="en-US"/>
        </w:rPr>
        <w:t xml:space="preserve">el INDOTEL ha </w:t>
      </w:r>
      <w:r w:rsidR="00487FE6" w:rsidRPr="00557575">
        <w:rPr>
          <w:rFonts w:eastAsiaTheme="minorHAnsi"/>
          <w:lang w:eastAsia="en-US"/>
        </w:rPr>
        <w:t>estado inmerso en el despeje de la banda 700 MHz debido a que servirá de plataforma para los servicios de quinta generación, comúnmente conocido como 5G en las telecomunicaciones móviles.</w:t>
      </w:r>
    </w:p>
    <w:p w:rsidR="00487FE6" w:rsidRPr="00557575" w:rsidRDefault="00487FE6" w:rsidP="002B3E80">
      <w:pPr>
        <w:spacing w:line="360" w:lineRule="auto"/>
        <w:rPr>
          <w:rFonts w:eastAsiaTheme="minorHAnsi"/>
          <w:lang w:eastAsia="en-US"/>
        </w:rPr>
      </w:pPr>
      <w:r w:rsidRPr="00557575">
        <w:rPr>
          <w:rFonts w:eastAsiaTheme="minorHAnsi"/>
          <w:lang w:eastAsia="en-US"/>
        </w:rPr>
        <w:t>En el mes de abril</w:t>
      </w:r>
      <w:r w:rsidR="002E5C44">
        <w:rPr>
          <w:rFonts w:eastAsiaTheme="minorHAnsi"/>
          <w:lang w:eastAsia="en-US"/>
        </w:rPr>
        <w:t>,</w:t>
      </w:r>
      <w:r w:rsidRPr="00557575">
        <w:rPr>
          <w:rFonts w:eastAsiaTheme="minorHAnsi"/>
          <w:lang w:eastAsia="en-US"/>
        </w:rPr>
        <w:t xml:space="preserve"> el Instituto Dominicano de las Telecomunicaciones (INDOTEL) y el Consejo Nacional de Telecomunicaciones de la República de Haití (CONATEL) firmaron un Memorando de Entendimiento, mediante el cual ambos reguladores se comprometen a trabajar juntos para resolver los problemas de interferencias de radiofrecuencias encontrados a lo largo de la frontera. En ese mismo tenor, </w:t>
      </w:r>
      <w:r w:rsidR="002E5C44">
        <w:rPr>
          <w:rFonts w:eastAsiaTheme="minorHAnsi"/>
          <w:lang w:eastAsia="en-US"/>
        </w:rPr>
        <w:t>se ha</w:t>
      </w:r>
      <w:r w:rsidRPr="00557575">
        <w:rPr>
          <w:rFonts w:eastAsiaTheme="minorHAnsi"/>
          <w:lang w:eastAsia="en-US"/>
        </w:rPr>
        <w:t xml:space="preserve"> trabajado en el reordenamiento de la Banda de Radiodifusión Sonora FM, en procura de resolver los problemas de interferencias que por años han afectado al sector radiodifusión sonora FM, identificando los conflictos que existen entre las diferentes estaciones, tales como: adyacencia e interferencias</w:t>
      </w:r>
      <w:r w:rsidR="002E5C44">
        <w:rPr>
          <w:rFonts w:eastAsiaTheme="minorHAnsi"/>
          <w:lang w:eastAsia="en-US"/>
        </w:rPr>
        <w:t>.</w:t>
      </w:r>
    </w:p>
    <w:p w:rsidR="00487FE6" w:rsidRPr="00557575" w:rsidRDefault="00102AC1" w:rsidP="002B3E80">
      <w:pPr>
        <w:spacing w:line="360" w:lineRule="auto"/>
      </w:pPr>
      <w:r w:rsidRPr="008779F5">
        <w:t>El año</w:t>
      </w:r>
      <w:r w:rsidR="00487FE6" w:rsidRPr="008779F5">
        <w:t xml:space="preserve"> 2021 ha sido muy activo para el INDOTEL en materia de Fiscalización. </w:t>
      </w:r>
      <w:r w:rsidR="00570E33">
        <w:t>E</w:t>
      </w:r>
      <w:r w:rsidR="00487FE6" w:rsidRPr="008779F5">
        <w:t>n el sector de radiodifusión sonora se han llevado a cab</w:t>
      </w:r>
      <w:r w:rsidR="006C674D">
        <w:t>o más de 200 fiscalizaciones, 28</w:t>
      </w:r>
      <w:r w:rsidR="00487FE6" w:rsidRPr="008779F5">
        <w:t xml:space="preserve"> de las cuales han sido clausuras a estaciones </w:t>
      </w:r>
      <w:r w:rsidR="003B2D68" w:rsidRPr="008779F5">
        <w:t>ilegales de frecuencia modulada</w:t>
      </w:r>
      <w:r w:rsidR="000F5C4F" w:rsidRPr="008779F5">
        <w:t>.</w:t>
      </w:r>
    </w:p>
    <w:p w:rsidR="00487FE6" w:rsidRDefault="003B2D68" w:rsidP="002B3E80">
      <w:pPr>
        <w:spacing w:line="360" w:lineRule="auto"/>
      </w:pPr>
      <w:r>
        <w:t>S</w:t>
      </w:r>
      <w:r w:rsidR="00487FE6" w:rsidRPr="00557575">
        <w:t xml:space="preserve">e han realizado más de </w:t>
      </w:r>
      <w:r w:rsidR="006C674D">
        <w:t>500</w:t>
      </w:r>
      <w:r w:rsidR="00487FE6" w:rsidRPr="00557575">
        <w:t xml:space="preserve"> comprobaciones de los mecanismos de activación de líneas móviles a las prestadoras de estos servicios pa</w:t>
      </w:r>
      <w:r>
        <w:t xml:space="preserve">ra velar por el cumplimiento a </w:t>
      </w:r>
      <w:r w:rsidR="00487FE6" w:rsidRPr="00557575">
        <w:t>l</w:t>
      </w:r>
      <w:r>
        <w:t>a</w:t>
      </w:r>
      <w:r w:rsidR="00487FE6" w:rsidRPr="00557575">
        <w:t xml:space="preserve"> </w:t>
      </w:r>
      <w:r>
        <w:t>Norma</w:t>
      </w:r>
      <w:r w:rsidR="00487FE6" w:rsidRPr="00557575">
        <w:t xml:space="preserve"> dictad</w:t>
      </w:r>
      <w:r>
        <w:t>a</w:t>
      </w:r>
      <w:r w:rsidR="00487FE6" w:rsidRPr="00557575">
        <w:t xml:space="preserve"> por la Resolución </w:t>
      </w:r>
      <w:r>
        <w:t xml:space="preserve">Núm. </w:t>
      </w:r>
      <w:r w:rsidR="00487FE6" w:rsidRPr="00557575">
        <w:t>070-19, contribuyendo a proteger a los usuarios de activaciones fraudulentas.</w:t>
      </w:r>
    </w:p>
    <w:p w:rsidR="007C59C5" w:rsidRPr="00557575" w:rsidRDefault="007C59C5" w:rsidP="002B3E80">
      <w:pPr>
        <w:spacing w:line="360" w:lineRule="auto"/>
      </w:pPr>
      <w:r w:rsidRPr="00557575">
        <w:t xml:space="preserve">La calidad de los servicios de telecomunicaciones que reciben los usuarios es de suma importancia para el INDOTEL. Es por esto que se dio prioridad y destinaron recursos para la adquisición de </w:t>
      </w:r>
      <w:r w:rsidR="00BE0C34">
        <w:t>los equipos</w:t>
      </w:r>
      <w:r w:rsidRPr="00557575">
        <w:t xml:space="preserve"> para la medición de los indicadores de calidad </w:t>
      </w:r>
      <w:r w:rsidR="00BE0C34">
        <w:t xml:space="preserve">de los servicios de telefonía e internet móviles, </w:t>
      </w:r>
      <w:r w:rsidRPr="00557575">
        <w:t xml:space="preserve">detallados en la </w:t>
      </w:r>
      <w:r>
        <w:t>N</w:t>
      </w:r>
      <w:r w:rsidRPr="00557575">
        <w:t xml:space="preserve">orma dictada por la Resolución </w:t>
      </w:r>
      <w:r>
        <w:t xml:space="preserve">Núm. </w:t>
      </w:r>
      <w:r w:rsidRPr="00557575">
        <w:t>016-15</w:t>
      </w:r>
      <w:r w:rsidRPr="00043377">
        <w:t xml:space="preserve">. </w:t>
      </w:r>
      <w:r w:rsidR="00043377" w:rsidRPr="00043377">
        <w:t xml:space="preserve">Por otro lado, </w:t>
      </w:r>
      <w:r w:rsidRPr="00043377">
        <w:t>el seguimiento a las averías masivas ha asegurado justas compensaciones a los usuarios d</w:t>
      </w:r>
      <w:r w:rsidR="00830D61">
        <w:t>e los servicios ascendentes a RD$21</w:t>
      </w:r>
      <w:proofErr w:type="gramStart"/>
      <w:r w:rsidR="00830D61">
        <w:t>,553,016.34</w:t>
      </w:r>
      <w:proofErr w:type="gramEnd"/>
      <w:r w:rsidR="00830D61">
        <w:t>.</w:t>
      </w:r>
    </w:p>
    <w:p w:rsidR="002773BC" w:rsidRDefault="006062D3" w:rsidP="002B3E80">
      <w:pPr>
        <w:spacing w:line="360" w:lineRule="auto"/>
      </w:pPr>
      <w:r w:rsidRPr="007315FC">
        <w:lastRenderedPageBreak/>
        <w:t xml:space="preserve">En el marco del Decreto </w:t>
      </w:r>
      <w:r>
        <w:t xml:space="preserve">Núm. </w:t>
      </w:r>
      <w:r w:rsidRPr="007315FC">
        <w:t>539-20 que designa al I</w:t>
      </w:r>
      <w:r>
        <w:t>NDOTEL</w:t>
      </w:r>
      <w:r w:rsidRPr="007315FC">
        <w:t xml:space="preserve"> como coordinador para la formulación del Plan Nacional de Banda Ancha, el Fondo de Desarrollo de las Telecomunicaciones fue instruido para este objetivo. En este sentido</w:t>
      </w:r>
      <w:r>
        <w:t>,</w:t>
      </w:r>
      <w:r w:rsidRPr="007315FC">
        <w:t xml:space="preserve"> </w:t>
      </w:r>
      <w:r w:rsidR="00570E33">
        <w:t xml:space="preserve"> </w:t>
      </w:r>
      <w:r w:rsidRPr="007315FC">
        <w:t xml:space="preserve">avanzó en la formulación preliminar del </w:t>
      </w:r>
      <w:r w:rsidRPr="002773BC">
        <w:t>Plan,</w:t>
      </w:r>
      <w:r w:rsidR="002773BC" w:rsidRPr="002773BC">
        <w:rPr>
          <w:szCs w:val="24"/>
        </w:rPr>
        <w:t xml:space="preserve"> </w:t>
      </w:r>
      <w:r w:rsidR="002773BC" w:rsidRPr="00F97D6D">
        <w:rPr>
          <w:szCs w:val="24"/>
        </w:rPr>
        <w:t>desarrollándose un diagnóstico de la situación de la banda ancha en el país, definiendo los objetivos estratégicos, líneas de acción, proyectos estratégicos e indicadores para conectar al 2030 a todos los dominicanos y dominicanas al internet de banda ancha asequible como un medio para la inclusión social, el cierre de la brecha digital y el desarrollo de una economía digital nacional próspera que contribuya al desarrollo económico y social sostenible, de acuerdo a la meta de referencia de la Unión Internacional de las Telecomunicaciones (UIT) quien ha establecido para el acceso universal asequible (meta 9c de los ODS  para el 2030) que el 90% de la población mayor de 10 años esté activamente conectada a una velocidad mínima de 10 Mbps. Estos trabajos se han plasmado en el Eje de Acceso y Conectividad de la Agenda Digital 2030 y se definió un plan de acción al 2024 con 15 proyectos priorizados para cerrar las principales brechas de conectividad del país.</w:t>
      </w:r>
      <w:r w:rsidRPr="007315FC">
        <w:t xml:space="preserve"> </w:t>
      </w:r>
    </w:p>
    <w:p w:rsidR="00487FE6" w:rsidRPr="00557575" w:rsidRDefault="00487FE6" w:rsidP="002B3E80">
      <w:pPr>
        <w:spacing w:line="360" w:lineRule="auto"/>
        <w:rPr>
          <w:rFonts w:eastAsiaTheme="minorHAnsi"/>
          <w:lang w:eastAsia="en-US"/>
        </w:rPr>
      </w:pPr>
      <w:r w:rsidRPr="00557575">
        <w:rPr>
          <w:rFonts w:eastAsiaTheme="minorHAnsi"/>
          <w:lang w:eastAsia="en-US"/>
        </w:rPr>
        <w:t>En fecha 18 de febrero de 2021, el Consejo Directivo del INDOTEL aprobó de manera definitiva el Plan Bianual de Proyectos de Desarrollo 2021-2022 del Fondo de Desarrollo de las Telecomunicaciones, mediante la Resolución Núm. 010-21. Dicho Plan está conformado por un proyecto integral denominado “Conectar a los no Conectados” compuesto a su vez por tres (3) componentes: 1. Componente de Acceso e Infraestructura, 2. Componente de Subsidio a la Demanda y 3. Componente de Apropiación Social y Desarrollo de Habilidades Digitales.</w:t>
      </w:r>
      <w:r w:rsidR="000C59D8">
        <w:rPr>
          <w:rFonts w:eastAsiaTheme="minorHAnsi"/>
          <w:lang w:eastAsia="en-US"/>
        </w:rPr>
        <w:t xml:space="preserve"> </w:t>
      </w:r>
      <w:r w:rsidRPr="00557575">
        <w:rPr>
          <w:rFonts w:eastAsiaTheme="minorHAnsi"/>
          <w:lang w:eastAsia="en-US"/>
        </w:rPr>
        <w:t>En el año 2021, las comisiones multidisciplinarias conformadas para cada uno de los componentes que forman parte del citado Plan, han avanzado en la definición de los hitos centrales del proyecto, en la revisión y aprobación de los documentos d</w:t>
      </w:r>
      <w:r w:rsidR="00470473">
        <w:rPr>
          <w:rFonts w:eastAsiaTheme="minorHAnsi"/>
          <w:lang w:eastAsia="en-US"/>
        </w:rPr>
        <w:t>el proyecto,</w:t>
      </w:r>
      <w:r w:rsidRPr="00557575">
        <w:rPr>
          <w:rFonts w:eastAsiaTheme="minorHAnsi"/>
          <w:lang w:eastAsia="en-US"/>
        </w:rPr>
        <w:t xml:space="preserve"> en la elaboración de los Acuerdos de Co</w:t>
      </w:r>
      <w:r w:rsidR="00470473">
        <w:rPr>
          <w:rFonts w:eastAsiaTheme="minorHAnsi"/>
          <w:lang w:eastAsia="en-US"/>
        </w:rPr>
        <w:t>laboración Interinstitucionales y</w:t>
      </w:r>
      <w:r w:rsidRPr="00557575">
        <w:rPr>
          <w:rFonts w:eastAsiaTheme="minorHAnsi"/>
          <w:lang w:eastAsia="en-US"/>
        </w:rPr>
        <w:t xml:space="preserve"> en la definici</w:t>
      </w:r>
      <w:r w:rsidR="00470473">
        <w:rPr>
          <w:rFonts w:eastAsiaTheme="minorHAnsi"/>
          <w:lang w:eastAsia="en-US"/>
        </w:rPr>
        <w:t>ón de metodologías de ejecución.</w:t>
      </w:r>
      <w:r w:rsidRPr="00557575">
        <w:rPr>
          <w:rFonts w:eastAsiaTheme="minorHAnsi"/>
          <w:lang w:eastAsia="en-US"/>
        </w:rPr>
        <w:t xml:space="preserve"> </w:t>
      </w:r>
      <w:r w:rsidR="00E057CB">
        <w:rPr>
          <w:rFonts w:eastAsiaTheme="minorHAnsi"/>
          <w:lang w:eastAsia="en-US"/>
        </w:rPr>
        <w:t>Fue</w:t>
      </w:r>
      <w:r w:rsidR="00541E47">
        <w:rPr>
          <w:rFonts w:eastAsiaTheme="minorHAnsi"/>
          <w:lang w:eastAsia="en-US"/>
        </w:rPr>
        <w:t xml:space="preserve"> lanzada la</w:t>
      </w:r>
      <w:r w:rsidR="00E057CB">
        <w:rPr>
          <w:rFonts w:eastAsiaTheme="minorHAnsi"/>
          <w:lang w:eastAsia="en-US"/>
        </w:rPr>
        <w:t xml:space="preserve"> </w:t>
      </w:r>
      <w:r w:rsidR="00541E47">
        <w:rPr>
          <w:rFonts w:eastAsiaTheme="minorHAnsi"/>
          <w:lang w:eastAsia="en-US"/>
        </w:rPr>
        <w:t>licitación</w:t>
      </w:r>
      <w:r w:rsidR="00470473">
        <w:rPr>
          <w:rFonts w:eastAsiaTheme="minorHAnsi"/>
          <w:lang w:eastAsia="en-US"/>
        </w:rPr>
        <w:t xml:space="preserve"> INDOTEL-CCC-LPN-2021-0001, publicada en fecha 19 de octubre de 2021, la licitación </w:t>
      </w:r>
      <w:r w:rsidR="00470473">
        <w:rPr>
          <w:rFonts w:eastAsiaTheme="minorHAnsi"/>
          <w:lang w:eastAsia="en-US"/>
        </w:rPr>
        <w:lastRenderedPageBreak/>
        <w:t xml:space="preserve">INDOTEL-CCC-LPN-2021-0002, publicada en fecha 2 de noviembre de 2021 y la comparación de </w:t>
      </w:r>
      <w:proofErr w:type="gramStart"/>
      <w:r w:rsidR="00470473">
        <w:rPr>
          <w:rFonts w:eastAsiaTheme="minorHAnsi"/>
          <w:lang w:eastAsia="en-US"/>
        </w:rPr>
        <w:t>precios CCC-CP-2021-00</w:t>
      </w:r>
      <w:r w:rsidR="0058649C">
        <w:rPr>
          <w:rFonts w:eastAsiaTheme="minorHAnsi"/>
          <w:lang w:eastAsia="en-US"/>
        </w:rPr>
        <w:t xml:space="preserve">16, </w:t>
      </w:r>
      <w:r w:rsidR="00470473">
        <w:rPr>
          <w:rFonts w:eastAsiaTheme="minorHAnsi"/>
          <w:lang w:eastAsia="en-US"/>
        </w:rPr>
        <w:t>publicada</w:t>
      </w:r>
      <w:proofErr w:type="gramEnd"/>
      <w:r w:rsidR="00470473">
        <w:rPr>
          <w:rFonts w:eastAsiaTheme="minorHAnsi"/>
          <w:lang w:eastAsia="en-US"/>
        </w:rPr>
        <w:t xml:space="preserve"> el 2 de noviembre de 2021</w:t>
      </w:r>
      <w:r w:rsidRPr="00557575">
        <w:rPr>
          <w:rFonts w:eastAsiaTheme="minorHAnsi"/>
          <w:lang w:eastAsia="en-US"/>
        </w:rPr>
        <w:t>.</w:t>
      </w:r>
    </w:p>
    <w:p w:rsidR="00487FE6" w:rsidRPr="0058649C" w:rsidRDefault="0058649C" w:rsidP="002B3E80">
      <w:pPr>
        <w:spacing w:line="360" w:lineRule="auto"/>
        <w:rPr>
          <w:color w:val="7F7F7F" w:themeColor="text1" w:themeTint="80"/>
          <w:szCs w:val="24"/>
        </w:rPr>
      </w:pPr>
      <w:r>
        <w:rPr>
          <w:rFonts w:eastAsiaTheme="minorHAnsi"/>
          <w:lang w:eastAsia="en-US"/>
        </w:rPr>
        <w:t>Con relación al</w:t>
      </w:r>
      <w:r w:rsidR="00487FE6" w:rsidRPr="00557575">
        <w:rPr>
          <w:rFonts w:eastAsiaTheme="minorHAnsi"/>
          <w:lang w:eastAsia="en-US"/>
        </w:rPr>
        <w:t xml:space="preserve"> Proyecto Mejora Conectividad Fibra Óptica Región Sur en RD</w:t>
      </w:r>
      <w:r w:rsidR="00487FE6" w:rsidRPr="0058649C">
        <w:rPr>
          <w:rFonts w:eastAsiaTheme="minorHAnsi"/>
          <w:lang w:eastAsia="en-US"/>
        </w:rPr>
        <w:t>,</w:t>
      </w:r>
      <w:r w:rsidRPr="0058649C">
        <w:rPr>
          <w:szCs w:val="24"/>
        </w:rPr>
        <w:t xml:space="preserve"> </w:t>
      </w:r>
      <w:r w:rsidRPr="00F97D6D">
        <w:rPr>
          <w:szCs w:val="24"/>
        </w:rPr>
        <w:t>perteneciente al Plan</w:t>
      </w:r>
      <w:r>
        <w:rPr>
          <w:szCs w:val="24"/>
        </w:rPr>
        <w:t xml:space="preserve"> Bianual 2019-2020 del INDOTEL, a noviembre de 2021 </w:t>
      </w:r>
      <w:r w:rsidRPr="00F97D6D">
        <w:rPr>
          <w:szCs w:val="24"/>
        </w:rPr>
        <w:t xml:space="preserve">se completó la construcción del 98.55% de </w:t>
      </w:r>
      <w:r>
        <w:rPr>
          <w:szCs w:val="24"/>
        </w:rPr>
        <w:t>la red de fibra óptica, equivalente a 286.8 Km,</w:t>
      </w:r>
      <w:r w:rsidRPr="00F97D6D">
        <w:rPr>
          <w:szCs w:val="24"/>
        </w:rPr>
        <w:t xml:space="preserve"> los cuales han sido puestos en servicio, conectando unas 44 comunidades de la región sur del país.</w:t>
      </w:r>
    </w:p>
    <w:p w:rsidR="00487FE6" w:rsidRPr="00512CEB" w:rsidRDefault="00487FE6" w:rsidP="002B3E80">
      <w:pPr>
        <w:spacing w:line="360" w:lineRule="auto"/>
        <w:rPr>
          <w:rFonts w:eastAsia="Times New Roman"/>
          <w:szCs w:val="24"/>
          <w:lang w:eastAsia="en-US"/>
        </w:rPr>
      </w:pPr>
      <w:r w:rsidRPr="00557575">
        <w:rPr>
          <w:rFonts w:eastAsiaTheme="minorHAnsi"/>
          <w:lang w:eastAsia="en-US"/>
        </w:rPr>
        <w:t>En adición al Plan Bianua</w:t>
      </w:r>
      <w:r w:rsidRPr="00B743A9">
        <w:rPr>
          <w:rFonts w:eastAsiaTheme="minorHAnsi"/>
          <w:lang w:eastAsia="en-US"/>
        </w:rPr>
        <w:t>l</w:t>
      </w:r>
      <w:r w:rsidR="000C59D8" w:rsidRPr="00B743A9">
        <w:rPr>
          <w:rFonts w:eastAsiaTheme="minorHAnsi"/>
          <w:lang w:eastAsia="en-US"/>
        </w:rPr>
        <w:t>,</w:t>
      </w:r>
      <w:r w:rsidR="00B743A9" w:rsidRPr="00B743A9">
        <w:rPr>
          <w:rFonts w:eastAsia="Times New Roman"/>
          <w:szCs w:val="24"/>
          <w:lang w:eastAsia="en-US"/>
        </w:rPr>
        <w:t xml:space="preserve"> </w:t>
      </w:r>
      <w:r w:rsidR="00B743A9">
        <w:rPr>
          <w:rFonts w:eastAsia="Times New Roman"/>
          <w:szCs w:val="24"/>
          <w:lang w:eastAsia="en-US"/>
        </w:rPr>
        <w:t>e</w:t>
      </w:r>
      <w:r w:rsidR="00B743A9" w:rsidRPr="00B743A9">
        <w:rPr>
          <w:rFonts w:eastAsia="Times New Roman"/>
          <w:szCs w:val="24"/>
          <w:lang w:eastAsia="en-US"/>
        </w:rPr>
        <w:t xml:space="preserve">l Proyecto Especial “Recepción de Televisión Digital Educativa para Todas y Todos” </w:t>
      </w:r>
      <w:r w:rsidR="00B743A9" w:rsidRPr="00E60E95">
        <w:rPr>
          <w:szCs w:val="24"/>
        </w:rPr>
        <w:t xml:space="preserve">se ha concebido como un proyecto piloto de la transición a la televisión digital del canal a través del cual actualmente opera Radio Santa María. </w:t>
      </w:r>
      <w:r w:rsidR="00B743A9" w:rsidRPr="00B743A9">
        <w:rPr>
          <w:rFonts w:eastAsiaTheme="minorHAnsi"/>
          <w:szCs w:val="24"/>
          <w:lang w:eastAsia="en-US"/>
        </w:rPr>
        <w:t xml:space="preserve">Beneficiará aproximadamente a cinco mil hogares, expandiendo de esta forma, el servicio educativo en toda la región del Cibao. En el año 2021 se elaboró un perfil sociodemográfico y un estudio para determinar  la necesidad de cajas </w:t>
      </w:r>
      <w:proofErr w:type="spellStart"/>
      <w:r w:rsidR="00B743A9" w:rsidRPr="00B743A9">
        <w:rPr>
          <w:rFonts w:eastAsiaTheme="minorHAnsi"/>
          <w:szCs w:val="24"/>
          <w:lang w:eastAsia="en-US"/>
        </w:rPr>
        <w:t>convertidoras</w:t>
      </w:r>
      <w:proofErr w:type="spellEnd"/>
      <w:r w:rsidR="00B743A9" w:rsidRPr="00B743A9">
        <w:rPr>
          <w:rFonts w:eastAsiaTheme="minorHAnsi"/>
          <w:szCs w:val="24"/>
          <w:lang w:eastAsia="en-US"/>
        </w:rPr>
        <w:t xml:space="preserve"> de los hogares ubicados en la zona de incidencia del proyecto</w:t>
      </w:r>
      <w:r w:rsidR="00512CEB">
        <w:rPr>
          <w:rFonts w:eastAsiaTheme="minorHAnsi"/>
          <w:szCs w:val="24"/>
          <w:lang w:eastAsia="en-US"/>
        </w:rPr>
        <w:t>.</w:t>
      </w:r>
    </w:p>
    <w:p w:rsidR="00D32DD3" w:rsidRPr="00D32DD3" w:rsidRDefault="00D32DD3" w:rsidP="002B3E80">
      <w:pPr>
        <w:spacing w:line="360" w:lineRule="auto"/>
      </w:pPr>
      <w:r w:rsidRPr="00D32DD3">
        <w:t>Con la finalidad de mejorar la asistencia telefónica que brindamos a través del Departamento de Asistencia al Usuario (DAU) y disminuir el tiempo de espera y la pérdida de llamadas, fueron incluidas en la central telefónica (IVR) respuestas automatizadas dirigidas a contestar los Casos de Información</w:t>
      </w:r>
      <w:r w:rsidR="00AC24B1">
        <w:t xml:space="preserve"> (CI)</w:t>
      </w:r>
      <w:r w:rsidRPr="00D32DD3">
        <w:t xml:space="preserve"> que recibimos de manera más recurrente</w:t>
      </w:r>
      <w:r w:rsidR="0005127E">
        <w:t>.</w:t>
      </w:r>
      <w:r w:rsidRPr="00D32DD3">
        <w:t xml:space="preserve"> </w:t>
      </w:r>
      <w:r w:rsidR="00AC24B1" w:rsidRPr="00D32DD3">
        <w:t>Con</w:t>
      </w:r>
      <w:r w:rsidRPr="00D32DD3">
        <w:t xml:space="preserve"> la implementación de esta medida</w:t>
      </w:r>
      <w:r w:rsidR="00AC24B1">
        <w:t>,</w:t>
      </w:r>
      <w:r w:rsidRPr="00D32DD3">
        <w:t xml:space="preserve"> </w:t>
      </w:r>
      <w:r w:rsidR="00AC24B1">
        <w:t>fueron reducidas</w:t>
      </w:r>
      <w:r w:rsidRPr="00D32DD3">
        <w:t xml:space="preserve"> las pérdidas de las llamadas en un 30% y logramos obtener </w:t>
      </w:r>
      <w:r w:rsidR="00AC24B1">
        <w:t xml:space="preserve">el </w:t>
      </w:r>
      <w:r w:rsidRPr="00D32DD3">
        <w:t>estándar</w:t>
      </w:r>
      <w:r w:rsidR="00AC24B1">
        <w:t xml:space="preserve"> </w:t>
      </w:r>
      <w:r w:rsidRPr="00D32DD3">
        <w:t xml:space="preserve">para los </w:t>
      </w:r>
      <w:proofErr w:type="spellStart"/>
      <w:r w:rsidRPr="00D32DD3">
        <w:t>call</w:t>
      </w:r>
      <w:proofErr w:type="spellEnd"/>
      <w:r w:rsidRPr="00D32DD3">
        <w:t xml:space="preserve"> center de empresas de servicios.</w:t>
      </w:r>
    </w:p>
    <w:p w:rsidR="000621E8" w:rsidRDefault="00D32DD3" w:rsidP="002B3E80">
      <w:pPr>
        <w:spacing w:line="360" w:lineRule="auto"/>
      </w:pPr>
      <w:r w:rsidRPr="00D32DD3">
        <w:t>Para tener una comunicación más directa con los usuarios de los servicios de las telecomunicaciones fue creada la cuenta @</w:t>
      </w:r>
      <w:proofErr w:type="spellStart"/>
      <w:r w:rsidRPr="00D32DD3">
        <w:t>ApoyoIndotelRD</w:t>
      </w:r>
      <w:proofErr w:type="spellEnd"/>
      <w:r w:rsidRPr="00D32DD3">
        <w:t xml:space="preserve"> en todas las redes sociales la cual se maneja desde la Dirección de Protección al Usuario</w:t>
      </w:r>
      <w:r w:rsidR="00AC24B1">
        <w:t>.</w:t>
      </w:r>
      <w:r w:rsidRPr="00D32DD3">
        <w:t xml:space="preserve"> </w:t>
      </w:r>
      <w:r w:rsidR="00AC24B1">
        <w:t>E</w:t>
      </w:r>
      <w:r w:rsidRPr="00D32DD3">
        <w:t>n la misma colocamos contenido educativo con la finalidad de que los usuarios se edifiquen de las informaciones del sector de las telecomunicaciones</w:t>
      </w:r>
      <w:r w:rsidR="00AC24B1">
        <w:t>.</w:t>
      </w:r>
      <w:r w:rsidRPr="00D32DD3">
        <w:t xml:space="preserve"> </w:t>
      </w:r>
      <w:r w:rsidR="00AC24B1">
        <w:t>T</w:t>
      </w:r>
      <w:r w:rsidRPr="00D32DD3">
        <w:t xml:space="preserve">ambién adicionamos un nuevo canal de contacto con los usuarios a través de un número de </w:t>
      </w:r>
      <w:proofErr w:type="spellStart"/>
      <w:r w:rsidRPr="00D32DD3">
        <w:t>Whatsapp</w:t>
      </w:r>
      <w:proofErr w:type="spellEnd"/>
      <w:r w:rsidRPr="00D32DD3">
        <w:t>.</w:t>
      </w:r>
    </w:p>
    <w:p w:rsidR="00A829C6" w:rsidRDefault="00833DD1" w:rsidP="002B3E80">
      <w:pPr>
        <w:spacing w:line="360" w:lineRule="auto"/>
      </w:pPr>
      <w:r>
        <w:lastRenderedPageBreak/>
        <w:t xml:space="preserve">Este </w:t>
      </w:r>
      <w:r w:rsidR="00522171">
        <w:t>resumen</w:t>
      </w:r>
      <w:r>
        <w:t xml:space="preserve"> de</w:t>
      </w:r>
      <w:r w:rsidR="00522171">
        <w:t xml:space="preserve">l año 2021 </w:t>
      </w:r>
      <w:r w:rsidR="00D677D7">
        <w:t>presenta</w:t>
      </w:r>
      <w:r>
        <w:t xml:space="preserve"> las ejecutorias institucionales de manera sucinta</w:t>
      </w:r>
      <w:r w:rsidR="00D677D7">
        <w:t xml:space="preserve"> desde las diferentes líneas de acción que se desarrollan en el ámbito </w:t>
      </w:r>
      <w:r w:rsidR="000B5025">
        <w:t>del INDOTEL y</w:t>
      </w:r>
      <w:r w:rsidR="00D677D7">
        <w:t xml:space="preserve"> desde la óptica de los trabajos de cada área orgánica y sus resultados concretos, con </w:t>
      </w:r>
      <w:r>
        <w:t xml:space="preserve">énfasis en </w:t>
      </w:r>
      <w:r w:rsidR="00D677D7">
        <w:t xml:space="preserve">los </w:t>
      </w:r>
      <w:r>
        <w:t xml:space="preserve">aspectos misionales fundamentales para el sector de las </w:t>
      </w:r>
      <w:r w:rsidR="00D677D7">
        <w:t>tele</w:t>
      </w:r>
      <w:r>
        <w:t xml:space="preserve">comunicaciones en materia de regulación efectiva, protección </w:t>
      </w:r>
      <w:r w:rsidR="00AD0505">
        <w:t xml:space="preserve">a los usuarios y </w:t>
      </w:r>
      <w:r>
        <w:t>acceso e inclusión digital</w:t>
      </w:r>
      <w:r w:rsidR="00AD0505">
        <w:t xml:space="preserve"> de todos los dominicanos y dominicanas</w:t>
      </w:r>
      <w:r>
        <w:t>.</w:t>
      </w: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A829C6" w:rsidRDefault="00A829C6" w:rsidP="002B3E80">
      <w:pPr>
        <w:spacing w:line="360" w:lineRule="auto"/>
      </w:pPr>
    </w:p>
    <w:p w:rsidR="004244A8" w:rsidRDefault="004244A8" w:rsidP="002B3E80"/>
    <w:p w:rsidR="00D61CED" w:rsidRDefault="00D61CED" w:rsidP="002B3E80"/>
    <w:p w:rsidR="00903F8B" w:rsidRDefault="00903F8B" w:rsidP="002B3E80"/>
    <w:p w:rsidR="00903F8B" w:rsidRDefault="00903F8B" w:rsidP="002B3E80"/>
    <w:p w:rsidR="00903F8B" w:rsidRDefault="00903F8B" w:rsidP="002B3E80"/>
    <w:p w:rsidR="00903F8B" w:rsidRDefault="00903F8B" w:rsidP="002B3E80"/>
    <w:p w:rsidR="00903F8B" w:rsidRDefault="00903F8B" w:rsidP="002B3E80"/>
    <w:p w:rsidR="00903F8B" w:rsidRPr="00D61CED" w:rsidRDefault="00903F8B" w:rsidP="002B3E80"/>
    <w:p w:rsidR="002B3E80" w:rsidRPr="002B3E80" w:rsidRDefault="00903F8B" w:rsidP="00A17C7C">
      <w:pPr>
        <w:pStyle w:val="Ttulo1"/>
        <w:numPr>
          <w:ilvl w:val="0"/>
          <w:numId w:val="25"/>
        </w:numPr>
        <w:ind w:left="90"/>
        <w:rPr>
          <w:sz w:val="28"/>
        </w:rPr>
      </w:pPr>
      <w:bookmarkStart w:id="3" w:name="_Toc90936634"/>
      <w:r>
        <w:rPr>
          <w:color w:val="767171"/>
          <w:sz w:val="28"/>
        </w:rPr>
        <w:lastRenderedPageBreak/>
        <w:t>INFORMACIÓN INSTITUCIONAL</w:t>
      </w:r>
      <w:bookmarkEnd w:id="3"/>
    </w:p>
    <w:p w:rsidR="00447727" w:rsidRPr="006F0C62" w:rsidRDefault="000110B8" w:rsidP="002B3E80">
      <w:r w:rsidRPr="006F0C62">
        <w:rPr>
          <w:noProof/>
          <w:lang w:val="en-US" w:eastAsia="en-US"/>
        </w:rPr>
        <mc:AlternateContent>
          <mc:Choice Requires="wps">
            <w:drawing>
              <wp:anchor distT="0" distB="0" distL="114300" distR="114300" simplePos="0" relativeHeight="251645952" behindDoc="0" locked="1" layoutInCell="1" allowOverlap="1">
                <wp:simplePos x="0" y="0"/>
                <wp:positionH relativeFrom="margin">
                  <wp:posOffset>2235835</wp:posOffset>
                </wp:positionH>
                <wp:positionV relativeFrom="paragraph">
                  <wp:posOffset>37465</wp:posOffset>
                </wp:positionV>
                <wp:extent cx="463550" cy="0"/>
                <wp:effectExtent l="22860" t="22225" r="18415" b="15875"/>
                <wp:wrapNone/>
                <wp:docPr id="2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EAD34" id="Conector recto 4"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05pt,2.95pt" to="212.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vV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" strokecolor="#ee2a24" strokeweight="2.25pt">
                <v:stroke joinstyle="miter"/>
                <w10:wrap anchorx="margin"/>
                <w10:anchorlock/>
              </v:line>
            </w:pict>
          </mc:Fallback>
        </mc:AlternateContent>
      </w:r>
    </w:p>
    <w:p w:rsidR="00447727" w:rsidRPr="006F0C62" w:rsidRDefault="00E715BA" w:rsidP="002B3E80">
      <w:pPr>
        <w:jc w:val="center"/>
        <w:rPr>
          <w:spacing w:val="20"/>
          <w:szCs w:val="24"/>
        </w:rPr>
      </w:pPr>
      <w:r>
        <w:rPr>
          <w:spacing w:val="20"/>
          <w:szCs w:val="24"/>
        </w:rPr>
        <w:t>Memoria Institucional 2021</w:t>
      </w:r>
    </w:p>
    <w:p w:rsidR="0018202A" w:rsidRDefault="0018202A" w:rsidP="002B3E80">
      <w:pPr>
        <w:pStyle w:val="Subttulo"/>
        <w:rPr>
          <w:sz w:val="24"/>
          <w:szCs w:val="24"/>
        </w:rPr>
      </w:pPr>
    </w:p>
    <w:p w:rsidR="00B51261" w:rsidRPr="00191E22" w:rsidRDefault="00541E47" w:rsidP="002B3E80">
      <w:pPr>
        <w:pStyle w:val="Ttulo2"/>
        <w:rPr>
          <w:rFonts w:eastAsia="Calibri"/>
          <w:bCs w:val="0"/>
          <w:spacing w:val="20"/>
          <w:sz w:val="24"/>
          <w:szCs w:val="24"/>
        </w:rPr>
      </w:pPr>
      <w:bookmarkStart w:id="4" w:name="_Toc90936635"/>
      <w:r>
        <w:rPr>
          <w:rFonts w:eastAsia="Calibri"/>
          <w:bCs w:val="0"/>
          <w:spacing w:val="20"/>
          <w:sz w:val="24"/>
          <w:szCs w:val="24"/>
        </w:rPr>
        <w:t xml:space="preserve">2.1 </w:t>
      </w:r>
      <w:r w:rsidR="002639AF" w:rsidRPr="00191E22">
        <w:rPr>
          <w:rFonts w:eastAsia="Calibri"/>
          <w:bCs w:val="0"/>
          <w:spacing w:val="20"/>
          <w:sz w:val="24"/>
          <w:szCs w:val="24"/>
        </w:rPr>
        <w:t>Marco Filosófico Institucional</w:t>
      </w:r>
      <w:bookmarkEnd w:id="4"/>
    </w:p>
    <w:p w:rsidR="00B8298A" w:rsidRPr="00D215C9" w:rsidRDefault="00B8298A" w:rsidP="002B3E80">
      <w:pPr>
        <w:rPr>
          <w:highlight w:val="yellow"/>
        </w:rPr>
      </w:pPr>
    </w:p>
    <w:p w:rsidR="00B8298A" w:rsidRPr="00191E22" w:rsidRDefault="00387E6F" w:rsidP="00541E47">
      <w:pPr>
        <w:pStyle w:val="Ttulo3"/>
        <w:numPr>
          <w:ilvl w:val="0"/>
          <w:numId w:val="44"/>
        </w:numPr>
      </w:pPr>
      <w:bookmarkStart w:id="5" w:name="_Toc90936636"/>
      <w:r w:rsidRPr="00191E22">
        <w:t>Misión</w:t>
      </w:r>
      <w:bookmarkEnd w:id="5"/>
    </w:p>
    <w:p w:rsidR="00B8298A" w:rsidRDefault="00B8298A" w:rsidP="002B3E80">
      <w:pPr>
        <w:pStyle w:val="Sinespaciado"/>
        <w:rPr>
          <w:highlight w:val="yellow"/>
        </w:rPr>
      </w:pPr>
    </w:p>
    <w:p w:rsidR="00936564" w:rsidRPr="00191E22" w:rsidRDefault="00191E22" w:rsidP="00191E22">
      <w:pPr>
        <w:spacing w:after="0" w:line="360" w:lineRule="auto"/>
        <w:rPr>
          <w:rFonts w:eastAsiaTheme="minorHAnsi"/>
          <w:szCs w:val="24"/>
          <w:lang w:eastAsia="en-US"/>
        </w:rPr>
      </w:pPr>
      <w:r w:rsidRPr="00191E22">
        <w:rPr>
          <w:rFonts w:eastAsiaTheme="minorHAnsi"/>
          <w:szCs w:val="24"/>
          <w:lang w:eastAsia="en-US"/>
        </w:rPr>
        <w:t>Garantizar la oferta y acceso universal a los servicios de telecomunicaciones y certificación digital.</w:t>
      </w:r>
    </w:p>
    <w:p w:rsidR="00B8298A" w:rsidRPr="00191E22" w:rsidRDefault="00387E6F" w:rsidP="00541E47">
      <w:pPr>
        <w:pStyle w:val="Ttulo3"/>
        <w:numPr>
          <w:ilvl w:val="0"/>
          <w:numId w:val="44"/>
        </w:numPr>
        <w:rPr>
          <w:rStyle w:val="Ttulo1Car"/>
          <w:rFonts w:eastAsia="Calibri"/>
          <w:color w:val="767171"/>
          <w:sz w:val="24"/>
          <w:szCs w:val="28"/>
        </w:rPr>
      </w:pPr>
      <w:bookmarkStart w:id="6" w:name="_Toc90936637"/>
      <w:r w:rsidRPr="00191E22">
        <w:t>Visión</w:t>
      </w:r>
      <w:bookmarkEnd w:id="6"/>
    </w:p>
    <w:p w:rsidR="00B8298A" w:rsidRPr="00D215C9" w:rsidRDefault="00B8298A" w:rsidP="002B3E80">
      <w:pPr>
        <w:pStyle w:val="Sinespaciado"/>
        <w:rPr>
          <w:color w:val="767171"/>
          <w:highlight w:val="yellow"/>
          <w:lang w:val="es-ES" w:eastAsia="en-US"/>
        </w:rPr>
      </w:pPr>
    </w:p>
    <w:p w:rsidR="00191E22" w:rsidRPr="00191E22" w:rsidRDefault="00191E22" w:rsidP="00191E22">
      <w:pPr>
        <w:spacing w:after="0" w:line="360" w:lineRule="auto"/>
        <w:rPr>
          <w:rFonts w:eastAsiaTheme="minorHAnsi"/>
          <w:szCs w:val="24"/>
          <w:lang w:eastAsia="en-US"/>
        </w:rPr>
      </w:pPr>
      <w:r w:rsidRPr="00191E22">
        <w:rPr>
          <w:rFonts w:eastAsiaTheme="minorHAnsi"/>
          <w:szCs w:val="24"/>
          <w:lang w:eastAsia="en-US"/>
        </w:rPr>
        <w:t>Ser un regulador eficaz, que garantiza la inclusión digital, la calidad de los servicios de telecomunicaciones y certificación digital, siendo modelo de innovación.</w:t>
      </w:r>
    </w:p>
    <w:p w:rsidR="00414C4F" w:rsidRPr="00D215C9" w:rsidRDefault="00414C4F" w:rsidP="00652769">
      <w:pPr>
        <w:pStyle w:val="Textonotasalpie"/>
        <w:rPr>
          <w:highlight w:val="yellow"/>
        </w:rPr>
      </w:pPr>
    </w:p>
    <w:p w:rsidR="00B8298A" w:rsidRPr="00191E22" w:rsidRDefault="00387E6F" w:rsidP="00541E47">
      <w:pPr>
        <w:pStyle w:val="Ttulo3"/>
        <w:numPr>
          <w:ilvl w:val="0"/>
          <w:numId w:val="44"/>
        </w:numPr>
      </w:pPr>
      <w:bookmarkStart w:id="7" w:name="_Toc90936638"/>
      <w:r w:rsidRPr="00191E22">
        <w:t>Valores</w:t>
      </w:r>
      <w:bookmarkEnd w:id="7"/>
    </w:p>
    <w:p w:rsidR="00B8298A" w:rsidRPr="00191E22" w:rsidRDefault="00B8298A" w:rsidP="002B3E80">
      <w:pPr>
        <w:pStyle w:val="Sinespaciado"/>
      </w:pPr>
    </w:p>
    <w:p w:rsidR="00191E22" w:rsidRDefault="00191E22" w:rsidP="00191E22">
      <w:pPr>
        <w:spacing w:after="0" w:line="360" w:lineRule="auto"/>
        <w:jc w:val="left"/>
        <w:rPr>
          <w:rFonts w:eastAsiaTheme="minorHAnsi"/>
          <w:szCs w:val="24"/>
          <w:lang w:eastAsia="en-US"/>
        </w:rPr>
      </w:pPr>
      <w:r w:rsidRPr="00191E22">
        <w:rPr>
          <w:rFonts w:eastAsiaTheme="minorHAnsi"/>
          <w:b/>
          <w:szCs w:val="24"/>
          <w:lang w:eastAsia="en-US"/>
        </w:rPr>
        <w:t>Transparencia:</w:t>
      </w:r>
      <w:r w:rsidRPr="00191E22">
        <w:rPr>
          <w:rFonts w:eastAsiaTheme="minorHAnsi"/>
          <w:szCs w:val="24"/>
          <w:lang w:eastAsia="en-US"/>
        </w:rPr>
        <w:t xml:space="preserve"> Trabajamos con honestidad, en consonancia con las mejores prácticas, abiertos al escrutinio público. </w:t>
      </w:r>
    </w:p>
    <w:p w:rsidR="00191E22" w:rsidRPr="00191E22" w:rsidRDefault="00191E22" w:rsidP="00191E22">
      <w:pPr>
        <w:spacing w:after="0" w:line="360" w:lineRule="auto"/>
        <w:jc w:val="left"/>
        <w:rPr>
          <w:rFonts w:eastAsiaTheme="minorHAnsi"/>
          <w:szCs w:val="24"/>
          <w:lang w:eastAsia="en-US"/>
        </w:rPr>
      </w:pPr>
    </w:p>
    <w:p w:rsidR="00191E22" w:rsidRDefault="00191E22" w:rsidP="00191E22">
      <w:pPr>
        <w:spacing w:after="0" w:line="360" w:lineRule="auto"/>
        <w:jc w:val="left"/>
        <w:rPr>
          <w:rFonts w:eastAsiaTheme="minorHAnsi"/>
          <w:szCs w:val="24"/>
          <w:lang w:eastAsia="en-US"/>
        </w:rPr>
      </w:pPr>
      <w:r w:rsidRPr="00191E22">
        <w:rPr>
          <w:rFonts w:eastAsiaTheme="minorHAnsi"/>
          <w:b/>
          <w:szCs w:val="24"/>
          <w:lang w:eastAsia="en-US"/>
        </w:rPr>
        <w:t>Compromiso:</w:t>
      </w:r>
      <w:r w:rsidRPr="00191E22">
        <w:rPr>
          <w:rFonts w:eastAsiaTheme="minorHAnsi"/>
          <w:szCs w:val="24"/>
          <w:lang w:eastAsia="en-US"/>
        </w:rPr>
        <w:t xml:space="preserve"> Garantizamos el complimiento de nuestras obligaciones con puntualidad, </w:t>
      </w:r>
      <w:proofErr w:type="spellStart"/>
      <w:r w:rsidRPr="00191E22">
        <w:rPr>
          <w:rFonts w:eastAsiaTheme="minorHAnsi"/>
          <w:szCs w:val="24"/>
          <w:lang w:eastAsia="en-US"/>
        </w:rPr>
        <w:t>proactividad</w:t>
      </w:r>
      <w:proofErr w:type="spellEnd"/>
      <w:r w:rsidRPr="00191E22">
        <w:rPr>
          <w:rFonts w:eastAsiaTheme="minorHAnsi"/>
          <w:szCs w:val="24"/>
          <w:lang w:eastAsia="en-US"/>
        </w:rPr>
        <w:t xml:space="preserve"> y calidad con apego a l</w:t>
      </w:r>
      <w:r>
        <w:rPr>
          <w:rFonts w:eastAsiaTheme="minorHAnsi"/>
          <w:szCs w:val="24"/>
          <w:lang w:eastAsia="en-US"/>
        </w:rPr>
        <w:t>os objetivos de la institución.</w:t>
      </w:r>
    </w:p>
    <w:p w:rsidR="00191E22" w:rsidRPr="00191E22" w:rsidRDefault="00191E22" w:rsidP="00191E22">
      <w:pPr>
        <w:spacing w:after="0" w:line="360" w:lineRule="auto"/>
        <w:jc w:val="left"/>
        <w:rPr>
          <w:rFonts w:eastAsiaTheme="minorHAnsi"/>
          <w:szCs w:val="24"/>
          <w:lang w:eastAsia="en-US"/>
        </w:rPr>
      </w:pPr>
    </w:p>
    <w:p w:rsidR="00191E22" w:rsidRDefault="00191E22" w:rsidP="00191E22">
      <w:pPr>
        <w:spacing w:after="0" w:line="360" w:lineRule="auto"/>
        <w:jc w:val="left"/>
        <w:rPr>
          <w:rFonts w:eastAsiaTheme="minorHAnsi"/>
          <w:szCs w:val="24"/>
          <w:lang w:eastAsia="en-US"/>
        </w:rPr>
      </w:pPr>
      <w:r w:rsidRPr="00191E22">
        <w:rPr>
          <w:rFonts w:eastAsiaTheme="minorHAnsi"/>
          <w:b/>
          <w:szCs w:val="24"/>
          <w:lang w:eastAsia="en-US"/>
        </w:rPr>
        <w:t>Equidad:</w:t>
      </w:r>
      <w:r w:rsidRPr="00191E22">
        <w:rPr>
          <w:rFonts w:eastAsiaTheme="minorHAnsi"/>
          <w:szCs w:val="24"/>
          <w:lang w:eastAsia="en-US"/>
        </w:rPr>
        <w:t xml:space="preserve"> Actuamos con justicia, dando igualdad de oportunidades a quienes servimos. </w:t>
      </w:r>
    </w:p>
    <w:p w:rsidR="00191E22" w:rsidRPr="00191E22" w:rsidRDefault="00191E22" w:rsidP="00191E22">
      <w:pPr>
        <w:spacing w:after="0" w:line="360" w:lineRule="auto"/>
        <w:jc w:val="left"/>
        <w:rPr>
          <w:rFonts w:eastAsiaTheme="minorHAnsi"/>
          <w:szCs w:val="24"/>
          <w:lang w:eastAsia="en-US"/>
        </w:rPr>
      </w:pPr>
    </w:p>
    <w:p w:rsidR="001F187D" w:rsidRDefault="00191E22" w:rsidP="00541E47">
      <w:pPr>
        <w:spacing w:after="0" w:line="360" w:lineRule="auto"/>
        <w:jc w:val="left"/>
        <w:rPr>
          <w:rFonts w:eastAsiaTheme="minorHAnsi"/>
          <w:szCs w:val="24"/>
          <w:lang w:eastAsia="en-US"/>
        </w:rPr>
      </w:pPr>
      <w:r w:rsidRPr="00191E22">
        <w:rPr>
          <w:rFonts w:eastAsiaTheme="minorHAnsi"/>
          <w:b/>
          <w:szCs w:val="24"/>
          <w:lang w:eastAsia="en-US"/>
        </w:rPr>
        <w:t>Integridad:</w:t>
      </w:r>
      <w:r w:rsidRPr="00191E22">
        <w:rPr>
          <w:rFonts w:eastAsiaTheme="minorHAnsi"/>
          <w:szCs w:val="24"/>
          <w:lang w:eastAsia="en-US"/>
        </w:rPr>
        <w:t xml:space="preserve"> Actuamos con el cumplimiento del deber conforme</w:t>
      </w:r>
      <w:r w:rsidR="00541E47">
        <w:rPr>
          <w:rFonts w:eastAsiaTheme="minorHAnsi"/>
          <w:szCs w:val="24"/>
          <w:lang w:eastAsia="en-US"/>
        </w:rPr>
        <w:t xml:space="preserve"> a las normas éticas y morales.</w:t>
      </w:r>
    </w:p>
    <w:p w:rsidR="00541E47" w:rsidRPr="00541E47" w:rsidRDefault="00541E47" w:rsidP="00541E47">
      <w:pPr>
        <w:pStyle w:val="Textonotasalpie"/>
        <w:rPr>
          <w:lang w:eastAsia="en-US"/>
        </w:rPr>
      </w:pPr>
    </w:p>
    <w:p w:rsidR="00E16992" w:rsidRPr="00541E47" w:rsidRDefault="00541E47" w:rsidP="00541E47">
      <w:pPr>
        <w:pStyle w:val="Ttulo2"/>
        <w:rPr>
          <w:rFonts w:eastAsia="Calibri"/>
          <w:bCs w:val="0"/>
          <w:spacing w:val="20"/>
          <w:sz w:val="24"/>
          <w:szCs w:val="24"/>
        </w:rPr>
      </w:pPr>
      <w:bookmarkStart w:id="8" w:name="_Toc90936639"/>
      <w:r w:rsidRPr="00541E47">
        <w:rPr>
          <w:rFonts w:eastAsia="Calibri"/>
          <w:bCs w:val="0"/>
          <w:spacing w:val="20"/>
          <w:sz w:val="24"/>
          <w:szCs w:val="24"/>
        </w:rPr>
        <w:lastRenderedPageBreak/>
        <w:t xml:space="preserve">2.2 </w:t>
      </w:r>
      <w:r w:rsidR="00387E6F" w:rsidRPr="00541E47">
        <w:rPr>
          <w:rFonts w:eastAsia="Calibri"/>
          <w:bCs w:val="0"/>
          <w:spacing w:val="20"/>
          <w:sz w:val="24"/>
          <w:szCs w:val="24"/>
        </w:rPr>
        <w:t>Base Legal</w:t>
      </w:r>
      <w:bookmarkEnd w:id="8"/>
    </w:p>
    <w:p w:rsidR="00B8298A" w:rsidRPr="00D215C9" w:rsidRDefault="00B8298A" w:rsidP="002B3E80">
      <w:pPr>
        <w:pStyle w:val="Sinespaciado"/>
        <w:rPr>
          <w:highlight w:val="yellow"/>
        </w:rPr>
      </w:pPr>
    </w:p>
    <w:p w:rsidR="008B3862" w:rsidRDefault="00191E22" w:rsidP="00191E22">
      <w:pPr>
        <w:spacing w:after="0" w:line="360" w:lineRule="auto"/>
        <w:rPr>
          <w:rFonts w:eastAsiaTheme="minorHAnsi"/>
          <w:szCs w:val="24"/>
          <w:lang w:eastAsia="en-US"/>
        </w:rPr>
      </w:pPr>
      <w:r w:rsidRPr="00191E22">
        <w:rPr>
          <w:rFonts w:eastAsiaTheme="minorHAnsi"/>
          <w:szCs w:val="24"/>
          <w:lang w:eastAsia="en-US"/>
        </w:rPr>
        <w:t>El Instituto Dominicano de las Telecomunicaciones (INDOTEL) es el órgano regulador de las telecomunicaciones, creado en virtud de la Ley General de Telecomunicaciones, Núm. 153-98. Entidad estatal descentralizada, con autonomía funcional, jurisdiccional y financiera, patrimonio propio, personalidad jurídica y con capacidad legal para adquirir derechos y contraer obligaciones. Realiza los actos y ejerce los mandatos previstos en la Ley Núm. 153-98 y sus reglamentos. Tiene domicilio en la capital de la República y jurisdicción en materia de regulación y control de telecomunicaciones en todo el territorio nacional.</w:t>
      </w:r>
    </w:p>
    <w:p w:rsidR="00191E22" w:rsidRDefault="00191E22" w:rsidP="00191E22">
      <w:pPr>
        <w:spacing w:after="0" w:line="360" w:lineRule="auto"/>
        <w:rPr>
          <w:rFonts w:eastAsiaTheme="minorHAnsi"/>
          <w:szCs w:val="24"/>
          <w:lang w:eastAsia="en-US"/>
        </w:rPr>
      </w:pPr>
    </w:p>
    <w:p w:rsidR="00191E22" w:rsidRPr="00191E22" w:rsidRDefault="00191E22" w:rsidP="00191E22">
      <w:pPr>
        <w:spacing w:after="0" w:line="360" w:lineRule="auto"/>
        <w:rPr>
          <w:rFonts w:eastAsiaTheme="minorHAnsi"/>
          <w:szCs w:val="24"/>
          <w:lang w:eastAsia="en-US"/>
        </w:rPr>
      </w:pPr>
      <w:r w:rsidRPr="00191E22">
        <w:rPr>
          <w:rFonts w:eastAsiaTheme="minorHAnsi"/>
          <w:szCs w:val="24"/>
          <w:lang w:eastAsia="en-US"/>
        </w:rPr>
        <w:t xml:space="preserve">En adición, el INDOTEL por atribución de la Ley Núm. 126-02 sobre Comercio Electrónico, Documentos y Firmas Digitales ejerce la función de vigilancia y control de las actividades desarrolladas por las entidades de certificación. Tiene la facultad de inspeccionar los proveedores de servicios de firma electrónica y velar por el cumplimiento de las disposiciones legales y reglamentarias por parte de los mismos.  </w:t>
      </w:r>
    </w:p>
    <w:p w:rsidR="00191E22" w:rsidRPr="00191E22" w:rsidRDefault="00191E22" w:rsidP="00191E22">
      <w:pPr>
        <w:spacing w:after="0" w:line="360" w:lineRule="auto"/>
        <w:rPr>
          <w:rFonts w:eastAsiaTheme="minorHAnsi"/>
          <w:szCs w:val="24"/>
          <w:lang w:eastAsia="en-US"/>
        </w:rPr>
      </w:pPr>
    </w:p>
    <w:p w:rsidR="00191E22" w:rsidRPr="00191E22" w:rsidRDefault="00191E22" w:rsidP="00191E22">
      <w:pPr>
        <w:spacing w:after="0" w:line="360" w:lineRule="auto"/>
        <w:rPr>
          <w:rFonts w:eastAsiaTheme="minorHAnsi"/>
          <w:szCs w:val="24"/>
          <w:lang w:eastAsia="en-US"/>
        </w:rPr>
      </w:pPr>
      <w:r w:rsidRPr="00191E22">
        <w:rPr>
          <w:rFonts w:eastAsiaTheme="minorHAnsi"/>
          <w:szCs w:val="24"/>
          <w:lang w:eastAsia="en-US"/>
        </w:rPr>
        <w:t xml:space="preserve">Las normativas legales que rigen el accionar del INDOTEL, son las siguientes: </w:t>
      </w:r>
    </w:p>
    <w:p w:rsidR="00191E22" w:rsidRPr="00191E22" w:rsidRDefault="00191E22" w:rsidP="00191E22">
      <w:pPr>
        <w:spacing w:after="0" w:line="360" w:lineRule="auto"/>
        <w:rPr>
          <w:rFonts w:eastAsiaTheme="minorHAnsi"/>
          <w:szCs w:val="24"/>
          <w:lang w:eastAsia="en-US"/>
        </w:rPr>
      </w:pPr>
    </w:p>
    <w:p w:rsidR="00191E22" w:rsidRPr="00191E22" w:rsidRDefault="00191E22" w:rsidP="00191E22">
      <w:pPr>
        <w:numPr>
          <w:ilvl w:val="0"/>
          <w:numId w:val="42"/>
        </w:numPr>
        <w:spacing w:after="0" w:line="360" w:lineRule="auto"/>
        <w:contextualSpacing/>
        <w:jc w:val="left"/>
        <w:rPr>
          <w:rFonts w:eastAsiaTheme="minorHAnsi"/>
          <w:szCs w:val="24"/>
          <w:lang w:eastAsia="en-US"/>
        </w:rPr>
      </w:pPr>
      <w:r w:rsidRPr="00191E22">
        <w:rPr>
          <w:rFonts w:eastAsiaTheme="minorHAnsi"/>
          <w:szCs w:val="24"/>
          <w:lang w:eastAsia="en-US"/>
        </w:rPr>
        <w:t>Ley General de Telecomunicaciones, Núm. 153-98.</w:t>
      </w:r>
    </w:p>
    <w:p w:rsidR="00191E22" w:rsidRPr="00191E22" w:rsidRDefault="00191E22" w:rsidP="00191E22">
      <w:pPr>
        <w:numPr>
          <w:ilvl w:val="0"/>
          <w:numId w:val="42"/>
        </w:numPr>
        <w:spacing w:after="0" w:line="360" w:lineRule="auto"/>
        <w:contextualSpacing/>
        <w:jc w:val="left"/>
        <w:rPr>
          <w:rFonts w:eastAsiaTheme="minorHAnsi"/>
          <w:szCs w:val="24"/>
          <w:lang w:eastAsia="en-US"/>
        </w:rPr>
      </w:pPr>
      <w:r w:rsidRPr="00191E22">
        <w:rPr>
          <w:rFonts w:eastAsiaTheme="minorHAnsi"/>
          <w:szCs w:val="24"/>
          <w:lang w:eastAsia="en-US"/>
        </w:rPr>
        <w:t>Ley Núm. 126-02 sobre Comercio Electrónico, Documentos y Firmas Digitales</w:t>
      </w:r>
    </w:p>
    <w:p w:rsidR="00191E22" w:rsidRPr="00191E22" w:rsidRDefault="00191E22" w:rsidP="00191E22">
      <w:pPr>
        <w:numPr>
          <w:ilvl w:val="0"/>
          <w:numId w:val="42"/>
        </w:numPr>
        <w:spacing w:after="0" w:line="360" w:lineRule="auto"/>
        <w:contextualSpacing/>
        <w:jc w:val="left"/>
        <w:rPr>
          <w:rFonts w:eastAsiaTheme="minorHAnsi"/>
          <w:szCs w:val="24"/>
          <w:lang w:eastAsia="en-US"/>
        </w:rPr>
      </w:pPr>
      <w:r w:rsidRPr="00191E22">
        <w:rPr>
          <w:rFonts w:eastAsiaTheme="minorHAnsi"/>
          <w:szCs w:val="24"/>
          <w:lang w:eastAsia="en-US"/>
        </w:rPr>
        <w:t xml:space="preserve">Ley General de Libre Acceso a la Información Pública, Núm. 200-04  </w:t>
      </w:r>
    </w:p>
    <w:p w:rsidR="00191E22" w:rsidRPr="00541E47" w:rsidRDefault="00191E22" w:rsidP="00191E22">
      <w:pPr>
        <w:numPr>
          <w:ilvl w:val="0"/>
          <w:numId w:val="42"/>
        </w:numPr>
        <w:spacing w:after="0" w:line="360" w:lineRule="auto"/>
        <w:contextualSpacing/>
        <w:jc w:val="left"/>
        <w:rPr>
          <w:rFonts w:eastAsiaTheme="minorHAnsi"/>
          <w:szCs w:val="24"/>
          <w:lang w:eastAsia="en-US"/>
        </w:rPr>
      </w:pPr>
      <w:r w:rsidRPr="00191E22">
        <w:rPr>
          <w:rFonts w:eastAsiaTheme="minorHAnsi"/>
          <w:szCs w:val="24"/>
          <w:lang w:eastAsia="en-US"/>
        </w:rPr>
        <w:t>Reglamento de Aplicación de la Ley Núm. 126-02 sobre Comercio Electrónico, Documentos y Firmas Digitales.</w:t>
      </w:r>
    </w:p>
    <w:p w:rsidR="00191E22" w:rsidRPr="00D215C9" w:rsidRDefault="00191E22" w:rsidP="002B3E80">
      <w:pPr>
        <w:pStyle w:val="Sinespaciado"/>
        <w:rPr>
          <w:color w:val="767171"/>
          <w:highlight w:val="yellow"/>
        </w:rPr>
      </w:pPr>
    </w:p>
    <w:p w:rsidR="00B8298A" w:rsidRPr="00C33BBB" w:rsidRDefault="00C33BBB" w:rsidP="00C33BBB">
      <w:pPr>
        <w:pStyle w:val="Ttulo2"/>
        <w:rPr>
          <w:rFonts w:eastAsia="Calibri"/>
          <w:bCs w:val="0"/>
          <w:spacing w:val="20"/>
          <w:sz w:val="24"/>
          <w:szCs w:val="24"/>
        </w:rPr>
      </w:pPr>
      <w:bookmarkStart w:id="9" w:name="_Toc90936640"/>
      <w:r w:rsidRPr="00C33BBB">
        <w:rPr>
          <w:rFonts w:eastAsia="Calibri"/>
          <w:bCs w:val="0"/>
          <w:spacing w:val="20"/>
          <w:sz w:val="24"/>
          <w:szCs w:val="24"/>
        </w:rPr>
        <w:lastRenderedPageBreak/>
        <w:t xml:space="preserve">2.3 </w:t>
      </w:r>
      <w:r w:rsidR="00387E6F" w:rsidRPr="00C33BBB">
        <w:rPr>
          <w:rFonts w:eastAsia="Calibri"/>
          <w:bCs w:val="0"/>
          <w:spacing w:val="20"/>
          <w:sz w:val="24"/>
          <w:szCs w:val="24"/>
        </w:rPr>
        <w:t>Estructura Organizativa</w:t>
      </w:r>
      <w:bookmarkEnd w:id="9"/>
    </w:p>
    <w:p w:rsidR="00475FCE" w:rsidRDefault="00541E47" w:rsidP="00475FCE">
      <w:r>
        <w:rPr>
          <w:noProof/>
          <w:lang w:val="en-US" w:eastAsia="en-US"/>
        </w:rPr>
        <w:drawing>
          <wp:anchor distT="0" distB="0" distL="114300" distR="114300" simplePos="0" relativeHeight="251759616" behindDoc="0" locked="0" layoutInCell="1" allowOverlap="1" wp14:anchorId="3854390C" wp14:editId="121D5B93">
            <wp:simplePos x="0" y="0"/>
            <wp:positionH relativeFrom="page">
              <wp:posOffset>794459</wp:posOffset>
            </wp:positionH>
            <wp:positionV relativeFrom="margin">
              <wp:posOffset>1291478</wp:posOffset>
            </wp:positionV>
            <wp:extent cx="6698615" cy="4064635"/>
            <wp:effectExtent l="0" t="0" r="698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PNG"/>
                    <pic:cNvPicPr/>
                  </pic:nvPicPr>
                  <pic:blipFill>
                    <a:blip r:embed="rId14">
                      <a:extLst>
                        <a:ext uri="{28A0092B-C50C-407E-A947-70E740481C1C}">
                          <a14:useLocalDpi xmlns:a14="http://schemas.microsoft.com/office/drawing/2010/main" val="0"/>
                        </a:ext>
                      </a:extLst>
                    </a:blip>
                    <a:stretch>
                      <a:fillRect/>
                    </a:stretch>
                  </pic:blipFill>
                  <pic:spPr>
                    <a:xfrm>
                      <a:off x="0" y="0"/>
                      <a:ext cx="6698615" cy="4064635"/>
                    </a:xfrm>
                    <a:prstGeom prst="rect">
                      <a:avLst/>
                    </a:prstGeom>
                  </pic:spPr>
                </pic:pic>
              </a:graphicData>
            </a:graphic>
            <wp14:sizeRelH relativeFrom="margin">
              <wp14:pctWidth>0</wp14:pctWidth>
            </wp14:sizeRelH>
            <wp14:sizeRelV relativeFrom="margin">
              <wp14:pctHeight>0</wp14:pctHeight>
            </wp14:sizeRelV>
          </wp:anchor>
        </w:drawing>
      </w:r>
    </w:p>
    <w:p w:rsidR="00475FCE" w:rsidRPr="00475FCE" w:rsidRDefault="00475FCE" w:rsidP="00475FCE"/>
    <w:p w:rsidR="00183736" w:rsidRDefault="00183736" w:rsidP="00183736"/>
    <w:p w:rsidR="00CC24C3" w:rsidRDefault="00CC24C3" w:rsidP="00183736"/>
    <w:p w:rsidR="00183736" w:rsidRPr="00183736" w:rsidRDefault="00183736" w:rsidP="00183736"/>
    <w:p w:rsidR="00191E22" w:rsidRDefault="00191E22" w:rsidP="00191E22"/>
    <w:p w:rsidR="00191E22" w:rsidRPr="00191E22" w:rsidRDefault="00191E22" w:rsidP="00191E22"/>
    <w:p w:rsidR="00C96273" w:rsidRPr="00D215C9" w:rsidRDefault="00C96273" w:rsidP="002B3E80">
      <w:pPr>
        <w:pStyle w:val="NormalWeb"/>
        <w:spacing w:line="360" w:lineRule="auto"/>
        <w:jc w:val="both"/>
        <w:rPr>
          <w:color w:val="767171"/>
          <w:highlight w:val="yellow"/>
        </w:rPr>
      </w:pPr>
    </w:p>
    <w:p w:rsidR="00163F19" w:rsidRDefault="00163F19" w:rsidP="002B3E80">
      <w:pPr>
        <w:pStyle w:val="NormalWeb"/>
        <w:spacing w:line="360" w:lineRule="auto"/>
        <w:jc w:val="both"/>
        <w:rPr>
          <w:color w:val="767171"/>
          <w:highlight w:val="yellow"/>
        </w:rPr>
      </w:pPr>
    </w:p>
    <w:p w:rsidR="00472528" w:rsidRPr="00D215C9" w:rsidRDefault="00472528" w:rsidP="002B3E80">
      <w:pPr>
        <w:pStyle w:val="NormalWeb"/>
        <w:spacing w:line="360" w:lineRule="auto"/>
        <w:jc w:val="both"/>
        <w:rPr>
          <w:color w:val="767171"/>
          <w:highlight w:val="yellow"/>
        </w:rPr>
      </w:pPr>
    </w:p>
    <w:p w:rsidR="00E16992" w:rsidRPr="00C33BBB" w:rsidRDefault="00C33BBB" w:rsidP="00C33BBB">
      <w:pPr>
        <w:pStyle w:val="Ttulo2"/>
        <w:rPr>
          <w:rFonts w:eastAsia="Calibri"/>
          <w:bCs w:val="0"/>
          <w:spacing w:val="20"/>
          <w:sz w:val="24"/>
          <w:szCs w:val="24"/>
        </w:rPr>
      </w:pPr>
      <w:bookmarkStart w:id="10" w:name="_Toc90936641"/>
      <w:r w:rsidRPr="00C33BBB">
        <w:rPr>
          <w:rFonts w:eastAsia="Calibri"/>
          <w:bCs w:val="0"/>
          <w:spacing w:val="20"/>
          <w:sz w:val="24"/>
          <w:szCs w:val="24"/>
        </w:rPr>
        <w:lastRenderedPageBreak/>
        <w:t xml:space="preserve">2.4 </w:t>
      </w:r>
      <w:r w:rsidR="00387E6F" w:rsidRPr="00C33BBB">
        <w:rPr>
          <w:rFonts w:eastAsia="Calibri"/>
          <w:bCs w:val="0"/>
          <w:spacing w:val="20"/>
          <w:sz w:val="24"/>
          <w:szCs w:val="24"/>
        </w:rPr>
        <w:t xml:space="preserve">Planificación </w:t>
      </w:r>
      <w:r>
        <w:rPr>
          <w:rFonts w:eastAsia="Calibri"/>
          <w:bCs w:val="0"/>
          <w:spacing w:val="20"/>
          <w:sz w:val="24"/>
          <w:szCs w:val="24"/>
        </w:rPr>
        <w:t>E</w:t>
      </w:r>
      <w:r w:rsidR="00387E6F" w:rsidRPr="00C33BBB">
        <w:rPr>
          <w:rFonts w:eastAsia="Calibri"/>
          <w:bCs w:val="0"/>
          <w:spacing w:val="20"/>
          <w:sz w:val="24"/>
          <w:szCs w:val="24"/>
        </w:rPr>
        <w:t xml:space="preserve">stratégica </w:t>
      </w:r>
      <w:r>
        <w:rPr>
          <w:rFonts w:eastAsia="Calibri"/>
          <w:bCs w:val="0"/>
          <w:spacing w:val="20"/>
          <w:sz w:val="24"/>
          <w:szCs w:val="24"/>
        </w:rPr>
        <w:t>I</w:t>
      </w:r>
      <w:r w:rsidR="00387E6F" w:rsidRPr="00C33BBB">
        <w:rPr>
          <w:rFonts w:eastAsia="Calibri"/>
          <w:bCs w:val="0"/>
          <w:spacing w:val="20"/>
          <w:sz w:val="24"/>
          <w:szCs w:val="24"/>
        </w:rPr>
        <w:t>nstitucional</w:t>
      </w:r>
      <w:bookmarkEnd w:id="10"/>
    </w:p>
    <w:p w:rsidR="00E16992" w:rsidRPr="00D215C9" w:rsidRDefault="00E16992" w:rsidP="002B3E80">
      <w:pPr>
        <w:pStyle w:val="Sinespaciado"/>
        <w:rPr>
          <w:highlight w:val="yellow"/>
        </w:rPr>
      </w:pPr>
    </w:p>
    <w:p w:rsidR="00163F19" w:rsidRPr="00163F19" w:rsidRDefault="00163F19" w:rsidP="00163F19">
      <w:pPr>
        <w:spacing w:after="0" w:line="360" w:lineRule="auto"/>
        <w:rPr>
          <w:rFonts w:eastAsiaTheme="minorHAnsi"/>
          <w:szCs w:val="24"/>
          <w:lang w:eastAsia="en-US"/>
        </w:rPr>
      </w:pPr>
      <w:r w:rsidRPr="00163F19">
        <w:rPr>
          <w:rFonts w:eastAsiaTheme="minorHAnsi"/>
          <w:szCs w:val="24"/>
          <w:lang w:eastAsia="en-US"/>
        </w:rPr>
        <w:t>El Plan Estratégico del Instituto Dominicano de las Telecomunicaciones (INDOTEL) 2021-2024, se enmarca en una construcción reflexiva que pretende maximizar el impacto de los esfuerzos a través de una imprescindible sinergia y armonía con la Estrategia Nacional de Desarrollo (END) y las políticas pautadas para el periodo por el gobierno dominicano, que parten de una realidad histórica sin precedentes para la democracia del país. La realidad somete a una atención especial del sector como un medio vital para las posibilidades de recuperación y competitividad en el actual estado de las cosas.</w:t>
      </w:r>
    </w:p>
    <w:p w:rsidR="00163F19" w:rsidRPr="00163F19" w:rsidRDefault="00163F19" w:rsidP="00163F19">
      <w:pPr>
        <w:spacing w:after="0" w:line="360" w:lineRule="auto"/>
        <w:rPr>
          <w:rFonts w:eastAsiaTheme="minorHAnsi"/>
          <w:szCs w:val="24"/>
          <w:lang w:eastAsia="en-US"/>
        </w:rPr>
      </w:pPr>
    </w:p>
    <w:p w:rsidR="00163F19" w:rsidRPr="00163F19" w:rsidRDefault="00163F19" w:rsidP="00163F19">
      <w:pPr>
        <w:spacing w:after="0" w:line="360" w:lineRule="auto"/>
        <w:rPr>
          <w:rFonts w:eastAsiaTheme="minorHAnsi"/>
          <w:szCs w:val="24"/>
          <w:lang w:eastAsia="en-US"/>
        </w:rPr>
      </w:pPr>
      <w:r w:rsidRPr="00163F19">
        <w:rPr>
          <w:rFonts w:eastAsiaTheme="minorHAnsi"/>
          <w:szCs w:val="24"/>
          <w:lang w:eastAsia="en-US"/>
        </w:rPr>
        <w:t xml:space="preserve">El avance que necesita el sector de las telecomunicaciones en el periodo 2021-2024 requiere de la puesta al día del marco normativo en sus principales instrumentos, de dar vida a una gestión oportuna, firme y transparente del espectro, pero aún más importante, el contundente compromiso con la transformación digital comunicado al país por el Presidente de la República, Luis </w:t>
      </w:r>
      <w:proofErr w:type="spellStart"/>
      <w:r w:rsidRPr="00163F19">
        <w:rPr>
          <w:rFonts w:eastAsiaTheme="minorHAnsi"/>
          <w:szCs w:val="24"/>
          <w:lang w:eastAsia="en-US"/>
        </w:rPr>
        <w:t>Abinader</w:t>
      </w:r>
      <w:proofErr w:type="spellEnd"/>
      <w:r w:rsidRPr="00163F19">
        <w:rPr>
          <w:rFonts w:eastAsiaTheme="minorHAnsi"/>
          <w:szCs w:val="24"/>
          <w:lang w:eastAsia="en-US"/>
        </w:rPr>
        <w:t xml:space="preserve"> Corona.</w:t>
      </w:r>
    </w:p>
    <w:p w:rsidR="00163F19" w:rsidRPr="00163F19" w:rsidRDefault="00163F19" w:rsidP="00163F19">
      <w:pPr>
        <w:spacing w:after="0" w:line="360" w:lineRule="auto"/>
        <w:rPr>
          <w:rFonts w:eastAsiaTheme="minorHAnsi"/>
          <w:szCs w:val="24"/>
          <w:lang w:eastAsia="en-US"/>
        </w:rPr>
      </w:pPr>
    </w:p>
    <w:p w:rsidR="00163F19" w:rsidRPr="00163F19" w:rsidRDefault="00163F19" w:rsidP="00163F19">
      <w:pPr>
        <w:spacing w:after="0" w:line="360" w:lineRule="auto"/>
        <w:rPr>
          <w:rFonts w:eastAsiaTheme="minorHAnsi"/>
          <w:szCs w:val="24"/>
          <w:lang w:eastAsia="en-US"/>
        </w:rPr>
      </w:pPr>
      <w:r w:rsidRPr="00163F19">
        <w:rPr>
          <w:rFonts w:eastAsiaTheme="minorHAnsi"/>
          <w:szCs w:val="24"/>
          <w:lang w:eastAsia="en-US"/>
        </w:rPr>
        <w:t>El Plan Estratégico Institucional (PEI) 2021-2024 fue elaborado siguiendo los lineamientos del Ministerio de Economía, Planificación y Desarrollo (</w:t>
      </w:r>
      <w:proofErr w:type="spellStart"/>
      <w:r w:rsidRPr="00163F19">
        <w:rPr>
          <w:rFonts w:eastAsiaTheme="minorHAnsi"/>
          <w:szCs w:val="24"/>
          <w:lang w:eastAsia="en-US"/>
        </w:rPr>
        <w:t>MEPyD</w:t>
      </w:r>
      <w:proofErr w:type="spellEnd"/>
      <w:r w:rsidRPr="00163F19">
        <w:rPr>
          <w:rFonts w:eastAsiaTheme="minorHAnsi"/>
          <w:szCs w:val="24"/>
          <w:lang w:eastAsia="en-US"/>
        </w:rPr>
        <w:t>) y posteriormente aprobado y validado por dicho Ministerio mediante comunicación MEPyD-INT-2021-06888, de fecha 13 de agosto de 2021.</w:t>
      </w:r>
    </w:p>
    <w:p w:rsidR="00163F19" w:rsidRPr="00163F19" w:rsidRDefault="00163F19" w:rsidP="00163F19">
      <w:pPr>
        <w:spacing w:after="0" w:line="360" w:lineRule="auto"/>
        <w:rPr>
          <w:rFonts w:eastAsiaTheme="minorHAnsi"/>
          <w:szCs w:val="24"/>
          <w:lang w:eastAsia="en-US"/>
        </w:rPr>
      </w:pPr>
    </w:p>
    <w:p w:rsidR="00163F19" w:rsidRDefault="00163F19" w:rsidP="00163F19">
      <w:pPr>
        <w:spacing w:after="0" w:line="360" w:lineRule="auto"/>
        <w:rPr>
          <w:rFonts w:eastAsiaTheme="minorHAnsi"/>
          <w:szCs w:val="24"/>
          <w:lang w:eastAsia="en-US"/>
        </w:rPr>
      </w:pPr>
      <w:r w:rsidRPr="00163F19">
        <w:rPr>
          <w:rFonts w:eastAsiaTheme="minorHAnsi"/>
          <w:szCs w:val="24"/>
          <w:lang w:eastAsia="en-US"/>
        </w:rPr>
        <w:t>El Plan Estratégico Institucional (PEI) 2021-2024 del INDOTEL, está estructurado por 4 Ejes Estratégicos, los cuales son: Regulación Efectiva, Protección y Servicios a los Usuarios, Acceso e Infraestructura y Fortalecimiento Institucional. Los productos establecidos en estos Ejes, son incluidos en el Plan Operativo Anual (POA).</w:t>
      </w:r>
    </w:p>
    <w:p w:rsidR="00183736" w:rsidRPr="00163F19" w:rsidRDefault="00183736" w:rsidP="00163F19">
      <w:pPr>
        <w:spacing w:after="0" w:line="360" w:lineRule="auto"/>
        <w:rPr>
          <w:rFonts w:eastAsiaTheme="minorHAnsi"/>
          <w:szCs w:val="24"/>
          <w:lang w:eastAsia="en-US"/>
        </w:rPr>
      </w:pPr>
    </w:p>
    <w:p w:rsidR="00163F19" w:rsidRPr="00163F19" w:rsidRDefault="00163F19" w:rsidP="00163F19">
      <w:pPr>
        <w:spacing w:after="0" w:line="360" w:lineRule="auto"/>
        <w:rPr>
          <w:rFonts w:eastAsiaTheme="minorHAnsi"/>
          <w:szCs w:val="24"/>
          <w:lang w:eastAsia="en-US"/>
        </w:rPr>
      </w:pPr>
      <w:r w:rsidRPr="00163F19">
        <w:rPr>
          <w:rFonts w:eastAsiaTheme="minorHAnsi"/>
          <w:szCs w:val="24"/>
          <w:lang w:eastAsia="en-US"/>
        </w:rPr>
        <w:t>Los principales componentes del Plan Estratégico Institucional (PEI) 2021-2024 del INDOTEL son:</w:t>
      </w:r>
    </w:p>
    <w:p w:rsidR="00163F19" w:rsidRPr="00163F19" w:rsidRDefault="00163F19" w:rsidP="00163F19">
      <w:pPr>
        <w:spacing w:after="0" w:line="360" w:lineRule="auto"/>
        <w:rPr>
          <w:rFonts w:eastAsiaTheme="minorHAnsi"/>
          <w:szCs w:val="24"/>
          <w:lang w:eastAsia="en-US"/>
        </w:rPr>
      </w:pPr>
    </w:p>
    <w:p w:rsidR="00163F19" w:rsidRPr="00163F19" w:rsidRDefault="00163F19" w:rsidP="00163F19">
      <w:pPr>
        <w:spacing w:after="0" w:line="360" w:lineRule="auto"/>
        <w:jc w:val="left"/>
        <w:rPr>
          <w:rFonts w:eastAsiaTheme="minorHAnsi"/>
          <w:b/>
          <w:szCs w:val="24"/>
          <w:lang w:eastAsia="en-US"/>
        </w:rPr>
      </w:pPr>
      <w:r w:rsidRPr="00163F19">
        <w:rPr>
          <w:rFonts w:eastAsiaTheme="minorHAnsi"/>
          <w:b/>
          <w:szCs w:val="24"/>
          <w:lang w:eastAsia="en-US"/>
        </w:rPr>
        <w:t>Eje Estratégico 1: Regulación Efectiva</w:t>
      </w:r>
    </w:p>
    <w:p w:rsidR="00163F19" w:rsidRPr="00163F19" w:rsidRDefault="00163F19" w:rsidP="00163F19">
      <w:pPr>
        <w:spacing w:after="0" w:line="360" w:lineRule="auto"/>
        <w:jc w:val="left"/>
        <w:rPr>
          <w:rFonts w:eastAsiaTheme="minorHAnsi"/>
          <w:b/>
          <w:szCs w:val="24"/>
          <w:lang w:eastAsia="en-US"/>
        </w:rPr>
      </w:pPr>
    </w:p>
    <w:p w:rsidR="00163F19" w:rsidRPr="00163F19" w:rsidRDefault="00163F19" w:rsidP="00163F19">
      <w:pPr>
        <w:spacing w:after="0" w:line="360" w:lineRule="auto"/>
        <w:rPr>
          <w:rFonts w:eastAsiaTheme="minorHAnsi"/>
          <w:szCs w:val="24"/>
          <w:lang w:eastAsia="en-US"/>
        </w:rPr>
      </w:pPr>
      <w:r w:rsidRPr="00163F19">
        <w:rPr>
          <w:rFonts w:eastAsiaTheme="minorHAnsi"/>
          <w:b/>
          <w:szCs w:val="24"/>
          <w:lang w:eastAsia="en-US"/>
        </w:rPr>
        <w:t>Objetivo Estratégico:</w:t>
      </w:r>
      <w:r w:rsidRPr="00163F19">
        <w:rPr>
          <w:rFonts w:eastAsiaTheme="minorHAnsi"/>
          <w:szCs w:val="24"/>
          <w:lang w:eastAsia="en-US"/>
        </w:rPr>
        <w:t xml:space="preserve"> Regular y supervisar de manera eficaz y pertinente el mercado de telecomunicaciones, fomentando la innovación y la libre competencia.</w:t>
      </w:r>
    </w:p>
    <w:p w:rsidR="00163F19" w:rsidRPr="00163F19" w:rsidRDefault="00163F19" w:rsidP="00163F19">
      <w:pPr>
        <w:spacing w:after="0" w:line="360" w:lineRule="auto"/>
        <w:jc w:val="left"/>
        <w:rPr>
          <w:rFonts w:eastAsiaTheme="minorHAnsi"/>
          <w:szCs w:val="24"/>
          <w:lang w:eastAsia="en-US"/>
        </w:rPr>
      </w:pPr>
    </w:p>
    <w:tbl>
      <w:tblPr>
        <w:tblStyle w:val="Tablaconcuadrcula9"/>
        <w:tblW w:w="0" w:type="auto"/>
        <w:tblInd w:w="484" w:type="dxa"/>
        <w:tblLook w:val="04A0" w:firstRow="1" w:lastRow="0" w:firstColumn="1" w:lastColumn="0" w:noHBand="0" w:noVBand="1"/>
      </w:tblPr>
      <w:tblGrid>
        <w:gridCol w:w="2205"/>
        <w:gridCol w:w="2126"/>
        <w:gridCol w:w="1362"/>
        <w:gridCol w:w="1735"/>
      </w:tblGrid>
      <w:tr w:rsidR="00163F19" w:rsidRPr="00163F19" w:rsidTr="00C33BBB">
        <w:trPr>
          <w:trHeight w:val="778"/>
        </w:trPr>
        <w:tc>
          <w:tcPr>
            <w:tcW w:w="2205"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Resultado Institucional</w:t>
            </w:r>
          </w:p>
        </w:tc>
        <w:tc>
          <w:tcPr>
            <w:tcW w:w="2126"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General END</w:t>
            </w:r>
          </w:p>
        </w:tc>
        <w:tc>
          <w:tcPr>
            <w:tcW w:w="1362"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Específico END</w:t>
            </w:r>
          </w:p>
        </w:tc>
        <w:tc>
          <w:tcPr>
            <w:tcW w:w="1735"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Líneas de Acción END</w:t>
            </w:r>
          </w:p>
        </w:tc>
      </w:tr>
      <w:tr w:rsidR="00163F19" w:rsidRPr="00163F19" w:rsidTr="00C33BBB">
        <w:trPr>
          <w:trHeight w:val="732"/>
        </w:trPr>
        <w:tc>
          <w:tcPr>
            <w:tcW w:w="2205"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Aumentada la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seguridad y confianza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en los servicios de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certificación digital</w:t>
            </w:r>
          </w:p>
        </w:tc>
        <w:tc>
          <w:tcPr>
            <w:tcW w:w="2126"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 xml:space="preserve">3.1 y 3.3 </w:t>
            </w:r>
          </w:p>
        </w:tc>
        <w:tc>
          <w:tcPr>
            <w:tcW w:w="1362"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3.3.5</w:t>
            </w:r>
          </w:p>
        </w:tc>
        <w:tc>
          <w:tcPr>
            <w:tcW w:w="1735" w:type="dxa"/>
          </w:tcPr>
          <w:p w:rsidR="00163F19" w:rsidRPr="00163F19" w:rsidRDefault="00163F19" w:rsidP="00163F19">
            <w:pPr>
              <w:spacing w:after="0" w:line="360" w:lineRule="auto"/>
              <w:jc w:val="left"/>
              <w:rPr>
                <w:rFonts w:ascii="Times New Roman" w:hAnsi="Times New Roman" w:cs="Times New Roman"/>
                <w:bCs/>
                <w:szCs w:val="24"/>
              </w:rPr>
            </w:pPr>
            <w:r w:rsidRPr="00163F19">
              <w:rPr>
                <w:rFonts w:ascii="Times New Roman" w:hAnsi="Times New Roman" w:cs="Times New Roman"/>
                <w:bCs/>
                <w:szCs w:val="24"/>
              </w:rPr>
              <w:t xml:space="preserve">3.3.5.2 y 3.3.5.5 </w:t>
            </w:r>
          </w:p>
        </w:tc>
      </w:tr>
      <w:tr w:rsidR="00163F19" w:rsidRPr="00163F19" w:rsidTr="00C33BBB">
        <w:trPr>
          <w:trHeight w:val="778"/>
        </w:trPr>
        <w:tc>
          <w:tcPr>
            <w:tcW w:w="2205"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Asegurado el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cumplimiento de las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reglamentaciones y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normativas del sector de las telecomunicaciones</w:t>
            </w:r>
          </w:p>
        </w:tc>
        <w:tc>
          <w:tcPr>
            <w:tcW w:w="2126" w:type="dxa"/>
          </w:tcPr>
          <w:p w:rsidR="00163F19" w:rsidRPr="00163F19" w:rsidRDefault="00163F19" w:rsidP="00163F19">
            <w:pPr>
              <w:spacing w:after="0" w:line="360" w:lineRule="auto"/>
              <w:jc w:val="left"/>
              <w:rPr>
                <w:rFonts w:ascii="Times New Roman" w:hAnsi="Times New Roman" w:cs="Times New Roman"/>
                <w:bCs/>
                <w:szCs w:val="24"/>
              </w:rPr>
            </w:pPr>
          </w:p>
        </w:tc>
        <w:tc>
          <w:tcPr>
            <w:tcW w:w="1362" w:type="dxa"/>
          </w:tcPr>
          <w:p w:rsidR="00163F19" w:rsidRPr="00163F19" w:rsidRDefault="00163F19" w:rsidP="00163F19">
            <w:pPr>
              <w:spacing w:after="0" w:line="360" w:lineRule="auto"/>
              <w:jc w:val="left"/>
              <w:rPr>
                <w:rFonts w:ascii="Times New Roman" w:hAnsi="Times New Roman" w:cs="Times New Roman"/>
                <w:bCs/>
                <w:szCs w:val="24"/>
              </w:rPr>
            </w:pPr>
          </w:p>
        </w:tc>
        <w:tc>
          <w:tcPr>
            <w:tcW w:w="1735" w:type="dxa"/>
          </w:tcPr>
          <w:p w:rsidR="00163F19" w:rsidRPr="00163F19" w:rsidRDefault="00163F19" w:rsidP="00163F19">
            <w:pPr>
              <w:spacing w:after="0" w:line="360" w:lineRule="auto"/>
              <w:jc w:val="left"/>
              <w:rPr>
                <w:rFonts w:ascii="Times New Roman" w:hAnsi="Times New Roman" w:cs="Times New Roman"/>
                <w:bCs/>
                <w:szCs w:val="24"/>
              </w:rPr>
            </w:pPr>
          </w:p>
        </w:tc>
      </w:tr>
    </w:tbl>
    <w:p w:rsidR="00163F19" w:rsidRPr="00163F19" w:rsidRDefault="00C33BBB" w:rsidP="00C33BBB">
      <w:pPr>
        <w:spacing w:after="0" w:line="360" w:lineRule="auto"/>
        <w:jc w:val="left"/>
        <w:rPr>
          <w:rFonts w:eastAsiaTheme="minorHAnsi"/>
          <w:sz w:val="18"/>
          <w:szCs w:val="18"/>
          <w:lang w:eastAsia="en-US"/>
        </w:rPr>
      </w:pPr>
      <w:r>
        <w:rPr>
          <w:rFonts w:eastAsiaTheme="minorHAnsi"/>
          <w:sz w:val="18"/>
          <w:szCs w:val="18"/>
          <w:lang w:eastAsia="en-US"/>
        </w:rPr>
        <w:t xml:space="preserve">           </w:t>
      </w:r>
      <w:r w:rsidR="00163F19" w:rsidRPr="00C33BBB">
        <w:rPr>
          <w:rFonts w:eastAsiaTheme="minorHAnsi"/>
          <w:b/>
          <w:sz w:val="18"/>
          <w:szCs w:val="18"/>
          <w:lang w:eastAsia="en-US"/>
        </w:rPr>
        <w:t>Fuente:</w:t>
      </w:r>
      <w:r w:rsidR="00163F19" w:rsidRPr="00163F19">
        <w:rPr>
          <w:rFonts w:eastAsiaTheme="minorHAnsi"/>
          <w:sz w:val="18"/>
          <w:szCs w:val="18"/>
          <w:lang w:eastAsia="en-US"/>
        </w:rPr>
        <w:t xml:space="preserve"> Plan Estratégico Institucional (PEI) 2021-2024</w:t>
      </w:r>
    </w:p>
    <w:p w:rsidR="00163F19" w:rsidRPr="00163F19" w:rsidRDefault="00163F19" w:rsidP="00163F19">
      <w:pPr>
        <w:spacing w:after="0" w:line="360" w:lineRule="auto"/>
        <w:jc w:val="left"/>
        <w:rPr>
          <w:rFonts w:eastAsiaTheme="minorHAnsi"/>
          <w:b/>
          <w:szCs w:val="24"/>
          <w:lang w:eastAsia="en-US"/>
        </w:rPr>
      </w:pPr>
    </w:p>
    <w:p w:rsidR="00163F19" w:rsidRPr="00163F19" w:rsidRDefault="00163F19" w:rsidP="00163F19">
      <w:pPr>
        <w:spacing w:after="0" w:line="360" w:lineRule="auto"/>
        <w:jc w:val="left"/>
        <w:rPr>
          <w:rFonts w:eastAsiaTheme="minorHAnsi"/>
          <w:b/>
          <w:szCs w:val="24"/>
          <w:lang w:eastAsia="en-US"/>
        </w:rPr>
      </w:pPr>
      <w:r w:rsidRPr="00163F19">
        <w:rPr>
          <w:rFonts w:eastAsiaTheme="minorHAnsi"/>
          <w:b/>
          <w:szCs w:val="24"/>
          <w:lang w:eastAsia="en-US"/>
        </w:rPr>
        <w:t>Eje Estratégico 2: Protección y Servicios a los Usuarios</w:t>
      </w:r>
    </w:p>
    <w:p w:rsidR="00163F19" w:rsidRPr="00163F19" w:rsidRDefault="00163F19" w:rsidP="00163F19">
      <w:pPr>
        <w:spacing w:after="0" w:line="360" w:lineRule="auto"/>
        <w:jc w:val="left"/>
        <w:rPr>
          <w:rFonts w:eastAsiaTheme="minorHAnsi"/>
          <w:b/>
          <w:szCs w:val="24"/>
          <w:lang w:eastAsia="en-US"/>
        </w:rPr>
      </w:pPr>
    </w:p>
    <w:p w:rsidR="00163F19" w:rsidRPr="00163F19" w:rsidRDefault="00163F19" w:rsidP="00163F19">
      <w:pPr>
        <w:spacing w:after="0" w:line="360" w:lineRule="auto"/>
        <w:jc w:val="left"/>
        <w:rPr>
          <w:rFonts w:eastAsiaTheme="minorHAnsi"/>
          <w:szCs w:val="24"/>
          <w:lang w:eastAsia="en-US"/>
        </w:rPr>
      </w:pPr>
      <w:r w:rsidRPr="00163F19">
        <w:rPr>
          <w:rFonts w:eastAsiaTheme="minorHAnsi"/>
          <w:b/>
          <w:szCs w:val="24"/>
          <w:lang w:eastAsia="en-US"/>
        </w:rPr>
        <w:t>Objetivo Estratégico:</w:t>
      </w:r>
      <w:r w:rsidRPr="00163F19">
        <w:rPr>
          <w:rFonts w:eastAsiaTheme="minorHAnsi"/>
          <w:szCs w:val="24"/>
          <w:lang w:eastAsia="en-US"/>
        </w:rPr>
        <w:t xml:space="preserve"> Orientar, educar y garantizar servicios de calidad a los usuarios.</w:t>
      </w:r>
    </w:p>
    <w:p w:rsidR="00163F19" w:rsidRDefault="00163F19" w:rsidP="00163F19">
      <w:pPr>
        <w:spacing w:after="0" w:line="360" w:lineRule="auto"/>
        <w:jc w:val="left"/>
        <w:rPr>
          <w:rFonts w:eastAsiaTheme="minorHAnsi"/>
          <w:szCs w:val="24"/>
          <w:lang w:eastAsia="en-US"/>
        </w:rPr>
      </w:pPr>
    </w:p>
    <w:p w:rsidR="00C33BBB" w:rsidRPr="00163F19" w:rsidRDefault="00C33BBB" w:rsidP="00163F19">
      <w:pPr>
        <w:spacing w:after="0" w:line="360" w:lineRule="auto"/>
        <w:jc w:val="left"/>
        <w:rPr>
          <w:rFonts w:eastAsiaTheme="minorHAnsi"/>
          <w:szCs w:val="24"/>
          <w:lang w:eastAsia="en-US"/>
        </w:rPr>
      </w:pPr>
    </w:p>
    <w:tbl>
      <w:tblPr>
        <w:tblStyle w:val="Tablaconcuadrcula9"/>
        <w:tblW w:w="0" w:type="auto"/>
        <w:tblInd w:w="484" w:type="dxa"/>
        <w:tblLook w:val="04A0" w:firstRow="1" w:lastRow="0" w:firstColumn="1" w:lastColumn="0" w:noHBand="0" w:noVBand="1"/>
      </w:tblPr>
      <w:tblGrid>
        <w:gridCol w:w="2206"/>
        <w:gridCol w:w="1550"/>
        <w:gridCol w:w="1859"/>
        <w:gridCol w:w="1813"/>
      </w:tblGrid>
      <w:tr w:rsidR="00183736" w:rsidRPr="00163F19" w:rsidTr="00183736">
        <w:trPr>
          <w:trHeight w:val="778"/>
        </w:trPr>
        <w:tc>
          <w:tcPr>
            <w:tcW w:w="2301"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Resultado Institucional</w:t>
            </w:r>
          </w:p>
        </w:tc>
        <w:tc>
          <w:tcPr>
            <w:tcW w:w="1625"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General END</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Específico END</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Líneas de Acción END</w:t>
            </w:r>
          </w:p>
        </w:tc>
      </w:tr>
      <w:tr w:rsidR="00163F19" w:rsidRPr="00163F19" w:rsidTr="00183736">
        <w:trPr>
          <w:trHeight w:val="732"/>
        </w:trPr>
        <w:tc>
          <w:tcPr>
            <w:tcW w:w="2301"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lastRenderedPageBreak/>
              <w:t>Garantizadas las</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operaciones de las</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concesionarias de</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conformidad al marco legal establecido </w:t>
            </w:r>
          </w:p>
        </w:tc>
        <w:tc>
          <w:tcPr>
            <w:tcW w:w="1625"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 xml:space="preserve">3.3 </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3.3.1 y 3.3.5</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3.3.1.1, 3.3.1.2, 3.3.1.4 y 3.3.5.4</w:t>
            </w:r>
          </w:p>
        </w:tc>
      </w:tr>
      <w:tr w:rsidR="00163F19" w:rsidRPr="00163F19" w:rsidTr="00183736">
        <w:trPr>
          <w:trHeight w:val="778"/>
        </w:trPr>
        <w:tc>
          <w:tcPr>
            <w:tcW w:w="2301"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Satisfechos los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requerimientos de los usuarios con respecto a los servicios prestados</w:t>
            </w:r>
          </w:p>
        </w:tc>
        <w:tc>
          <w:tcPr>
            <w:tcW w:w="162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260"/>
        </w:trPr>
        <w:tc>
          <w:tcPr>
            <w:tcW w:w="2301"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Usuarios empoderados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y orientados en sus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derechos</w:t>
            </w:r>
          </w:p>
        </w:tc>
        <w:tc>
          <w:tcPr>
            <w:tcW w:w="162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778"/>
        </w:trPr>
        <w:tc>
          <w:tcPr>
            <w:tcW w:w="2301"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Realizada la transición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de la Televisión </w:t>
            </w:r>
          </w:p>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Análoga a Digital</w:t>
            </w:r>
          </w:p>
        </w:tc>
        <w:tc>
          <w:tcPr>
            <w:tcW w:w="162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bl>
    <w:p w:rsidR="00163F19" w:rsidRPr="00163F19" w:rsidRDefault="00C33BBB" w:rsidP="00C33BBB">
      <w:pPr>
        <w:spacing w:after="0" w:line="360" w:lineRule="auto"/>
        <w:jc w:val="left"/>
        <w:rPr>
          <w:rFonts w:eastAsiaTheme="minorHAnsi"/>
          <w:sz w:val="18"/>
          <w:szCs w:val="18"/>
          <w:lang w:eastAsia="en-US"/>
        </w:rPr>
      </w:pPr>
      <w:r>
        <w:rPr>
          <w:rFonts w:eastAsiaTheme="minorHAnsi"/>
          <w:sz w:val="18"/>
          <w:szCs w:val="18"/>
          <w:lang w:eastAsia="en-US"/>
        </w:rPr>
        <w:t xml:space="preserve">           </w:t>
      </w:r>
      <w:r w:rsidR="00163F19" w:rsidRPr="00C33BBB">
        <w:rPr>
          <w:rFonts w:eastAsiaTheme="minorHAnsi"/>
          <w:b/>
          <w:sz w:val="18"/>
          <w:szCs w:val="18"/>
          <w:lang w:eastAsia="en-US"/>
        </w:rPr>
        <w:t>Fuente:</w:t>
      </w:r>
      <w:r w:rsidR="00163F19" w:rsidRPr="00163F19">
        <w:rPr>
          <w:rFonts w:eastAsiaTheme="minorHAnsi"/>
          <w:sz w:val="18"/>
          <w:szCs w:val="18"/>
          <w:lang w:eastAsia="en-US"/>
        </w:rPr>
        <w:t xml:space="preserve"> Plan Estratégico Institucional (PEI) 2021-2024</w:t>
      </w:r>
    </w:p>
    <w:p w:rsidR="00163F19" w:rsidRPr="00163F19" w:rsidRDefault="00163F19" w:rsidP="00163F19">
      <w:pPr>
        <w:spacing w:after="0" w:line="360" w:lineRule="auto"/>
        <w:jc w:val="left"/>
        <w:rPr>
          <w:rFonts w:eastAsiaTheme="minorHAnsi"/>
          <w:b/>
          <w:szCs w:val="24"/>
          <w:lang w:eastAsia="en-US"/>
        </w:rPr>
      </w:pPr>
    </w:p>
    <w:p w:rsidR="00163F19" w:rsidRPr="00163F19" w:rsidRDefault="00163F19" w:rsidP="00163F19">
      <w:pPr>
        <w:spacing w:after="0" w:line="360" w:lineRule="auto"/>
        <w:jc w:val="left"/>
        <w:rPr>
          <w:rFonts w:eastAsiaTheme="minorHAnsi"/>
          <w:b/>
          <w:szCs w:val="24"/>
          <w:lang w:eastAsia="en-US"/>
        </w:rPr>
      </w:pPr>
      <w:r w:rsidRPr="00163F19">
        <w:rPr>
          <w:rFonts w:eastAsiaTheme="minorHAnsi"/>
          <w:b/>
          <w:szCs w:val="24"/>
          <w:lang w:eastAsia="en-US"/>
        </w:rPr>
        <w:t>Eje Estratégico 3: Acceso e Infraestructura</w:t>
      </w:r>
    </w:p>
    <w:p w:rsidR="00163F19" w:rsidRPr="00163F19" w:rsidRDefault="00163F19" w:rsidP="00163F19">
      <w:pPr>
        <w:spacing w:after="0" w:line="360" w:lineRule="auto"/>
        <w:jc w:val="left"/>
        <w:rPr>
          <w:rFonts w:eastAsiaTheme="minorHAnsi"/>
          <w:b/>
          <w:szCs w:val="24"/>
          <w:lang w:eastAsia="en-US"/>
        </w:rPr>
      </w:pPr>
    </w:p>
    <w:p w:rsidR="00163F19" w:rsidRDefault="00163F19" w:rsidP="00163F19">
      <w:pPr>
        <w:spacing w:after="0" w:line="360" w:lineRule="auto"/>
        <w:rPr>
          <w:rFonts w:eastAsiaTheme="minorHAnsi"/>
          <w:szCs w:val="24"/>
          <w:lang w:eastAsia="en-US"/>
        </w:rPr>
      </w:pPr>
      <w:r w:rsidRPr="00163F19">
        <w:rPr>
          <w:rFonts w:eastAsiaTheme="minorHAnsi"/>
          <w:b/>
          <w:szCs w:val="24"/>
          <w:lang w:eastAsia="en-US"/>
        </w:rPr>
        <w:t>Objetivo Estratégico:</w:t>
      </w:r>
      <w:r w:rsidRPr="00163F19">
        <w:rPr>
          <w:rFonts w:eastAsiaTheme="minorHAnsi"/>
          <w:szCs w:val="24"/>
          <w:lang w:eastAsia="en-US"/>
        </w:rPr>
        <w:t xml:space="preserve"> Aumentar el número de personas en la República Dominicana conectadas a internet de banda ancha de calidad, contribuyendo al cierre de la brecha digital.</w:t>
      </w:r>
    </w:p>
    <w:p w:rsidR="00DD76E7" w:rsidRPr="00163F19" w:rsidRDefault="00DD76E7" w:rsidP="00163F19">
      <w:pPr>
        <w:spacing w:after="0" w:line="360" w:lineRule="auto"/>
        <w:rPr>
          <w:rFonts w:eastAsiaTheme="minorHAnsi"/>
          <w:szCs w:val="24"/>
          <w:lang w:eastAsia="en-US"/>
        </w:rPr>
      </w:pPr>
    </w:p>
    <w:p w:rsidR="00163F19" w:rsidRPr="00163F19" w:rsidRDefault="00163F19" w:rsidP="00163F19">
      <w:pPr>
        <w:spacing w:after="0" w:line="360" w:lineRule="auto"/>
        <w:jc w:val="left"/>
        <w:rPr>
          <w:rFonts w:eastAsiaTheme="minorHAnsi"/>
          <w:szCs w:val="24"/>
          <w:lang w:eastAsia="en-US"/>
        </w:rPr>
      </w:pPr>
    </w:p>
    <w:tbl>
      <w:tblPr>
        <w:tblStyle w:val="Tablaconcuadrcula9"/>
        <w:tblW w:w="0" w:type="auto"/>
        <w:tblInd w:w="484" w:type="dxa"/>
        <w:tblLook w:val="04A0" w:firstRow="1" w:lastRow="0" w:firstColumn="1" w:lastColumn="0" w:noHBand="0" w:noVBand="1"/>
      </w:tblPr>
      <w:tblGrid>
        <w:gridCol w:w="1900"/>
        <w:gridCol w:w="1844"/>
        <w:gridCol w:w="1864"/>
        <w:gridCol w:w="1820"/>
      </w:tblGrid>
      <w:tr w:rsidR="00163F19" w:rsidRPr="00163F19" w:rsidTr="00183736">
        <w:trPr>
          <w:trHeight w:val="983"/>
        </w:trPr>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Resultado Institucional</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General END</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Específico END</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Líneas de Acción END</w:t>
            </w:r>
          </w:p>
        </w:tc>
      </w:tr>
      <w:tr w:rsidR="00163F19" w:rsidRPr="00163F19" w:rsidTr="00183736">
        <w:trPr>
          <w:trHeight w:val="732"/>
        </w:trPr>
        <w:tc>
          <w:tcPr>
            <w:tcW w:w="1963" w:type="dxa"/>
          </w:tcPr>
          <w:p w:rsidR="00163F19" w:rsidRPr="00163F19" w:rsidRDefault="00163F19" w:rsidP="00C33BBB">
            <w:pPr>
              <w:spacing w:after="0" w:line="240" w:lineRule="auto"/>
              <w:jc w:val="left"/>
              <w:rPr>
                <w:rFonts w:ascii="Times New Roman" w:hAnsi="Times New Roman" w:cs="Times New Roman"/>
                <w:szCs w:val="24"/>
              </w:rPr>
            </w:pPr>
            <w:r w:rsidRPr="00163F19">
              <w:rPr>
                <w:rFonts w:ascii="Times New Roman" w:hAnsi="Times New Roman" w:cs="Times New Roman"/>
                <w:szCs w:val="24"/>
              </w:rPr>
              <w:t xml:space="preserve">Aumentado el nivel de acceso y uso de la población al internet de banda ancha </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 xml:space="preserve">3.3 </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3.3.5</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3.3.5.3, 3.3.5.4 y 3.3.5.5</w:t>
            </w:r>
          </w:p>
        </w:tc>
      </w:tr>
    </w:tbl>
    <w:p w:rsidR="00163F19" w:rsidRPr="00163F19" w:rsidRDefault="00183736" w:rsidP="00183736">
      <w:pPr>
        <w:spacing w:after="0" w:line="360" w:lineRule="auto"/>
        <w:jc w:val="left"/>
        <w:rPr>
          <w:rFonts w:eastAsiaTheme="minorHAnsi"/>
          <w:sz w:val="18"/>
          <w:szCs w:val="18"/>
          <w:lang w:eastAsia="en-US"/>
        </w:rPr>
      </w:pPr>
      <w:r>
        <w:rPr>
          <w:rFonts w:eastAsiaTheme="minorHAnsi"/>
          <w:sz w:val="18"/>
          <w:szCs w:val="18"/>
          <w:lang w:eastAsia="en-US"/>
        </w:rPr>
        <w:t xml:space="preserve">           </w:t>
      </w:r>
      <w:r w:rsidR="00163F19" w:rsidRPr="00163F19">
        <w:rPr>
          <w:rFonts w:eastAsiaTheme="minorHAnsi"/>
          <w:b/>
          <w:sz w:val="18"/>
          <w:szCs w:val="18"/>
          <w:lang w:eastAsia="en-US"/>
        </w:rPr>
        <w:t>Fuente:</w:t>
      </w:r>
      <w:r w:rsidR="00163F19" w:rsidRPr="00163F19">
        <w:rPr>
          <w:rFonts w:eastAsiaTheme="minorHAnsi"/>
          <w:sz w:val="18"/>
          <w:szCs w:val="18"/>
          <w:lang w:eastAsia="en-US"/>
        </w:rPr>
        <w:t xml:space="preserve"> Plan Estratégico Institucional (PEI) 2021-2024</w:t>
      </w:r>
    </w:p>
    <w:p w:rsidR="00163F19" w:rsidRPr="00163F19" w:rsidRDefault="00163F19" w:rsidP="00163F19">
      <w:pPr>
        <w:spacing w:after="0" w:line="360" w:lineRule="auto"/>
        <w:jc w:val="left"/>
        <w:rPr>
          <w:rFonts w:eastAsiaTheme="minorHAnsi"/>
          <w:b/>
          <w:szCs w:val="24"/>
          <w:lang w:eastAsia="en-US"/>
        </w:rPr>
      </w:pPr>
    </w:p>
    <w:p w:rsidR="00163F19" w:rsidRPr="00163F19" w:rsidRDefault="00163F19" w:rsidP="00163F19">
      <w:pPr>
        <w:spacing w:after="0" w:line="360" w:lineRule="auto"/>
        <w:jc w:val="left"/>
        <w:rPr>
          <w:rFonts w:eastAsiaTheme="minorHAnsi"/>
          <w:b/>
          <w:szCs w:val="24"/>
          <w:lang w:eastAsia="en-US"/>
        </w:rPr>
      </w:pPr>
      <w:r w:rsidRPr="00163F19">
        <w:rPr>
          <w:rFonts w:eastAsiaTheme="minorHAnsi"/>
          <w:b/>
          <w:szCs w:val="24"/>
          <w:lang w:eastAsia="en-US"/>
        </w:rPr>
        <w:t>Eje Estratégico 4: Fortalecimiento Institucional</w:t>
      </w:r>
    </w:p>
    <w:p w:rsidR="00163F19" w:rsidRPr="00163F19" w:rsidRDefault="00163F19" w:rsidP="00163F19">
      <w:pPr>
        <w:spacing w:after="0" w:line="360" w:lineRule="auto"/>
        <w:jc w:val="left"/>
        <w:rPr>
          <w:rFonts w:eastAsiaTheme="minorHAnsi"/>
          <w:b/>
          <w:szCs w:val="24"/>
          <w:lang w:eastAsia="en-US"/>
        </w:rPr>
      </w:pPr>
    </w:p>
    <w:p w:rsidR="00163F19" w:rsidRPr="00163F19" w:rsidRDefault="00163F19" w:rsidP="00163F19">
      <w:pPr>
        <w:spacing w:after="0" w:line="360" w:lineRule="auto"/>
        <w:rPr>
          <w:rFonts w:eastAsiaTheme="minorHAnsi"/>
          <w:szCs w:val="24"/>
          <w:lang w:eastAsia="en-US"/>
        </w:rPr>
      </w:pPr>
      <w:r w:rsidRPr="00163F19">
        <w:rPr>
          <w:rFonts w:eastAsiaTheme="minorHAnsi"/>
          <w:b/>
          <w:szCs w:val="24"/>
          <w:lang w:eastAsia="en-US"/>
        </w:rPr>
        <w:t>Objetivo Estratégico:</w:t>
      </w:r>
      <w:r w:rsidRPr="00163F19">
        <w:rPr>
          <w:rFonts w:eastAsiaTheme="minorHAnsi"/>
          <w:szCs w:val="24"/>
          <w:lang w:eastAsia="en-US"/>
        </w:rPr>
        <w:t xml:space="preserve"> Transformar la institución en un ente eficiente, imparcial, transparente y con mejores prácticas de gestión.</w:t>
      </w:r>
    </w:p>
    <w:p w:rsidR="00163F19" w:rsidRPr="00163F19" w:rsidRDefault="00163F19" w:rsidP="00163F19">
      <w:pPr>
        <w:spacing w:after="0" w:line="360" w:lineRule="auto"/>
        <w:jc w:val="left"/>
        <w:rPr>
          <w:rFonts w:eastAsiaTheme="minorHAnsi"/>
          <w:szCs w:val="24"/>
          <w:lang w:eastAsia="en-US"/>
        </w:rPr>
      </w:pPr>
    </w:p>
    <w:tbl>
      <w:tblPr>
        <w:tblStyle w:val="Tablaconcuadrcula9"/>
        <w:tblW w:w="0" w:type="auto"/>
        <w:tblInd w:w="484" w:type="dxa"/>
        <w:tblLook w:val="04A0" w:firstRow="1" w:lastRow="0" w:firstColumn="1" w:lastColumn="0" w:noHBand="0" w:noVBand="1"/>
      </w:tblPr>
      <w:tblGrid>
        <w:gridCol w:w="2591"/>
        <w:gridCol w:w="1166"/>
        <w:gridCol w:w="1860"/>
        <w:gridCol w:w="1811"/>
      </w:tblGrid>
      <w:tr w:rsidR="00163F19" w:rsidRPr="00163F19" w:rsidTr="00183736">
        <w:trPr>
          <w:trHeight w:val="1443"/>
        </w:trPr>
        <w:tc>
          <w:tcPr>
            <w:tcW w:w="2751"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Resultado Institucional</w:t>
            </w:r>
          </w:p>
        </w:tc>
        <w:tc>
          <w:tcPr>
            <w:tcW w:w="1175"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General END</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Objetivo Específico END</w:t>
            </w:r>
          </w:p>
        </w:tc>
        <w:tc>
          <w:tcPr>
            <w:tcW w:w="1963" w:type="dxa"/>
            <w:shd w:val="clear" w:color="auto" w:fill="003876"/>
            <w:vAlign w:val="center"/>
          </w:tcPr>
          <w:p w:rsidR="00163F19" w:rsidRPr="00163F19" w:rsidRDefault="00163F19" w:rsidP="00183736">
            <w:pPr>
              <w:spacing w:after="0" w:line="360" w:lineRule="auto"/>
              <w:jc w:val="center"/>
              <w:rPr>
                <w:rFonts w:ascii="Times New Roman" w:hAnsi="Times New Roman" w:cs="Times New Roman"/>
                <w:b/>
                <w:color w:val="FFFFFF" w:themeColor="background1"/>
                <w:szCs w:val="24"/>
              </w:rPr>
            </w:pPr>
            <w:r w:rsidRPr="00163F19">
              <w:rPr>
                <w:rFonts w:ascii="Times New Roman" w:hAnsi="Times New Roman" w:cs="Times New Roman"/>
                <w:b/>
                <w:color w:val="FFFFFF" w:themeColor="background1"/>
                <w:szCs w:val="24"/>
              </w:rPr>
              <w:t>Líneas de Acción END</w:t>
            </w:r>
          </w:p>
        </w:tc>
      </w:tr>
      <w:tr w:rsidR="00163F19" w:rsidRPr="00163F19" w:rsidTr="009179CD">
        <w:trPr>
          <w:trHeight w:val="1577"/>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szCs w:val="24"/>
              </w:rPr>
              <w:t>Mejorado el desempeño, la productividad laboral y preservada la equidad de género en la institución</w:t>
            </w:r>
          </w:p>
        </w:tc>
        <w:tc>
          <w:tcPr>
            <w:tcW w:w="1175"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1.1</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1.1.1</w:t>
            </w:r>
          </w:p>
        </w:tc>
        <w:tc>
          <w:tcPr>
            <w:tcW w:w="1963" w:type="dxa"/>
          </w:tcPr>
          <w:p w:rsidR="00163F19" w:rsidRPr="00163F19" w:rsidRDefault="00163F19" w:rsidP="00163F19">
            <w:pPr>
              <w:spacing w:after="0" w:line="360" w:lineRule="auto"/>
              <w:jc w:val="center"/>
              <w:rPr>
                <w:rFonts w:ascii="Times New Roman" w:hAnsi="Times New Roman" w:cs="Times New Roman"/>
                <w:bCs/>
                <w:szCs w:val="24"/>
              </w:rPr>
            </w:pPr>
            <w:r w:rsidRPr="00163F19">
              <w:rPr>
                <w:rFonts w:ascii="Times New Roman" w:hAnsi="Times New Roman" w:cs="Times New Roman"/>
                <w:bCs/>
                <w:szCs w:val="24"/>
              </w:rPr>
              <w:t>1.1.1.4</w:t>
            </w:r>
          </w:p>
        </w:tc>
      </w:tr>
      <w:tr w:rsidR="00163F19" w:rsidRPr="00163F19" w:rsidTr="00183736">
        <w:trPr>
          <w:trHeight w:val="350"/>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Identificados los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colaboradores con los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elementos de la cultura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Institucional</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778"/>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Elevados los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estándares de gestión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institucional</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778"/>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Mejorado el desempeño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y la gestión de la calidad institucional</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778"/>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Asegurada la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continuidad de los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sistemas y la plataforma tecnológica</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1403"/>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Optimizados e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incorporados sistemas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tecnológicos acorde a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los requerimientos</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institucionales</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620"/>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Valorada positivamente la imagen institucional</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778"/>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lastRenderedPageBreak/>
              <w:t xml:space="preserve">Asegurada la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continuidad y eficacia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de las operaciones de la </w:t>
            </w:r>
          </w:p>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institución</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r w:rsidR="00163F19" w:rsidRPr="00163F19" w:rsidTr="00183736">
        <w:trPr>
          <w:trHeight w:val="512"/>
        </w:trPr>
        <w:tc>
          <w:tcPr>
            <w:tcW w:w="2751" w:type="dxa"/>
          </w:tcPr>
          <w:p w:rsidR="00163F19" w:rsidRPr="00163F19" w:rsidRDefault="00163F19"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 xml:space="preserve">Optimizada la gestión </w:t>
            </w:r>
          </w:p>
          <w:p w:rsidR="00163F19" w:rsidRPr="00163F19" w:rsidRDefault="007A1BD8" w:rsidP="00DD76E7">
            <w:pPr>
              <w:spacing w:after="0" w:line="240" w:lineRule="auto"/>
              <w:jc w:val="left"/>
              <w:rPr>
                <w:rFonts w:ascii="Times New Roman" w:hAnsi="Times New Roman" w:cs="Times New Roman"/>
                <w:bCs/>
                <w:szCs w:val="24"/>
              </w:rPr>
            </w:pPr>
            <w:r w:rsidRPr="00163F19">
              <w:rPr>
                <w:rFonts w:ascii="Times New Roman" w:hAnsi="Times New Roman" w:cs="Times New Roman"/>
                <w:bCs/>
                <w:szCs w:val="24"/>
              </w:rPr>
              <w:t>F</w:t>
            </w:r>
            <w:r w:rsidR="00163F19" w:rsidRPr="00163F19">
              <w:rPr>
                <w:rFonts w:ascii="Times New Roman" w:hAnsi="Times New Roman" w:cs="Times New Roman"/>
                <w:bCs/>
                <w:szCs w:val="24"/>
              </w:rPr>
              <w:t>inanciera</w:t>
            </w:r>
          </w:p>
        </w:tc>
        <w:tc>
          <w:tcPr>
            <w:tcW w:w="1175"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c>
          <w:tcPr>
            <w:tcW w:w="1963" w:type="dxa"/>
          </w:tcPr>
          <w:p w:rsidR="00163F19" w:rsidRPr="00163F19" w:rsidRDefault="00163F19" w:rsidP="00163F19">
            <w:pPr>
              <w:spacing w:after="0" w:line="360" w:lineRule="auto"/>
              <w:jc w:val="left"/>
              <w:rPr>
                <w:rFonts w:ascii="Times New Roman" w:hAnsi="Times New Roman" w:cs="Times New Roman"/>
                <w:bCs/>
                <w:szCs w:val="24"/>
              </w:rPr>
            </w:pPr>
          </w:p>
        </w:tc>
      </w:tr>
    </w:tbl>
    <w:p w:rsidR="00163F19" w:rsidRPr="00163F19" w:rsidRDefault="00163F19" w:rsidP="00163F19">
      <w:pPr>
        <w:spacing w:after="0" w:line="360" w:lineRule="auto"/>
        <w:jc w:val="left"/>
        <w:rPr>
          <w:rFonts w:eastAsiaTheme="minorHAnsi"/>
          <w:sz w:val="18"/>
          <w:szCs w:val="18"/>
          <w:lang w:eastAsia="en-US"/>
        </w:rPr>
      </w:pPr>
      <w:r w:rsidRPr="00163F19">
        <w:rPr>
          <w:rFonts w:eastAsiaTheme="minorHAnsi"/>
          <w:sz w:val="18"/>
          <w:szCs w:val="18"/>
          <w:lang w:eastAsia="en-US"/>
        </w:rPr>
        <w:t xml:space="preserve">         </w:t>
      </w:r>
      <w:r w:rsidR="00183736">
        <w:rPr>
          <w:rFonts w:eastAsiaTheme="minorHAnsi"/>
          <w:sz w:val="18"/>
          <w:szCs w:val="18"/>
          <w:lang w:eastAsia="en-US"/>
        </w:rPr>
        <w:t xml:space="preserve">  </w:t>
      </w:r>
      <w:r w:rsidRPr="00163F19">
        <w:rPr>
          <w:rFonts w:eastAsiaTheme="minorHAnsi"/>
          <w:b/>
          <w:sz w:val="18"/>
          <w:szCs w:val="18"/>
          <w:lang w:eastAsia="en-US"/>
        </w:rPr>
        <w:t>Fuente:</w:t>
      </w:r>
      <w:r w:rsidRPr="00163F19">
        <w:rPr>
          <w:rFonts w:eastAsiaTheme="minorHAnsi"/>
          <w:sz w:val="18"/>
          <w:szCs w:val="18"/>
          <w:lang w:eastAsia="en-US"/>
        </w:rPr>
        <w:t xml:space="preserve"> Plan Estratégico Institucional (PEI) 2021-2024</w:t>
      </w:r>
    </w:p>
    <w:p w:rsidR="002639AF" w:rsidRPr="00183736" w:rsidRDefault="002639AF" w:rsidP="002639AF"/>
    <w:p w:rsidR="00163F19" w:rsidRPr="00183736" w:rsidRDefault="00163F19" w:rsidP="002639AF"/>
    <w:p w:rsidR="00163F19" w:rsidRPr="00183736" w:rsidRDefault="00163F19" w:rsidP="002639AF"/>
    <w:p w:rsidR="00163F19" w:rsidRDefault="00163F19" w:rsidP="002639AF"/>
    <w:p w:rsidR="00163F19" w:rsidRDefault="00163F19" w:rsidP="002639AF"/>
    <w:p w:rsidR="00183736" w:rsidRDefault="00183736" w:rsidP="002639AF"/>
    <w:p w:rsidR="00163F19" w:rsidRDefault="00163F19" w:rsidP="002639AF"/>
    <w:p w:rsidR="00DD76E7" w:rsidRDefault="00DD76E7" w:rsidP="002639AF"/>
    <w:p w:rsidR="00DD76E7" w:rsidRDefault="00DD76E7" w:rsidP="002639AF"/>
    <w:p w:rsidR="00DD76E7" w:rsidRDefault="00DD76E7" w:rsidP="002639AF"/>
    <w:p w:rsidR="00DD76E7" w:rsidRDefault="00DD76E7" w:rsidP="002639AF"/>
    <w:p w:rsidR="00DD76E7" w:rsidRDefault="00DD76E7" w:rsidP="002639AF"/>
    <w:p w:rsidR="00DD76E7" w:rsidRDefault="00DD76E7" w:rsidP="002639AF"/>
    <w:p w:rsidR="00DD76E7" w:rsidRDefault="00DD76E7" w:rsidP="002639AF"/>
    <w:p w:rsidR="00DD76E7" w:rsidRDefault="00DD76E7" w:rsidP="002639AF"/>
    <w:p w:rsidR="0079558C" w:rsidRDefault="0079558C" w:rsidP="002639AF"/>
    <w:p w:rsidR="0079558C" w:rsidRDefault="0079558C" w:rsidP="002639AF"/>
    <w:p w:rsidR="0079558C" w:rsidRDefault="0079558C" w:rsidP="002639AF"/>
    <w:p w:rsidR="0079558C" w:rsidRDefault="0079558C" w:rsidP="002639AF"/>
    <w:p w:rsidR="0079558C" w:rsidRDefault="0079558C" w:rsidP="002639AF"/>
    <w:p w:rsidR="007A1BD8" w:rsidRPr="00D61CED" w:rsidRDefault="007A1BD8" w:rsidP="002639AF"/>
    <w:p w:rsidR="002639AF" w:rsidRPr="002B3E80" w:rsidRDefault="002639AF" w:rsidP="00A17C7C">
      <w:pPr>
        <w:pStyle w:val="Ttulo1"/>
        <w:numPr>
          <w:ilvl w:val="0"/>
          <w:numId w:val="25"/>
        </w:numPr>
        <w:ind w:left="90"/>
        <w:rPr>
          <w:sz w:val="28"/>
        </w:rPr>
      </w:pPr>
      <w:bookmarkStart w:id="11" w:name="_Toc90936642"/>
      <w:r>
        <w:rPr>
          <w:color w:val="767171"/>
          <w:sz w:val="28"/>
        </w:rPr>
        <w:lastRenderedPageBreak/>
        <w:t>RESULTADOS MISIONALES</w:t>
      </w:r>
      <w:bookmarkEnd w:id="11"/>
    </w:p>
    <w:p w:rsidR="002639AF" w:rsidRPr="006F0C62" w:rsidRDefault="002639AF" w:rsidP="002639AF">
      <w:r w:rsidRPr="006F0C62">
        <w:rPr>
          <w:noProof/>
          <w:lang w:val="en-US" w:eastAsia="en-US"/>
        </w:rPr>
        <mc:AlternateContent>
          <mc:Choice Requires="wps">
            <w:drawing>
              <wp:anchor distT="0" distB="0" distL="114300" distR="114300" simplePos="0" relativeHeight="251754496" behindDoc="0" locked="1" layoutInCell="1" allowOverlap="1" wp14:anchorId="3957B6FA" wp14:editId="75137493">
                <wp:simplePos x="0" y="0"/>
                <wp:positionH relativeFrom="margin">
                  <wp:posOffset>2235835</wp:posOffset>
                </wp:positionH>
                <wp:positionV relativeFrom="paragraph">
                  <wp:posOffset>37465</wp:posOffset>
                </wp:positionV>
                <wp:extent cx="463550" cy="0"/>
                <wp:effectExtent l="22860" t="22225" r="18415" b="1587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80B77" id="Conector recto 4" o:spid="_x0000_s1026" style="position:absolute;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05pt,2.95pt" to="212.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wx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" strokecolor="#ee2a24" strokeweight="2.25pt">
                <v:stroke joinstyle="miter"/>
                <w10:wrap anchorx="margin"/>
                <w10:anchorlock/>
              </v:line>
            </w:pict>
          </mc:Fallback>
        </mc:AlternateContent>
      </w:r>
    </w:p>
    <w:p w:rsidR="002639AF" w:rsidRPr="006F0C62" w:rsidRDefault="002639AF" w:rsidP="002639AF">
      <w:pPr>
        <w:jc w:val="center"/>
        <w:rPr>
          <w:spacing w:val="20"/>
          <w:szCs w:val="24"/>
        </w:rPr>
      </w:pPr>
      <w:r>
        <w:rPr>
          <w:spacing w:val="20"/>
          <w:szCs w:val="24"/>
        </w:rPr>
        <w:t>Memoria Institucional 2021</w:t>
      </w:r>
    </w:p>
    <w:p w:rsidR="002639AF" w:rsidRDefault="002639AF" w:rsidP="002639AF">
      <w:pPr>
        <w:pStyle w:val="Subttulo"/>
        <w:rPr>
          <w:sz w:val="24"/>
          <w:szCs w:val="24"/>
        </w:rPr>
      </w:pPr>
    </w:p>
    <w:p w:rsidR="002639AF" w:rsidRDefault="002639AF" w:rsidP="002639AF">
      <w:pPr>
        <w:pStyle w:val="Ttulo2"/>
        <w:rPr>
          <w:rFonts w:eastAsia="Calibri"/>
          <w:bCs w:val="0"/>
          <w:spacing w:val="20"/>
          <w:szCs w:val="24"/>
        </w:rPr>
      </w:pPr>
      <w:bookmarkStart w:id="12" w:name="_Toc90936643"/>
      <w:r w:rsidRPr="004F1B76">
        <w:rPr>
          <w:rFonts w:eastAsia="Calibri"/>
          <w:bCs w:val="0"/>
          <w:spacing w:val="20"/>
          <w:szCs w:val="24"/>
        </w:rPr>
        <w:t xml:space="preserve">Información </w:t>
      </w:r>
      <w:r>
        <w:rPr>
          <w:rFonts w:eastAsia="Calibri"/>
          <w:bCs w:val="0"/>
          <w:spacing w:val="20"/>
          <w:szCs w:val="24"/>
        </w:rPr>
        <w:t>C</w:t>
      </w:r>
      <w:r w:rsidRPr="004F1B76">
        <w:rPr>
          <w:rFonts w:eastAsia="Calibri"/>
          <w:bCs w:val="0"/>
          <w:spacing w:val="20"/>
          <w:szCs w:val="24"/>
        </w:rPr>
        <w:t xml:space="preserve">uantitativa, </w:t>
      </w:r>
      <w:r>
        <w:rPr>
          <w:rFonts w:eastAsia="Calibri"/>
          <w:bCs w:val="0"/>
          <w:spacing w:val="20"/>
          <w:szCs w:val="24"/>
        </w:rPr>
        <w:t>C</w:t>
      </w:r>
      <w:r w:rsidRPr="004F1B76">
        <w:rPr>
          <w:rFonts w:eastAsia="Calibri"/>
          <w:bCs w:val="0"/>
          <w:spacing w:val="20"/>
          <w:szCs w:val="24"/>
        </w:rPr>
        <w:t xml:space="preserve">ualitativa </w:t>
      </w:r>
      <w:r>
        <w:rPr>
          <w:rFonts w:eastAsia="Calibri"/>
          <w:bCs w:val="0"/>
          <w:spacing w:val="20"/>
          <w:szCs w:val="24"/>
        </w:rPr>
        <w:t>e</w:t>
      </w:r>
      <w:r w:rsidRPr="004F1B76">
        <w:rPr>
          <w:rFonts w:eastAsia="Calibri"/>
          <w:bCs w:val="0"/>
          <w:spacing w:val="20"/>
          <w:szCs w:val="24"/>
        </w:rPr>
        <w:t xml:space="preserve"> Indicadores </w:t>
      </w:r>
      <w:r>
        <w:rPr>
          <w:rFonts w:eastAsia="Calibri"/>
          <w:bCs w:val="0"/>
          <w:spacing w:val="20"/>
          <w:szCs w:val="24"/>
        </w:rPr>
        <w:t>d</w:t>
      </w:r>
      <w:r w:rsidRPr="004F1B76">
        <w:rPr>
          <w:rFonts w:eastAsia="Calibri"/>
          <w:bCs w:val="0"/>
          <w:spacing w:val="20"/>
          <w:szCs w:val="24"/>
        </w:rPr>
        <w:t xml:space="preserve">e </w:t>
      </w:r>
      <w:r>
        <w:rPr>
          <w:rFonts w:eastAsia="Calibri"/>
          <w:bCs w:val="0"/>
          <w:spacing w:val="20"/>
          <w:szCs w:val="24"/>
        </w:rPr>
        <w:t>l</w:t>
      </w:r>
      <w:r w:rsidRPr="004F1B76">
        <w:rPr>
          <w:rFonts w:eastAsia="Calibri"/>
          <w:bCs w:val="0"/>
          <w:spacing w:val="20"/>
          <w:szCs w:val="24"/>
        </w:rPr>
        <w:t xml:space="preserve">os Procesos </w:t>
      </w:r>
      <w:r>
        <w:rPr>
          <w:rFonts w:eastAsia="Calibri"/>
          <w:bCs w:val="0"/>
          <w:spacing w:val="20"/>
          <w:szCs w:val="24"/>
        </w:rPr>
        <w:t>M</w:t>
      </w:r>
      <w:r w:rsidRPr="004F1B76">
        <w:rPr>
          <w:rFonts w:eastAsia="Calibri"/>
          <w:bCs w:val="0"/>
          <w:spacing w:val="20"/>
          <w:szCs w:val="24"/>
        </w:rPr>
        <w:t>isionales</w:t>
      </w:r>
      <w:bookmarkEnd w:id="12"/>
    </w:p>
    <w:p w:rsidR="002639AF" w:rsidRDefault="002639AF" w:rsidP="002639AF"/>
    <w:p w:rsidR="002639AF" w:rsidRPr="00E83EBC" w:rsidRDefault="002639AF" w:rsidP="002639AF">
      <w:pPr>
        <w:pStyle w:val="Ttulo3"/>
      </w:pPr>
      <w:bookmarkStart w:id="13" w:name="_Toc90936644"/>
      <w:r w:rsidRPr="00E83EBC">
        <w:t>Regulación y Defensa de la Competencia</w:t>
      </w:r>
      <w:bookmarkEnd w:id="13"/>
    </w:p>
    <w:p w:rsidR="002639AF" w:rsidRPr="005D0A88" w:rsidRDefault="002639AF" w:rsidP="002639AF">
      <w:pPr>
        <w:pStyle w:val="Sinespaciado"/>
      </w:pPr>
    </w:p>
    <w:p w:rsidR="002639AF" w:rsidRPr="00936564" w:rsidRDefault="002639AF" w:rsidP="002639AF">
      <w:pPr>
        <w:spacing w:after="300" w:line="360" w:lineRule="auto"/>
        <w:rPr>
          <w:rFonts w:eastAsia="Times New Roman"/>
          <w:szCs w:val="24"/>
        </w:rPr>
      </w:pPr>
      <w:r w:rsidRPr="00936564">
        <w:rPr>
          <w:rFonts w:eastAsia="Times New Roman"/>
          <w:szCs w:val="24"/>
        </w:rPr>
        <w:t>A fin de garantizar el funcionamiento competitivo del mercado de servicios de  telecomunicaciones y dar seguimiento a las tendencias regulatorias internacionales y realidades nacionales para tomar acciones preventivas y garantizar la libre y leal competencia, proteger los derechos de los usuarios y promover las condiciones de prestación de los servicios en términos de calidad y precio que contribuyan con el desarrollo productivo del país, el Consejo Directivo del INDOTEL ha emitido las siguientes Resoluciones:</w:t>
      </w:r>
    </w:p>
    <w:p w:rsidR="002639AF" w:rsidRPr="00936564" w:rsidRDefault="002639AF" w:rsidP="002639AF">
      <w:pPr>
        <w:spacing w:line="360" w:lineRule="auto"/>
        <w:rPr>
          <w:b/>
          <w:szCs w:val="24"/>
        </w:rPr>
      </w:pPr>
      <w:r w:rsidRPr="00936564">
        <w:rPr>
          <w:b/>
          <w:szCs w:val="24"/>
        </w:rPr>
        <w:t xml:space="preserve">Plan Definitivo para la Canalización de las Frecuencias Comprendidas en el Segmento de 698-806 MHz </w:t>
      </w:r>
    </w:p>
    <w:p w:rsidR="002639AF" w:rsidRPr="00936564" w:rsidRDefault="002639AF" w:rsidP="002639AF">
      <w:pPr>
        <w:spacing w:before="300" w:after="0" w:line="360" w:lineRule="auto"/>
        <w:rPr>
          <w:rFonts w:eastAsia="Times New Roman"/>
          <w:szCs w:val="24"/>
        </w:rPr>
      </w:pPr>
      <w:r w:rsidRPr="00936564">
        <w:rPr>
          <w:rFonts w:eastAsia="Times New Roman"/>
          <w:szCs w:val="24"/>
        </w:rPr>
        <w:t xml:space="preserve">El 6 de enero de 2021, el Consejo Directivo del INDOTEL mediante su Resolución Núm. 001-2021, aprobó el plan definitivo para la canalización de las frecuencias comprendidas en el segmento de 698-806 MHz lo cual sentó las bases para llamar a concurso público la adjudicación de las frecuencias necesarias para la introducción de la tecnología 5G en el país. </w:t>
      </w:r>
    </w:p>
    <w:p w:rsidR="002639AF" w:rsidRPr="00936564" w:rsidRDefault="002639AF" w:rsidP="002639AF">
      <w:pPr>
        <w:spacing w:after="0" w:line="360" w:lineRule="auto"/>
        <w:rPr>
          <w:rFonts w:eastAsia="Times New Roman"/>
          <w:szCs w:val="24"/>
        </w:rPr>
      </w:pPr>
    </w:p>
    <w:p w:rsidR="002639AF" w:rsidRPr="00936564" w:rsidRDefault="002639AF" w:rsidP="002639AF">
      <w:pPr>
        <w:spacing w:line="360" w:lineRule="auto"/>
        <w:rPr>
          <w:b/>
          <w:szCs w:val="24"/>
        </w:rPr>
      </w:pPr>
      <w:r w:rsidRPr="00936564">
        <w:rPr>
          <w:b/>
          <w:szCs w:val="24"/>
        </w:rPr>
        <w:t>Licitación Pública Internacional INDOTEL/LPI-001-2021</w:t>
      </w:r>
    </w:p>
    <w:p w:rsidR="002639AF" w:rsidRPr="00936564" w:rsidRDefault="002639AF" w:rsidP="002639AF">
      <w:pPr>
        <w:spacing w:after="115" w:line="360" w:lineRule="auto"/>
        <w:ind w:left="-5" w:right="-9"/>
        <w:rPr>
          <w:rFonts w:eastAsiaTheme="minorHAnsi"/>
          <w:szCs w:val="24"/>
          <w:lang w:val="es-ES" w:eastAsia="en-US"/>
        </w:rPr>
      </w:pPr>
      <w:r w:rsidRPr="00936564">
        <w:rPr>
          <w:rFonts w:eastAsiaTheme="minorHAnsi"/>
          <w:szCs w:val="24"/>
          <w:lang w:val="es-ES" w:eastAsia="en-US"/>
        </w:rPr>
        <w:t xml:space="preserve">El 4 de febrero de 2021, el Consejo Directivo del INDOTEL dictó la Resolución Núm. 005-2021 y con ella aprueba el pliego de condiciones, designa el Comité </w:t>
      </w:r>
      <w:r w:rsidRPr="00936564">
        <w:rPr>
          <w:rFonts w:eastAsiaTheme="minorHAnsi"/>
          <w:szCs w:val="24"/>
          <w:lang w:val="es-ES" w:eastAsia="en-US"/>
        </w:rPr>
        <w:lastRenderedPageBreak/>
        <w:t>Evaluador y convoca a la Licitación Pública Internacional INDOTEL/LPI-001-2021 para el “Otorgamiento de concesiones y las licencias vinculadas para la prestación de servicios públicos portador y finales de telefonía y acceso a Internet, a través de la explotación de frecuencias radioeléctricas dentro de las bandas de 698-806 MHz y 3300-3600 MHz en todo el territorio nacional”.</w:t>
      </w:r>
    </w:p>
    <w:p w:rsidR="002639AF" w:rsidRDefault="002639AF" w:rsidP="00206C19">
      <w:pPr>
        <w:spacing w:after="0" w:line="360" w:lineRule="auto"/>
        <w:rPr>
          <w:rFonts w:eastAsiaTheme="minorHAnsi"/>
          <w:szCs w:val="24"/>
          <w:lang w:val="es-ES" w:eastAsia="en-US"/>
        </w:rPr>
      </w:pPr>
      <w:r w:rsidRPr="00936564">
        <w:rPr>
          <w:rFonts w:eastAsiaTheme="minorHAnsi"/>
          <w:szCs w:val="24"/>
          <w:lang w:val="es-ES" w:eastAsia="en-US"/>
        </w:rPr>
        <w:t xml:space="preserve">Como resultado de la referida Licitación, en fecha 28 de octubre de 2021 el Consejo Directivo del INDOTEL, mediante la Resolución Núm. 115-2021, declaró a las concesionarias: Compañía Dominicana de Teléfonos, S.A. (CLARO) adjudicataria de un total de 70 MHz en el segmento de 3300-3700 MHz y </w:t>
      </w:r>
      <w:proofErr w:type="spellStart"/>
      <w:r w:rsidRPr="00936564">
        <w:rPr>
          <w:rFonts w:eastAsiaTheme="minorHAnsi"/>
          <w:szCs w:val="24"/>
          <w:lang w:val="es-ES" w:eastAsia="en-US"/>
        </w:rPr>
        <w:t>Altice</w:t>
      </w:r>
      <w:proofErr w:type="spellEnd"/>
      <w:r w:rsidRPr="00936564">
        <w:rPr>
          <w:rFonts w:eastAsiaTheme="minorHAnsi"/>
          <w:szCs w:val="24"/>
          <w:lang w:val="es-ES" w:eastAsia="en-US"/>
        </w:rPr>
        <w:t>, S.A. un total de 70 MHz en el segmento de 3400-3470 MHz, para la prestación de servicios públicos de portadores y finales, tanto fijos co</w:t>
      </w:r>
      <w:r w:rsidR="00206C19">
        <w:rPr>
          <w:rFonts w:eastAsiaTheme="minorHAnsi"/>
          <w:szCs w:val="24"/>
          <w:lang w:val="es-ES" w:eastAsia="en-US"/>
        </w:rPr>
        <w:t xml:space="preserve">mo móviles </w:t>
      </w:r>
    </w:p>
    <w:p w:rsidR="00206C19" w:rsidRPr="00206C19" w:rsidRDefault="00206C19" w:rsidP="00206C19">
      <w:pPr>
        <w:pStyle w:val="Textonotasalpie"/>
        <w:rPr>
          <w:lang w:val="es-ES" w:eastAsia="en-US"/>
        </w:rPr>
      </w:pPr>
    </w:p>
    <w:p w:rsidR="002639AF" w:rsidRPr="00936564" w:rsidRDefault="002639AF" w:rsidP="002639AF">
      <w:pPr>
        <w:spacing w:line="360" w:lineRule="auto"/>
        <w:ind w:left="-5" w:right="-9"/>
        <w:rPr>
          <w:rFonts w:eastAsiaTheme="minorHAnsi"/>
          <w:szCs w:val="24"/>
          <w:lang w:val="es-ES" w:eastAsia="en-US"/>
        </w:rPr>
      </w:pPr>
      <w:r w:rsidRPr="00936564">
        <w:rPr>
          <w:rFonts w:eastAsiaTheme="minorHAnsi"/>
          <w:szCs w:val="24"/>
          <w:lang w:val="es-ES" w:eastAsia="en-US"/>
        </w:rPr>
        <w:t>Este acuerdo por uso de las bandas representará para el</w:t>
      </w:r>
      <w:r w:rsidRPr="00936564">
        <w:rPr>
          <w:rFonts w:eastAsiaTheme="minorHAnsi"/>
          <w:color w:val="FF0000"/>
          <w:szCs w:val="24"/>
          <w:lang w:val="es-ES" w:eastAsia="en-US"/>
        </w:rPr>
        <w:t xml:space="preserve"> </w:t>
      </w:r>
      <w:r w:rsidRPr="00936564">
        <w:rPr>
          <w:rFonts w:eastAsiaTheme="minorHAnsi"/>
          <w:szCs w:val="24"/>
          <w:lang w:val="es-ES" w:eastAsia="en-US"/>
        </w:rPr>
        <w:t>Estado Dominicano unos ingresos totales de Setenta y Tres Millones Setecientos Ochenta y Nueve Mil Ciento Veintiocho Dólares de los Estados Unidos de Norteamérica con 00/100 (US$73,789,128.00). La empresa Claro pagará un total de US$53</w:t>
      </w:r>
      <w:proofErr w:type="gramStart"/>
      <w:r w:rsidRPr="00936564">
        <w:rPr>
          <w:rFonts w:eastAsiaTheme="minorHAnsi"/>
          <w:szCs w:val="24"/>
          <w:lang w:val="es-ES" w:eastAsia="en-US"/>
        </w:rPr>
        <w:t>,111,128.00</w:t>
      </w:r>
      <w:proofErr w:type="gramEnd"/>
      <w:r w:rsidRPr="00936564">
        <w:rPr>
          <w:rFonts w:eastAsiaTheme="minorHAnsi"/>
          <w:szCs w:val="24"/>
          <w:lang w:val="es-ES" w:eastAsia="en-US"/>
        </w:rPr>
        <w:t xml:space="preserve"> por el uso de dicho espectro durante los próximos 20 años mientras que </w:t>
      </w:r>
      <w:proofErr w:type="spellStart"/>
      <w:r w:rsidRPr="00936564">
        <w:rPr>
          <w:rFonts w:eastAsiaTheme="minorHAnsi"/>
          <w:szCs w:val="24"/>
          <w:lang w:val="es-ES" w:eastAsia="en-US"/>
        </w:rPr>
        <w:t>Altice</w:t>
      </w:r>
      <w:proofErr w:type="spellEnd"/>
      <w:r w:rsidRPr="00936564">
        <w:rPr>
          <w:rFonts w:eastAsiaTheme="minorHAnsi"/>
          <w:szCs w:val="24"/>
          <w:lang w:val="es-ES" w:eastAsia="en-US"/>
        </w:rPr>
        <w:t xml:space="preserve"> pagará la suma de US$20,678,000.00 por el uso del espectro seleccionado durante los próximos 14 años y ambas concesionarias introducirán los servicios de 5G al menos en los 11 municipios más poblados.</w:t>
      </w:r>
    </w:p>
    <w:p w:rsidR="002639AF" w:rsidRPr="00936564" w:rsidRDefault="002639AF" w:rsidP="002639AF">
      <w:pPr>
        <w:spacing w:after="0" w:line="360" w:lineRule="auto"/>
        <w:rPr>
          <w:rFonts w:eastAsiaTheme="minorHAnsi"/>
          <w:szCs w:val="24"/>
          <w:lang w:val="es-ES" w:eastAsia="en-US"/>
        </w:rPr>
      </w:pPr>
      <w:r w:rsidRPr="00936564">
        <w:rPr>
          <w:rFonts w:eastAsiaTheme="minorHAnsi"/>
          <w:szCs w:val="24"/>
          <w:lang w:val="es-ES" w:eastAsia="en-US"/>
        </w:rPr>
        <w:t xml:space="preserve">Igualmente, el Consejo Directivo del INDOTEL mediante la Resolución Núm. 116-2021, dispuso un reordenamiento de frecuencias radioeléctricas dentro de la banda 3300-3600 MHz conforme lo establecido en el pliego de la licitación pública internacional INDOTEL/LPI-001-2021 en su acápite 5.5. </w:t>
      </w:r>
    </w:p>
    <w:p w:rsidR="002639AF" w:rsidRPr="00936564" w:rsidRDefault="002639AF" w:rsidP="002639AF">
      <w:pPr>
        <w:spacing w:after="0" w:line="360" w:lineRule="auto"/>
        <w:rPr>
          <w:rFonts w:eastAsiaTheme="minorHAnsi"/>
          <w:szCs w:val="24"/>
          <w:lang w:val="es-ES" w:eastAsia="en-US"/>
        </w:rPr>
      </w:pPr>
    </w:p>
    <w:p w:rsidR="002639AF" w:rsidRPr="00936564" w:rsidRDefault="002639AF" w:rsidP="002639AF">
      <w:pPr>
        <w:spacing w:line="360" w:lineRule="auto"/>
        <w:rPr>
          <w:b/>
          <w:szCs w:val="24"/>
        </w:rPr>
      </w:pPr>
      <w:r w:rsidRPr="00936564">
        <w:rPr>
          <w:b/>
          <w:szCs w:val="24"/>
        </w:rPr>
        <w:t>Reglamento Orgánico Funcional de los Cuerpos Colegiados del INDOTEL</w:t>
      </w:r>
    </w:p>
    <w:p w:rsidR="002639AF" w:rsidRPr="00936564" w:rsidRDefault="002639AF" w:rsidP="002639AF">
      <w:pPr>
        <w:spacing w:before="300" w:after="0" w:line="360" w:lineRule="auto"/>
        <w:rPr>
          <w:rFonts w:eastAsia="Times New Roman"/>
          <w:szCs w:val="24"/>
        </w:rPr>
      </w:pPr>
      <w:r w:rsidRPr="00936564">
        <w:rPr>
          <w:rFonts w:eastAsia="Times New Roman"/>
          <w:szCs w:val="24"/>
        </w:rPr>
        <w:t xml:space="preserve">En fecha 25 de febrero de 2021, el Consejo Directivo aprobó la Resolución Núm. 014-2021 “Que deroga las Resoluciones del Consejo Directivo Números 046-03 y </w:t>
      </w:r>
      <w:r w:rsidRPr="00936564">
        <w:rPr>
          <w:rFonts w:eastAsia="Times New Roman"/>
          <w:szCs w:val="24"/>
        </w:rPr>
        <w:lastRenderedPageBreak/>
        <w:t>054-03 y dicta el nuevo Reglamento Orgánico Funcional de los Cuerpos Colegiados del INDOTEL”.</w:t>
      </w:r>
    </w:p>
    <w:p w:rsidR="002639AF" w:rsidRPr="00936564" w:rsidRDefault="002639AF" w:rsidP="002639AF">
      <w:pPr>
        <w:spacing w:before="300" w:after="0" w:line="360" w:lineRule="auto"/>
        <w:rPr>
          <w:rFonts w:eastAsia="Times New Roman"/>
          <w:szCs w:val="24"/>
        </w:rPr>
      </w:pPr>
      <w:r w:rsidRPr="00936564">
        <w:rPr>
          <w:rFonts w:eastAsia="Times New Roman"/>
          <w:szCs w:val="24"/>
        </w:rPr>
        <w:t>Este Reglamento tiene como objetivo regular los procedimientos a seguir por esta institución para la conformación, convocatoria de los Cuerpos Colegiados (CC) del INDOTEL, así como el funcionamiento interno de los Cuerpos Colegiados (CC) y el desenvolvimiento de sus miembros, en el marco de la aplicación del Reglamento para la Solución de Controversias entre los Usuarios y las Prestadoras de Servicios Públicos de Telecomunicaciones.</w:t>
      </w:r>
    </w:p>
    <w:p w:rsidR="002639AF" w:rsidRPr="00936564" w:rsidRDefault="002639AF" w:rsidP="002639AF">
      <w:pPr>
        <w:spacing w:after="0" w:line="360" w:lineRule="auto"/>
        <w:rPr>
          <w:rFonts w:eastAsia="Times New Roman"/>
          <w:szCs w:val="24"/>
        </w:rPr>
      </w:pPr>
    </w:p>
    <w:p w:rsidR="002639AF" w:rsidRPr="00936564" w:rsidRDefault="002639AF" w:rsidP="002639AF">
      <w:pPr>
        <w:spacing w:line="360" w:lineRule="auto"/>
        <w:rPr>
          <w:b/>
          <w:szCs w:val="24"/>
        </w:rPr>
      </w:pPr>
      <w:r w:rsidRPr="00936564">
        <w:rPr>
          <w:b/>
          <w:szCs w:val="24"/>
        </w:rPr>
        <w:t>Televisión Terrestre Digital ATSC (ATSC 1.0)</w:t>
      </w:r>
    </w:p>
    <w:p w:rsidR="002639AF" w:rsidRPr="00936564" w:rsidRDefault="002639AF" w:rsidP="002639AF">
      <w:pPr>
        <w:spacing w:before="300" w:after="0" w:line="360" w:lineRule="auto"/>
        <w:rPr>
          <w:rFonts w:eastAsia="Times New Roman"/>
          <w:szCs w:val="24"/>
        </w:rPr>
      </w:pPr>
      <w:r w:rsidRPr="00936564">
        <w:rPr>
          <w:rFonts w:eastAsia="Times New Roman"/>
          <w:szCs w:val="24"/>
        </w:rPr>
        <w:t>El 4 de marzo de 2021, el Consejo Directivo emitió la Resolución</w:t>
      </w:r>
      <w:r w:rsidRPr="00936564">
        <w:rPr>
          <w:rFonts w:eastAsia="Times New Roman"/>
          <w:color w:val="FF0000"/>
          <w:szCs w:val="24"/>
        </w:rPr>
        <w:t xml:space="preserve"> </w:t>
      </w:r>
      <w:r w:rsidRPr="00936564">
        <w:rPr>
          <w:rFonts w:eastAsia="Times New Roman"/>
          <w:szCs w:val="24"/>
        </w:rPr>
        <w:t xml:space="preserve">Núm. 017-2021 “Que adopta el uso de la versión 1.0 del estándar de Televisión Terrestre Digital ATSC (ATSC 1.0) en la República Dominicana”.   </w:t>
      </w:r>
    </w:p>
    <w:p w:rsidR="002639AF" w:rsidRPr="00936564" w:rsidRDefault="002639AF" w:rsidP="002639AF">
      <w:pPr>
        <w:spacing w:before="300" w:after="0" w:line="360" w:lineRule="auto"/>
        <w:rPr>
          <w:rFonts w:eastAsia="Times New Roman"/>
          <w:szCs w:val="24"/>
        </w:rPr>
      </w:pPr>
      <w:r w:rsidRPr="00936564">
        <w:rPr>
          <w:rFonts w:eastAsia="Times New Roman"/>
          <w:szCs w:val="24"/>
        </w:rPr>
        <w:t xml:space="preserve">En dicha Resolución se adoptó el uso de la primera versión del estándar de televisión digital desarrollado por la </w:t>
      </w:r>
      <w:proofErr w:type="spellStart"/>
      <w:r w:rsidRPr="00936564">
        <w:rPr>
          <w:rFonts w:eastAsia="Times New Roman"/>
          <w:szCs w:val="24"/>
        </w:rPr>
        <w:t>Advanced</w:t>
      </w:r>
      <w:proofErr w:type="spellEnd"/>
      <w:r w:rsidRPr="00936564">
        <w:rPr>
          <w:rFonts w:eastAsia="Times New Roman"/>
          <w:szCs w:val="24"/>
        </w:rPr>
        <w:t xml:space="preserve"> </w:t>
      </w:r>
      <w:proofErr w:type="spellStart"/>
      <w:r w:rsidRPr="00936564">
        <w:rPr>
          <w:rFonts w:eastAsia="Times New Roman"/>
          <w:szCs w:val="24"/>
        </w:rPr>
        <w:t>Television</w:t>
      </w:r>
      <w:proofErr w:type="spellEnd"/>
      <w:r w:rsidRPr="00936564">
        <w:rPr>
          <w:rFonts w:eastAsia="Times New Roman"/>
          <w:szCs w:val="24"/>
        </w:rPr>
        <w:t xml:space="preserve"> </w:t>
      </w:r>
      <w:proofErr w:type="spellStart"/>
      <w:r w:rsidRPr="00936564">
        <w:rPr>
          <w:rFonts w:eastAsia="Times New Roman"/>
          <w:szCs w:val="24"/>
        </w:rPr>
        <w:t>Systems</w:t>
      </w:r>
      <w:proofErr w:type="spellEnd"/>
      <w:r w:rsidRPr="00936564">
        <w:rPr>
          <w:rFonts w:eastAsia="Times New Roman"/>
          <w:szCs w:val="24"/>
        </w:rPr>
        <w:t xml:space="preserve"> </w:t>
      </w:r>
      <w:proofErr w:type="spellStart"/>
      <w:r w:rsidRPr="00936564">
        <w:rPr>
          <w:rFonts w:eastAsia="Times New Roman"/>
          <w:szCs w:val="24"/>
        </w:rPr>
        <w:t>Committee</w:t>
      </w:r>
      <w:proofErr w:type="spellEnd"/>
      <w:r w:rsidRPr="00936564">
        <w:rPr>
          <w:rFonts w:eastAsia="Times New Roman"/>
          <w:szCs w:val="24"/>
        </w:rPr>
        <w:t xml:space="preserve"> (ATSC 1.0) para la implementación de la Televisión Terrestre Digital (TTD) en la República Dominicana de conformidad con la lista de las normas técnicas establecidas para ATSC 1.0, las cuales se encuentran disponibles en la página web </w:t>
      </w:r>
      <w:hyperlink r:id="rId15">
        <w:r w:rsidRPr="00936564">
          <w:rPr>
            <w:rFonts w:eastAsia="Times New Roman"/>
            <w:szCs w:val="24"/>
            <w:u w:val="single"/>
          </w:rPr>
          <w:t>www.atsc.org</w:t>
        </w:r>
      </w:hyperlink>
      <w:r w:rsidRPr="00936564">
        <w:rPr>
          <w:rFonts w:eastAsia="Times New Roman"/>
          <w:szCs w:val="24"/>
        </w:rPr>
        <w:t>.</w:t>
      </w:r>
    </w:p>
    <w:p w:rsidR="002639AF" w:rsidRPr="00936564" w:rsidRDefault="002639AF" w:rsidP="002639AF">
      <w:pPr>
        <w:spacing w:line="360" w:lineRule="auto"/>
        <w:rPr>
          <w:b/>
          <w:szCs w:val="24"/>
        </w:rPr>
      </w:pPr>
    </w:p>
    <w:p w:rsidR="002639AF" w:rsidRPr="00936564" w:rsidRDefault="002639AF" w:rsidP="002639AF">
      <w:pPr>
        <w:spacing w:line="360" w:lineRule="auto"/>
        <w:rPr>
          <w:b/>
          <w:szCs w:val="24"/>
        </w:rPr>
      </w:pPr>
      <w:r w:rsidRPr="00936564">
        <w:rPr>
          <w:b/>
          <w:szCs w:val="24"/>
        </w:rPr>
        <w:t>Actualización y modernización de la Ley General de Telecomunicaciones – Evolución a una Ley de Tecnologías de la Información y las Comunicaciones (TIC)</w:t>
      </w:r>
    </w:p>
    <w:p w:rsidR="002639AF" w:rsidRPr="00936564" w:rsidRDefault="002639AF" w:rsidP="002639AF">
      <w:pPr>
        <w:spacing w:before="300" w:after="0" w:line="360" w:lineRule="auto"/>
        <w:rPr>
          <w:rFonts w:eastAsia="Times New Roman"/>
          <w:i/>
          <w:iCs/>
          <w:szCs w:val="24"/>
        </w:rPr>
      </w:pPr>
      <w:r w:rsidRPr="00936564">
        <w:rPr>
          <w:rFonts w:eastAsia="Times New Roman"/>
          <w:szCs w:val="24"/>
        </w:rPr>
        <w:t xml:space="preserve">En el mes de marzo, se inició un proceso de consulta en aras de lograr una actualización y modernización de la Ley General de Telecomunicaciones – </w:t>
      </w:r>
      <w:r w:rsidRPr="00936564">
        <w:rPr>
          <w:rFonts w:eastAsia="Times New Roman"/>
          <w:szCs w:val="24"/>
        </w:rPr>
        <w:lastRenderedPageBreak/>
        <w:t>Evolución a una Ley de Tecnologías de la Información y las Comunicaciones (TIC).</w:t>
      </w:r>
    </w:p>
    <w:p w:rsidR="002639AF" w:rsidRDefault="002639AF" w:rsidP="002639AF">
      <w:pPr>
        <w:spacing w:before="300" w:after="0" w:line="360" w:lineRule="auto"/>
        <w:rPr>
          <w:rFonts w:eastAsia="Times New Roman"/>
          <w:szCs w:val="24"/>
        </w:rPr>
      </w:pPr>
      <w:r w:rsidRPr="00936564">
        <w:rPr>
          <w:rFonts w:eastAsia="Times New Roman"/>
          <w:szCs w:val="24"/>
        </w:rPr>
        <w:t xml:space="preserve">El objetivo principal de la puesta en consulta pública de este documento es revisión, actualización y modernización de la Ley General de Telecomunicaciones, Núm. 153-98 para facilitar el despliegue y ampliación de las redes, impulsar condiciones de competencia más efectivas y el uso más eficiente del espectro radioeléctrico, que redunden en mejores ofertas para los usuarios, acompañadas de una adecuada protección de los datos de carácter personal y la privacidad de éstos y el fortalecimiento de las capacidades de regulación y control del INDOTEL para ordenar el funcionamiento del mercado e intervenir ante fallas en el mismo, de cara al cumplimiento de los Objetivos de Desarrollo Sostenible (ODS) y la Estrategia Nacional de Desarrollo (END) 2030. </w:t>
      </w:r>
    </w:p>
    <w:p w:rsidR="00537FAB" w:rsidRPr="00936564" w:rsidRDefault="00537FAB" w:rsidP="00537FAB">
      <w:pPr>
        <w:pStyle w:val="Textonotasalpie"/>
      </w:pPr>
    </w:p>
    <w:p w:rsidR="002639AF" w:rsidRPr="00936564" w:rsidRDefault="002639AF" w:rsidP="002639AF">
      <w:pPr>
        <w:spacing w:after="0" w:line="360" w:lineRule="auto"/>
        <w:rPr>
          <w:rFonts w:eastAsia="Times New Roman"/>
          <w:color w:val="C00000"/>
          <w:szCs w:val="24"/>
        </w:rPr>
      </w:pPr>
      <w:r w:rsidRPr="00936564">
        <w:rPr>
          <w:rFonts w:eastAsia="Times New Roman"/>
          <w:szCs w:val="24"/>
        </w:rPr>
        <w:t>Unificar principios y criterios consignados en diferentes normas asociadas a elementos y componentes relacionados con las TIC y, en consecuencia, evitar dispersión y garantizar la articulación y visión uniforme de las reglas aplicables al sector, de manera simplificada, coherente y armónica, promoviendo la coordinación entre entes y órganos del Estado dada la transversalidad de las TIC.</w:t>
      </w:r>
    </w:p>
    <w:p w:rsidR="002639AF" w:rsidRPr="00936564" w:rsidRDefault="002639AF" w:rsidP="00537FAB">
      <w:pPr>
        <w:pStyle w:val="Textonotasalpie"/>
      </w:pPr>
    </w:p>
    <w:p w:rsidR="002639AF" w:rsidRPr="00936564" w:rsidRDefault="002639AF" w:rsidP="002639AF">
      <w:pPr>
        <w:spacing w:line="360" w:lineRule="auto"/>
        <w:rPr>
          <w:b/>
          <w:szCs w:val="24"/>
        </w:rPr>
      </w:pPr>
      <w:r w:rsidRPr="00936564">
        <w:rPr>
          <w:b/>
          <w:szCs w:val="24"/>
        </w:rPr>
        <w:t>Norma que Regula los Indicadores Estadísticos del Sector Telecomunicaciones de la República Dominicana</w:t>
      </w:r>
    </w:p>
    <w:p w:rsidR="002639AF" w:rsidRPr="00936564" w:rsidRDefault="002639AF" w:rsidP="002639AF">
      <w:pPr>
        <w:spacing w:before="300" w:after="0" w:line="360" w:lineRule="auto"/>
        <w:rPr>
          <w:rFonts w:eastAsia="Times New Roman"/>
          <w:szCs w:val="24"/>
        </w:rPr>
      </w:pPr>
      <w:r w:rsidRPr="00936564">
        <w:rPr>
          <w:rFonts w:eastAsia="Times New Roman"/>
          <w:szCs w:val="24"/>
        </w:rPr>
        <w:t>El 29 de abril de 2021, el Consejo Directivo aprobó mediante Resolución Núm. 026-2021 la “Norma que Regula los Indicadores Estadísticos del Sector Telecomunicaciones de la República Dominicana”.</w:t>
      </w:r>
    </w:p>
    <w:p w:rsidR="002639AF" w:rsidRDefault="002639AF" w:rsidP="002639AF">
      <w:pPr>
        <w:spacing w:before="300" w:after="0" w:line="360" w:lineRule="auto"/>
        <w:rPr>
          <w:rFonts w:eastAsia="Times New Roman"/>
          <w:szCs w:val="24"/>
        </w:rPr>
      </w:pPr>
      <w:r w:rsidRPr="00936564">
        <w:rPr>
          <w:rFonts w:eastAsia="Times New Roman"/>
          <w:szCs w:val="24"/>
        </w:rPr>
        <w:t xml:space="preserve">El objeto de la Norma es el establecimiento de un marco normativo que regule las informaciones y datos estadísticos que las prestadoras de servicios públicos de telecomunicaciones deberán presentar ante el INDOTEL mediante el “Manual de </w:t>
      </w:r>
      <w:r w:rsidRPr="00936564">
        <w:rPr>
          <w:rFonts w:eastAsia="Times New Roman"/>
          <w:szCs w:val="24"/>
        </w:rPr>
        <w:lastRenderedPageBreak/>
        <w:t>Indicadores Estadísticos del Sector Telecomunicaciones de la República Dominicana”. Establece la periodicidad, el carácter y el plazo para la entrega de las informaciones y datos estadísticos que las prestadoras de servicios públicos de telecomunicaciones están en obligación de presentar al INDOTEL.</w:t>
      </w:r>
    </w:p>
    <w:p w:rsidR="002639AF" w:rsidRPr="00936564" w:rsidRDefault="002639AF" w:rsidP="00537FAB">
      <w:pPr>
        <w:pStyle w:val="Textonotasalpie"/>
      </w:pPr>
    </w:p>
    <w:p w:rsidR="002639AF" w:rsidRPr="00936564" w:rsidRDefault="002639AF" w:rsidP="002639AF">
      <w:pPr>
        <w:spacing w:line="360" w:lineRule="auto"/>
        <w:rPr>
          <w:b/>
          <w:szCs w:val="24"/>
        </w:rPr>
      </w:pPr>
      <w:r w:rsidRPr="00936564">
        <w:rPr>
          <w:b/>
          <w:szCs w:val="24"/>
        </w:rPr>
        <w:t>Proceso Fijación Cargos de Interconexión</w:t>
      </w:r>
    </w:p>
    <w:p w:rsidR="002639AF" w:rsidRPr="00936564" w:rsidRDefault="002639AF" w:rsidP="002639AF">
      <w:pPr>
        <w:spacing w:before="300" w:after="0" w:line="360" w:lineRule="auto"/>
        <w:rPr>
          <w:rFonts w:eastAsia="Times New Roman"/>
          <w:szCs w:val="24"/>
        </w:rPr>
      </w:pPr>
      <w:r w:rsidRPr="00936564">
        <w:rPr>
          <w:rFonts w:eastAsia="Times New Roman"/>
          <w:szCs w:val="24"/>
        </w:rPr>
        <w:t xml:space="preserve">En junio, el Consejo Directivo por medio de su Resolución Núm. 053-2021 del 7 de junio de 2021, procedió a analizar y emitir su opinión respecto a las adendas de los contratos de interconexión suscritas entre </w:t>
      </w:r>
      <w:proofErr w:type="spellStart"/>
      <w:r w:rsidRPr="00936564">
        <w:rPr>
          <w:rFonts w:eastAsia="Times New Roman"/>
          <w:szCs w:val="24"/>
        </w:rPr>
        <w:t>Altice</w:t>
      </w:r>
      <w:proofErr w:type="spellEnd"/>
      <w:r w:rsidRPr="00936564">
        <w:rPr>
          <w:rFonts w:eastAsia="Times New Roman"/>
          <w:szCs w:val="24"/>
        </w:rPr>
        <w:t xml:space="preserve"> Dominicana, S.A., (ALTICE), Compañía Dominicana de Teléfonos, S.A., (CLARO), ONEMAX, S.A., (ONEMAX), </w:t>
      </w:r>
      <w:proofErr w:type="spellStart"/>
      <w:r w:rsidRPr="00936564">
        <w:rPr>
          <w:rFonts w:eastAsia="Times New Roman"/>
          <w:szCs w:val="24"/>
        </w:rPr>
        <w:t>Trilogy</w:t>
      </w:r>
      <w:proofErr w:type="spellEnd"/>
      <w:r w:rsidRPr="00936564">
        <w:rPr>
          <w:rFonts w:eastAsia="Times New Roman"/>
          <w:szCs w:val="24"/>
        </w:rPr>
        <w:t xml:space="preserve"> Dominicana, S.A., (VIVA) y </w:t>
      </w:r>
      <w:proofErr w:type="spellStart"/>
      <w:r w:rsidRPr="00936564">
        <w:rPr>
          <w:rFonts w:eastAsia="Times New Roman"/>
          <w:szCs w:val="24"/>
        </w:rPr>
        <w:t>Wind</w:t>
      </w:r>
      <w:proofErr w:type="spellEnd"/>
      <w:r w:rsidRPr="00936564">
        <w:rPr>
          <w:rFonts w:eastAsia="Times New Roman"/>
          <w:szCs w:val="24"/>
        </w:rPr>
        <w:t xml:space="preserve"> Telecom, S.A., (WIND TELECOM), los días 29 y 30 de marzo de 2021; y 7 y 12 de abril de 2021, las cuales contienen los precios de interconexión por el que estas empresas se cobrarán los servicios de interconexión que se presten entre sí.</w:t>
      </w:r>
    </w:p>
    <w:p w:rsidR="002639AF" w:rsidRPr="00936564" w:rsidRDefault="002639AF" w:rsidP="002639AF">
      <w:pPr>
        <w:spacing w:before="300" w:after="0" w:line="360" w:lineRule="auto"/>
        <w:rPr>
          <w:rFonts w:eastAsia="Times New Roman"/>
          <w:szCs w:val="24"/>
        </w:rPr>
      </w:pPr>
      <w:r w:rsidRPr="00936564">
        <w:rPr>
          <w:rFonts w:eastAsia="Times New Roman"/>
          <w:szCs w:val="24"/>
        </w:rPr>
        <w:t xml:space="preserve">El Consejo Directivo del INDOTEL, luego de haber dado sendas oportunidades a las empresas para que ajustaran sus actuales precios de interconexión de forma significativa, ha decidido por medio de dicha Resolución no aprobar los cargos pactados por las prestadoras y dar curso, de oficio, al procedimiento de fijación de precios de interconexión en cumplimiento a lo dispuesto por la Resolución Núm. 095-2020 de fecha 27 de noviembre de 2020 y en apego al Reglamento de Tarifas y Costos de Servicios, Resolución Núm. 093-06 del 1 de junio de 2006. </w:t>
      </w:r>
    </w:p>
    <w:p w:rsidR="002639AF" w:rsidRPr="00936564" w:rsidRDefault="002639AF" w:rsidP="002639AF">
      <w:pPr>
        <w:spacing w:after="3" w:line="360" w:lineRule="auto"/>
        <w:ind w:left="-5" w:right="-9"/>
        <w:rPr>
          <w:rFonts w:eastAsiaTheme="minorHAnsi"/>
          <w:szCs w:val="24"/>
          <w:lang w:eastAsia="en-US"/>
        </w:rPr>
      </w:pPr>
    </w:p>
    <w:p w:rsidR="002639AF" w:rsidRPr="00936564" w:rsidRDefault="002639AF" w:rsidP="002639AF">
      <w:pPr>
        <w:spacing w:after="3" w:line="360" w:lineRule="auto"/>
        <w:ind w:left="-5" w:right="-9"/>
        <w:rPr>
          <w:rFonts w:eastAsiaTheme="minorHAnsi"/>
          <w:color w:val="C00000"/>
          <w:szCs w:val="24"/>
          <w:lang w:val="es-ES" w:eastAsia="en-US"/>
        </w:rPr>
      </w:pPr>
      <w:r w:rsidRPr="00936564">
        <w:rPr>
          <w:rFonts w:eastAsiaTheme="minorHAnsi"/>
          <w:szCs w:val="24"/>
          <w:lang w:val="es-ES" w:eastAsia="en-US"/>
        </w:rPr>
        <w:t xml:space="preserve">Dando seguimiento al proceso de fijación de cargos de interconexión, el día 14 de octubre de 2021 se emitió la Resolución Núm. 104-2021 que da inicio al procedimiento para la fijación de los cargos de interconexión conforme lo establecido en el Reglamento de Tarifas y Costos de Servicios y en cumplimiento a lo dispuesto por el Consejo Directivo mediante la Resolución Núm. 093-06. La referida Resolución establece que en un plazo no mayor de noventa (90) días </w:t>
      </w:r>
      <w:r w:rsidRPr="00936564">
        <w:rPr>
          <w:rFonts w:eastAsiaTheme="minorHAnsi"/>
          <w:szCs w:val="24"/>
          <w:lang w:val="es-ES" w:eastAsia="en-US"/>
        </w:rPr>
        <w:lastRenderedPageBreak/>
        <w:t xml:space="preserve">calendario contados a partir de la aprobación de la misma, se presentará a las prestadoras involucradas un Estudio de Costos con el modelo a utilizar para la intervención del órgano regulador. </w:t>
      </w:r>
    </w:p>
    <w:p w:rsidR="002639AF" w:rsidRPr="00936564" w:rsidRDefault="002639AF" w:rsidP="002639AF">
      <w:pPr>
        <w:spacing w:after="3" w:line="360" w:lineRule="auto"/>
        <w:ind w:left="-15" w:right="-9"/>
        <w:rPr>
          <w:rFonts w:eastAsiaTheme="minorHAnsi"/>
          <w:szCs w:val="24"/>
          <w:lang w:val="es-ES" w:eastAsia="en-US"/>
        </w:rPr>
      </w:pPr>
    </w:p>
    <w:p w:rsidR="002639AF" w:rsidRPr="00936564" w:rsidRDefault="002639AF" w:rsidP="002639AF">
      <w:pPr>
        <w:spacing w:after="3" w:line="360" w:lineRule="auto"/>
        <w:ind w:left="-15" w:right="-9"/>
        <w:rPr>
          <w:rFonts w:eastAsiaTheme="minorHAnsi"/>
          <w:szCs w:val="24"/>
          <w:lang w:val="es-ES" w:eastAsia="en-US"/>
        </w:rPr>
      </w:pPr>
      <w:r w:rsidRPr="00936564">
        <w:rPr>
          <w:rFonts w:eastAsiaTheme="minorHAnsi"/>
          <w:szCs w:val="24"/>
          <w:lang w:val="es-ES" w:eastAsia="en-US"/>
        </w:rPr>
        <w:t xml:space="preserve">Para este fin, se inició el proceso para la contratación de una consultoría que elabore el estudio de costos que será utilizado en el procedimiento de fijación de cargos de interconexión, con la licitación pública internacional INDOTEL-CCC-LPI-2021-0001, con un presupuesto de unos Trece Millones de Pesos Dominicanos con 00/100 (RD$13,000,000.00).  </w:t>
      </w:r>
    </w:p>
    <w:p w:rsidR="002639AF" w:rsidRPr="00936564" w:rsidRDefault="002639AF" w:rsidP="002639AF">
      <w:pPr>
        <w:spacing w:after="0" w:line="360" w:lineRule="auto"/>
        <w:rPr>
          <w:rFonts w:eastAsia="Times New Roman"/>
          <w:szCs w:val="24"/>
        </w:rPr>
      </w:pPr>
    </w:p>
    <w:p w:rsidR="002639AF" w:rsidRPr="00936564" w:rsidRDefault="002639AF" w:rsidP="002639AF">
      <w:pPr>
        <w:spacing w:line="360" w:lineRule="auto"/>
        <w:rPr>
          <w:b/>
          <w:szCs w:val="24"/>
        </w:rPr>
      </w:pPr>
      <w:r w:rsidRPr="00936564">
        <w:rPr>
          <w:b/>
          <w:szCs w:val="24"/>
        </w:rPr>
        <w:t>Norma que Establece el Procedimiento de Revocación de Autorizaciones para Prestar Servicios de Telecomunicaciones en la República Dominicana y para el Uso del Espectro Radioeléctrico</w:t>
      </w:r>
    </w:p>
    <w:p w:rsidR="002639AF" w:rsidRPr="00936564" w:rsidRDefault="002639AF" w:rsidP="002639AF">
      <w:pPr>
        <w:spacing w:before="300" w:after="0" w:line="360" w:lineRule="auto"/>
        <w:rPr>
          <w:rFonts w:eastAsia="Times New Roman"/>
          <w:szCs w:val="24"/>
        </w:rPr>
      </w:pPr>
      <w:r w:rsidRPr="00936564">
        <w:rPr>
          <w:rFonts w:eastAsia="Times New Roman"/>
          <w:szCs w:val="24"/>
        </w:rPr>
        <w:t>El Consejo Directivo Mediante la Resolución Núm. 060-2021 aprobó la “Norma que establece el Procedimiento de Revocación de Autorizaciones para Prestar Servicios de Telecomunicaciones en la República Dominicana y para el Uso del Espectro Radioeléctrico”, en fecha 17 de junio de 2021, luego de agotado el proceso de consulta pública dispuesto mediante la Resolución Núm. 012-2021.</w:t>
      </w:r>
    </w:p>
    <w:p w:rsidR="002639AF" w:rsidRPr="00936564" w:rsidRDefault="002639AF" w:rsidP="002639AF">
      <w:pPr>
        <w:spacing w:before="300" w:after="0" w:line="360" w:lineRule="auto"/>
        <w:rPr>
          <w:rFonts w:eastAsia="Times New Roman"/>
          <w:szCs w:val="24"/>
        </w:rPr>
      </w:pPr>
      <w:r w:rsidRPr="00936564">
        <w:rPr>
          <w:rFonts w:eastAsia="Times New Roman"/>
          <w:szCs w:val="24"/>
        </w:rPr>
        <w:t>Esta Norma tiene por objeto el establecimiento de un marco normativo que regule y precise el procedimiento administrativo para el ejercicio de la facultad revocatoria del INDOTEL con el propósito de lograr la revocación total o parcial de las autorizaciones para prestar servicios de telecomunicaciones, para el uso del espectro radioeléctrico o la inscripción en registros especiales en la República Dominicana, por las causas descritas en el artículo 29 de la Ley General de Telecomunicaciones, Núm. 153-98 y las previstas en los contratos de concesión suscritos.</w:t>
      </w:r>
    </w:p>
    <w:p w:rsidR="002639AF" w:rsidRPr="00936564" w:rsidRDefault="002639AF" w:rsidP="002639AF">
      <w:pPr>
        <w:spacing w:after="0" w:line="360" w:lineRule="auto"/>
        <w:rPr>
          <w:rFonts w:eastAsia="Times New Roman"/>
          <w:szCs w:val="24"/>
        </w:rPr>
      </w:pPr>
    </w:p>
    <w:p w:rsidR="002639AF" w:rsidRPr="00936564" w:rsidRDefault="002639AF" w:rsidP="002639AF">
      <w:pPr>
        <w:spacing w:after="3" w:line="360" w:lineRule="auto"/>
        <w:ind w:left="-15" w:right="-9"/>
        <w:rPr>
          <w:rFonts w:eastAsiaTheme="minorHAnsi"/>
          <w:szCs w:val="24"/>
          <w:lang w:val="es-ES" w:eastAsia="en-US"/>
        </w:rPr>
      </w:pPr>
    </w:p>
    <w:p w:rsidR="002639AF" w:rsidRPr="00936564" w:rsidRDefault="002639AF" w:rsidP="002639AF">
      <w:pPr>
        <w:spacing w:after="274" w:line="360" w:lineRule="auto"/>
        <w:rPr>
          <w:rFonts w:eastAsiaTheme="minorHAnsi"/>
          <w:b/>
          <w:bCs/>
          <w:szCs w:val="24"/>
          <w:lang w:val="es-ES" w:eastAsia="en-US"/>
        </w:rPr>
      </w:pPr>
      <w:r w:rsidRPr="00936564">
        <w:rPr>
          <w:rFonts w:eastAsiaTheme="minorHAnsi"/>
          <w:b/>
          <w:bCs/>
          <w:szCs w:val="24"/>
          <w:lang w:val="es-ES" w:eastAsia="en-US"/>
        </w:rPr>
        <w:lastRenderedPageBreak/>
        <w:t>Plan Maestro de Uso del Espectro Radioeléctrico para la República Dominicana para los Próximos Cinco (5) Años</w:t>
      </w:r>
    </w:p>
    <w:p w:rsidR="002639AF" w:rsidRPr="00936564" w:rsidRDefault="002639AF" w:rsidP="002639AF">
      <w:pPr>
        <w:spacing w:after="0" w:line="360" w:lineRule="auto"/>
        <w:rPr>
          <w:rFonts w:eastAsiaTheme="minorHAnsi"/>
          <w:szCs w:val="24"/>
          <w:lang w:val="es-ES" w:eastAsia="en-US"/>
        </w:rPr>
      </w:pPr>
      <w:r w:rsidRPr="00936564">
        <w:rPr>
          <w:rFonts w:eastAsiaTheme="minorHAnsi"/>
          <w:szCs w:val="24"/>
          <w:lang w:val="es-ES" w:eastAsia="en-US"/>
        </w:rPr>
        <w:t>En fecha 22 de julio de 2021, el Consejo Directivo del INDOTEL mediante la Resolución Núm. 071-2021, aprobó el Plan Maestro de Uso del Espectro Radioeléctrico para la República Dominicana para los próximos cinco (5) años.</w:t>
      </w:r>
    </w:p>
    <w:p w:rsidR="002639AF" w:rsidRPr="00936564" w:rsidRDefault="002639AF" w:rsidP="002639AF">
      <w:pPr>
        <w:spacing w:after="0" w:line="360" w:lineRule="auto"/>
        <w:rPr>
          <w:rFonts w:eastAsiaTheme="minorHAnsi"/>
          <w:szCs w:val="24"/>
          <w:lang w:val="es-ES" w:eastAsia="en-US"/>
        </w:rPr>
      </w:pPr>
    </w:p>
    <w:p w:rsidR="002639AF" w:rsidRPr="00936564" w:rsidRDefault="002639AF" w:rsidP="002639AF">
      <w:pPr>
        <w:spacing w:after="0" w:line="360" w:lineRule="auto"/>
        <w:rPr>
          <w:rFonts w:eastAsiaTheme="minorHAnsi"/>
          <w:szCs w:val="24"/>
          <w:lang w:val="es-ES" w:eastAsia="en-US"/>
        </w:rPr>
      </w:pPr>
      <w:r w:rsidRPr="00936564">
        <w:rPr>
          <w:rFonts w:eastAsiaTheme="minorHAnsi"/>
          <w:szCs w:val="24"/>
          <w:lang w:val="es-ES" w:eastAsia="en-US"/>
        </w:rPr>
        <w:t>El propósito del Plan Maestro de Uso del Espectro Radioeléctrico (PMUER) es definir las acciones, metas y objetivos en relación con la gestión de</w:t>
      </w:r>
      <w:r w:rsidR="0006365B">
        <w:rPr>
          <w:rFonts w:eastAsiaTheme="minorHAnsi"/>
          <w:szCs w:val="24"/>
          <w:lang w:val="es-ES" w:eastAsia="en-US"/>
        </w:rPr>
        <w:t>l</w:t>
      </w:r>
      <w:r w:rsidRPr="00936564">
        <w:rPr>
          <w:rFonts w:eastAsiaTheme="minorHAnsi"/>
          <w:szCs w:val="24"/>
          <w:lang w:val="es-ES" w:eastAsia="en-US"/>
        </w:rPr>
        <w:t xml:space="preserve"> espectro radioeléctrico a ser ejecutados por el INDOTEL durante los próximos 5 años.</w:t>
      </w:r>
    </w:p>
    <w:p w:rsidR="002639AF" w:rsidRPr="00936564" w:rsidRDefault="002639AF" w:rsidP="002639AF">
      <w:pPr>
        <w:spacing w:after="0" w:line="360" w:lineRule="auto"/>
        <w:rPr>
          <w:rFonts w:eastAsiaTheme="minorHAnsi"/>
          <w:szCs w:val="24"/>
          <w:lang w:val="es-ES" w:eastAsia="en-US"/>
        </w:rPr>
      </w:pPr>
    </w:p>
    <w:p w:rsidR="002639AF" w:rsidRPr="00936564" w:rsidRDefault="002639AF" w:rsidP="002639AF">
      <w:pPr>
        <w:spacing w:after="3" w:line="360" w:lineRule="auto"/>
        <w:ind w:left="-15" w:right="-9"/>
        <w:rPr>
          <w:rFonts w:eastAsiaTheme="minorHAnsi"/>
          <w:b/>
          <w:bCs/>
          <w:szCs w:val="24"/>
          <w:lang w:val="es-ES" w:eastAsia="en-US"/>
        </w:rPr>
      </w:pPr>
      <w:r w:rsidRPr="00936564">
        <w:rPr>
          <w:rFonts w:eastAsiaTheme="minorHAnsi"/>
          <w:b/>
          <w:bCs/>
          <w:szCs w:val="24"/>
          <w:lang w:val="es-ES" w:eastAsia="en-US"/>
        </w:rPr>
        <w:t>Reglamento Para la Celebración de Audiencias Públicas del Instituto Dominicano de las Telecomunicaciones (INDOTEL)</w:t>
      </w:r>
    </w:p>
    <w:p w:rsidR="002639AF" w:rsidRPr="00936564" w:rsidRDefault="002639AF" w:rsidP="002639AF">
      <w:pPr>
        <w:spacing w:after="3" w:line="360" w:lineRule="auto"/>
        <w:ind w:left="-15" w:right="-9"/>
        <w:rPr>
          <w:rFonts w:eastAsiaTheme="minorHAnsi"/>
          <w:szCs w:val="24"/>
          <w:lang w:val="es-ES" w:eastAsia="en-US"/>
        </w:rPr>
      </w:pPr>
    </w:p>
    <w:p w:rsidR="002639AF" w:rsidRPr="00936564" w:rsidRDefault="002639AF" w:rsidP="002639AF">
      <w:pPr>
        <w:spacing w:after="274" w:line="360" w:lineRule="auto"/>
        <w:rPr>
          <w:rFonts w:eastAsiaTheme="minorHAnsi"/>
          <w:szCs w:val="24"/>
          <w:lang w:val="es-ES" w:eastAsia="en-US"/>
        </w:rPr>
      </w:pPr>
      <w:r w:rsidRPr="00936564">
        <w:rPr>
          <w:rFonts w:eastAsiaTheme="minorHAnsi"/>
          <w:szCs w:val="24"/>
          <w:lang w:val="es-ES" w:eastAsia="en-US"/>
        </w:rPr>
        <w:t>En fecha 9 de septiembre de 2021, el Consejo Directivo del INDOTEL mediante la Resolución Núm. 091-2021 colocó en consulta pública el nuevo Reglamento Para la Celebración de Audiencias Públicas del Instituto Dominicano de las Telecomunicaciones (INDOTEL).</w:t>
      </w:r>
    </w:p>
    <w:p w:rsidR="002639AF" w:rsidRDefault="002639AF" w:rsidP="002639AF">
      <w:pPr>
        <w:spacing w:after="0" w:line="360" w:lineRule="auto"/>
        <w:rPr>
          <w:rFonts w:eastAsiaTheme="minorHAnsi"/>
          <w:szCs w:val="24"/>
          <w:lang w:val="es-ES" w:eastAsia="en-US"/>
        </w:rPr>
      </w:pPr>
      <w:r w:rsidRPr="00936564">
        <w:rPr>
          <w:rFonts w:eastAsiaTheme="minorHAnsi"/>
          <w:szCs w:val="24"/>
          <w:lang w:val="es-ES" w:eastAsia="en-US"/>
        </w:rPr>
        <w:t>El objetivo de este Reglamento es crear un mecanismo justo, transparente, eficaz, eficiente, no discriminatorio y abierto a la participación de las partes en el proceso de elaboración de las normas de alcance general que emita el INDOTEL a través de las cuales se da oportunidad a los interesados a participar en este proceso, expresando sus comentarios sobre la norma o reglamentación consultada los cuales no serán vinculantes para el órgano regulador.</w:t>
      </w:r>
    </w:p>
    <w:p w:rsidR="002639AF" w:rsidRPr="00936564" w:rsidRDefault="002639AF" w:rsidP="0006365B">
      <w:pPr>
        <w:pStyle w:val="Textonotasalpie"/>
        <w:rPr>
          <w:lang w:val="es-ES" w:eastAsia="en-US"/>
        </w:rPr>
      </w:pPr>
    </w:p>
    <w:p w:rsidR="002639AF" w:rsidRPr="00936564" w:rsidRDefault="002639AF" w:rsidP="002639AF">
      <w:pPr>
        <w:spacing w:after="297" w:line="360" w:lineRule="auto"/>
        <w:ind w:left="-15"/>
        <w:rPr>
          <w:rFonts w:eastAsiaTheme="minorHAnsi"/>
          <w:b/>
          <w:bCs/>
          <w:szCs w:val="24"/>
          <w:lang w:val="es-ES" w:eastAsia="en-US"/>
        </w:rPr>
      </w:pPr>
      <w:r w:rsidRPr="00936564">
        <w:rPr>
          <w:rFonts w:eastAsiaTheme="minorHAnsi"/>
          <w:b/>
          <w:bCs/>
          <w:szCs w:val="24"/>
          <w:lang w:val="es-ES" w:eastAsia="en-US"/>
        </w:rPr>
        <w:t xml:space="preserve">Identificación de los Mercados Relevantes sujetos a regulación ex ante. </w:t>
      </w:r>
    </w:p>
    <w:p w:rsidR="002639AF" w:rsidRPr="00936564" w:rsidRDefault="002639AF" w:rsidP="002639AF">
      <w:pPr>
        <w:spacing w:after="3" w:line="360" w:lineRule="auto"/>
        <w:ind w:left="-5" w:right="-9"/>
        <w:rPr>
          <w:rFonts w:eastAsiaTheme="minorHAnsi"/>
          <w:szCs w:val="24"/>
          <w:lang w:val="es-ES" w:eastAsia="en-US"/>
        </w:rPr>
      </w:pPr>
      <w:r w:rsidRPr="00936564">
        <w:rPr>
          <w:rFonts w:eastAsiaTheme="minorHAnsi"/>
          <w:szCs w:val="24"/>
          <w:lang w:val="es-ES" w:eastAsia="en-US"/>
        </w:rPr>
        <w:t xml:space="preserve">El 7 de octubre de 2021, el Consejo Directivo del INDOTEL aprobó la Resolución Núm. 098-2021 mediante la cual identifica los mercados relevantes del sector de </w:t>
      </w:r>
      <w:r w:rsidRPr="00936564">
        <w:rPr>
          <w:rFonts w:eastAsiaTheme="minorHAnsi"/>
          <w:szCs w:val="24"/>
          <w:lang w:val="es-ES" w:eastAsia="en-US"/>
        </w:rPr>
        <w:lastRenderedPageBreak/>
        <w:t>las telecomunicaciones y establece los mercados relevantes sujetos de regulación ex ante del sector de las telecomunicaciones de la República Dominicana.</w:t>
      </w:r>
    </w:p>
    <w:p w:rsidR="002639AF" w:rsidRPr="00936564" w:rsidRDefault="002639AF" w:rsidP="002639AF">
      <w:pPr>
        <w:spacing w:after="3" w:line="360" w:lineRule="auto"/>
        <w:ind w:left="-5" w:right="-9"/>
        <w:rPr>
          <w:rFonts w:eastAsiaTheme="minorHAnsi"/>
          <w:szCs w:val="24"/>
          <w:lang w:val="es-ES" w:eastAsia="en-US"/>
        </w:rPr>
      </w:pPr>
    </w:p>
    <w:p w:rsidR="002639AF" w:rsidRPr="00936564" w:rsidRDefault="002639AF" w:rsidP="002639AF">
      <w:pPr>
        <w:spacing w:after="3" w:line="360" w:lineRule="auto"/>
        <w:ind w:left="-5" w:right="-9"/>
        <w:rPr>
          <w:rFonts w:eastAsiaTheme="minorHAnsi"/>
          <w:szCs w:val="24"/>
          <w:lang w:val="es-ES" w:eastAsia="en-US"/>
        </w:rPr>
      </w:pPr>
      <w:r w:rsidRPr="00936564">
        <w:rPr>
          <w:rFonts w:eastAsiaTheme="minorHAnsi"/>
          <w:szCs w:val="24"/>
          <w:lang w:val="es-ES" w:eastAsia="en-US"/>
        </w:rPr>
        <w:t>Cumpliendo con los principios establecidos en la norma, en fecha 29 de octubre de 2021, el Consejo Directivo del INDOTEL mediante Resolución Núm. 114-2021 colocó en consulta pública la determinación de los operadores con posición de dominio en los mercados relevantes identificados en la Resolución Núm. 098-2021.</w:t>
      </w:r>
    </w:p>
    <w:p w:rsidR="002639AF" w:rsidRPr="00936564" w:rsidRDefault="002639AF" w:rsidP="002639AF">
      <w:pPr>
        <w:spacing w:after="3" w:line="360" w:lineRule="auto"/>
        <w:ind w:left="-15" w:right="-9"/>
        <w:rPr>
          <w:rFonts w:eastAsiaTheme="minorHAnsi"/>
          <w:szCs w:val="24"/>
          <w:lang w:val="es-ES" w:eastAsia="en-US"/>
        </w:rPr>
      </w:pPr>
    </w:p>
    <w:p w:rsidR="002639AF" w:rsidRDefault="002639AF" w:rsidP="002639AF">
      <w:pPr>
        <w:spacing w:after="3" w:line="360" w:lineRule="auto"/>
        <w:ind w:left="-15" w:right="-9"/>
        <w:rPr>
          <w:rFonts w:eastAsiaTheme="minorHAnsi"/>
          <w:szCs w:val="24"/>
          <w:lang w:val="es-ES" w:eastAsia="en-US"/>
        </w:rPr>
      </w:pPr>
      <w:r w:rsidRPr="00936564">
        <w:rPr>
          <w:rFonts w:eastAsiaTheme="minorHAnsi"/>
          <w:szCs w:val="24"/>
          <w:lang w:val="es-ES" w:eastAsia="en-US"/>
        </w:rPr>
        <w:t xml:space="preserve">El fin de un análisis de mercados relevantes es estudiar las presiones competitivas a las que se enfrentan las empresas, identificando cuáles son los agentes en el mercado y cuál es la fuerza que cada uno de los mismos ejerce para influenciar la conducta de sus competidores para asegurar que las medidas regulatorias que han de aplicarse a los servicios se encuentren fundamentadas en criterios y condiciones de orden económico como son los análisis de condiciones de competencia, la existencia de posición dominante y la presencia de fallas de mercado que ameritan la imposición de medidas regulatorias. </w:t>
      </w:r>
    </w:p>
    <w:p w:rsidR="0006365B" w:rsidRDefault="0006365B" w:rsidP="0006365B">
      <w:pPr>
        <w:pStyle w:val="Textonotasalpie"/>
        <w:rPr>
          <w:lang w:val="es-ES" w:eastAsia="en-US"/>
        </w:rPr>
      </w:pPr>
    </w:p>
    <w:p w:rsidR="0006365B" w:rsidRPr="00936564" w:rsidRDefault="0006365B" w:rsidP="0006365B">
      <w:pPr>
        <w:spacing w:after="0" w:line="360" w:lineRule="auto"/>
        <w:rPr>
          <w:rFonts w:eastAsiaTheme="minorHAnsi"/>
          <w:b/>
          <w:szCs w:val="24"/>
          <w:lang w:val="es-ES" w:eastAsia="en-US"/>
        </w:rPr>
      </w:pPr>
      <w:r w:rsidRPr="00936564">
        <w:rPr>
          <w:rFonts w:eastAsiaTheme="minorHAnsi"/>
          <w:b/>
          <w:szCs w:val="24"/>
          <w:lang w:val="es-ES" w:eastAsia="en-US"/>
        </w:rPr>
        <w:t>Inclusión del servicio Móvil en la licencia que asigna a CLARO 30 MHz en la banda de 3.5GHz</w:t>
      </w:r>
    </w:p>
    <w:p w:rsidR="0006365B" w:rsidRPr="00936564" w:rsidRDefault="0006365B" w:rsidP="0006365B">
      <w:pPr>
        <w:pStyle w:val="Textonotasalpie"/>
        <w:rPr>
          <w:lang w:val="es-ES" w:eastAsia="en-US"/>
        </w:rPr>
      </w:pPr>
    </w:p>
    <w:p w:rsidR="002639AF" w:rsidRPr="00936564" w:rsidRDefault="0006365B" w:rsidP="0006365B">
      <w:pPr>
        <w:spacing w:after="3" w:line="360" w:lineRule="auto"/>
        <w:ind w:left="-15" w:right="-9"/>
        <w:rPr>
          <w:rFonts w:eastAsiaTheme="minorHAnsi"/>
          <w:szCs w:val="24"/>
          <w:lang w:val="es-ES" w:eastAsia="en-US"/>
        </w:rPr>
      </w:pPr>
      <w:r w:rsidRPr="00936564">
        <w:rPr>
          <w:rFonts w:eastAsiaTheme="minorHAnsi"/>
          <w:szCs w:val="24"/>
          <w:lang w:val="es-ES" w:eastAsia="en-US"/>
        </w:rPr>
        <w:t>Asimismo, mediante la Resolución Núm. 119-2021, el Consejo Directivo en fecha 4 de noviembre de 2021, declaró la conformidad de Compañía Dominicana de Teléfonos, S.A. (CLARO), con los lineamientos de la Resolución Núm. 022-2020 y autorizó la inclusión del servicio móvil en los 30MHz que tenía previamente asignados para servicios fijos. El Estado recibirá como contraprestación de esta habilitación la suma de Cuatro Millones Cincuenta Mil Dólares de los Estados Unidos de Norteamérica con 00/100 (USD$4</w:t>
      </w:r>
      <w:proofErr w:type="gramStart"/>
      <w:r w:rsidRPr="00936564">
        <w:rPr>
          <w:rFonts w:eastAsiaTheme="minorHAnsi"/>
          <w:szCs w:val="24"/>
          <w:lang w:val="es-ES" w:eastAsia="en-US"/>
        </w:rPr>
        <w:t>,050,000.00</w:t>
      </w:r>
      <w:proofErr w:type="gramEnd"/>
      <w:r w:rsidRPr="00936564">
        <w:rPr>
          <w:rFonts w:eastAsiaTheme="minorHAnsi"/>
          <w:szCs w:val="24"/>
          <w:lang w:val="es-ES" w:eastAsia="en-US"/>
        </w:rPr>
        <w:t>) a ser pagados una mitad en dinero y la otra mitad mediante el despliegue de estaciones bases en cinco (5) comunidades rurales que no contaban con servicios.</w:t>
      </w:r>
    </w:p>
    <w:p w:rsidR="002639AF" w:rsidRPr="00936564" w:rsidRDefault="002639AF" w:rsidP="002639AF">
      <w:pPr>
        <w:spacing w:line="360" w:lineRule="auto"/>
        <w:rPr>
          <w:b/>
          <w:szCs w:val="24"/>
        </w:rPr>
      </w:pPr>
      <w:r w:rsidRPr="00936564">
        <w:rPr>
          <w:b/>
          <w:szCs w:val="24"/>
        </w:rPr>
        <w:lastRenderedPageBreak/>
        <w:t>Reglamento del Servicio de Televisión Terrestre Digital en la República Dominicana</w:t>
      </w:r>
    </w:p>
    <w:p w:rsidR="002639AF" w:rsidRPr="00936564" w:rsidRDefault="002639AF" w:rsidP="002639AF">
      <w:pPr>
        <w:spacing w:after="0" w:line="360" w:lineRule="auto"/>
        <w:ind w:hanging="14"/>
        <w:rPr>
          <w:rFonts w:eastAsiaTheme="minorHAnsi"/>
          <w:szCs w:val="24"/>
          <w:lang w:val="es-ES" w:eastAsia="en-US"/>
        </w:rPr>
      </w:pPr>
      <w:r w:rsidRPr="00936564">
        <w:rPr>
          <w:rFonts w:eastAsiaTheme="minorHAnsi"/>
          <w:szCs w:val="24"/>
          <w:lang w:val="es-ES" w:eastAsia="en-US"/>
        </w:rPr>
        <w:t xml:space="preserve">En fecha 11 de noviembre de 2021, el Consejo Directivo mediante la Resolución Núm. 121-2021, dictó el Reglamento del Servicio de Televisión Terrestre Digital en la República Dominicana. </w:t>
      </w:r>
    </w:p>
    <w:p w:rsidR="002639AF" w:rsidRPr="00936564" w:rsidRDefault="002639AF" w:rsidP="002639AF">
      <w:pPr>
        <w:spacing w:after="0" w:line="360" w:lineRule="auto"/>
        <w:ind w:hanging="14"/>
        <w:rPr>
          <w:rFonts w:eastAsiaTheme="minorHAnsi"/>
          <w:szCs w:val="24"/>
          <w:lang w:val="es-ES" w:eastAsia="en-US"/>
        </w:rPr>
      </w:pPr>
    </w:p>
    <w:p w:rsidR="002639AF" w:rsidRPr="00936564" w:rsidRDefault="002639AF" w:rsidP="002639AF">
      <w:pPr>
        <w:spacing w:line="360" w:lineRule="auto"/>
        <w:ind w:left="-5" w:right="-9"/>
        <w:rPr>
          <w:rFonts w:eastAsiaTheme="minorHAnsi"/>
          <w:szCs w:val="24"/>
          <w:lang w:val="es-ES" w:eastAsia="en-US"/>
        </w:rPr>
      </w:pPr>
      <w:r w:rsidRPr="00936564">
        <w:rPr>
          <w:rFonts w:eastAsiaTheme="minorHAnsi"/>
          <w:szCs w:val="24"/>
          <w:lang w:val="es-ES" w:eastAsia="en-US"/>
        </w:rPr>
        <w:t xml:space="preserve">Este Reglamento tiene por objetivo establecer las disposiciones administrativas y técnicas que regulen la radiodifusión televisiva y la transición hacia la Televisión Terrestre Digital (TTD). Los servicios de TTD se regirán en su contenido por la información, programación, publicidad, derechos de autor, propiedad intelectual y demás aspectos propios de los medios de comunicación social, ya sea de normas de derecho interno o que resulten de convenios o acuerdos internacionales suscritos y ratificados por la República Dominicana. </w:t>
      </w:r>
    </w:p>
    <w:p w:rsidR="002639AF" w:rsidRPr="00936564" w:rsidRDefault="002639AF" w:rsidP="002639AF">
      <w:pPr>
        <w:spacing w:after="297" w:line="360" w:lineRule="auto"/>
        <w:ind w:left="-5"/>
        <w:rPr>
          <w:rFonts w:eastAsiaTheme="minorHAnsi"/>
          <w:szCs w:val="24"/>
          <w:lang w:val="es-ES" w:eastAsia="en-US"/>
        </w:rPr>
      </w:pPr>
      <w:r w:rsidRPr="00936564">
        <w:rPr>
          <w:rFonts w:eastAsiaTheme="minorHAnsi"/>
          <w:b/>
          <w:bCs/>
          <w:szCs w:val="24"/>
          <w:lang w:val="es-ES" w:eastAsia="en-US"/>
        </w:rPr>
        <w:t>Plan de Transición a la Televisión Terrestre Digital en la República Dominicana</w:t>
      </w:r>
      <w:r w:rsidRPr="00936564">
        <w:rPr>
          <w:rFonts w:eastAsiaTheme="minorHAnsi"/>
          <w:szCs w:val="24"/>
          <w:lang w:val="es-ES" w:eastAsia="en-US"/>
        </w:rPr>
        <w:t xml:space="preserve"> </w:t>
      </w:r>
    </w:p>
    <w:p w:rsidR="002639AF" w:rsidRPr="00936564" w:rsidRDefault="002639AF" w:rsidP="002639AF">
      <w:pPr>
        <w:spacing w:after="253" w:line="360" w:lineRule="auto"/>
        <w:ind w:left="-5" w:right="-9"/>
        <w:rPr>
          <w:rFonts w:eastAsiaTheme="minorHAnsi"/>
          <w:szCs w:val="24"/>
          <w:lang w:val="es-ES" w:eastAsia="en-US"/>
        </w:rPr>
      </w:pPr>
      <w:r w:rsidRPr="00936564">
        <w:rPr>
          <w:rFonts w:eastAsiaTheme="minorHAnsi"/>
          <w:szCs w:val="24"/>
          <w:lang w:val="es-ES" w:eastAsia="en-US"/>
        </w:rPr>
        <w:t xml:space="preserve">Igualmente, el 11 de noviembre de 2021, el Consejo Directivo mediante la Resolución Núm. 122-2021 dictó el Plan de Transición a la Televisión Terrestre Digital en la República Dominicana. </w:t>
      </w:r>
    </w:p>
    <w:p w:rsidR="002639AF" w:rsidRPr="00936564" w:rsidRDefault="002639AF" w:rsidP="002639AF">
      <w:pPr>
        <w:spacing w:after="7" w:line="360" w:lineRule="auto"/>
        <w:ind w:left="-5" w:right="-9"/>
        <w:rPr>
          <w:rFonts w:eastAsiaTheme="minorHAnsi"/>
          <w:szCs w:val="24"/>
          <w:lang w:val="es-ES" w:eastAsia="en-US"/>
        </w:rPr>
      </w:pPr>
      <w:r w:rsidRPr="00936564">
        <w:rPr>
          <w:rFonts w:eastAsiaTheme="minorHAnsi"/>
          <w:szCs w:val="24"/>
          <w:lang w:val="es-ES" w:eastAsia="en-US"/>
        </w:rPr>
        <w:t xml:space="preserve">Este plan tiene por objeto establecer las condiciones y directrices a seguir por parte de las concesionarias del servicio de radiodifusión televisiva y que deberán tomar en consideración para la transición de la televisión analógica a la digital, así como definir el cronograma de implementación de la Televisión Terrestre Digital a fin de cumplir con los mandatos establecidos por Decreto, la Ley General de Telecomunicaciones, Núm. 153-98 y las reglamentaciones aplicables. </w:t>
      </w:r>
    </w:p>
    <w:p w:rsidR="002639AF" w:rsidRPr="00936564" w:rsidRDefault="002639AF" w:rsidP="002639AF">
      <w:pPr>
        <w:spacing w:after="0" w:line="360" w:lineRule="auto"/>
        <w:rPr>
          <w:rFonts w:eastAsiaTheme="minorHAnsi"/>
          <w:szCs w:val="24"/>
          <w:lang w:val="es-ES" w:eastAsia="en-US"/>
        </w:rPr>
      </w:pPr>
    </w:p>
    <w:p w:rsidR="002639AF" w:rsidRPr="00936564" w:rsidRDefault="002639AF" w:rsidP="002639AF">
      <w:pPr>
        <w:spacing w:after="0" w:line="360" w:lineRule="auto"/>
        <w:rPr>
          <w:rFonts w:eastAsiaTheme="minorHAnsi"/>
          <w:szCs w:val="24"/>
          <w:lang w:val="es-ES" w:eastAsia="en-US"/>
        </w:rPr>
      </w:pPr>
    </w:p>
    <w:p w:rsidR="002639AF" w:rsidRPr="00936564" w:rsidRDefault="002639AF" w:rsidP="002639AF">
      <w:pPr>
        <w:spacing w:after="0" w:line="360" w:lineRule="auto"/>
        <w:rPr>
          <w:rFonts w:eastAsiaTheme="minorHAnsi"/>
          <w:szCs w:val="24"/>
          <w:lang w:val="es-ES" w:eastAsia="en-US"/>
        </w:rPr>
      </w:pPr>
    </w:p>
    <w:p w:rsidR="002639AF" w:rsidRPr="00936564" w:rsidRDefault="002639AF" w:rsidP="002639AF">
      <w:pPr>
        <w:spacing w:after="3" w:line="360" w:lineRule="auto"/>
        <w:ind w:left="-5" w:right="-9"/>
        <w:rPr>
          <w:rFonts w:eastAsiaTheme="minorHAnsi"/>
          <w:b/>
          <w:bCs/>
          <w:szCs w:val="24"/>
          <w:lang w:val="es-ES" w:eastAsia="en-US"/>
        </w:rPr>
      </w:pPr>
      <w:r w:rsidRPr="00936564">
        <w:rPr>
          <w:rFonts w:eastAsiaTheme="minorHAnsi"/>
          <w:b/>
          <w:bCs/>
          <w:szCs w:val="24"/>
          <w:lang w:val="es-ES" w:eastAsia="en-US"/>
        </w:rPr>
        <w:lastRenderedPageBreak/>
        <w:t xml:space="preserve">Reglamento de </w:t>
      </w:r>
      <w:proofErr w:type="spellStart"/>
      <w:r w:rsidRPr="00936564">
        <w:rPr>
          <w:rFonts w:eastAsiaTheme="minorHAnsi"/>
          <w:b/>
          <w:bCs/>
          <w:szCs w:val="24"/>
          <w:lang w:val="es-ES" w:eastAsia="en-US"/>
        </w:rPr>
        <w:t>Ciberseguridad</w:t>
      </w:r>
      <w:proofErr w:type="spellEnd"/>
      <w:r w:rsidRPr="00936564">
        <w:rPr>
          <w:rFonts w:eastAsiaTheme="minorHAnsi"/>
          <w:b/>
          <w:bCs/>
          <w:szCs w:val="24"/>
          <w:lang w:val="es-ES" w:eastAsia="en-US"/>
        </w:rPr>
        <w:t xml:space="preserve"> para la Prestación del Servicio de Acceso a Internet</w:t>
      </w:r>
    </w:p>
    <w:p w:rsidR="002639AF" w:rsidRPr="00936564" w:rsidRDefault="002639AF" w:rsidP="002639AF">
      <w:pPr>
        <w:spacing w:after="3" w:line="360" w:lineRule="auto"/>
        <w:ind w:left="-15" w:right="-9"/>
        <w:rPr>
          <w:rFonts w:eastAsiaTheme="minorHAnsi"/>
          <w:szCs w:val="24"/>
          <w:lang w:val="es-ES" w:eastAsia="en-US"/>
        </w:rPr>
      </w:pPr>
    </w:p>
    <w:p w:rsidR="002639AF" w:rsidRPr="00936564" w:rsidRDefault="002639AF" w:rsidP="002639AF">
      <w:pPr>
        <w:spacing w:after="3" w:line="360" w:lineRule="auto"/>
        <w:ind w:left="-15" w:right="-9"/>
        <w:rPr>
          <w:rFonts w:eastAsiaTheme="minorHAnsi"/>
          <w:szCs w:val="24"/>
          <w:lang w:val="es-ES" w:eastAsia="en-US"/>
        </w:rPr>
      </w:pPr>
      <w:r w:rsidRPr="00936564">
        <w:rPr>
          <w:rFonts w:eastAsiaTheme="minorHAnsi"/>
          <w:szCs w:val="24"/>
          <w:lang w:val="es-ES" w:eastAsia="en-US"/>
        </w:rPr>
        <w:t xml:space="preserve">En fecha 18 de noviembre de 2021, el Consejo Directivo del INDOTEL mediante la Resolución Núm. 126-2021 dictó el Reglamento de </w:t>
      </w:r>
      <w:proofErr w:type="spellStart"/>
      <w:r w:rsidRPr="00936564">
        <w:rPr>
          <w:rFonts w:eastAsiaTheme="minorHAnsi"/>
          <w:szCs w:val="24"/>
          <w:lang w:val="es-ES" w:eastAsia="en-US"/>
        </w:rPr>
        <w:t>Ciberseguridad</w:t>
      </w:r>
      <w:proofErr w:type="spellEnd"/>
      <w:r w:rsidRPr="00936564">
        <w:rPr>
          <w:rFonts w:eastAsiaTheme="minorHAnsi"/>
          <w:szCs w:val="24"/>
          <w:lang w:val="es-ES" w:eastAsia="en-US"/>
        </w:rPr>
        <w:t xml:space="preserve"> para la Prestación del Servicio de Acceso a Internet.</w:t>
      </w:r>
    </w:p>
    <w:p w:rsidR="002639AF" w:rsidRPr="00936564" w:rsidRDefault="002639AF" w:rsidP="002639AF">
      <w:pPr>
        <w:spacing w:after="3" w:line="360" w:lineRule="auto"/>
        <w:ind w:left="-5" w:right="-9"/>
        <w:rPr>
          <w:rFonts w:eastAsiaTheme="minorHAnsi"/>
          <w:szCs w:val="24"/>
          <w:lang w:val="es-ES" w:eastAsia="en-US"/>
        </w:rPr>
      </w:pPr>
      <w:r w:rsidRPr="00936564">
        <w:rPr>
          <w:rFonts w:eastAsiaTheme="minorHAnsi"/>
          <w:szCs w:val="24"/>
          <w:lang w:val="es-ES" w:eastAsia="en-US"/>
        </w:rPr>
        <w:t xml:space="preserve"> </w:t>
      </w:r>
    </w:p>
    <w:p w:rsidR="002639AF" w:rsidRPr="00936564" w:rsidRDefault="002639AF" w:rsidP="002639AF">
      <w:pPr>
        <w:spacing w:after="3" w:line="360" w:lineRule="auto"/>
        <w:ind w:left="-5" w:right="-9"/>
        <w:rPr>
          <w:rFonts w:eastAsiaTheme="minorHAnsi"/>
          <w:szCs w:val="24"/>
          <w:lang w:val="es-ES" w:eastAsia="en-US"/>
        </w:rPr>
      </w:pPr>
      <w:r w:rsidRPr="00936564">
        <w:rPr>
          <w:rFonts w:eastAsiaTheme="minorHAnsi"/>
          <w:szCs w:val="24"/>
          <w:lang w:val="es-ES" w:eastAsia="en-US"/>
        </w:rPr>
        <w:t>El objetivo de este Reglamento es establecer medidas de alcance general que servirán de base a las prestadoras de servicios de acceso a internet y prestadoras de infraestructura activa para garantizar el continuo funcionamiento y seguridad del servicio de acceso a internet, como también asegurar la integridad, disponibilidad y confidencialidad de la información que se transmite, almacena y/o procesa a través de las infraestructuras y/o plataformas pertenecientes, contratadas o asociadas directamente a las prestadoras de servicio de acceso a internet y prestadoras de infraestructuras activas.</w:t>
      </w:r>
    </w:p>
    <w:p w:rsidR="002639AF" w:rsidRPr="00936564" w:rsidRDefault="002639AF" w:rsidP="002639AF">
      <w:pPr>
        <w:spacing w:after="0" w:line="360" w:lineRule="auto"/>
        <w:rPr>
          <w:rFonts w:eastAsiaTheme="minorHAnsi"/>
          <w:szCs w:val="24"/>
          <w:lang w:val="es-ES" w:eastAsia="en-U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2639AF" w:rsidRDefault="002639AF" w:rsidP="002639AF">
      <w:pPr>
        <w:pStyle w:val="Sinespaciado"/>
        <w:rPr>
          <w:lang w:val="es-ES"/>
        </w:rPr>
      </w:pPr>
    </w:p>
    <w:p w:rsidR="0006365B" w:rsidRDefault="0006365B" w:rsidP="002639AF">
      <w:pPr>
        <w:pStyle w:val="Sinespaciado"/>
        <w:rPr>
          <w:lang w:val="es-ES"/>
        </w:rPr>
      </w:pPr>
    </w:p>
    <w:p w:rsidR="0006365B" w:rsidRPr="00936564" w:rsidRDefault="0006365B" w:rsidP="002639AF">
      <w:pPr>
        <w:pStyle w:val="Sinespaciado"/>
        <w:rPr>
          <w:lang w:val="es-ES"/>
        </w:rPr>
      </w:pPr>
    </w:p>
    <w:p w:rsidR="002639AF" w:rsidRPr="006C2750" w:rsidRDefault="002639AF" w:rsidP="002639AF">
      <w:pPr>
        <w:pStyle w:val="Ttulo3"/>
        <w:rPr>
          <w:rStyle w:val="Ttulo1Car"/>
          <w:rFonts w:eastAsia="Calibri"/>
          <w:color w:val="767171"/>
          <w:sz w:val="24"/>
          <w:szCs w:val="28"/>
        </w:rPr>
      </w:pPr>
      <w:bookmarkStart w:id="14" w:name="_Toc90936645"/>
      <w:r w:rsidRPr="00E83EBC">
        <w:lastRenderedPageBreak/>
        <w:t>Espectro Radioeléctrico</w:t>
      </w:r>
      <w:bookmarkEnd w:id="14"/>
    </w:p>
    <w:p w:rsidR="002639AF" w:rsidRPr="00A407BC" w:rsidRDefault="002639AF" w:rsidP="002639AF">
      <w:pPr>
        <w:pStyle w:val="Sinespaciado"/>
        <w:rPr>
          <w:color w:val="767171"/>
          <w:lang w:val="es-ES" w:eastAsia="en-US"/>
        </w:rPr>
      </w:pPr>
    </w:p>
    <w:p w:rsidR="002639AF" w:rsidRPr="00414C4F" w:rsidRDefault="002639AF" w:rsidP="002639AF">
      <w:pPr>
        <w:spacing w:line="360" w:lineRule="auto"/>
        <w:rPr>
          <w:szCs w:val="24"/>
        </w:rPr>
      </w:pPr>
      <w:r w:rsidRPr="00414C4F">
        <w:rPr>
          <w:szCs w:val="24"/>
        </w:rPr>
        <w:t>El INDOTEL tiene la responsabilidad de procurar una adecuada planeación y gestión del espectro radioeléctrico a los fines de satisfacer la demanda actual y futura de los diferentes servicios de radiocomunicaciones, verificar su correcto uso mediante comprobaciones técnicas llevadas a cabo de forma remota a través de las estaciones fijas de monitoreo o presencial; actualizar el Registro Nacional de Frecuencias (RNF) a partir de las resoluciones que aprueba el Consejo Directivo otorgando licencias para el uso del espectro radioeléctrico y emitir anualmente los Derechos de Uso (DU) del mismo.</w:t>
      </w:r>
    </w:p>
    <w:p w:rsidR="002639AF" w:rsidRPr="00414C4F" w:rsidRDefault="002639AF" w:rsidP="002639AF">
      <w:pPr>
        <w:spacing w:line="360" w:lineRule="auto"/>
        <w:rPr>
          <w:szCs w:val="24"/>
        </w:rPr>
      </w:pPr>
      <w:r w:rsidRPr="00414C4F">
        <w:rPr>
          <w:szCs w:val="24"/>
        </w:rPr>
        <w:t xml:space="preserve">Para llevar a cabo las tareas mencionadas anteriormente, en el período comprendido entre el 1ro. </w:t>
      </w:r>
      <w:proofErr w:type="gramStart"/>
      <w:r w:rsidRPr="00414C4F">
        <w:rPr>
          <w:szCs w:val="24"/>
        </w:rPr>
        <w:t>de</w:t>
      </w:r>
      <w:proofErr w:type="gramEnd"/>
      <w:r w:rsidRPr="00414C4F">
        <w:rPr>
          <w:szCs w:val="24"/>
        </w:rPr>
        <w:t xml:space="preserve"> enero y 15 de noviembre del año 2021, se realizaron las siguientes acciones:</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rPr>
          <w:b/>
        </w:rPr>
      </w:pPr>
      <w:r w:rsidRPr="00414C4F">
        <w:rPr>
          <w:b/>
        </w:rPr>
        <w:t>Derecho de Uso (DU) del Espectro Radioeléctrico</w:t>
      </w:r>
    </w:p>
    <w:p w:rsidR="002639AF" w:rsidRPr="00414C4F" w:rsidRDefault="002639AF" w:rsidP="002639AF">
      <w:pPr>
        <w:spacing w:line="360" w:lineRule="auto"/>
      </w:pPr>
      <w:r w:rsidRPr="00414C4F">
        <w:t xml:space="preserve">En consonancia con la Resolución Núm. 061-2020, la cual ordena la modificación del valor de la constante de conversión, contenida en la fórmula que determina el valor del Derecho de Uso para la licencia de servicios públicos de Radiodifusión Televisiva, establecido en la Resolución del Consejo Directivo Núm. 034-2020, que dicta el Reglamento General de Uso de Espectro Radioeléctrico, se procedió a la incorporación de estas fórmulas al Sistema de Gestión Automatizado de Espectro (ASMS) para la generación de los Derechos de Uso (DU) correspondientes al 2021. </w:t>
      </w:r>
    </w:p>
    <w:p w:rsidR="002639AF" w:rsidRPr="00414C4F" w:rsidRDefault="002639AF" w:rsidP="002639AF">
      <w:pPr>
        <w:spacing w:line="360" w:lineRule="auto"/>
      </w:pPr>
      <w:r w:rsidRPr="00414C4F">
        <w:t xml:space="preserve">Estas fórmulas van a depender del tipo de licencia, las cuales se dividen en tres fórmulas de la siguiente manera: </w:t>
      </w:r>
    </w:p>
    <w:p w:rsidR="002639AF" w:rsidRPr="00414C4F" w:rsidRDefault="002639AF" w:rsidP="00A17C7C">
      <w:pPr>
        <w:numPr>
          <w:ilvl w:val="0"/>
          <w:numId w:val="32"/>
        </w:numPr>
        <w:spacing w:line="360" w:lineRule="auto"/>
        <w:contextualSpacing/>
        <w:jc w:val="left"/>
      </w:pPr>
      <w:r w:rsidRPr="00414C4F">
        <w:t>Servicios públicos finales de telecomunicaciones.</w:t>
      </w:r>
    </w:p>
    <w:p w:rsidR="002639AF" w:rsidRPr="00414C4F" w:rsidRDefault="002639AF" w:rsidP="00A17C7C">
      <w:pPr>
        <w:numPr>
          <w:ilvl w:val="0"/>
          <w:numId w:val="32"/>
        </w:numPr>
        <w:spacing w:line="360" w:lineRule="auto"/>
        <w:contextualSpacing/>
        <w:jc w:val="left"/>
      </w:pPr>
      <w:r w:rsidRPr="00414C4F">
        <w:t>Servicios públicos de radiodifusión televisiva.</w:t>
      </w:r>
    </w:p>
    <w:p w:rsidR="002639AF" w:rsidRPr="00414C4F" w:rsidRDefault="002639AF" w:rsidP="00A17C7C">
      <w:pPr>
        <w:numPr>
          <w:ilvl w:val="0"/>
          <w:numId w:val="32"/>
        </w:numPr>
        <w:spacing w:line="360" w:lineRule="auto"/>
        <w:contextualSpacing/>
        <w:jc w:val="left"/>
      </w:pPr>
      <w:r w:rsidRPr="00414C4F">
        <w:t>Enlaces privados, radiodifusión sonora</w:t>
      </w:r>
      <w:r>
        <w:t xml:space="preserve"> en AM</w:t>
      </w:r>
      <w:r w:rsidR="0006365B">
        <w:t xml:space="preserve"> y</w:t>
      </w:r>
      <w:r>
        <w:t xml:space="preserve"> radiodifusión sonora en </w:t>
      </w:r>
      <w:r w:rsidRPr="00414C4F">
        <w:t>FM.</w:t>
      </w:r>
    </w:p>
    <w:p w:rsidR="002639AF" w:rsidRPr="00414C4F" w:rsidRDefault="002639AF" w:rsidP="002639AF">
      <w:pPr>
        <w:spacing w:line="360" w:lineRule="auto"/>
      </w:pPr>
      <w:r w:rsidRPr="00414C4F">
        <w:lastRenderedPageBreak/>
        <w:t xml:space="preserve">Durante el primer semestre del presente año, se llevó a cabo el proceso de emisión de los Derechos de Uso (DU) del espectro radioeléctrico correspondientes al año 2021. El Derecho de Uso (DU) consiste en el monto que deben pagar anualmente las prestadoras por la utilización del espectro radioeléctrico a partir de las frecuencias que tengan asignadas. Este proceso fue realizado a través del Sistema de Gestión Automatizado del Espectro (ASMS), que permite al INDOTEL una eficiente labor de control de los Derechos de Uso (DU) del espectro </w:t>
      </w:r>
      <w:proofErr w:type="gramStart"/>
      <w:r w:rsidRPr="00414C4F">
        <w:t>generados</w:t>
      </w:r>
      <w:proofErr w:type="gramEnd"/>
      <w:r w:rsidRPr="00414C4F">
        <w:t xml:space="preserve">. </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pPr>
      <w:r w:rsidRPr="00414C4F">
        <w:t xml:space="preserve">El siguiente gráfico de pastel muestra la proporción en que cada uno de los diferentes servicios de telecomunicaciones que utilizan frecuencias radioeléctricas contribuye en términos del Derecho de Uso (DU) de espectro, los cuales generaron un monto total anual para el año 2021 de </w:t>
      </w:r>
      <w:r w:rsidR="003E78C0" w:rsidRPr="00414C4F">
        <w:t>Trescientos Veintiún Millones Trescientos Cuarent</w:t>
      </w:r>
      <w:r w:rsidRPr="00414C4F">
        <w:t xml:space="preserve">a y </w:t>
      </w:r>
      <w:r w:rsidR="003E78C0">
        <w:t>U</w:t>
      </w:r>
      <w:r w:rsidRPr="00414C4F">
        <w:t xml:space="preserve">n </w:t>
      </w:r>
      <w:r w:rsidR="003E78C0" w:rsidRPr="00414C4F">
        <w:t xml:space="preserve">Mil Novecientos Dieciocho Pesos </w:t>
      </w:r>
      <w:r w:rsidR="003E78C0">
        <w:t xml:space="preserve">dominicanos </w:t>
      </w:r>
      <w:r w:rsidRPr="00414C4F">
        <w:t xml:space="preserve">con 30/100 </w:t>
      </w:r>
      <w:r w:rsidR="003E78C0">
        <w:t>(</w:t>
      </w:r>
      <w:r w:rsidRPr="004B2A1D">
        <w:t>RD$321</w:t>
      </w:r>
      <w:proofErr w:type="gramStart"/>
      <w:r w:rsidRPr="004B2A1D">
        <w:t>,341,918.30</w:t>
      </w:r>
      <w:proofErr w:type="gramEnd"/>
      <w:r w:rsidR="003E78C0">
        <w:t>)</w:t>
      </w:r>
      <w:r w:rsidRPr="00414C4F">
        <w:t>:</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after="0" w:line="240" w:lineRule="auto"/>
        <w:jc w:val="left"/>
        <w:rPr>
          <w:rFonts w:eastAsia="Times New Roman"/>
        </w:rPr>
      </w:pPr>
      <w:r w:rsidRPr="00414C4F">
        <w:rPr>
          <w:rFonts w:eastAsia="Times New Roman"/>
          <w:noProof/>
          <w:lang w:val="en-US" w:eastAsia="en-US"/>
        </w:rPr>
        <w:lastRenderedPageBreak/>
        <w:drawing>
          <wp:inline distT="0" distB="0" distL="0" distR="0" wp14:anchorId="066C30DA" wp14:editId="7F9AE200">
            <wp:extent cx="5264150" cy="4660900"/>
            <wp:effectExtent l="0" t="0" r="12700" b="63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639AF" w:rsidRPr="00414C4F" w:rsidRDefault="002639AF" w:rsidP="002639AF">
      <w:pPr>
        <w:spacing w:after="0" w:line="240" w:lineRule="auto"/>
        <w:jc w:val="left"/>
        <w:rPr>
          <w:rFonts w:eastAsia="Times New Roman"/>
          <w:bCs/>
          <w:sz w:val="18"/>
        </w:rPr>
      </w:pPr>
      <w:r w:rsidRPr="00414C4F">
        <w:rPr>
          <w:rFonts w:eastAsia="Times New Roman"/>
          <w:b/>
          <w:bCs/>
          <w:sz w:val="18"/>
        </w:rPr>
        <w:t xml:space="preserve">Fuente: </w:t>
      </w:r>
      <w:r w:rsidRPr="00414C4F">
        <w:rPr>
          <w:rFonts w:eastAsia="Times New Roman"/>
          <w:bCs/>
          <w:sz w:val="18"/>
        </w:rPr>
        <w:t>Sistema de Gestión Automatizado de Espectro (ASMS)</w:t>
      </w:r>
    </w:p>
    <w:p w:rsidR="002639AF" w:rsidRPr="00414C4F" w:rsidRDefault="002639AF" w:rsidP="002639AF">
      <w:pPr>
        <w:spacing w:after="0" w:line="360" w:lineRule="auto"/>
        <w:rPr>
          <w:rFonts w:eastAsia="Times New Roman"/>
          <w:b/>
          <w:bCs/>
          <w:szCs w:val="24"/>
          <w:lang w:val="es"/>
        </w:rPr>
      </w:pPr>
    </w:p>
    <w:p w:rsidR="002639AF" w:rsidRPr="00414C4F" w:rsidRDefault="002639AF" w:rsidP="002639AF">
      <w:pPr>
        <w:spacing w:after="0" w:line="360" w:lineRule="auto"/>
      </w:pPr>
      <w:r w:rsidRPr="00414C4F">
        <w:t xml:space="preserve">Para culminar con la implementación de la nueva metodología de cálculo, el 23 de septiembre de 2021, el Consejo Directivo del INDOTEL emite la Resolución Núm. 092-2021, la cual modifica la fórmula que determina el valor del Derecho de Uso (DU) del espectro radioeléctrico de las licenciatarias de los servicios privados, servicio portador y servicio de radiodifusión sonora, establecida en el artículo 4.2, literal b, del apéndice I del Reglamento General de Uso del Espectro Radioeléctrico, dictado mediante la Resolución del Consejo Directivo del INDOTEL Núm. 034-2020 de fecha 20 de mayo de 2020.  Esta fórmula será utilizada a partir del próximo año 2022 para determinar el Derecho de Uso (DU) a </w:t>
      </w:r>
      <w:r w:rsidRPr="00414C4F">
        <w:lastRenderedPageBreak/>
        <w:t>pagar por los usuarios de las licencias para servicios privados, servicio portador y servicio de difusión sonora.</w:t>
      </w:r>
    </w:p>
    <w:p w:rsidR="002639AF" w:rsidRPr="00414C4F" w:rsidRDefault="002639AF" w:rsidP="002639AF">
      <w:pPr>
        <w:spacing w:after="0" w:line="360" w:lineRule="auto"/>
      </w:pPr>
    </w:p>
    <w:p w:rsidR="002639AF" w:rsidRPr="00414C4F" w:rsidRDefault="002639AF" w:rsidP="002639AF">
      <w:pPr>
        <w:spacing w:after="0" w:line="360" w:lineRule="auto"/>
        <w:rPr>
          <w:rFonts w:eastAsia="Times New Roman"/>
          <w:b/>
          <w:bCs/>
          <w:szCs w:val="24"/>
          <w:lang w:val="es"/>
        </w:rPr>
      </w:pPr>
      <w:r w:rsidRPr="00414C4F">
        <w:rPr>
          <w:rFonts w:eastAsia="Times New Roman"/>
          <w:b/>
          <w:bCs/>
          <w:szCs w:val="24"/>
          <w:lang w:val="es"/>
        </w:rPr>
        <w:t>Monitoreo a los Centros Tecnológicos Comunitarios</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rPr>
          <w:sz w:val="18"/>
          <w:lang w:val="es"/>
        </w:rPr>
      </w:pPr>
      <w:r w:rsidRPr="00414C4F">
        <w:rPr>
          <w:b/>
          <w:bCs/>
          <w:sz w:val="18"/>
          <w:lang w:val="es"/>
        </w:rPr>
        <w:t xml:space="preserve"> </w:t>
      </w:r>
      <w:r w:rsidRPr="00414C4F">
        <w:rPr>
          <w:lang w:val="es"/>
        </w:rPr>
        <w:t xml:space="preserve">El INDOTEL velando por el uso correcto del espectro radioeléctrico, realizó un recorrido a nivel nacional a todos los Centros Tecnológicos Comunitarios que cuentan con emisoras, a los fines de verificar los parámetros de transmisión de los mismos, que cumplieran con la reglamentación establecida para las estaciones sin fines lucro y que estos no le causaran interferencias perjudiciales a las estaciones de FM, tanto adyacentes como </w:t>
      </w:r>
      <w:proofErr w:type="spellStart"/>
      <w:r w:rsidRPr="00414C4F">
        <w:rPr>
          <w:lang w:val="es"/>
        </w:rPr>
        <w:t>co</w:t>
      </w:r>
      <w:proofErr w:type="spellEnd"/>
      <w:r w:rsidRPr="00414C4F">
        <w:rPr>
          <w:lang w:val="es"/>
        </w:rPr>
        <w:t>-canales. En total se visitaron 96 Centros Tecnológicos Comunitarios y todos estaban cumpliendo con los parámetros estipulados para este tipo de emisoras</w:t>
      </w:r>
      <w:r w:rsidRPr="00414C4F">
        <w:rPr>
          <w:sz w:val="18"/>
          <w:lang w:val="es"/>
        </w:rPr>
        <w:t xml:space="preserve">. </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pPr>
      <w:r w:rsidRPr="00414C4F">
        <w:rPr>
          <w:b/>
          <w:bCs/>
        </w:rPr>
        <w:t>Encuentros Bimensuales con el Sector Radiodifusión Sonora</w:t>
      </w:r>
    </w:p>
    <w:p w:rsidR="002639AF" w:rsidRPr="00414C4F" w:rsidRDefault="002639AF" w:rsidP="002639AF">
      <w:pPr>
        <w:spacing w:line="360" w:lineRule="auto"/>
      </w:pPr>
      <w:r w:rsidRPr="00414C4F">
        <w:t>Estos encuentros se realizan con el objetivo de darle seguimiento a los acuerdos arribados en la Mesa Técnica de Radiodifusión Sonora que se llevó a cabo entre el Instituto Dominicano de las Telecomunicaciones (INDOTEL) y la Asociación Dominicana de Radiodifusoras (ADORA),  con el objeto de mejorar la aplicación de la regulación vigente, lograr una mayor colaboración entre el INDOTEL y los entes regulados del sector de radiodifusión sonora, y asegurar una gestión más eficiente del espectro radioeléctrico, haciendo hincapié en la vigilancia y control del uso no autorizado del espectro. El INDOTEL y ADORA se reunieron cada dos meses para dar seguimiento a los compromisos arribados en estos encuentros.</w:t>
      </w:r>
    </w:p>
    <w:p w:rsidR="002639AF" w:rsidRPr="00414C4F" w:rsidRDefault="002639AF" w:rsidP="002639AF">
      <w:pPr>
        <w:spacing w:line="360" w:lineRule="auto"/>
        <w:rPr>
          <w:b/>
        </w:rPr>
      </w:pPr>
      <w:r w:rsidRPr="00414C4F">
        <w:rPr>
          <w:b/>
        </w:rPr>
        <w:t>Acuerdo ADORA</w:t>
      </w:r>
    </w:p>
    <w:p w:rsidR="002639AF" w:rsidRPr="00414C4F" w:rsidRDefault="002639AF" w:rsidP="002639AF">
      <w:pPr>
        <w:spacing w:line="360" w:lineRule="auto"/>
      </w:pPr>
      <w:r w:rsidRPr="00414C4F">
        <w:t xml:space="preserve">El 22 de julio de 2021, fruto de los compromisos arribados en las mesas técnicas de Radiodifusión Sonora, el INDOTEL y ADORA firmaron un acuerdo interinstitucional, con el objetivo de mejorar la regulación vigente, estrechar los </w:t>
      </w:r>
      <w:r w:rsidRPr="00414C4F">
        <w:lastRenderedPageBreak/>
        <w:t>lazos de colaboración entre el órgano regulador y los miembros del sector de la radiodifusión y asegurar una gestión más eficiente del espectro radioeléctrico, con mayor importancia en la vigilancia y control del uso no autorizado del espectro.</w:t>
      </w:r>
    </w:p>
    <w:p w:rsidR="002639AF" w:rsidRPr="00414C4F" w:rsidRDefault="002639AF" w:rsidP="002639AF">
      <w:pPr>
        <w:spacing w:line="360" w:lineRule="auto"/>
      </w:pPr>
      <w:r w:rsidRPr="00414C4F">
        <w:t>El acuerdo se enfoca en cuatro aspectos fundamentales de compromiso entre ambas partes: la transparencia en las autorizaciones, organización del espectro y emisión de títulos habilitantes, vigilancia y control, y la creación de capacidades y colaboración interinstitucional.</w:t>
      </w:r>
    </w:p>
    <w:p w:rsidR="002639AF" w:rsidRPr="00414C4F" w:rsidRDefault="002639AF" w:rsidP="002639AF">
      <w:pPr>
        <w:spacing w:line="360" w:lineRule="auto"/>
      </w:pPr>
      <w:r w:rsidRPr="00414C4F">
        <w:t>De su lado, los representantes de ADORA se comprometieron a colaborar con el INDOTEL en el cumplimento de las disipaciones contenidas en la Ley General de Telecomunicaciones</w:t>
      </w:r>
      <w:r w:rsidR="003E78C0">
        <w:t>,</w:t>
      </w:r>
      <w:r w:rsidRPr="00414C4F">
        <w:t xml:space="preserve"> Núm. 153-98 y agradecieron la continuidad de Estado en las propuestas presentadas.</w:t>
      </w:r>
    </w:p>
    <w:p w:rsidR="002639AF" w:rsidRPr="00414C4F" w:rsidRDefault="002639AF" w:rsidP="002639AF">
      <w:pPr>
        <w:spacing w:line="360" w:lineRule="auto"/>
        <w:rPr>
          <w:szCs w:val="24"/>
        </w:rPr>
      </w:pPr>
      <w:r w:rsidRPr="00414C4F">
        <w:rPr>
          <w:b/>
          <w:bCs/>
          <w:szCs w:val="24"/>
        </w:rPr>
        <w:t>Reordenamiento de la Banda de Radiodifusión Sonora FM</w:t>
      </w:r>
    </w:p>
    <w:p w:rsidR="002639AF" w:rsidRPr="00414C4F" w:rsidRDefault="002639AF" w:rsidP="002639AF">
      <w:pPr>
        <w:spacing w:line="360" w:lineRule="auto"/>
        <w:rPr>
          <w:szCs w:val="24"/>
        </w:rPr>
      </w:pPr>
      <w:r w:rsidRPr="00414C4F">
        <w:rPr>
          <w:szCs w:val="24"/>
        </w:rPr>
        <w:t xml:space="preserve">En procura de resolver los problemas de interferencias que por años han afectado al sector radiodifusión sonora FM, hemos estado trabajando en un plan para el reordenamiento de dicha banda,  identificando los conflictos que existen entre las diferentes estaciones, tales como: adyacencia e interferencias. Luego se plasmó gráficamente el escenario existente de las asignaciones, siguiendo con el escenario propuesto reordenado. </w:t>
      </w:r>
      <w:r w:rsidRPr="00414C4F">
        <w:rPr>
          <w:color w:val="FF0000"/>
          <w:szCs w:val="24"/>
        </w:rPr>
        <w:t xml:space="preserve"> </w:t>
      </w:r>
    </w:p>
    <w:p w:rsidR="002639AF" w:rsidRDefault="002639AF" w:rsidP="002639AF">
      <w:pPr>
        <w:spacing w:line="360" w:lineRule="auto"/>
        <w:rPr>
          <w:color w:val="808080" w:themeColor="background1" w:themeShade="80"/>
          <w:szCs w:val="24"/>
        </w:rPr>
      </w:pPr>
      <w:r w:rsidRPr="00414C4F">
        <w:rPr>
          <w:szCs w:val="24"/>
        </w:rPr>
        <w:t>En este mismo tenor, fueron revisadas las asignaciones a nivel nacional y nos encontramos en el proceso de elaborar un informe con recomendaciones hechas que suponen la adherencia plena de los licenciatarios a las leyes y reglamentos que regulan el servicio, específicamente en lo relativo a los parámetros técnicos, tales como potencia de transmisión asignada, desviación de frecuencia permitida por el estándar vigente etc.</w:t>
      </w:r>
      <w:r w:rsidRPr="00414C4F">
        <w:rPr>
          <w:color w:val="FF0000"/>
          <w:szCs w:val="24"/>
        </w:rPr>
        <w:t xml:space="preserve"> </w:t>
      </w:r>
      <w:r w:rsidRPr="00414C4F">
        <w:rPr>
          <w:color w:val="808080" w:themeColor="background1" w:themeShade="80"/>
          <w:szCs w:val="24"/>
        </w:rPr>
        <w:t>Luego con esta información y el resultado de la adecuación de las estaciones de Radio Difusión Sonora, poder realizar las simulaciones de cada una de las estaciones y concluir con la propuesta de reordenamiento de dicha banda.</w:t>
      </w:r>
    </w:p>
    <w:p w:rsidR="003E78C0" w:rsidRPr="00414C4F" w:rsidRDefault="003E78C0" w:rsidP="002639AF">
      <w:pPr>
        <w:spacing w:line="360" w:lineRule="auto"/>
        <w:rPr>
          <w:color w:val="0070C0"/>
          <w:szCs w:val="24"/>
        </w:rPr>
      </w:pPr>
    </w:p>
    <w:p w:rsidR="002639AF" w:rsidRPr="00414C4F" w:rsidRDefault="002639AF" w:rsidP="002639AF">
      <w:pPr>
        <w:spacing w:line="360" w:lineRule="auto"/>
        <w:rPr>
          <w:szCs w:val="24"/>
        </w:rPr>
      </w:pPr>
      <w:r w:rsidRPr="00414C4F">
        <w:rPr>
          <w:b/>
          <w:bCs/>
          <w:szCs w:val="24"/>
        </w:rPr>
        <w:lastRenderedPageBreak/>
        <w:t>Mesa Técnica de Televisión Digital (MTTD)</w:t>
      </w:r>
    </w:p>
    <w:p w:rsidR="002639AF" w:rsidRPr="00414C4F" w:rsidRDefault="002639AF" w:rsidP="002639AF">
      <w:pPr>
        <w:spacing w:line="360" w:lineRule="auto"/>
        <w:rPr>
          <w:szCs w:val="24"/>
        </w:rPr>
      </w:pPr>
      <w:r w:rsidRPr="00414C4F">
        <w:rPr>
          <w:szCs w:val="24"/>
        </w:rPr>
        <w:t>En enero del presente año concluimos con la mesa técnica de Televisión Digital, la cual tuvo como objetivo sentar las bases técnicas, dialogar con el sector radiodifusión televisiva sobre los aspectos técnicos a tomar en cuenta en la implementación de la Televisión Terrestre Digital y finalmente, encaminar a la República Dominicana hacia la implementación de la Televisión Terrestre Digital, brindando a los televidentes que captan la señal de forma aérea una mejora sustancial en la calidad de imagen.</w:t>
      </w:r>
    </w:p>
    <w:p w:rsidR="002639AF" w:rsidRPr="00414C4F" w:rsidRDefault="002639AF" w:rsidP="002639AF">
      <w:pPr>
        <w:spacing w:line="360" w:lineRule="auto"/>
        <w:rPr>
          <w:szCs w:val="24"/>
        </w:rPr>
      </w:pPr>
      <w:r w:rsidRPr="00414C4F">
        <w:rPr>
          <w:szCs w:val="24"/>
        </w:rPr>
        <w:t xml:space="preserve">Como resultado de la MTTD podemos resaltar que el sector de radiodifusión televisiva realizó grandes aportes a la </w:t>
      </w:r>
      <w:proofErr w:type="spellStart"/>
      <w:r w:rsidRPr="00414C4F">
        <w:rPr>
          <w:szCs w:val="24"/>
        </w:rPr>
        <w:t>viabilización</w:t>
      </w:r>
      <w:proofErr w:type="spellEnd"/>
      <w:r w:rsidRPr="00414C4F">
        <w:rPr>
          <w:szCs w:val="24"/>
        </w:rPr>
        <w:t xml:space="preserve"> de la implementación de la Televisión Digital en República Dominicana, tales como: adopción definitiva del estándar, aclaraciones sobre aspectos técnicos, estrategias para la implementación de la Televisión Digital, entre otros.</w:t>
      </w:r>
    </w:p>
    <w:p w:rsidR="002639AF" w:rsidRPr="00414C4F" w:rsidRDefault="002639AF" w:rsidP="002639AF">
      <w:pPr>
        <w:spacing w:line="360" w:lineRule="auto"/>
        <w:rPr>
          <w:szCs w:val="24"/>
        </w:rPr>
      </w:pPr>
      <w:r w:rsidRPr="00414C4F">
        <w:rPr>
          <w:b/>
          <w:bCs/>
          <w:szCs w:val="24"/>
        </w:rPr>
        <w:t>Implementación de la Televisión Terrestre Digital (TTD)</w:t>
      </w:r>
    </w:p>
    <w:p w:rsidR="002639AF" w:rsidRPr="00414C4F" w:rsidRDefault="002639AF" w:rsidP="002639AF">
      <w:pPr>
        <w:spacing w:line="360" w:lineRule="auto"/>
        <w:rPr>
          <w:szCs w:val="24"/>
        </w:rPr>
      </w:pPr>
      <w:r w:rsidRPr="00414C4F">
        <w:rPr>
          <w:szCs w:val="24"/>
        </w:rPr>
        <w:t>Luego de concluida la mesa técnica de Televisión Digital, se inició el proyecto de implementación de la Televisión Digital, para lo cual se definió un cronograma con todas las actividades a tomar en cuenta para poder implementar la TTD en República Dominicana.</w:t>
      </w:r>
    </w:p>
    <w:p w:rsidR="002639AF" w:rsidRPr="00414C4F" w:rsidRDefault="002639AF" w:rsidP="002639AF">
      <w:pPr>
        <w:spacing w:line="360" w:lineRule="auto"/>
        <w:rPr>
          <w:szCs w:val="24"/>
        </w:rPr>
      </w:pPr>
      <w:r w:rsidRPr="00414C4F">
        <w:rPr>
          <w:szCs w:val="24"/>
        </w:rPr>
        <w:t xml:space="preserve">Dentro de estas actividades podemos citar: </w:t>
      </w:r>
    </w:p>
    <w:p w:rsidR="002639AF" w:rsidRPr="00414C4F" w:rsidRDefault="002639AF" w:rsidP="00A17C7C">
      <w:pPr>
        <w:numPr>
          <w:ilvl w:val="0"/>
          <w:numId w:val="11"/>
        </w:numPr>
        <w:spacing w:line="360" w:lineRule="auto"/>
        <w:jc w:val="left"/>
        <w:rPr>
          <w:szCs w:val="24"/>
        </w:rPr>
      </w:pPr>
      <w:r w:rsidRPr="00414C4F">
        <w:rPr>
          <w:szCs w:val="24"/>
        </w:rPr>
        <w:t>Reglamento de Televisión Digital</w:t>
      </w:r>
    </w:p>
    <w:p w:rsidR="002639AF" w:rsidRPr="00414C4F" w:rsidRDefault="002639AF" w:rsidP="00A17C7C">
      <w:pPr>
        <w:numPr>
          <w:ilvl w:val="0"/>
          <w:numId w:val="11"/>
        </w:numPr>
        <w:spacing w:line="360" w:lineRule="auto"/>
        <w:jc w:val="left"/>
        <w:rPr>
          <w:szCs w:val="24"/>
        </w:rPr>
      </w:pPr>
      <w:r w:rsidRPr="00414C4F">
        <w:rPr>
          <w:szCs w:val="24"/>
        </w:rPr>
        <w:t xml:space="preserve">Plan Técnico Fundamental </w:t>
      </w:r>
    </w:p>
    <w:p w:rsidR="002639AF" w:rsidRPr="00414C4F" w:rsidRDefault="002639AF" w:rsidP="00A17C7C">
      <w:pPr>
        <w:numPr>
          <w:ilvl w:val="0"/>
          <w:numId w:val="11"/>
        </w:numPr>
        <w:spacing w:line="360" w:lineRule="auto"/>
        <w:jc w:val="left"/>
        <w:rPr>
          <w:szCs w:val="24"/>
        </w:rPr>
      </w:pPr>
      <w:r w:rsidRPr="00414C4F">
        <w:rPr>
          <w:szCs w:val="24"/>
        </w:rPr>
        <w:t>Plan de migración de los canales de televisión</w:t>
      </w:r>
    </w:p>
    <w:p w:rsidR="002639AF" w:rsidRPr="00414C4F" w:rsidRDefault="002639AF" w:rsidP="00A17C7C">
      <w:pPr>
        <w:numPr>
          <w:ilvl w:val="0"/>
          <w:numId w:val="11"/>
        </w:numPr>
        <w:spacing w:line="360" w:lineRule="auto"/>
        <w:jc w:val="left"/>
        <w:rPr>
          <w:szCs w:val="24"/>
        </w:rPr>
      </w:pPr>
      <w:r w:rsidRPr="00414C4F">
        <w:rPr>
          <w:szCs w:val="24"/>
        </w:rPr>
        <w:t>Transición de la Televisión Digital</w:t>
      </w:r>
    </w:p>
    <w:p w:rsidR="002639AF" w:rsidRPr="00414C4F" w:rsidRDefault="002639AF" w:rsidP="00A17C7C">
      <w:pPr>
        <w:numPr>
          <w:ilvl w:val="0"/>
          <w:numId w:val="11"/>
        </w:numPr>
        <w:spacing w:line="360" w:lineRule="auto"/>
        <w:jc w:val="left"/>
        <w:rPr>
          <w:szCs w:val="24"/>
        </w:rPr>
      </w:pPr>
      <w:r w:rsidRPr="00414C4F">
        <w:rPr>
          <w:szCs w:val="24"/>
        </w:rPr>
        <w:t>Dispositivos decodificadores de Televisión Digital</w:t>
      </w:r>
    </w:p>
    <w:p w:rsidR="002639AF" w:rsidRPr="00414C4F" w:rsidRDefault="002639AF" w:rsidP="00A17C7C">
      <w:pPr>
        <w:numPr>
          <w:ilvl w:val="0"/>
          <w:numId w:val="11"/>
        </w:numPr>
        <w:spacing w:line="360" w:lineRule="auto"/>
        <w:jc w:val="left"/>
        <w:rPr>
          <w:szCs w:val="24"/>
        </w:rPr>
      </w:pPr>
      <w:r w:rsidRPr="00414C4F">
        <w:rPr>
          <w:szCs w:val="24"/>
        </w:rPr>
        <w:t>Plan Comunicacional</w:t>
      </w:r>
    </w:p>
    <w:p w:rsidR="002639AF" w:rsidRPr="00414C4F" w:rsidRDefault="002639AF" w:rsidP="002639AF">
      <w:pPr>
        <w:spacing w:line="360" w:lineRule="auto"/>
        <w:rPr>
          <w:szCs w:val="24"/>
        </w:rPr>
      </w:pPr>
      <w:r w:rsidRPr="00414C4F">
        <w:rPr>
          <w:szCs w:val="24"/>
        </w:rPr>
        <w:lastRenderedPageBreak/>
        <w:t>En cuanto a los dispositivos decodificadores de Televisión Digital, se creó un protocolo de prueba de estos dispositivos con la finalidad de garantizar que los equipos que se vayan a adquirir en la licitación cumplan con los requerimientos mínimos que demanda el estándar, así como también evaluar el desempeño de los mismos.</w:t>
      </w:r>
    </w:p>
    <w:p w:rsidR="002639AF" w:rsidRPr="00414C4F" w:rsidRDefault="002639AF" w:rsidP="002639AF">
      <w:pPr>
        <w:spacing w:line="360" w:lineRule="auto"/>
        <w:rPr>
          <w:color w:val="FF0000"/>
          <w:szCs w:val="24"/>
        </w:rPr>
      </w:pPr>
      <w:r w:rsidRPr="00414C4F">
        <w:rPr>
          <w:szCs w:val="24"/>
        </w:rPr>
        <w:t xml:space="preserve">En el mes noviembre, el Consejo Directivo emitió dos importantes Resoluciones para el servicio de Televisión Terrestre Digital: la Resolución Núm. 121-2021, que dicta el Reglamento del Servicio de Televisión Terrestre Digital en la República Dominicana, y la Resolución Núm. 122-2021, que dicta el Plan de Transición a la Televisión Terrestre Digital en la República Dominicana. </w:t>
      </w:r>
    </w:p>
    <w:p w:rsidR="002639AF" w:rsidRPr="00414C4F" w:rsidRDefault="002639AF" w:rsidP="002639AF">
      <w:pPr>
        <w:spacing w:line="360" w:lineRule="auto"/>
        <w:rPr>
          <w:szCs w:val="24"/>
        </w:rPr>
      </w:pPr>
      <w:r w:rsidRPr="00414C4F">
        <w:rPr>
          <w:b/>
          <w:bCs/>
          <w:szCs w:val="24"/>
        </w:rPr>
        <w:t>Despeje de la Banda de 700 MHz</w:t>
      </w:r>
      <w:r w:rsidRPr="00414C4F">
        <w:rPr>
          <w:szCs w:val="24"/>
        </w:rPr>
        <w:t xml:space="preserve"> </w:t>
      </w:r>
    </w:p>
    <w:p w:rsidR="002639AF" w:rsidRPr="00414C4F" w:rsidRDefault="002639AF" w:rsidP="002639AF">
      <w:pPr>
        <w:spacing w:line="360" w:lineRule="auto"/>
        <w:rPr>
          <w:szCs w:val="24"/>
        </w:rPr>
      </w:pPr>
      <w:r w:rsidRPr="00414C4F">
        <w:rPr>
          <w:szCs w:val="24"/>
        </w:rPr>
        <w:t>Con la implementación de la Televisión Digital, se libera el segundo dividendo digital, el cual se corresponde con la banda de 700 MHz. En este sentido, desde el mes de enero hemos estado inmersos en el despeje de tan preciada banda que servirá de plataforma para los servicios de quinta generación, comúnmente conocidos como 5G en las telecomunicaciones móviles.</w:t>
      </w:r>
    </w:p>
    <w:p w:rsidR="002639AF" w:rsidRPr="00414C4F" w:rsidRDefault="002639AF" w:rsidP="002639AF">
      <w:pPr>
        <w:spacing w:line="360" w:lineRule="auto"/>
        <w:rPr>
          <w:color w:val="FF0000"/>
          <w:szCs w:val="24"/>
        </w:rPr>
      </w:pPr>
      <w:r w:rsidRPr="00414C4F">
        <w:rPr>
          <w:szCs w:val="24"/>
        </w:rPr>
        <w:t>Este proyecto incluyó una hoja de ruta para la realización del despeje de la banda, así como también reuniones con los propietarios de los canales de TV, a los fines de un acuerdo firmado con el INDOTEL, donde se comprometen a la entrega voluntaria de frecuencias que se encuentran en el segmento de los 700 MHz</w:t>
      </w:r>
      <w:r w:rsidRPr="00414C4F">
        <w:rPr>
          <w:color w:val="FF0000"/>
          <w:szCs w:val="24"/>
        </w:rPr>
        <w:t xml:space="preserve">. </w:t>
      </w:r>
    </w:p>
    <w:p w:rsidR="002639AF" w:rsidRDefault="002639AF" w:rsidP="002639AF">
      <w:pPr>
        <w:spacing w:line="360" w:lineRule="auto"/>
        <w:rPr>
          <w:color w:val="808080" w:themeColor="background1" w:themeShade="80"/>
          <w:szCs w:val="24"/>
        </w:rPr>
      </w:pPr>
      <w:r w:rsidRPr="00414C4F">
        <w:rPr>
          <w:color w:val="808080" w:themeColor="background1" w:themeShade="80"/>
          <w:szCs w:val="24"/>
        </w:rPr>
        <w:t>Luego de la entrega voluntaria por parte de los canales, entramos en la fase de monitoreo de la banda de 700 MHz, con la finalidad de garantizar que los canales que ocupaban dicha banda hayan cesado sus transmisiones y que dicha banda se encuentre totalmente despejada.</w:t>
      </w:r>
    </w:p>
    <w:p w:rsidR="002639AF" w:rsidRDefault="002639AF" w:rsidP="002639AF">
      <w:pPr>
        <w:spacing w:line="360" w:lineRule="auto"/>
        <w:rPr>
          <w:color w:val="808080" w:themeColor="background1" w:themeShade="80"/>
          <w:szCs w:val="24"/>
        </w:rPr>
      </w:pPr>
    </w:p>
    <w:p w:rsidR="007A1BD8" w:rsidRPr="00414C4F" w:rsidRDefault="007A1BD8" w:rsidP="002639AF">
      <w:pPr>
        <w:spacing w:line="360" w:lineRule="auto"/>
        <w:rPr>
          <w:color w:val="808080" w:themeColor="background1" w:themeShade="80"/>
          <w:szCs w:val="24"/>
        </w:rPr>
      </w:pPr>
    </w:p>
    <w:p w:rsidR="002639AF" w:rsidRPr="00414C4F" w:rsidRDefault="002639AF" w:rsidP="002639AF">
      <w:pPr>
        <w:spacing w:line="360" w:lineRule="auto"/>
        <w:rPr>
          <w:szCs w:val="24"/>
        </w:rPr>
      </w:pPr>
      <w:r w:rsidRPr="00414C4F">
        <w:rPr>
          <w:b/>
          <w:bCs/>
          <w:szCs w:val="24"/>
        </w:rPr>
        <w:lastRenderedPageBreak/>
        <w:t>Despeje de Banda 800 MHz</w:t>
      </w:r>
    </w:p>
    <w:p w:rsidR="002639AF" w:rsidRPr="00414C4F" w:rsidRDefault="002639AF" w:rsidP="002639AF">
      <w:pPr>
        <w:spacing w:line="360" w:lineRule="auto"/>
        <w:rPr>
          <w:szCs w:val="24"/>
        </w:rPr>
      </w:pPr>
      <w:r w:rsidRPr="00414C4F">
        <w:rPr>
          <w:szCs w:val="24"/>
        </w:rPr>
        <w:t xml:space="preserve">Como parte de las funciones del INDOTEL de velar por un uso eficiente del espectro radioeléctrico, se ha realizado la tarea de verificar los usos en las diferentes bandas que conforman el espectro radioeléctrico, continuando con la banda de 800 MHz, en la cual se inició el monitoreo en diferentes lugares a nivel nacional. </w:t>
      </w:r>
    </w:p>
    <w:p w:rsidR="002639AF" w:rsidRPr="00414C4F" w:rsidRDefault="002639AF" w:rsidP="002639AF">
      <w:pPr>
        <w:spacing w:line="360" w:lineRule="auto"/>
        <w:rPr>
          <w:color w:val="808080" w:themeColor="background1" w:themeShade="80"/>
          <w:szCs w:val="24"/>
        </w:rPr>
      </w:pPr>
      <w:r w:rsidRPr="00414C4F">
        <w:rPr>
          <w:szCs w:val="24"/>
        </w:rPr>
        <w:t xml:space="preserve">Luego se realizaron los informes pertinentes y </w:t>
      </w:r>
      <w:r w:rsidRPr="00414C4F">
        <w:rPr>
          <w:color w:val="808080" w:themeColor="background1" w:themeShade="80"/>
          <w:szCs w:val="24"/>
        </w:rPr>
        <w:t>se remitieron comunicaciones a los diferentes usuarios de dicha banda con la finalidad de que entregaran voluntariamente las frecuencias.</w:t>
      </w:r>
    </w:p>
    <w:p w:rsidR="002639AF" w:rsidRPr="00414C4F" w:rsidRDefault="002639AF" w:rsidP="002639AF">
      <w:pPr>
        <w:spacing w:line="360" w:lineRule="auto"/>
        <w:rPr>
          <w:color w:val="808080" w:themeColor="background1" w:themeShade="80"/>
          <w:szCs w:val="24"/>
        </w:rPr>
      </w:pPr>
      <w:r w:rsidRPr="00414C4F">
        <w:rPr>
          <w:color w:val="808080" w:themeColor="background1" w:themeShade="80"/>
          <w:szCs w:val="24"/>
        </w:rPr>
        <w:t xml:space="preserve">Al concluir el proceso de entrega de las comunicaciones, se inició una fase en el Departamento de Monitoreo del Espectro Radioeléctrico, que consistió en unas comprobaciones técnicas por un periodo de tiempo de 1 mes y luego de concluirse con estas comprobaciones técnicas desde las estaciones fijas de monitoreo en Santo Domingo, </w:t>
      </w:r>
      <w:proofErr w:type="spellStart"/>
      <w:r w:rsidRPr="00414C4F">
        <w:rPr>
          <w:color w:val="808080" w:themeColor="background1" w:themeShade="80"/>
          <w:szCs w:val="24"/>
        </w:rPr>
        <w:t>Higuey</w:t>
      </w:r>
      <w:proofErr w:type="spellEnd"/>
      <w:r w:rsidRPr="00414C4F">
        <w:rPr>
          <w:color w:val="808080" w:themeColor="background1" w:themeShade="80"/>
          <w:szCs w:val="24"/>
        </w:rPr>
        <w:t xml:space="preserve">, San Juan, Barahona, Salcedo, Santiago, Puerto Plata y </w:t>
      </w:r>
      <w:proofErr w:type="spellStart"/>
      <w:r w:rsidRPr="00414C4F">
        <w:rPr>
          <w:color w:val="808080" w:themeColor="background1" w:themeShade="80"/>
          <w:szCs w:val="24"/>
        </w:rPr>
        <w:t>Dajabón</w:t>
      </w:r>
      <w:proofErr w:type="spellEnd"/>
      <w:r w:rsidRPr="00414C4F">
        <w:rPr>
          <w:color w:val="808080" w:themeColor="background1" w:themeShade="80"/>
          <w:szCs w:val="24"/>
        </w:rPr>
        <w:t>, se realizó un informe de comprobación técnica que evidencia los hallazgos de las comprobaciones realizadas. Todo esto con la finalidad de que se llevara a cabo el proceso de extinción de las frecuencias que no se encuentren en uso.</w:t>
      </w:r>
    </w:p>
    <w:p w:rsidR="002639AF" w:rsidRPr="00414C4F" w:rsidRDefault="002639AF" w:rsidP="002639AF">
      <w:pPr>
        <w:spacing w:line="360" w:lineRule="auto"/>
        <w:rPr>
          <w:b/>
          <w:bCs/>
          <w:szCs w:val="24"/>
        </w:rPr>
      </w:pPr>
      <w:r w:rsidRPr="00414C4F">
        <w:rPr>
          <w:b/>
          <w:bCs/>
          <w:szCs w:val="24"/>
        </w:rPr>
        <w:t>Despeje de Banda 900 MHz</w:t>
      </w:r>
    </w:p>
    <w:p w:rsidR="002639AF" w:rsidRPr="00414C4F" w:rsidRDefault="002639AF" w:rsidP="002639AF">
      <w:pPr>
        <w:autoSpaceDE w:val="0"/>
        <w:autoSpaceDN w:val="0"/>
        <w:adjustRightInd w:val="0"/>
        <w:spacing w:after="0" w:line="360" w:lineRule="auto"/>
        <w:rPr>
          <w:color w:val="808080" w:themeColor="background1" w:themeShade="80"/>
          <w:szCs w:val="24"/>
        </w:rPr>
      </w:pPr>
      <w:r w:rsidRPr="00414C4F">
        <w:rPr>
          <w:color w:val="808080" w:themeColor="background1" w:themeShade="80"/>
          <w:szCs w:val="24"/>
        </w:rPr>
        <w:t>Hemos realizado el plan de migración de la banda de los 900 MHz al rango de los 300 MHz, de aquellos usuarios en el servicio de radiodifusión sonora que tenían asignaciones de enlaces fijos en la banda de los 900 MHz, específicamente 940-960 MHz, frecuencias que luego fueran adjudicadas mediante Licitación Pública Internacional INDOTEL/LPI-003-2011, a una empresa de telecomunicaciones.</w:t>
      </w:r>
    </w:p>
    <w:p w:rsidR="002639AF" w:rsidRPr="00414C4F" w:rsidRDefault="002639AF" w:rsidP="002639AF">
      <w:pPr>
        <w:autoSpaceDE w:val="0"/>
        <w:autoSpaceDN w:val="0"/>
        <w:adjustRightInd w:val="0"/>
        <w:spacing w:after="0" w:line="240" w:lineRule="auto"/>
        <w:rPr>
          <w:szCs w:val="24"/>
        </w:rPr>
      </w:pPr>
    </w:p>
    <w:p w:rsidR="002639AF" w:rsidRPr="00414C4F" w:rsidRDefault="002639AF" w:rsidP="002639AF">
      <w:pPr>
        <w:spacing w:line="360" w:lineRule="auto"/>
        <w:rPr>
          <w:b/>
          <w:bCs/>
          <w:szCs w:val="24"/>
        </w:rPr>
      </w:pPr>
      <w:r w:rsidRPr="00414C4F">
        <w:rPr>
          <w:b/>
          <w:bCs/>
          <w:szCs w:val="24"/>
        </w:rPr>
        <w:t xml:space="preserve">Publicación de las Asignaciones de Frecuencias en la Página Web Institucional </w:t>
      </w:r>
    </w:p>
    <w:p w:rsidR="002639AF" w:rsidRPr="00414C4F" w:rsidRDefault="002639AF" w:rsidP="002639AF">
      <w:pPr>
        <w:spacing w:line="360" w:lineRule="auto"/>
        <w:rPr>
          <w:szCs w:val="24"/>
        </w:rPr>
      </w:pPr>
      <w:r w:rsidRPr="00414C4F">
        <w:rPr>
          <w:szCs w:val="24"/>
        </w:rPr>
        <w:t xml:space="preserve">Como parte de los acuerdos adquiridos con las Mesas de Regulación, en el mes de octubre fue actualizada la página web institucional con la información relacionada a todas las asignaciones registradas en el Registro Nacional de Frecuencias del </w:t>
      </w:r>
      <w:r w:rsidRPr="00414C4F">
        <w:rPr>
          <w:szCs w:val="24"/>
        </w:rPr>
        <w:lastRenderedPageBreak/>
        <w:t>INDOTEL, de los servicios de radiodifusión sonora y radiodifusión televisiva que se originaron con oficios de la antigua Dirección General de las Telecomunicaciones (DGT).</w:t>
      </w:r>
    </w:p>
    <w:p w:rsidR="002639AF" w:rsidRPr="00414C4F" w:rsidRDefault="002639AF" w:rsidP="002639AF">
      <w:pPr>
        <w:spacing w:line="360" w:lineRule="auto"/>
        <w:rPr>
          <w:b/>
          <w:bCs/>
          <w:szCs w:val="24"/>
        </w:rPr>
      </w:pPr>
      <w:r w:rsidRPr="00414C4F">
        <w:rPr>
          <w:b/>
          <w:bCs/>
          <w:szCs w:val="24"/>
        </w:rPr>
        <w:t>Impresión de los Certificados de Licencia de las Empresas de Telecomunicaciones</w:t>
      </w:r>
    </w:p>
    <w:p w:rsidR="002639AF" w:rsidRPr="00414C4F" w:rsidRDefault="002639AF" w:rsidP="002639AF">
      <w:pPr>
        <w:spacing w:line="360" w:lineRule="auto"/>
        <w:rPr>
          <w:rFonts w:eastAsiaTheme="minorHAnsi"/>
          <w:color w:val="808080" w:themeColor="background1" w:themeShade="80"/>
          <w:szCs w:val="24"/>
          <w:lang w:eastAsia="en-US"/>
        </w:rPr>
      </w:pPr>
      <w:r w:rsidRPr="00414C4F">
        <w:rPr>
          <w:szCs w:val="24"/>
        </w:rPr>
        <w:t xml:space="preserve">Como parte de los acercamientos entre el INDOTEL con las empresas de telecomunicaciones, con miras a las renovaciones de los contratos de concesión, en el mes de septiembre fueron impresos veinticuatro certificados de licencias correspondientes a las </w:t>
      </w:r>
      <w:r w:rsidRPr="00414C4F">
        <w:rPr>
          <w:rFonts w:eastAsiaTheme="minorHAnsi"/>
          <w:color w:val="808080" w:themeColor="background1" w:themeShade="80"/>
          <w:szCs w:val="24"/>
          <w:lang w:eastAsia="en-US"/>
        </w:rPr>
        <w:t xml:space="preserve">frecuencias para la prestación de servicios públicos finales de las empresas </w:t>
      </w:r>
      <w:proofErr w:type="spellStart"/>
      <w:r w:rsidRPr="00414C4F">
        <w:rPr>
          <w:rFonts w:eastAsiaTheme="minorHAnsi"/>
          <w:color w:val="808080" w:themeColor="background1" w:themeShade="80"/>
          <w:szCs w:val="24"/>
          <w:lang w:eastAsia="en-US"/>
        </w:rPr>
        <w:t>Altice</w:t>
      </w:r>
      <w:proofErr w:type="spellEnd"/>
      <w:r w:rsidRPr="00414C4F">
        <w:rPr>
          <w:rFonts w:eastAsiaTheme="minorHAnsi"/>
          <w:color w:val="808080" w:themeColor="background1" w:themeShade="80"/>
          <w:szCs w:val="24"/>
          <w:lang w:eastAsia="en-US"/>
        </w:rPr>
        <w:t xml:space="preserve"> Dominicana, S.A, Compañía Dominicana de Teléfonos, S.A. y </w:t>
      </w:r>
      <w:proofErr w:type="spellStart"/>
      <w:r w:rsidRPr="00414C4F">
        <w:rPr>
          <w:rFonts w:eastAsiaTheme="minorHAnsi"/>
          <w:color w:val="808080" w:themeColor="background1" w:themeShade="80"/>
          <w:szCs w:val="24"/>
          <w:lang w:eastAsia="en-US"/>
        </w:rPr>
        <w:t>Trilogy</w:t>
      </w:r>
      <w:proofErr w:type="spellEnd"/>
      <w:r w:rsidRPr="00414C4F">
        <w:rPr>
          <w:rFonts w:eastAsiaTheme="minorHAnsi"/>
          <w:color w:val="808080" w:themeColor="background1" w:themeShade="80"/>
          <w:szCs w:val="24"/>
          <w:lang w:eastAsia="en-US"/>
        </w:rPr>
        <w:t xml:space="preserve"> Dominicana, S.A. </w:t>
      </w:r>
    </w:p>
    <w:p w:rsidR="002639AF" w:rsidRPr="00414C4F" w:rsidRDefault="002639AF" w:rsidP="002639AF">
      <w:pPr>
        <w:spacing w:line="360" w:lineRule="auto"/>
        <w:rPr>
          <w:rFonts w:eastAsiaTheme="minorHAnsi"/>
          <w:b/>
          <w:szCs w:val="24"/>
          <w:lang w:eastAsia="en-US"/>
        </w:rPr>
      </w:pPr>
      <w:r w:rsidRPr="00414C4F">
        <w:rPr>
          <w:rFonts w:eastAsiaTheme="minorHAnsi"/>
          <w:b/>
          <w:szCs w:val="24"/>
          <w:lang w:eastAsia="en-US"/>
        </w:rPr>
        <w:t xml:space="preserve">Licenciamiento de Enlaces </w:t>
      </w:r>
      <w:r w:rsidR="003E78C0">
        <w:rPr>
          <w:rFonts w:eastAsiaTheme="minorHAnsi"/>
          <w:b/>
          <w:szCs w:val="24"/>
          <w:lang w:eastAsia="en-US"/>
        </w:rPr>
        <w:t>U</w:t>
      </w:r>
      <w:r w:rsidRPr="00414C4F">
        <w:rPr>
          <w:rFonts w:eastAsiaTheme="minorHAnsi"/>
          <w:b/>
          <w:szCs w:val="24"/>
          <w:lang w:eastAsia="en-US"/>
        </w:rPr>
        <w:t>tilizados por las Empresas de Telecomunicaciones.</w:t>
      </w:r>
    </w:p>
    <w:p w:rsidR="002639AF" w:rsidRPr="00414C4F" w:rsidRDefault="002639AF" w:rsidP="002639AF">
      <w:pPr>
        <w:spacing w:line="360" w:lineRule="auto"/>
        <w:rPr>
          <w:rFonts w:eastAsiaTheme="minorHAnsi"/>
          <w:color w:val="808080" w:themeColor="background1" w:themeShade="80"/>
          <w:szCs w:val="24"/>
          <w:lang w:eastAsia="en-US"/>
        </w:rPr>
      </w:pPr>
      <w:r w:rsidRPr="00414C4F">
        <w:rPr>
          <w:rFonts w:eastAsiaTheme="minorHAnsi"/>
          <w:color w:val="808080" w:themeColor="background1" w:themeShade="80"/>
          <w:szCs w:val="24"/>
          <w:lang w:eastAsia="en-US"/>
        </w:rPr>
        <w:t xml:space="preserve">Como parte de la </w:t>
      </w:r>
      <w:proofErr w:type="spellStart"/>
      <w:r w:rsidRPr="00414C4F">
        <w:rPr>
          <w:rFonts w:eastAsiaTheme="minorHAnsi"/>
          <w:color w:val="808080" w:themeColor="background1" w:themeShade="80"/>
          <w:szCs w:val="24"/>
          <w:lang w:eastAsia="en-US"/>
        </w:rPr>
        <w:t>eficientización</w:t>
      </w:r>
      <w:proofErr w:type="spellEnd"/>
      <w:r w:rsidRPr="00414C4F">
        <w:rPr>
          <w:rFonts w:eastAsiaTheme="minorHAnsi"/>
          <w:color w:val="808080" w:themeColor="background1" w:themeShade="80"/>
          <w:szCs w:val="24"/>
          <w:lang w:eastAsia="en-US"/>
        </w:rPr>
        <w:t xml:space="preserve"> en el uso del espectro radioeléctrico, hemos realizado reuniones con las prestadoras de telecomunicaciones a los fines de emitirle certificados de licencias a las frecuencias de enlace que actualmente están utilizando bajo la anuencia del órgano regulador, pero que aún no cuentan con certificados de licencias de las mismas.</w:t>
      </w:r>
    </w:p>
    <w:p w:rsidR="002639AF" w:rsidRPr="00414C4F" w:rsidRDefault="002639AF" w:rsidP="002639AF">
      <w:pPr>
        <w:spacing w:line="360" w:lineRule="auto"/>
        <w:ind w:left="720" w:hanging="720"/>
        <w:rPr>
          <w:b/>
          <w:color w:val="808080" w:themeColor="background1" w:themeShade="80"/>
          <w:szCs w:val="24"/>
        </w:rPr>
      </w:pPr>
      <w:r w:rsidRPr="00414C4F">
        <w:rPr>
          <w:rFonts w:eastAsiaTheme="minorHAnsi"/>
          <w:b/>
          <w:color w:val="808080" w:themeColor="background1" w:themeShade="80"/>
          <w:szCs w:val="24"/>
          <w:lang w:eastAsia="en-US"/>
        </w:rPr>
        <w:t>Entrega Voluntaria de Frecuencias no Utilizadas</w:t>
      </w:r>
    </w:p>
    <w:p w:rsidR="002639AF" w:rsidRPr="00414C4F" w:rsidRDefault="002639AF" w:rsidP="002639AF">
      <w:pPr>
        <w:autoSpaceDE w:val="0"/>
        <w:autoSpaceDN w:val="0"/>
        <w:adjustRightInd w:val="0"/>
        <w:spacing w:after="0" w:line="360" w:lineRule="auto"/>
        <w:rPr>
          <w:color w:val="808080" w:themeColor="background1" w:themeShade="80"/>
          <w:szCs w:val="24"/>
        </w:rPr>
      </w:pPr>
      <w:r w:rsidRPr="00414C4F">
        <w:rPr>
          <w:color w:val="808080" w:themeColor="background1" w:themeShade="80"/>
          <w:szCs w:val="24"/>
        </w:rPr>
        <w:t>En el esfuerzo de velar por el cumplimiento de la Ley de General Telecomunicaciones, Núm. 153-98, que en su capítulo 2 Artículo 3, literal g cita:</w:t>
      </w:r>
      <w:r w:rsidRPr="00414C4F">
        <w:rPr>
          <w:rFonts w:asciiTheme="minorHAnsi" w:eastAsiaTheme="minorHAnsi" w:hAnsiTheme="minorHAnsi" w:cstheme="minorBidi"/>
          <w:color w:val="808080" w:themeColor="background1" w:themeShade="80"/>
          <w:sz w:val="22"/>
          <w:lang w:eastAsia="en-US"/>
        </w:rPr>
        <w:t xml:space="preserve"> </w:t>
      </w:r>
      <w:r w:rsidRPr="00414C4F">
        <w:rPr>
          <w:color w:val="808080" w:themeColor="background1" w:themeShade="80"/>
          <w:szCs w:val="24"/>
        </w:rPr>
        <w:t xml:space="preserve">Garantizar la administración y el uso eficiente del dominio público del espectro radioeléctrico, así como también, en el Capítulo XII, Artículo 77, literal d, cita: Velar por el uso eficiente del dominio público del espectro radioeléctrico, hemos realizado acercamientos con las principales prestadoras de telecomunicaciones a los fines de que voluntariamente entreguen las frecuencias que tienen asignadas y que no las estén utilizando, ya que el no uso de las frecuencias asignadas se </w:t>
      </w:r>
      <w:r w:rsidRPr="00414C4F">
        <w:rPr>
          <w:color w:val="808080" w:themeColor="background1" w:themeShade="80"/>
          <w:szCs w:val="24"/>
        </w:rPr>
        <w:lastRenderedPageBreak/>
        <w:t>convierte en una violación a la Ley, además de que le genera grandes costos por Derecho de Uso (DU) a las empresas.</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rPr>
          <w:szCs w:val="24"/>
        </w:rPr>
      </w:pPr>
      <w:r w:rsidRPr="00414C4F">
        <w:rPr>
          <w:b/>
          <w:bCs/>
          <w:szCs w:val="24"/>
        </w:rPr>
        <w:t>Proyecto de Mitigación de Interferencias en la Frontera</w:t>
      </w:r>
      <w:r w:rsidRPr="00414C4F">
        <w:rPr>
          <w:szCs w:val="24"/>
        </w:rPr>
        <w:t xml:space="preserve"> </w:t>
      </w:r>
    </w:p>
    <w:p w:rsidR="002639AF" w:rsidRPr="00414C4F" w:rsidRDefault="002639AF" w:rsidP="002639AF">
      <w:pPr>
        <w:spacing w:line="360" w:lineRule="auto"/>
        <w:rPr>
          <w:szCs w:val="24"/>
        </w:rPr>
      </w:pPr>
      <w:r w:rsidRPr="00414C4F">
        <w:rPr>
          <w:szCs w:val="24"/>
        </w:rPr>
        <w:t>Tiene la finalidad de mitigar las interferencias que afectan tanto a la nación dominicana como a la haitiana. Es por esto que en el mes de abril el Instituto Dominicano de las Telecomunicaciones (INDOTEL) y el Consejo Nacional de Telecomunicaciones de la República de Haití (CONATEL) firmaron un Memorando de Entendimiento, mediante el cual ambos reguladores se comprometen a trabajar juntos para resolver los problemas de interferencias de radiofrecuencias encontrados a lo largo de la frontera.</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rPr>
          <w:szCs w:val="24"/>
        </w:rPr>
      </w:pPr>
      <w:r w:rsidRPr="00414C4F">
        <w:rPr>
          <w:szCs w:val="24"/>
        </w:rPr>
        <w:t xml:space="preserve">Acordaron “relanzar y fortalecer los mecanismos de cooperación técnica e institucional” con miras a la gestión en el uso del espectro en la zona fronteriza. En este contexto, las partes dispusieron la creación de una mesa de trabajo permanente para atender los desafíos comunes y/o reuniones de seguimiento para la implementación efectiva de las disposiciones y compromisos del Acuerdo. </w:t>
      </w:r>
    </w:p>
    <w:p w:rsidR="002639AF" w:rsidRPr="00414C4F" w:rsidRDefault="002639AF" w:rsidP="002639AF">
      <w:pPr>
        <w:spacing w:after="0" w:line="240" w:lineRule="auto"/>
        <w:jc w:val="left"/>
        <w:rPr>
          <w:rFonts w:eastAsia="Times New Roman"/>
          <w:color w:val="auto"/>
        </w:rPr>
      </w:pPr>
    </w:p>
    <w:p w:rsidR="002639AF" w:rsidRDefault="002639AF" w:rsidP="002639AF">
      <w:pPr>
        <w:spacing w:line="360" w:lineRule="auto"/>
        <w:rPr>
          <w:szCs w:val="24"/>
        </w:rPr>
      </w:pPr>
      <w:r w:rsidRPr="00414C4F">
        <w:rPr>
          <w:szCs w:val="24"/>
        </w:rPr>
        <w:t xml:space="preserve">Siguiendo los compromisos arribados en el memorando, en el mes de mayo realizamos la primera mesa de trabajo en la cual iniciamos con el sector de telecomunicaciones móviles y participaron tanto los reguladores de ambos países como las diferentes prestadoras de servicios de telecomunicaciones de ambas naciones, dando como resultado que las prestadoras de ambos países unirán esfuerzos para mitigar las interferencias que ocurren en la zona fronteriza, bajo la supervisión de ambos entes reguladores. Actualmente, nos encontramos coordinando la segunda mesa de trabajo, que se realizará con el sector radiodifusión sonora. </w:t>
      </w:r>
    </w:p>
    <w:p w:rsidR="002639AF" w:rsidRPr="00414C4F" w:rsidRDefault="002639AF" w:rsidP="002639AF">
      <w:pPr>
        <w:spacing w:line="360" w:lineRule="auto"/>
        <w:rPr>
          <w:szCs w:val="24"/>
        </w:rPr>
      </w:pPr>
    </w:p>
    <w:p w:rsidR="002639AF" w:rsidRPr="00414C4F" w:rsidRDefault="002639AF" w:rsidP="002639AF">
      <w:pPr>
        <w:spacing w:line="360" w:lineRule="auto"/>
        <w:rPr>
          <w:b/>
          <w:color w:val="808080" w:themeColor="background1" w:themeShade="80"/>
          <w:szCs w:val="24"/>
        </w:rPr>
      </w:pPr>
      <w:r w:rsidRPr="00414C4F">
        <w:rPr>
          <w:b/>
          <w:color w:val="808080" w:themeColor="background1" w:themeShade="80"/>
          <w:szCs w:val="24"/>
        </w:rPr>
        <w:lastRenderedPageBreak/>
        <w:t>Acuerdo Armada de República Dominicana ARD-INDOTEL</w:t>
      </w:r>
    </w:p>
    <w:p w:rsidR="002639AF" w:rsidRPr="00414C4F" w:rsidRDefault="002639AF" w:rsidP="002639AF">
      <w:pPr>
        <w:spacing w:line="360" w:lineRule="auto"/>
        <w:rPr>
          <w:color w:val="808080" w:themeColor="background1" w:themeShade="80"/>
          <w:szCs w:val="24"/>
        </w:rPr>
      </w:pPr>
      <w:r w:rsidRPr="00414C4F">
        <w:rPr>
          <w:color w:val="808080" w:themeColor="background1" w:themeShade="80"/>
          <w:szCs w:val="24"/>
        </w:rPr>
        <w:t>El 8 de noviembre de 2021, El INDOTEL y la Armada de República Dominicana firmaron un convenio que establece las pautas de cooperación técnica en materia de telecomunicaciones, con miras a ofrecer garantías de seguridad marítima a todas las embarcaciones comerciales, turísticas, de recreo y de pesca que surcan los mares del país.</w:t>
      </w:r>
    </w:p>
    <w:p w:rsidR="002639AF" w:rsidRPr="00414C4F" w:rsidRDefault="002639AF" w:rsidP="002639AF">
      <w:pPr>
        <w:spacing w:line="360" w:lineRule="auto"/>
        <w:rPr>
          <w:color w:val="808080" w:themeColor="background1" w:themeShade="80"/>
          <w:szCs w:val="24"/>
        </w:rPr>
      </w:pPr>
      <w:r w:rsidRPr="00414C4F">
        <w:rPr>
          <w:color w:val="808080" w:themeColor="background1" w:themeShade="80"/>
          <w:szCs w:val="24"/>
        </w:rPr>
        <w:t>Como parte del acuerdo, el INDOTEL asume, en tanto, ejercer sus funciones de inspección y monitoreo del espectro radioeléctrico, especialmente, aquellos segmentos atribuidos a servicios de atención a emergencias marítimas a nivel internacional.</w:t>
      </w:r>
    </w:p>
    <w:p w:rsidR="002639AF" w:rsidRPr="00414C4F" w:rsidRDefault="002639AF" w:rsidP="002639AF">
      <w:pPr>
        <w:spacing w:after="0" w:line="240" w:lineRule="auto"/>
        <w:jc w:val="left"/>
        <w:rPr>
          <w:rFonts w:eastAsia="Times New Roman"/>
          <w:color w:val="auto"/>
        </w:rPr>
      </w:pPr>
    </w:p>
    <w:p w:rsidR="002639AF" w:rsidRPr="00414C4F" w:rsidRDefault="002639AF" w:rsidP="002639AF">
      <w:pPr>
        <w:spacing w:line="360" w:lineRule="auto"/>
        <w:rPr>
          <w:szCs w:val="24"/>
        </w:rPr>
      </w:pPr>
      <w:r w:rsidRPr="00414C4F">
        <w:rPr>
          <w:b/>
          <w:bCs/>
          <w:szCs w:val="24"/>
        </w:rPr>
        <w:t>Comprobaciones Técnicas del Espectro</w:t>
      </w:r>
    </w:p>
    <w:p w:rsidR="002639AF" w:rsidRPr="00414C4F" w:rsidRDefault="002639AF" w:rsidP="002639AF">
      <w:pPr>
        <w:spacing w:line="360" w:lineRule="auto"/>
        <w:rPr>
          <w:szCs w:val="24"/>
        </w:rPr>
      </w:pPr>
      <w:r w:rsidRPr="00414C4F">
        <w:rPr>
          <w:szCs w:val="24"/>
        </w:rPr>
        <w:t>Son actividades que se realizan con el objetivo de mantener el control en el uso del espectro radioeléctrico, además de solucionar interferencias entre prestadoras y detección de emisiones no autorizadas, dando como resultado la solución a las interferencias perjudiciales que reciben las prestadoras, así como también, generando la clausura de estaciones no autorizadas.</w:t>
      </w:r>
    </w:p>
    <w:p w:rsidR="002639AF" w:rsidRPr="00414C4F" w:rsidRDefault="002639AF" w:rsidP="002639AF">
      <w:pPr>
        <w:spacing w:line="360" w:lineRule="auto"/>
        <w:rPr>
          <w:szCs w:val="24"/>
        </w:rPr>
      </w:pPr>
      <w:r w:rsidRPr="00414C4F">
        <w:rPr>
          <w:szCs w:val="24"/>
        </w:rPr>
        <w:t xml:space="preserve">En este período se </w:t>
      </w:r>
      <w:r w:rsidR="003E78C0" w:rsidRPr="00414C4F">
        <w:rPr>
          <w:szCs w:val="24"/>
        </w:rPr>
        <w:t>trabajó</w:t>
      </w:r>
      <w:r w:rsidRPr="00414C4F">
        <w:rPr>
          <w:szCs w:val="24"/>
        </w:rPr>
        <w:t xml:space="preserve"> un total de 218 casos, relacionados a denuncias de interferencias, comprobación del espectro y detecciones de estaciones ilegales, los cuales se encuentran detallados en la gráfica a continuación:</w:t>
      </w:r>
    </w:p>
    <w:p w:rsidR="002639AF" w:rsidRPr="00414C4F" w:rsidRDefault="002639AF" w:rsidP="002639AF">
      <w:pPr>
        <w:spacing w:after="0" w:line="240" w:lineRule="auto"/>
        <w:jc w:val="left"/>
        <w:rPr>
          <w:rFonts w:eastAsia="Times New Roman"/>
          <w:noProof/>
          <w:color w:val="auto"/>
          <w:szCs w:val="24"/>
        </w:rPr>
      </w:pPr>
      <w:r w:rsidRPr="00414C4F">
        <w:rPr>
          <w:rFonts w:eastAsia="Times New Roman"/>
          <w:color w:val="auto"/>
          <w:szCs w:val="24"/>
        </w:rPr>
        <w:lastRenderedPageBreak/>
        <w:t xml:space="preserve"> </w:t>
      </w:r>
      <w:r w:rsidRPr="00414C4F">
        <w:rPr>
          <w:rFonts w:eastAsia="Times New Roman"/>
          <w:noProof/>
          <w:color w:val="auto"/>
          <w:lang w:val="en-US" w:eastAsia="en-US"/>
        </w:rPr>
        <w:drawing>
          <wp:inline distT="0" distB="0" distL="0" distR="0" wp14:anchorId="73DD0CCA" wp14:editId="024085B7">
            <wp:extent cx="5390308" cy="4401879"/>
            <wp:effectExtent l="0" t="0" r="1270" b="1778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639AF" w:rsidRPr="00414C4F" w:rsidRDefault="002639AF" w:rsidP="002639AF">
      <w:pPr>
        <w:spacing w:after="0" w:line="240" w:lineRule="auto"/>
        <w:jc w:val="left"/>
        <w:rPr>
          <w:rFonts w:eastAsia="Times New Roman"/>
          <w:color w:val="auto"/>
          <w:sz w:val="18"/>
        </w:rPr>
      </w:pPr>
      <w:r w:rsidRPr="00414C4F">
        <w:rPr>
          <w:rFonts w:eastAsia="Times New Roman"/>
          <w:b/>
          <w:sz w:val="18"/>
        </w:rPr>
        <w:t>Fuente:</w:t>
      </w:r>
      <w:r w:rsidRPr="00414C4F">
        <w:rPr>
          <w:rFonts w:eastAsia="Times New Roman"/>
          <w:sz w:val="18"/>
        </w:rPr>
        <w:t xml:space="preserve"> Dirección de Espectro Radioeléctrico</w:t>
      </w:r>
    </w:p>
    <w:p w:rsidR="002639AF" w:rsidRPr="00414C4F" w:rsidRDefault="002639AF" w:rsidP="002639AF">
      <w:pPr>
        <w:spacing w:after="0" w:line="240" w:lineRule="auto"/>
        <w:jc w:val="left"/>
        <w:rPr>
          <w:rFonts w:eastAsia="Times New Roman"/>
          <w:sz w:val="18"/>
        </w:rPr>
      </w:pPr>
    </w:p>
    <w:p w:rsidR="002639AF" w:rsidRPr="00414C4F" w:rsidRDefault="002639AF" w:rsidP="002639AF">
      <w:pPr>
        <w:spacing w:after="0" w:line="240" w:lineRule="auto"/>
        <w:jc w:val="left"/>
        <w:rPr>
          <w:rFonts w:eastAsia="Times New Roman"/>
          <w:color w:val="auto"/>
          <w:sz w:val="18"/>
        </w:rPr>
      </w:pPr>
    </w:p>
    <w:p w:rsidR="002639AF" w:rsidRPr="00414C4F" w:rsidRDefault="002639AF" w:rsidP="002639AF">
      <w:pPr>
        <w:spacing w:line="360" w:lineRule="auto"/>
        <w:rPr>
          <w:szCs w:val="24"/>
        </w:rPr>
      </w:pPr>
      <w:r w:rsidRPr="00414C4F">
        <w:rPr>
          <w:b/>
          <w:bCs/>
          <w:szCs w:val="24"/>
        </w:rPr>
        <w:t>Calibración y Mantenimiento del Sistema de Monitoreo</w:t>
      </w:r>
    </w:p>
    <w:p w:rsidR="002639AF" w:rsidRDefault="002639AF" w:rsidP="002639AF">
      <w:pPr>
        <w:spacing w:line="360" w:lineRule="auto"/>
        <w:rPr>
          <w:szCs w:val="24"/>
        </w:rPr>
      </w:pPr>
      <w:r w:rsidRPr="00414C4F">
        <w:rPr>
          <w:szCs w:val="24"/>
        </w:rPr>
        <w:t>A los fines de obtener medidas confiables y un sistema de monitoreo robusto, el INDOTEL mantiene la plataforma de monitoreo del Espectro Radioeléctrico en óptimas condiciones de funcionamiento, mediante los mantenimientos preventivos programados anualmente y mantenimientos correctivos en caso de fallas inesperadas. Así como también, los analizadores de espectro que son complementarios al sistema de monitoreo se les realiza una calibración anual, tal como lo estipulan las normas internacionales, a los fines de garantizar la precisión en las medidas realizadas.</w:t>
      </w:r>
    </w:p>
    <w:p w:rsidR="002639AF" w:rsidRPr="006C2750" w:rsidRDefault="002639AF" w:rsidP="002639AF">
      <w:pPr>
        <w:pStyle w:val="Ttulo3"/>
      </w:pPr>
      <w:bookmarkStart w:id="15" w:name="_Toc90936646"/>
      <w:r w:rsidRPr="00E83EBC">
        <w:lastRenderedPageBreak/>
        <w:t>Fiscalización</w:t>
      </w:r>
      <w:bookmarkEnd w:id="15"/>
    </w:p>
    <w:p w:rsidR="002639AF" w:rsidRPr="00C22A32" w:rsidRDefault="002639AF" w:rsidP="002639AF">
      <w:pPr>
        <w:pStyle w:val="Sinespaciado"/>
      </w:pPr>
    </w:p>
    <w:p w:rsidR="002639AF" w:rsidRPr="00A34E2A" w:rsidRDefault="002639AF" w:rsidP="002639AF">
      <w:pPr>
        <w:autoSpaceDE w:val="0"/>
        <w:autoSpaceDN w:val="0"/>
        <w:adjustRightInd w:val="0"/>
        <w:spacing w:line="360" w:lineRule="auto"/>
      </w:pPr>
      <w:r w:rsidRPr="00A34E2A">
        <w:t xml:space="preserve">El Instituto Dominicano de las Telecomunicaciones </w:t>
      </w:r>
      <w:r>
        <w:t>(</w:t>
      </w:r>
      <w:r w:rsidRPr="00A34E2A">
        <w:t>INDOTEL</w:t>
      </w:r>
      <w:r>
        <w:t>)</w:t>
      </w:r>
      <w:r w:rsidRPr="00A34E2A">
        <w:t>, tiene la labor de fiscalizar el cumplimiento de las obligaciones a cargo de los agentes regulados del sector de las telecomunicaciones y/o aquellos que incurran en la prestación u operación de servicios de telecomunicaciones sin el correspondiente título habilitante.</w:t>
      </w:r>
    </w:p>
    <w:p w:rsidR="002639AF" w:rsidRPr="00A34E2A" w:rsidRDefault="002639AF" w:rsidP="002639AF">
      <w:pPr>
        <w:spacing w:after="0" w:line="240" w:lineRule="auto"/>
      </w:pPr>
    </w:p>
    <w:p w:rsidR="002639AF" w:rsidRPr="00A34E2A" w:rsidRDefault="002639AF" w:rsidP="002639AF">
      <w:pPr>
        <w:autoSpaceDE w:val="0"/>
        <w:autoSpaceDN w:val="0"/>
        <w:adjustRightInd w:val="0"/>
        <w:spacing w:line="360" w:lineRule="auto"/>
        <w:rPr>
          <w:szCs w:val="24"/>
        </w:rPr>
      </w:pPr>
      <w:r w:rsidRPr="51229F99">
        <w:rPr>
          <w:color w:val="767171" w:themeColor="background2" w:themeShade="80"/>
          <w:szCs w:val="24"/>
        </w:rPr>
        <w:t xml:space="preserve">Durante el año 2021 se ha desarrollado una efectiva labor de fiscalización, investigación, supervisión, comprobación y localización de operaciones de estaciones de Radiodifusión Sonora y Televisiva en sus respectivas bandas de Frecuencias y en el Servicio de Difusión por Cable con el objetivo de evitar la prestación sin autorización de los servicios de telecomunicaciones, así como el uso sin autorización de frecuencias del espectro radioeléctrico. </w:t>
      </w:r>
    </w:p>
    <w:p w:rsidR="002639AF" w:rsidRPr="00A34E2A" w:rsidRDefault="002639AF" w:rsidP="002639AF">
      <w:pPr>
        <w:spacing w:after="200" w:line="360" w:lineRule="auto"/>
      </w:pPr>
      <w:r w:rsidRPr="00A34E2A">
        <w:t>En ese sentido, se procedió a la clausura e incautación de 28 estaciones de radiodifusión sonora que operaban sin la autorización correspondiente. De igual forma y en ejecución de lo establecido en el Plan Operativo Anual correspondiente, se realizaron 269 inspecciones a estaciones autorizadas a prestar el servicio de radiodifusión sonora. Asimismo y atendiendo a denuncias de competencia desleal y de interferencia de señales, se han clausurado 20 agentes de reventa del servicio de internet</w:t>
      </w:r>
      <w:r>
        <w:t>.</w:t>
      </w:r>
      <w:r w:rsidRPr="00A34E2A">
        <w:t xml:space="preserve"> </w:t>
      </w:r>
      <w:r>
        <w:t>E</w:t>
      </w:r>
      <w:r w:rsidRPr="00A34E2A">
        <w:t>sto ha contribuido, además, a la desocupación de frecuencias licenciadas que estaban en uso sin autorización.</w:t>
      </w:r>
    </w:p>
    <w:p w:rsidR="002639AF" w:rsidRPr="00A34E2A" w:rsidRDefault="002639AF" w:rsidP="002639AF">
      <w:pPr>
        <w:spacing w:line="360" w:lineRule="auto"/>
      </w:pPr>
      <w:r w:rsidRPr="00A34E2A">
        <w:t>En materia de calidad de los servicios de telecomunicaciones, fue exitosamente adjudicada la licitación para la compra de los equipos de medición de calidad de los servicios de telefonía e Internet móviles, así como la capacitación del personal en el uso de estos, habilitando a la institución a realizar sus propias mediciones de manera recurrente e independiente. Los equipos fueron entregados en el mes de junio de 2021.</w:t>
      </w:r>
    </w:p>
    <w:p w:rsidR="009C660A" w:rsidRDefault="002639AF" w:rsidP="009C660A">
      <w:pPr>
        <w:spacing w:line="360" w:lineRule="auto"/>
        <w:rPr>
          <w:b/>
          <w:color w:val="FF0000"/>
        </w:rPr>
      </w:pPr>
      <w:r w:rsidRPr="00A34E2A">
        <w:lastRenderedPageBreak/>
        <w:t>A la fecha se están realizando las comprobaciones a nivel nacional y los resultados de las mediciones serán publicados conforme lo establecido en la Norma de Calidad del Servicio de Telefonía y Acceso a Internet dictada por el Consejo Directivo del INDOTEL mediante Resolución Núm. 016-15 de fecha 8 de julio de 2015, lo cual será información valiosa para los usuarios, quienes tendrán una referencia objetiva para la selección de su prestador de servicios móviles, a la vez que impulsará una mejora en los servicios por parte de las concesionarias, por el carácter público de los resultados mencionados.</w:t>
      </w:r>
      <w:r>
        <w:t xml:space="preserve"> </w:t>
      </w:r>
    </w:p>
    <w:p w:rsidR="002639AF" w:rsidRPr="009C660A" w:rsidRDefault="002639AF" w:rsidP="009C660A">
      <w:pPr>
        <w:spacing w:line="360" w:lineRule="auto"/>
        <w:rPr>
          <w:b/>
          <w:color w:val="FF0000"/>
        </w:rPr>
      </w:pPr>
      <w:r>
        <w:br/>
      </w:r>
      <w:r w:rsidRPr="00A34E2A">
        <w:t>Dentro de este ámbito, se realizó el análisis de 10 reportes trimestrales de calidad, contentivos de un promedio de 27 indicadores de calidad, incluidos los tres operadores principales, para la evaluación de la calidad de prestación de los servicios de telefonía móvil y fija, mensajería corta de texto (SMS) e internet móvil y fijo a nivel nacional. Los análisis han sido realizados en virtud de lo establecido en la referida norma, por lo que estas actuaciones constituyen el cumplimiento a un mandato normativo que tiene como objetivo garantizar que los servicios públicos de telecomunicaciones están siendo prestados con la calidad, tal y como lo establece la Ley General de Telecomunicaciones, Núm. 153-98. Como resultado, se ha observado mejora en 2 indicadores de servicio de telefonía, en 1 indicador de Interne</w:t>
      </w:r>
      <w:r>
        <w:t>t móvil</w:t>
      </w:r>
      <w:r w:rsidRPr="00A34E2A">
        <w:t xml:space="preserve"> y se han mantenido las mejoras anteriores a los indicadores de servicio de mensajería corta.</w:t>
      </w:r>
      <w:r w:rsidRPr="00C25CB4">
        <w:rPr>
          <w:b/>
          <w:color w:val="FF0000"/>
        </w:rPr>
        <w:t xml:space="preserve"> </w:t>
      </w:r>
    </w:p>
    <w:p w:rsidR="002639AF" w:rsidRPr="00A34E2A" w:rsidRDefault="002639AF" w:rsidP="002639AF">
      <w:pPr>
        <w:spacing w:after="0" w:line="240" w:lineRule="auto"/>
      </w:pPr>
    </w:p>
    <w:p w:rsidR="002639AF" w:rsidRPr="00A34E2A" w:rsidRDefault="002639AF" w:rsidP="002639AF">
      <w:pPr>
        <w:autoSpaceDE w:val="0"/>
        <w:autoSpaceDN w:val="0"/>
        <w:adjustRightInd w:val="0"/>
        <w:spacing w:line="360" w:lineRule="auto"/>
        <w:rPr>
          <w:szCs w:val="24"/>
        </w:rPr>
      </w:pPr>
      <w:r w:rsidRPr="51229F99">
        <w:rPr>
          <w:color w:val="767171" w:themeColor="background2" w:themeShade="80"/>
          <w:szCs w:val="24"/>
        </w:rPr>
        <w:t xml:space="preserve">En el mismo tenor del aseguramiento de la calidad, se ha mantenido la observancia del Protocolo para el Manejo de las Averías Tipo 2 para su ejecución, tanto por parte de las prestadoras como del órgano regulador. Este protocolo ha mejorado considerablemente la visibilidad de las averías de cara al INDOTEL, la compensación a los usuarios por las mismas y la comunicación efectiva entre todas las partes. Bajo este protocolo, se dio seguimiento y se documentaron 6 averías tipo 2, de las cuales 4 conllevaron compensación a los usuarios por la afección de los </w:t>
      </w:r>
      <w:r w:rsidRPr="51229F99">
        <w:rPr>
          <w:color w:val="767171" w:themeColor="background2" w:themeShade="80"/>
          <w:szCs w:val="24"/>
        </w:rPr>
        <w:lastRenderedPageBreak/>
        <w:t>servicios, sumando un total acumulado de RD$21</w:t>
      </w:r>
      <w:proofErr w:type="gramStart"/>
      <w:r w:rsidRPr="51229F99">
        <w:rPr>
          <w:color w:val="767171" w:themeColor="background2" w:themeShade="80"/>
          <w:szCs w:val="24"/>
        </w:rPr>
        <w:t>,553,016.34</w:t>
      </w:r>
      <w:proofErr w:type="gramEnd"/>
      <w:r w:rsidRPr="51229F99">
        <w:rPr>
          <w:color w:val="767171" w:themeColor="background2" w:themeShade="80"/>
          <w:szCs w:val="24"/>
        </w:rPr>
        <w:t xml:space="preserve"> en créditos a los usuarios afectados.</w:t>
      </w:r>
    </w:p>
    <w:p w:rsidR="002639AF" w:rsidRPr="00A34E2A" w:rsidRDefault="002639AF" w:rsidP="002639AF">
      <w:pPr>
        <w:spacing w:after="0" w:line="240" w:lineRule="auto"/>
      </w:pPr>
    </w:p>
    <w:p w:rsidR="002639AF" w:rsidRPr="00E35095" w:rsidRDefault="002639AF" w:rsidP="002639AF">
      <w:pPr>
        <w:autoSpaceDE w:val="0"/>
        <w:autoSpaceDN w:val="0"/>
        <w:adjustRightInd w:val="0"/>
        <w:spacing w:line="360" w:lineRule="auto"/>
        <w:rPr>
          <w:b/>
          <w:color w:val="2E74B5" w:themeColor="accent1" w:themeShade="BF"/>
        </w:rPr>
      </w:pPr>
      <w:r w:rsidRPr="00A34E2A">
        <w:t xml:space="preserve">Por otra parte, en atención a la Resolución Núm. 070-19, que aprueba la Norma que Regula la Contratación y Activación de Servicios Públicos de Telecomunicaciones, el INDOTEL realizó operativos de comprobación de mecanismos de activación de líneas móviles desde la entrada en vigencia de la citada norma. Los operativos fueron ejecutados a nivel nacional </w:t>
      </w:r>
      <w:r w:rsidRPr="00031097">
        <w:t>durante el primer y el segundo trimestre, con</w:t>
      </w:r>
      <w:r w:rsidRPr="00A34E2A">
        <w:t xml:space="preserve"> 514 comprobaciones, identificando importantes oportunidades de mejora en los procesos de las prestadoras, lo cual tendrá un impacto directo en la seguridad de la información de los usuarios.</w:t>
      </w:r>
      <w:r>
        <w:rPr>
          <w:color w:val="FF0000"/>
        </w:rPr>
        <w:t xml:space="preserve"> </w:t>
      </w:r>
    </w:p>
    <w:p w:rsidR="002639AF" w:rsidRPr="00A34E2A" w:rsidRDefault="002639AF" w:rsidP="002639AF">
      <w:pPr>
        <w:autoSpaceDE w:val="0"/>
        <w:autoSpaceDN w:val="0"/>
        <w:adjustRightInd w:val="0"/>
        <w:spacing w:line="360" w:lineRule="auto"/>
      </w:pPr>
      <w:r w:rsidRPr="00A34E2A">
        <w:t>En cuanto a las labores de soporte de otras áreas del órgano regulador, en colaboración con el Departamento de Asistencia al Usuario (DAU), se realizaron múltiples comprobaciones en oficinas comerciales abierto al público para la oferta de servicios de telecomunicaciones. Dichas comprobaciones fueron realizadas a los fines de garantizar los derechos de los usuarios de telecomunicaciones.</w:t>
      </w:r>
    </w:p>
    <w:p w:rsidR="002639AF" w:rsidRDefault="002639AF" w:rsidP="002639AF">
      <w:pPr>
        <w:autoSpaceDE w:val="0"/>
        <w:autoSpaceDN w:val="0"/>
        <w:adjustRightInd w:val="0"/>
        <w:spacing w:line="360" w:lineRule="auto"/>
      </w:pPr>
      <w:r w:rsidRPr="00A34E2A">
        <w:t>Todo lo anterior conjuntamente con otras actividades resaltables, las cuales, junto a las descritas anteriormente, se listan a continuación:</w:t>
      </w:r>
    </w:p>
    <w:p w:rsidR="009C660A" w:rsidRDefault="009C660A" w:rsidP="002639AF">
      <w:pPr>
        <w:autoSpaceDE w:val="0"/>
        <w:autoSpaceDN w:val="0"/>
        <w:adjustRightInd w:val="0"/>
        <w:spacing w:line="360" w:lineRule="auto"/>
      </w:pPr>
    </w:p>
    <w:p w:rsidR="0079558C" w:rsidRDefault="0079558C" w:rsidP="002639AF">
      <w:pPr>
        <w:autoSpaceDE w:val="0"/>
        <w:autoSpaceDN w:val="0"/>
        <w:adjustRightInd w:val="0"/>
        <w:spacing w:line="360" w:lineRule="auto"/>
      </w:pPr>
    </w:p>
    <w:p w:rsidR="0079558C" w:rsidRDefault="0079558C" w:rsidP="002639AF">
      <w:pPr>
        <w:autoSpaceDE w:val="0"/>
        <w:autoSpaceDN w:val="0"/>
        <w:adjustRightInd w:val="0"/>
        <w:spacing w:line="360" w:lineRule="auto"/>
      </w:pPr>
    </w:p>
    <w:p w:rsidR="0079558C" w:rsidRDefault="0079558C" w:rsidP="002639AF">
      <w:pPr>
        <w:autoSpaceDE w:val="0"/>
        <w:autoSpaceDN w:val="0"/>
        <w:adjustRightInd w:val="0"/>
        <w:spacing w:line="360" w:lineRule="auto"/>
      </w:pPr>
    </w:p>
    <w:p w:rsidR="0079558C" w:rsidRDefault="0079558C" w:rsidP="002639AF">
      <w:pPr>
        <w:autoSpaceDE w:val="0"/>
        <w:autoSpaceDN w:val="0"/>
        <w:adjustRightInd w:val="0"/>
        <w:spacing w:line="360" w:lineRule="auto"/>
      </w:pPr>
    </w:p>
    <w:p w:rsidR="0079558C" w:rsidRPr="00A34E2A" w:rsidRDefault="0079558C" w:rsidP="002639AF">
      <w:pPr>
        <w:autoSpaceDE w:val="0"/>
        <w:autoSpaceDN w:val="0"/>
        <w:adjustRightInd w:val="0"/>
        <w:spacing w:line="360" w:lineRule="auto"/>
      </w:pPr>
    </w:p>
    <w:tbl>
      <w:tblPr>
        <w:tblStyle w:val="Tablaconcuadrcula"/>
        <w:tblW w:w="0" w:type="auto"/>
        <w:jc w:val="center"/>
        <w:tblLook w:val="04A0" w:firstRow="1" w:lastRow="0" w:firstColumn="1" w:lastColumn="0" w:noHBand="0" w:noVBand="1"/>
      </w:tblPr>
      <w:tblGrid>
        <w:gridCol w:w="4414"/>
        <w:gridCol w:w="1818"/>
      </w:tblGrid>
      <w:tr w:rsidR="002639AF" w:rsidRPr="00A34E2A" w:rsidTr="0063671D">
        <w:trPr>
          <w:trHeight w:val="841"/>
          <w:jc w:val="center"/>
        </w:trPr>
        <w:tc>
          <w:tcPr>
            <w:tcW w:w="6232" w:type="dxa"/>
            <w:gridSpan w:val="2"/>
            <w:shd w:val="clear" w:color="auto" w:fill="003876"/>
            <w:vAlign w:val="center"/>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b/>
                <w:color w:val="FFFFFF" w:themeColor="background1"/>
                <w:szCs w:val="24"/>
                <w:lang w:eastAsia="es-DO"/>
              </w:rPr>
            </w:pPr>
            <w:r w:rsidRPr="00A34E2A">
              <w:rPr>
                <w:rFonts w:ascii="Times New Roman" w:eastAsia="Calibri" w:hAnsi="Times New Roman" w:cs="Times New Roman"/>
                <w:b/>
                <w:color w:val="FFFFFF" w:themeColor="background1"/>
                <w:szCs w:val="24"/>
                <w:lang w:eastAsia="es-DO"/>
              </w:rPr>
              <w:lastRenderedPageBreak/>
              <w:t>Actividades Dirección de Fiscalización</w:t>
            </w:r>
            <w:r w:rsidRPr="00A34E2A">
              <w:rPr>
                <w:rFonts w:ascii="Times New Roman" w:eastAsia="Calibri" w:hAnsi="Times New Roman" w:cs="Times New Roman"/>
                <w:b/>
                <w:color w:val="FFFFFF" w:themeColor="background1"/>
                <w:szCs w:val="24"/>
                <w:lang w:eastAsia="es-DO"/>
              </w:rPr>
              <w:br/>
            </w:r>
            <w:r w:rsidRPr="00A34E2A">
              <w:rPr>
                <w:rFonts w:ascii="Times New Roman" w:eastAsia="Times New Roman" w:hAnsi="Times New Roman" w:cs="Times New Roman"/>
                <w:b/>
                <w:bCs/>
                <w:color w:val="FFFFFF"/>
                <w:szCs w:val="24"/>
              </w:rPr>
              <w:t>Enero - Noviembre de 2021</w:t>
            </w:r>
          </w:p>
        </w:tc>
      </w:tr>
      <w:tr w:rsidR="002639AF" w:rsidRPr="00A34E2A" w:rsidTr="0063671D">
        <w:trPr>
          <w:trHeight w:val="544"/>
          <w:jc w:val="center"/>
        </w:trPr>
        <w:tc>
          <w:tcPr>
            <w:tcW w:w="4414" w:type="dxa"/>
            <w:shd w:val="clear" w:color="auto" w:fill="003876"/>
            <w:vAlign w:val="center"/>
          </w:tcPr>
          <w:p w:rsidR="002639AF" w:rsidRPr="00A34E2A" w:rsidRDefault="002639AF" w:rsidP="002639AF">
            <w:pPr>
              <w:tabs>
                <w:tab w:val="left" w:pos="1560"/>
                <w:tab w:val="center" w:pos="2099"/>
              </w:tabs>
              <w:autoSpaceDE w:val="0"/>
              <w:autoSpaceDN w:val="0"/>
              <w:adjustRightInd w:val="0"/>
              <w:spacing w:line="360" w:lineRule="auto"/>
              <w:jc w:val="center"/>
              <w:rPr>
                <w:rFonts w:ascii="Times New Roman" w:eastAsia="Calibri" w:hAnsi="Times New Roman" w:cs="Times New Roman"/>
                <w:b/>
                <w:color w:val="FFFFFF" w:themeColor="background1"/>
                <w:szCs w:val="24"/>
                <w:lang w:eastAsia="es-DO"/>
              </w:rPr>
            </w:pPr>
            <w:r w:rsidRPr="00A34E2A">
              <w:rPr>
                <w:rFonts w:ascii="Times New Roman" w:eastAsia="Calibri" w:hAnsi="Times New Roman" w:cs="Times New Roman"/>
                <w:b/>
                <w:color w:val="FFFFFF" w:themeColor="background1"/>
                <w:szCs w:val="24"/>
                <w:lang w:eastAsia="es-DO"/>
              </w:rPr>
              <w:t>Actividad</w:t>
            </w:r>
          </w:p>
        </w:tc>
        <w:tc>
          <w:tcPr>
            <w:tcW w:w="1818" w:type="dxa"/>
            <w:shd w:val="clear" w:color="auto" w:fill="003876"/>
            <w:vAlign w:val="center"/>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b/>
                <w:color w:val="FFFFFF" w:themeColor="background1"/>
                <w:szCs w:val="24"/>
                <w:lang w:eastAsia="es-DO"/>
              </w:rPr>
            </w:pPr>
            <w:r w:rsidRPr="00A34E2A">
              <w:rPr>
                <w:rFonts w:ascii="Times New Roman" w:eastAsia="Calibri" w:hAnsi="Times New Roman" w:cs="Times New Roman"/>
                <w:b/>
                <w:color w:val="FFFFFF" w:themeColor="background1"/>
                <w:szCs w:val="24"/>
                <w:lang w:eastAsia="es-DO"/>
              </w:rPr>
              <w:t>Cantidad de Actuaciones</w:t>
            </w:r>
          </w:p>
        </w:tc>
      </w:tr>
      <w:tr w:rsidR="002639AF" w:rsidRPr="00A34E2A" w:rsidTr="002639AF">
        <w:trPr>
          <w:trHeight w:val="967"/>
          <w:jc w:val="center"/>
        </w:trPr>
        <w:tc>
          <w:tcPr>
            <w:tcW w:w="4414" w:type="dxa"/>
          </w:tcPr>
          <w:p w:rsidR="002639AF" w:rsidRPr="00A34E2A" w:rsidRDefault="002639AF" w:rsidP="002639AF">
            <w:pPr>
              <w:autoSpaceDE w:val="0"/>
              <w:autoSpaceDN w:val="0"/>
              <w:adjustRightInd w:val="0"/>
              <w:spacing w:line="360" w:lineRule="auto"/>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Fiscalización estaciones de radiodifusión sonora realizadas según programación</w:t>
            </w:r>
          </w:p>
        </w:tc>
        <w:tc>
          <w:tcPr>
            <w:tcW w:w="1818" w:type="dxa"/>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p>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269</w:t>
            </w:r>
          </w:p>
        </w:tc>
      </w:tr>
      <w:tr w:rsidR="002639AF" w:rsidRPr="00A34E2A" w:rsidTr="002639AF">
        <w:trPr>
          <w:jc w:val="center"/>
        </w:trPr>
        <w:tc>
          <w:tcPr>
            <w:tcW w:w="4414" w:type="dxa"/>
          </w:tcPr>
          <w:p w:rsidR="002639AF" w:rsidRPr="00A34E2A" w:rsidRDefault="002639AF" w:rsidP="002639AF">
            <w:pPr>
              <w:autoSpaceDE w:val="0"/>
              <w:autoSpaceDN w:val="0"/>
              <w:adjustRightInd w:val="0"/>
              <w:spacing w:line="360" w:lineRule="auto"/>
              <w:rPr>
                <w:rFonts w:ascii="Times New Roman" w:eastAsia="Calibri" w:hAnsi="Times New Roman" w:cs="Times New Roman"/>
                <w:szCs w:val="24"/>
                <w:lang w:eastAsia="es-DO"/>
              </w:rPr>
            </w:pPr>
            <w:r w:rsidRPr="00A34E2A">
              <w:rPr>
                <w:rFonts w:ascii="Times New Roman" w:hAnsi="Times New Roman" w:cs="Times New Roman"/>
                <w:szCs w:val="24"/>
              </w:rPr>
              <w:t xml:space="preserve">Fiscalización </w:t>
            </w:r>
            <w:r w:rsidRPr="00A34E2A">
              <w:rPr>
                <w:rFonts w:ascii="Times New Roman" w:eastAsia="Calibri" w:hAnsi="Times New Roman" w:cs="Times New Roman"/>
                <w:szCs w:val="24"/>
                <w:lang w:eastAsia="es-DO"/>
              </w:rPr>
              <w:t xml:space="preserve"> concesionarias de difusión por cable realizadas según programación</w:t>
            </w:r>
          </w:p>
        </w:tc>
        <w:tc>
          <w:tcPr>
            <w:tcW w:w="1818" w:type="dxa"/>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p>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18</w:t>
            </w:r>
          </w:p>
        </w:tc>
      </w:tr>
      <w:tr w:rsidR="002639AF" w:rsidRPr="00A34E2A" w:rsidTr="002639AF">
        <w:trPr>
          <w:jc w:val="center"/>
        </w:trPr>
        <w:tc>
          <w:tcPr>
            <w:tcW w:w="4414" w:type="dxa"/>
          </w:tcPr>
          <w:p w:rsidR="002639AF" w:rsidRPr="00A34E2A" w:rsidRDefault="002639AF" w:rsidP="002639AF">
            <w:pPr>
              <w:autoSpaceDE w:val="0"/>
              <w:autoSpaceDN w:val="0"/>
              <w:adjustRightInd w:val="0"/>
              <w:spacing w:line="360" w:lineRule="auto"/>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Comprobación y verificación de datos de Calidad del Servicio de Telefonía e Internet (Móvil y Fijo)</w:t>
            </w:r>
          </w:p>
        </w:tc>
        <w:tc>
          <w:tcPr>
            <w:tcW w:w="1818" w:type="dxa"/>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p>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10</w:t>
            </w:r>
          </w:p>
        </w:tc>
      </w:tr>
      <w:tr w:rsidR="002639AF" w:rsidRPr="00A34E2A" w:rsidTr="002639AF">
        <w:trPr>
          <w:jc w:val="center"/>
        </w:trPr>
        <w:tc>
          <w:tcPr>
            <w:tcW w:w="4414" w:type="dxa"/>
          </w:tcPr>
          <w:p w:rsidR="002639AF" w:rsidRPr="00A34E2A" w:rsidRDefault="002639AF" w:rsidP="002639AF">
            <w:pPr>
              <w:autoSpaceDE w:val="0"/>
              <w:autoSpaceDN w:val="0"/>
              <w:adjustRightInd w:val="0"/>
              <w:spacing w:line="360" w:lineRule="auto"/>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Clausura de estaciones ilegales de radiodifusión sonora</w:t>
            </w:r>
          </w:p>
        </w:tc>
        <w:tc>
          <w:tcPr>
            <w:tcW w:w="1818" w:type="dxa"/>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p>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28</w:t>
            </w:r>
          </w:p>
        </w:tc>
      </w:tr>
      <w:tr w:rsidR="002639AF" w:rsidRPr="00A34E2A" w:rsidTr="002639AF">
        <w:trPr>
          <w:jc w:val="center"/>
        </w:trPr>
        <w:tc>
          <w:tcPr>
            <w:tcW w:w="4414" w:type="dxa"/>
          </w:tcPr>
          <w:p w:rsidR="002639AF" w:rsidRPr="00A34E2A" w:rsidRDefault="002639AF" w:rsidP="002639AF">
            <w:pPr>
              <w:autoSpaceDE w:val="0"/>
              <w:autoSpaceDN w:val="0"/>
              <w:adjustRightInd w:val="0"/>
              <w:spacing w:line="360" w:lineRule="auto"/>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Clausura de prestadoras ilegales de servicio de Internet</w:t>
            </w:r>
          </w:p>
        </w:tc>
        <w:tc>
          <w:tcPr>
            <w:tcW w:w="1818" w:type="dxa"/>
          </w:tcPr>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p>
          <w:p w:rsidR="002639AF" w:rsidRPr="00A34E2A" w:rsidRDefault="002639AF" w:rsidP="002639AF">
            <w:pPr>
              <w:autoSpaceDE w:val="0"/>
              <w:autoSpaceDN w:val="0"/>
              <w:adjustRightInd w:val="0"/>
              <w:spacing w:line="360" w:lineRule="auto"/>
              <w:jc w:val="center"/>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20</w:t>
            </w:r>
          </w:p>
        </w:tc>
      </w:tr>
      <w:tr w:rsidR="002639AF" w:rsidRPr="00A34E2A" w:rsidTr="002639AF">
        <w:trPr>
          <w:jc w:val="center"/>
        </w:trPr>
        <w:tc>
          <w:tcPr>
            <w:tcW w:w="4414" w:type="dxa"/>
          </w:tcPr>
          <w:p w:rsidR="002639AF" w:rsidRPr="00A34E2A" w:rsidRDefault="002639AF" w:rsidP="002639AF">
            <w:pPr>
              <w:autoSpaceDE w:val="0"/>
              <w:autoSpaceDN w:val="0"/>
              <w:adjustRightInd w:val="0"/>
              <w:spacing w:line="360" w:lineRule="auto"/>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Comprobaciones mecanismos de activación líneas móviles (</w:t>
            </w:r>
            <w:r>
              <w:rPr>
                <w:rFonts w:ascii="Times New Roman" w:eastAsia="Calibri" w:hAnsi="Times New Roman" w:cs="Times New Roman"/>
                <w:szCs w:val="24"/>
                <w:lang w:eastAsia="es-DO"/>
              </w:rPr>
              <w:t>N</w:t>
            </w:r>
            <w:r w:rsidRPr="00A34E2A">
              <w:rPr>
                <w:rFonts w:ascii="Times New Roman" w:eastAsia="Calibri" w:hAnsi="Times New Roman" w:cs="Times New Roman"/>
                <w:szCs w:val="24"/>
                <w:lang w:eastAsia="es-DO"/>
              </w:rPr>
              <w:t>orma 70-19)</w:t>
            </w:r>
          </w:p>
        </w:tc>
        <w:tc>
          <w:tcPr>
            <w:tcW w:w="1818" w:type="dxa"/>
          </w:tcPr>
          <w:p w:rsidR="002639AF" w:rsidRPr="00A34E2A" w:rsidRDefault="002639AF" w:rsidP="002639AF">
            <w:pPr>
              <w:tabs>
                <w:tab w:val="left" w:pos="960"/>
              </w:tabs>
              <w:autoSpaceDE w:val="0"/>
              <w:autoSpaceDN w:val="0"/>
              <w:adjustRightInd w:val="0"/>
              <w:spacing w:line="360" w:lineRule="auto"/>
              <w:jc w:val="center"/>
              <w:rPr>
                <w:rFonts w:ascii="Times New Roman" w:eastAsia="Calibri" w:hAnsi="Times New Roman" w:cs="Times New Roman"/>
                <w:szCs w:val="24"/>
                <w:lang w:eastAsia="es-DO"/>
              </w:rPr>
            </w:pPr>
          </w:p>
          <w:p w:rsidR="002639AF" w:rsidRPr="00A34E2A" w:rsidRDefault="002639AF" w:rsidP="002639AF">
            <w:pPr>
              <w:tabs>
                <w:tab w:val="left" w:pos="960"/>
              </w:tabs>
              <w:autoSpaceDE w:val="0"/>
              <w:autoSpaceDN w:val="0"/>
              <w:adjustRightInd w:val="0"/>
              <w:spacing w:line="360" w:lineRule="auto"/>
              <w:jc w:val="center"/>
              <w:rPr>
                <w:rFonts w:ascii="Times New Roman" w:eastAsia="Calibri" w:hAnsi="Times New Roman" w:cs="Times New Roman"/>
                <w:szCs w:val="24"/>
                <w:lang w:eastAsia="es-DO"/>
              </w:rPr>
            </w:pPr>
            <w:r w:rsidRPr="00A34E2A">
              <w:rPr>
                <w:rFonts w:ascii="Times New Roman" w:eastAsia="Calibri" w:hAnsi="Times New Roman" w:cs="Times New Roman"/>
                <w:szCs w:val="24"/>
                <w:lang w:eastAsia="es-DO"/>
              </w:rPr>
              <w:t>514</w:t>
            </w:r>
          </w:p>
        </w:tc>
      </w:tr>
    </w:tbl>
    <w:p w:rsidR="002639AF" w:rsidRPr="009C660A" w:rsidRDefault="002639AF" w:rsidP="002639AF">
      <w:pPr>
        <w:autoSpaceDE w:val="0"/>
        <w:autoSpaceDN w:val="0"/>
        <w:adjustRightInd w:val="0"/>
        <w:spacing w:line="360" w:lineRule="auto"/>
        <w:ind w:left="720"/>
        <w:rPr>
          <w:rFonts w:eastAsia="MS Mincho"/>
          <w:sz w:val="18"/>
          <w:szCs w:val="18"/>
        </w:rPr>
      </w:pPr>
      <w:r>
        <w:rPr>
          <w:rFonts w:eastAsia="MS Mincho"/>
          <w:b/>
          <w:szCs w:val="24"/>
        </w:rPr>
        <w:t xml:space="preserve">  </w:t>
      </w:r>
      <w:r w:rsidRPr="009C660A">
        <w:rPr>
          <w:rFonts w:eastAsia="MS Mincho"/>
          <w:b/>
          <w:sz w:val="18"/>
          <w:szCs w:val="18"/>
        </w:rPr>
        <w:t>Fuente:</w:t>
      </w:r>
      <w:r w:rsidRPr="009C660A">
        <w:rPr>
          <w:rFonts w:eastAsia="MS Mincho"/>
          <w:sz w:val="18"/>
          <w:szCs w:val="18"/>
        </w:rPr>
        <w:t xml:space="preserve"> Base de datos de la Dirección de Fiscalización</w:t>
      </w:r>
    </w:p>
    <w:p w:rsidR="002639AF" w:rsidRDefault="002639AF" w:rsidP="002639AF">
      <w:pPr>
        <w:spacing w:line="360" w:lineRule="auto"/>
      </w:pPr>
    </w:p>
    <w:p w:rsidR="002639AF" w:rsidRDefault="002639AF" w:rsidP="002639AF">
      <w:pPr>
        <w:spacing w:line="360" w:lineRule="auto"/>
      </w:pPr>
    </w:p>
    <w:p w:rsidR="002639AF" w:rsidRDefault="002639AF" w:rsidP="002639AF">
      <w:pPr>
        <w:spacing w:line="360" w:lineRule="auto"/>
      </w:pPr>
    </w:p>
    <w:p w:rsidR="009C660A" w:rsidRDefault="009C660A" w:rsidP="002639AF">
      <w:pPr>
        <w:spacing w:line="360" w:lineRule="auto"/>
      </w:pPr>
    </w:p>
    <w:p w:rsidR="002639AF" w:rsidRPr="00E83EBC" w:rsidRDefault="002639AF" w:rsidP="002639AF">
      <w:pPr>
        <w:pStyle w:val="Ttulo3"/>
      </w:pPr>
      <w:bookmarkStart w:id="16" w:name="_Toc90936647"/>
      <w:r w:rsidRPr="00E83EBC">
        <w:lastRenderedPageBreak/>
        <w:t>Autorizaciones</w:t>
      </w:r>
      <w:bookmarkEnd w:id="16"/>
    </w:p>
    <w:p w:rsidR="002639AF" w:rsidRDefault="002639AF" w:rsidP="002639AF">
      <w:pPr>
        <w:pStyle w:val="Sinespaciado"/>
      </w:pPr>
    </w:p>
    <w:p w:rsidR="002639AF" w:rsidRPr="009E698D" w:rsidRDefault="002639AF" w:rsidP="002639AF">
      <w:pPr>
        <w:spacing w:after="0" w:line="360" w:lineRule="auto"/>
        <w:rPr>
          <w:szCs w:val="24"/>
        </w:rPr>
      </w:pPr>
      <w:r w:rsidRPr="009E698D">
        <w:rPr>
          <w:szCs w:val="24"/>
        </w:rPr>
        <w:t xml:space="preserve">En cuanto a las autorizaciones para prestar servicios públicos y privados de telecomunicaciones, con el objetivo de </w:t>
      </w:r>
      <w:proofErr w:type="spellStart"/>
      <w:r w:rsidRPr="009E698D">
        <w:rPr>
          <w:szCs w:val="24"/>
        </w:rPr>
        <w:t>eficientizar</w:t>
      </w:r>
      <w:proofErr w:type="spellEnd"/>
      <w:r w:rsidRPr="009E698D">
        <w:rPr>
          <w:szCs w:val="24"/>
        </w:rPr>
        <w:t xml:space="preserve"> los procesos de las diversas solicitudes de servicios que se reciben, tales como: emisión, renovación o extinción de títulos habilitantes, así como, inscripciones en registros especiales para reventa de servicios de telecomunicaciones, homologaciones, entre otros; se ha reorganizado la estructura económica, legal, técnica y administrativa de la Dirección de Autorizaciones. Como resultado de esta labor, se han implementado mejoras en los tiempos de evaluación de los casos y, por ende, expeditado la conclusión de las solicitudes de los servicios mencionados anteriormente o, en su defecto, la emisión de comunicación de respuesta al solicitante en plazos abreviados.</w:t>
      </w:r>
    </w:p>
    <w:p w:rsidR="002639AF" w:rsidRPr="009E698D" w:rsidRDefault="002639AF" w:rsidP="002639AF">
      <w:pPr>
        <w:spacing w:after="0" w:line="360" w:lineRule="auto"/>
        <w:jc w:val="left"/>
        <w:rPr>
          <w:rFonts w:eastAsia="Times New Roman"/>
          <w:szCs w:val="24"/>
        </w:rPr>
      </w:pPr>
    </w:p>
    <w:p w:rsidR="002639AF" w:rsidRPr="009E698D" w:rsidRDefault="002639AF" w:rsidP="002639AF">
      <w:pPr>
        <w:shd w:val="clear" w:color="auto" w:fill="FFFFFF" w:themeFill="background1"/>
        <w:spacing w:after="0" w:line="360" w:lineRule="auto"/>
        <w:rPr>
          <w:rFonts w:eastAsia="Times New Roman"/>
          <w:szCs w:val="24"/>
          <w:bdr w:val="none" w:sz="0" w:space="0" w:color="auto" w:frame="1"/>
        </w:rPr>
      </w:pPr>
      <w:r w:rsidRPr="009E698D">
        <w:rPr>
          <w:rFonts w:eastAsia="Times New Roman"/>
          <w:szCs w:val="24"/>
          <w:bdr w:val="none" w:sz="0" w:space="0" w:color="auto" w:frame="1"/>
        </w:rPr>
        <w:t>Por otro lado, se inició un proyecto de adecuación de las concesionarias de servicios de radiodifusión televisa y sonora, ya que a la fecha no han adecuado sus títulos habilitantes otorgados por la otrora Dirección General de Telecomunicaciones (DGT) a la Ley General de Telecomunicaciones</w:t>
      </w:r>
      <w:r w:rsidR="00B978FD">
        <w:rPr>
          <w:rFonts w:eastAsia="Times New Roman"/>
          <w:szCs w:val="24"/>
          <w:bdr w:val="none" w:sz="0" w:space="0" w:color="auto" w:frame="1"/>
        </w:rPr>
        <w:t>,</w:t>
      </w:r>
      <w:r w:rsidRPr="009E698D">
        <w:rPr>
          <w:rFonts w:eastAsia="Times New Roman"/>
          <w:szCs w:val="24"/>
          <w:bdr w:val="none" w:sz="0" w:space="0" w:color="auto" w:frame="1"/>
        </w:rPr>
        <w:t xml:space="preserve"> Núm. 153-98</w:t>
      </w:r>
      <w:r w:rsidR="00B978FD">
        <w:rPr>
          <w:rFonts w:eastAsia="Times New Roman"/>
          <w:szCs w:val="24"/>
        </w:rPr>
        <w:t>.</w:t>
      </w:r>
    </w:p>
    <w:p w:rsidR="002639AF" w:rsidRPr="009E698D" w:rsidRDefault="002639AF" w:rsidP="002639AF">
      <w:pPr>
        <w:spacing w:after="0" w:line="360" w:lineRule="auto"/>
        <w:jc w:val="left"/>
        <w:rPr>
          <w:rFonts w:eastAsia="Times New Roman"/>
          <w:szCs w:val="24"/>
          <w:bdr w:val="none" w:sz="0" w:space="0" w:color="auto" w:frame="1"/>
        </w:rPr>
      </w:pPr>
    </w:p>
    <w:p w:rsidR="002639AF" w:rsidRPr="009E698D" w:rsidRDefault="002639AF" w:rsidP="002639AF">
      <w:pPr>
        <w:shd w:val="clear" w:color="auto" w:fill="FFFFFF" w:themeFill="background1"/>
        <w:spacing w:after="0" w:line="360" w:lineRule="auto"/>
        <w:rPr>
          <w:rFonts w:eastAsia="Times New Roman"/>
          <w:b/>
          <w:szCs w:val="24"/>
        </w:rPr>
      </w:pPr>
      <w:r w:rsidRPr="009E698D">
        <w:rPr>
          <w:rFonts w:eastAsia="Times New Roman"/>
          <w:b/>
          <w:szCs w:val="24"/>
          <w:bdr w:val="none" w:sz="0" w:space="0" w:color="auto" w:frame="1"/>
        </w:rPr>
        <w:t>Servicios de Radiodifusión Televisiva Ubicadas en la Banda de los 700 MHz</w:t>
      </w:r>
    </w:p>
    <w:p w:rsidR="002639AF" w:rsidRPr="009E698D" w:rsidRDefault="002639AF" w:rsidP="00B978FD">
      <w:pPr>
        <w:pStyle w:val="Textonotasalpie"/>
        <w:rPr>
          <w:bdr w:val="none" w:sz="0" w:space="0" w:color="auto" w:frame="1"/>
        </w:rPr>
      </w:pPr>
    </w:p>
    <w:p w:rsidR="002639AF" w:rsidRPr="009E698D" w:rsidRDefault="002639AF" w:rsidP="002639AF">
      <w:pPr>
        <w:shd w:val="clear" w:color="auto" w:fill="FFFFFF" w:themeFill="background1"/>
        <w:spacing w:after="0" w:line="360" w:lineRule="auto"/>
        <w:rPr>
          <w:rFonts w:eastAsia="Times New Roman"/>
          <w:szCs w:val="24"/>
        </w:rPr>
      </w:pPr>
      <w:r w:rsidRPr="009E698D">
        <w:rPr>
          <w:rFonts w:eastAsia="Times New Roman"/>
          <w:szCs w:val="24"/>
          <w:bdr w:val="none" w:sz="0" w:space="0" w:color="auto" w:frame="1"/>
        </w:rPr>
        <w:t xml:space="preserve"> Por instrucción del Consejo Directivo, en seguimiento a las disposiciones establecidas en el Decreto </w:t>
      </w:r>
      <w:r w:rsidRPr="009E698D">
        <w:rPr>
          <w:rFonts w:eastAsia="Times New Roman"/>
          <w:szCs w:val="24"/>
        </w:rPr>
        <w:t>N</w:t>
      </w:r>
      <w:r w:rsidRPr="009E698D">
        <w:rPr>
          <w:rFonts w:eastAsia="Times New Roman"/>
          <w:szCs w:val="24"/>
          <w:bdr w:val="none" w:sz="0" w:space="0" w:color="auto" w:frame="1"/>
        </w:rPr>
        <w:t>úm. 539-20 que ordena al INDOTEL a iniciar el proceso de despeje de la banda de los 700 MHz, este año inició la facilitación del proceso de adecuación expedita de concesiones. Esta labor consiste en la evaluación de los aspectos legales de la adecuación de ocho (8) concesiones ubicadas en dicha banda, toda vez que pospone la evaluación de los aspectos técnicos para el momento en que se inicie la implementación de la televisión terrestre digital. </w:t>
      </w:r>
      <w:r w:rsidRPr="009E698D">
        <w:rPr>
          <w:rFonts w:eastAsia="Times New Roman"/>
          <w:szCs w:val="24"/>
        </w:rPr>
        <w:t>Por tal motivo</w:t>
      </w:r>
      <w:r w:rsidRPr="009E698D">
        <w:rPr>
          <w:rFonts w:eastAsia="Times New Roman"/>
          <w:szCs w:val="24"/>
          <w:bdr w:val="none" w:sz="0" w:space="0" w:color="auto" w:frame="1"/>
        </w:rPr>
        <w:t>, se crea</w:t>
      </w:r>
      <w:r w:rsidRPr="009E698D">
        <w:rPr>
          <w:rFonts w:eastAsia="Times New Roman"/>
          <w:szCs w:val="24"/>
        </w:rPr>
        <w:t>ron</w:t>
      </w:r>
      <w:r w:rsidRPr="009E698D">
        <w:rPr>
          <w:rFonts w:eastAsia="Times New Roman"/>
          <w:szCs w:val="24"/>
          <w:bdr w:val="none" w:sz="0" w:space="0" w:color="auto" w:frame="1"/>
        </w:rPr>
        <w:t xml:space="preserve"> equipos de trabajo para elaborar los procedimientos a seguir para la futura implementación de la televisión terrestre </w:t>
      </w:r>
      <w:r w:rsidRPr="009E698D">
        <w:rPr>
          <w:rFonts w:eastAsia="Times New Roman"/>
          <w:szCs w:val="24"/>
          <w:bdr w:val="none" w:sz="0" w:space="0" w:color="auto" w:frame="1"/>
        </w:rPr>
        <w:lastRenderedPageBreak/>
        <w:t>digital en el año 2022. </w:t>
      </w:r>
      <w:r w:rsidRPr="009E698D">
        <w:rPr>
          <w:rFonts w:eastAsia="Times New Roman"/>
          <w:szCs w:val="24"/>
        </w:rPr>
        <w:t xml:space="preserve"> A la fecha, dentro de la referida banda solo queda pendiente de adecuación una (1) concesión, habiendo culminado el proceso con todas las demás. Adicionalmente, se está en la etapa final del proceso de adecuación de los demás canales de televisión UHF y VHF asignados en el país.</w:t>
      </w:r>
    </w:p>
    <w:p w:rsidR="002639AF" w:rsidRPr="009E698D" w:rsidRDefault="002639AF" w:rsidP="002639AF">
      <w:pPr>
        <w:shd w:val="clear" w:color="auto" w:fill="FFFFFF" w:themeFill="background1"/>
        <w:spacing w:after="0" w:line="360" w:lineRule="auto"/>
        <w:rPr>
          <w:rFonts w:eastAsia="Times New Roman"/>
          <w:szCs w:val="24"/>
          <w:bdr w:val="none" w:sz="0" w:space="0" w:color="auto" w:frame="1"/>
        </w:rPr>
      </w:pPr>
    </w:p>
    <w:p w:rsidR="002639AF" w:rsidRDefault="002639AF" w:rsidP="002639AF">
      <w:pPr>
        <w:shd w:val="clear" w:color="auto" w:fill="FFFFFF" w:themeFill="background1"/>
        <w:spacing w:after="0" w:line="360" w:lineRule="auto"/>
        <w:rPr>
          <w:rFonts w:eastAsia="Times New Roman"/>
          <w:b/>
          <w:szCs w:val="24"/>
        </w:rPr>
      </w:pPr>
      <w:r w:rsidRPr="009E698D">
        <w:rPr>
          <w:rFonts w:eastAsia="Times New Roman"/>
          <w:b/>
          <w:szCs w:val="24"/>
        </w:rPr>
        <w:t>Servicios de Radiodifusión Sonora</w:t>
      </w:r>
    </w:p>
    <w:p w:rsidR="00B978FD" w:rsidRPr="009E698D" w:rsidRDefault="00B978FD" w:rsidP="00B978FD">
      <w:pPr>
        <w:pStyle w:val="Textonotasalpie"/>
      </w:pPr>
    </w:p>
    <w:p w:rsidR="002639AF" w:rsidRPr="009E698D" w:rsidRDefault="002639AF" w:rsidP="002639AF">
      <w:pPr>
        <w:shd w:val="clear" w:color="auto" w:fill="FFFFFF" w:themeFill="background1"/>
        <w:spacing w:after="0" w:line="360" w:lineRule="auto"/>
        <w:rPr>
          <w:rFonts w:eastAsia="Times New Roman"/>
          <w:szCs w:val="24"/>
        </w:rPr>
      </w:pPr>
      <w:r w:rsidRPr="009E698D">
        <w:rPr>
          <w:rFonts w:eastAsia="Times New Roman"/>
          <w:szCs w:val="24"/>
        </w:rPr>
        <w:t>Para este caso, se están trabajando 96 concesiones de servicios de radiodifusión sonora y licencias emitidas antes de la promulgación de la Ley General de Telecomunicaciones</w:t>
      </w:r>
      <w:r w:rsidR="00B978FD">
        <w:rPr>
          <w:rFonts w:eastAsia="Times New Roman"/>
          <w:szCs w:val="24"/>
        </w:rPr>
        <w:t>,</w:t>
      </w:r>
      <w:r w:rsidRPr="009E698D">
        <w:rPr>
          <w:rFonts w:eastAsia="Times New Roman"/>
          <w:szCs w:val="24"/>
        </w:rPr>
        <w:t xml:space="preserve"> Núm. 153-98, así como, en la suscripción de 105 contratos de concesión pendientes de firma cuya autorización para prestar servicios de telecomunicaciones datan desde el 2003 hasta el 2019. De igual manera, se retomó el proceso de redacción de contratos de concesión a los concesionarios que a la fecha no han sido suscritos. </w:t>
      </w:r>
    </w:p>
    <w:p w:rsidR="002639AF" w:rsidRPr="009E698D" w:rsidDel="00852BB5" w:rsidRDefault="002639AF" w:rsidP="002639AF">
      <w:pPr>
        <w:spacing w:after="0" w:line="360" w:lineRule="auto"/>
        <w:jc w:val="left"/>
        <w:rPr>
          <w:rFonts w:eastAsia="Times New Roman"/>
          <w:szCs w:val="24"/>
        </w:rPr>
      </w:pPr>
    </w:p>
    <w:p w:rsidR="002639AF" w:rsidRPr="009E698D" w:rsidRDefault="002639AF" w:rsidP="002639AF">
      <w:pPr>
        <w:shd w:val="clear" w:color="auto" w:fill="FFFFFF" w:themeFill="background1"/>
        <w:spacing w:after="0" w:line="360" w:lineRule="auto"/>
        <w:rPr>
          <w:rFonts w:eastAsia="Times New Roman"/>
          <w:szCs w:val="24"/>
        </w:rPr>
      </w:pPr>
      <w:r w:rsidRPr="009E698D">
        <w:rPr>
          <w:rFonts w:eastAsia="Times New Roman"/>
          <w:szCs w:val="24"/>
        </w:rPr>
        <w:t>En otro orden, se ha concertado un Acuerdo con la Asociación Dominicana de Radiodifusoras (ADORA), y como parte de éste, se está trabajando en la verificación de la disponibilidad de frecuencias para el plan de migración en los 900 MHz, pa</w:t>
      </w:r>
      <w:r w:rsidR="003D077E">
        <w:rPr>
          <w:rFonts w:eastAsia="Times New Roman"/>
          <w:szCs w:val="24"/>
        </w:rPr>
        <w:t xml:space="preserve">ra estaciones de enlace Estudio </w:t>
      </w:r>
      <w:r w:rsidRPr="009E698D">
        <w:rPr>
          <w:rFonts w:eastAsia="Times New Roman"/>
          <w:szCs w:val="24"/>
        </w:rPr>
        <w:t>-</w:t>
      </w:r>
      <w:r w:rsidR="003D077E">
        <w:rPr>
          <w:rFonts w:eastAsia="Times New Roman"/>
          <w:szCs w:val="24"/>
        </w:rPr>
        <w:t xml:space="preserve"> </w:t>
      </w:r>
      <w:r w:rsidRPr="009E698D">
        <w:rPr>
          <w:rFonts w:eastAsia="Times New Roman"/>
          <w:szCs w:val="24"/>
        </w:rPr>
        <w:t>Transmisor del servicio de radiodifusión sonora. Con esto se determinará la factibilidad de una posible migración de frecuencia en los rangos 273-312 MHz, 312-322 MHz y 322-328.6 MHz hacia los 300 MHz.</w:t>
      </w:r>
    </w:p>
    <w:p w:rsidR="002639AF" w:rsidRPr="009E698D" w:rsidRDefault="002639AF" w:rsidP="002639AF">
      <w:pPr>
        <w:shd w:val="clear" w:color="auto" w:fill="FFFFFF" w:themeFill="background1"/>
        <w:spacing w:after="0" w:line="360" w:lineRule="auto"/>
        <w:rPr>
          <w:rFonts w:eastAsia="Times New Roman"/>
          <w:szCs w:val="24"/>
        </w:rPr>
      </w:pPr>
    </w:p>
    <w:p w:rsidR="002639AF" w:rsidRPr="009E698D" w:rsidRDefault="002639AF" w:rsidP="002639AF">
      <w:pPr>
        <w:shd w:val="clear" w:color="auto" w:fill="FFFFFF" w:themeFill="background1"/>
        <w:spacing w:after="0" w:line="360" w:lineRule="auto"/>
        <w:textAlignment w:val="baseline"/>
        <w:rPr>
          <w:rFonts w:eastAsia="Times New Roman"/>
          <w:szCs w:val="24"/>
        </w:rPr>
      </w:pPr>
      <w:r w:rsidRPr="00B978FD">
        <w:rPr>
          <w:rFonts w:eastAsia="Times New Roman"/>
          <w:szCs w:val="24"/>
        </w:rPr>
        <w:t>Simultáneamente, y c</w:t>
      </w:r>
      <w:r w:rsidRPr="009E698D">
        <w:rPr>
          <w:rFonts w:eastAsia="Times New Roman"/>
          <w:szCs w:val="24"/>
        </w:rPr>
        <w:t xml:space="preserve">on la finalidad de remitir esta información a la Unión Internacional de Telecomunicaciones (UIT) y a la Federal </w:t>
      </w:r>
      <w:proofErr w:type="spellStart"/>
      <w:r w:rsidRPr="009E698D">
        <w:rPr>
          <w:rFonts w:eastAsia="Times New Roman"/>
          <w:szCs w:val="24"/>
        </w:rPr>
        <w:t>Communications</w:t>
      </w:r>
      <w:proofErr w:type="spellEnd"/>
      <w:r w:rsidRPr="009E698D">
        <w:rPr>
          <w:rFonts w:eastAsia="Times New Roman"/>
          <w:szCs w:val="24"/>
        </w:rPr>
        <w:t xml:space="preserve"> </w:t>
      </w:r>
      <w:proofErr w:type="spellStart"/>
      <w:r w:rsidRPr="009E698D">
        <w:rPr>
          <w:rFonts w:eastAsia="Times New Roman"/>
          <w:szCs w:val="24"/>
        </w:rPr>
        <w:t>Commission</w:t>
      </w:r>
      <w:proofErr w:type="spellEnd"/>
      <w:r w:rsidRPr="009E698D">
        <w:rPr>
          <w:rFonts w:eastAsia="Times New Roman"/>
          <w:szCs w:val="24"/>
        </w:rPr>
        <w:t xml:space="preserve"> (FCC), estamos realizando simulaciones de onda </w:t>
      </w:r>
      <w:proofErr w:type="spellStart"/>
      <w:r w:rsidRPr="009E698D">
        <w:rPr>
          <w:rFonts w:eastAsia="Times New Roman"/>
          <w:szCs w:val="24"/>
        </w:rPr>
        <w:t>ionosférica</w:t>
      </w:r>
      <w:proofErr w:type="spellEnd"/>
      <w:r w:rsidRPr="009E698D">
        <w:rPr>
          <w:rFonts w:eastAsia="Times New Roman"/>
          <w:szCs w:val="24"/>
        </w:rPr>
        <w:t xml:space="preserve"> para determinar posibles interferencias de las estaciones en Amplitud Modulada de nuestro país con estaciones de AM de otros países (Estados Unidos y Puerto Rico). </w:t>
      </w:r>
      <w:r w:rsidRPr="009E698D">
        <w:rPr>
          <w:rFonts w:eastAsia="Times New Roman"/>
          <w:szCs w:val="24"/>
        </w:rPr>
        <w:lastRenderedPageBreak/>
        <w:t xml:space="preserve">Esto nos permite establecer la zona de cobertura de las estaciones AM registradas en la institución. </w:t>
      </w:r>
    </w:p>
    <w:p w:rsidR="002639AF" w:rsidRPr="009E698D" w:rsidRDefault="002639AF" w:rsidP="002639AF">
      <w:pPr>
        <w:shd w:val="clear" w:color="auto" w:fill="FFFFFF" w:themeFill="background1"/>
        <w:spacing w:after="0" w:line="360" w:lineRule="auto"/>
        <w:rPr>
          <w:rFonts w:eastAsia="Times New Roman"/>
          <w:szCs w:val="24"/>
        </w:rPr>
      </w:pPr>
    </w:p>
    <w:p w:rsidR="002639AF" w:rsidRDefault="002639AF" w:rsidP="002639AF">
      <w:pPr>
        <w:shd w:val="clear" w:color="auto" w:fill="FFFFFF" w:themeFill="background1"/>
        <w:spacing w:after="0" w:line="360" w:lineRule="auto"/>
        <w:rPr>
          <w:szCs w:val="24"/>
        </w:rPr>
      </w:pPr>
      <w:r w:rsidRPr="00A74FC9">
        <w:rPr>
          <w:szCs w:val="24"/>
        </w:rPr>
        <w:t xml:space="preserve">Otro tema devenido del </w:t>
      </w:r>
      <w:r w:rsidR="003D077E">
        <w:rPr>
          <w:szCs w:val="24"/>
        </w:rPr>
        <w:t>A</w:t>
      </w:r>
      <w:r w:rsidRPr="00A74FC9">
        <w:rPr>
          <w:szCs w:val="24"/>
        </w:rPr>
        <w:t>cuerdo con ADORA-INDOTEL es la publicación en el Portal</w:t>
      </w:r>
      <w:r>
        <w:rPr>
          <w:szCs w:val="24"/>
        </w:rPr>
        <w:t xml:space="preserve"> Institucional </w:t>
      </w:r>
      <w:r w:rsidRPr="00A74FC9">
        <w:rPr>
          <w:szCs w:val="24"/>
        </w:rPr>
        <w:t xml:space="preserve">de un listado de los equipos y aparatos homologados de telecomunicaciones, el cual se actualiza periódicamente y de manera oportuna. </w:t>
      </w:r>
    </w:p>
    <w:p w:rsidR="002639AF" w:rsidRPr="00A74FC9" w:rsidRDefault="002639AF" w:rsidP="002639AF">
      <w:pPr>
        <w:shd w:val="clear" w:color="auto" w:fill="FFFFFF" w:themeFill="background1"/>
        <w:spacing w:after="0" w:line="360" w:lineRule="auto"/>
        <w:rPr>
          <w:rFonts w:eastAsia="Times New Roman"/>
          <w:szCs w:val="24"/>
        </w:rPr>
      </w:pPr>
    </w:p>
    <w:p w:rsidR="002639AF" w:rsidRPr="00A74FC9" w:rsidRDefault="002639AF" w:rsidP="002639AF">
      <w:pPr>
        <w:shd w:val="clear" w:color="auto" w:fill="FFFFFF" w:themeFill="background1"/>
        <w:spacing w:after="0" w:line="360" w:lineRule="auto"/>
        <w:rPr>
          <w:rFonts w:eastAsia="Times New Roman"/>
          <w:szCs w:val="24"/>
        </w:rPr>
      </w:pPr>
      <w:r w:rsidRPr="00A74FC9">
        <w:rPr>
          <w:rFonts w:eastAsia="Times New Roman"/>
          <w:szCs w:val="24"/>
        </w:rPr>
        <w:t xml:space="preserve">Como resumen, a continuación mostramos el detalle de los casos de autorizaciones concluidos al 15 de noviembre de 2021:  </w:t>
      </w:r>
    </w:p>
    <w:p w:rsidR="002639AF" w:rsidRPr="009E698D" w:rsidRDefault="002639AF" w:rsidP="002639AF">
      <w:pPr>
        <w:spacing w:after="0" w:line="360" w:lineRule="auto"/>
        <w:jc w:val="left"/>
        <w:rPr>
          <w:rFonts w:eastAsiaTheme="minorHAnsi"/>
          <w:szCs w:val="24"/>
          <w:lang w:eastAsia="en-US"/>
        </w:rPr>
      </w:pPr>
    </w:p>
    <w:tbl>
      <w:tblPr>
        <w:tblStyle w:val="Tablaconcuadrcula8"/>
        <w:tblW w:w="0" w:type="auto"/>
        <w:tblInd w:w="10" w:type="dxa"/>
        <w:tblLayout w:type="fixed"/>
        <w:tblLook w:val="06A0" w:firstRow="1" w:lastRow="0" w:firstColumn="1" w:lastColumn="0" w:noHBand="1" w:noVBand="1"/>
      </w:tblPr>
      <w:tblGrid>
        <w:gridCol w:w="1515"/>
        <w:gridCol w:w="4260"/>
        <w:gridCol w:w="2715"/>
      </w:tblGrid>
      <w:tr w:rsidR="002639AF" w:rsidRPr="009E698D" w:rsidTr="0063671D">
        <w:trPr>
          <w:trHeight w:val="945"/>
        </w:trPr>
        <w:tc>
          <w:tcPr>
            <w:tcW w:w="8490" w:type="dxa"/>
            <w:gridSpan w:val="3"/>
            <w:tcBorders>
              <w:top w:val="single" w:sz="4" w:space="0" w:color="auto"/>
              <w:left w:val="single" w:sz="4" w:space="0" w:color="auto"/>
              <w:bottom w:val="single" w:sz="4" w:space="0" w:color="auto"/>
              <w:right w:val="single" w:sz="4" w:space="0" w:color="auto"/>
            </w:tcBorders>
            <w:shd w:val="clear" w:color="auto" w:fill="003876"/>
            <w:vAlign w:val="center"/>
          </w:tcPr>
          <w:p w:rsidR="002639AF" w:rsidRPr="00640819" w:rsidRDefault="003D077E" w:rsidP="002639AF">
            <w:pPr>
              <w:spacing w:after="0" w:line="360" w:lineRule="auto"/>
              <w:jc w:val="center"/>
              <w:rPr>
                <w:rFonts w:ascii="Times New Roman" w:hAnsi="Times New Roman" w:cs="Times New Roman"/>
                <w:b/>
                <w:bCs/>
                <w:color w:val="FFFFFF" w:themeColor="background1"/>
                <w:szCs w:val="24"/>
              </w:rPr>
            </w:pPr>
            <w:r>
              <w:rPr>
                <w:rFonts w:ascii="Times New Roman" w:hAnsi="Times New Roman" w:cs="Times New Roman"/>
                <w:b/>
                <w:bCs/>
                <w:color w:val="FFFFFF" w:themeColor="background1"/>
                <w:szCs w:val="24"/>
              </w:rPr>
              <w:t>Autorizaciones</w:t>
            </w:r>
          </w:p>
          <w:p w:rsidR="002639AF" w:rsidRPr="00640819" w:rsidRDefault="002639AF" w:rsidP="002639AF">
            <w:pPr>
              <w:spacing w:after="0" w:line="360" w:lineRule="auto"/>
              <w:jc w:val="center"/>
              <w:rPr>
                <w:rFonts w:ascii="Times New Roman" w:hAnsi="Times New Roman" w:cs="Times New Roman"/>
                <w:b/>
                <w:bCs/>
                <w:color w:val="FFFFFF" w:themeColor="background1"/>
                <w:szCs w:val="24"/>
              </w:rPr>
            </w:pPr>
            <w:r w:rsidRPr="00640819">
              <w:rPr>
                <w:rFonts w:ascii="Times New Roman" w:hAnsi="Times New Roman" w:cs="Times New Roman"/>
                <w:b/>
                <w:bCs/>
                <w:color w:val="FFFFFF" w:themeColor="background1"/>
                <w:szCs w:val="24"/>
              </w:rPr>
              <w:t>Enero – Noviembre de 2021</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1</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Inscripción en Registro Especial de servicios de radioaficionados </w:t>
            </w:r>
          </w:p>
        </w:tc>
        <w:tc>
          <w:tcPr>
            <w:tcW w:w="2715" w:type="dxa"/>
            <w:tcBorders>
              <w:top w:val="single" w:sz="4" w:space="0" w:color="auto"/>
              <w:left w:val="single" w:sz="4" w:space="0" w:color="auto"/>
              <w:bottom w:val="single" w:sz="4" w:space="0" w:color="auto"/>
              <w:right w:val="single" w:sz="4" w:space="0" w:color="auto"/>
            </w:tcBorders>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50</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2</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3D077E">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Renovación de </w:t>
            </w:r>
            <w:r w:rsidR="003D077E">
              <w:rPr>
                <w:rFonts w:ascii="Times New Roman" w:hAnsi="Times New Roman" w:cs="Times New Roman"/>
                <w:szCs w:val="24"/>
              </w:rPr>
              <w:t>I</w:t>
            </w:r>
            <w:r w:rsidRPr="00640819">
              <w:rPr>
                <w:rFonts w:ascii="Times New Roman" w:hAnsi="Times New Roman" w:cs="Times New Roman"/>
                <w:szCs w:val="24"/>
              </w:rPr>
              <w:t>nscripción en Registro Especial de servicios de radioaficionados</w:t>
            </w:r>
          </w:p>
        </w:tc>
        <w:tc>
          <w:tcPr>
            <w:tcW w:w="2715" w:type="dxa"/>
            <w:tcBorders>
              <w:top w:val="single" w:sz="4" w:space="0" w:color="auto"/>
              <w:left w:val="single" w:sz="4" w:space="0" w:color="auto"/>
              <w:bottom w:val="single" w:sz="4" w:space="0" w:color="auto"/>
              <w:right w:val="single" w:sz="4" w:space="0" w:color="auto"/>
            </w:tcBorders>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96</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3</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Inscripción en Registro Especial de servicios de telecomunicaciones </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38</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4</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C24E0B">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Renovación de </w:t>
            </w:r>
            <w:r w:rsidR="00C24E0B">
              <w:rPr>
                <w:rFonts w:ascii="Times New Roman" w:hAnsi="Times New Roman" w:cs="Times New Roman"/>
                <w:szCs w:val="24"/>
              </w:rPr>
              <w:t>I</w:t>
            </w:r>
            <w:r w:rsidRPr="00640819">
              <w:rPr>
                <w:rFonts w:ascii="Times New Roman" w:hAnsi="Times New Roman" w:cs="Times New Roman"/>
                <w:szCs w:val="24"/>
              </w:rPr>
              <w:t>nscripción en Registro Especial de servicios de telecomunicaciones</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14</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5</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Concesiones que no requieren concurso público </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1</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6</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C24E0B">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Renovación de </w:t>
            </w:r>
            <w:r w:rsidR="00C24E0B">
              <w:rPr>
                <w:rFonts w:ascii="Times New Roman" w:hAnsi="Times New Roman" w:cs="Times New Roman"/>
                <w:szCs w:val="24"/>
              </w:rPr>
              <w:t>C</w:t>
            </w:r>
            <w:r w:rsidRPr="00640819">
              <w:rPr>
                <w:rFonts w:ascii="Times New Roman" w:hAnsi="Times New Roman" w:cs="Times New Roman"/>
                <w:szCs w:val="24"/>
              </w:rPr>
              <w:t xml:space="preserve">oncesiones </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1</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7</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Modificación de Concesiones </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12</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lastRenderedPageBreak/>
              <w:t>8</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No Objeción, emitidas a través de la VUCE</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11,205</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9</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Homologaciones </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337</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10</w:t>
            </w:r>
          </w:p>
        </w:tc>
        <w:tc>
          <w:tcPr>
            <w:tcW w:w="4260" w:type="dxa"/>
            <w:tcBorders>
              <w:top w:val="single" w:sz="4" w:space="0" w:color="auto"/>
              <w:left w:val="single" w:sz="4" w:space="0" w:color="auto"/>
              <w:bottom w:val="single" w:sz="4" w:space="0" w:color="auto"/>
              <w:right w:val="nil"/>
            </w:tcBorders>
            <w:shd w:val="clear" w:color="auto" w:fill="FFFFFF" w:themeFill="background1"/>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Asignación de números códigos NPA-NXX y código especial (1-8X9-976, 1-8X9-200)</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7</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11</w:t>
            </w:r>
          </w:p>
        </w:tc>
        <w:tc>
          <w:tcPr>
            <w:tcW w:w="4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Concesiones adecuadas</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8</w:t>
            </w:r>
          </w:p>
        </w:tc>
      </w:tr>
      <w:tr w:rsidR="002639AF" w:rsidRPr="009E698D" w:rsidTr="002639AF">
        <w:trPr>
          <w:trHeight w:val="795"/>
        </w:trPr>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12</w:t>
            </w:r>
          </w:p>
        </w:tc>
        <w:tc>
          <w:tcPr>
            <w:tcW w:w="4260" w:type="dxa"/>
            <w:tcBorders>
              <w:top w:val="single" w:sz="4" w:space="0" w:color="auto"/>
              <w:left w:val="single" w:sz="4" w:space="0" w:color="auto"/>
              <w:bottom w:val="single" w:sz="4" w:space="0" w:color="auto"/>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Contratos suscritos</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5</w:t>
            </w:r>
          </w:p>
        </w:tc>
      </w:tr>
      <w:tr w:rsidR="002639AF" w:rsidRPr="009E698D" w:rsidTr="002639AF">
        <w:trPr>
          <w:trHeight w:val="795"/>
        </w:trPr>
        <w:tc>
          <w:tcPr>
            <w:tcW w:w="1515" w:type="dxa"/>
            <w:tcBorders>
              <w:top w:val="single" w:sz="4" w:space="0" w:color="auto"/>
              <w:left w:val="single" w:sz="4" w:space="0" w:color="auto"/>
              <w:bottom w:val="nil"/>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13</w:t>
            </w:r>
          </w:p>
        </w:tc>
        <w:tc>
          <w:tcPr>
            <w:tcW w:w="4260" w:type="dxa"/>
            <w:tcBorders>
              <w:top w:val="single" w:sz="4" w:space="0" w:color="auto"/>
              <w:left w:val="single" w:sz="4" w:space="0" w:color="auto"/>
              <w:bottom w:val="nil"/>
              <w:right w:val="nil"/>
            </w:tcBorders>
            <w:shd w:val="clear" w:color="auto" w:fill="FFFFFF" w:themeFill="background1"/>
            <w:vAlign w:val="center"/>
          </w:tcPr>
          <w:p w:rsidR="002639AF" w:rsidRPr="00640819" w:rsidRDefault="002639AF" w:rsidP="002639AF">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Licencias adecuadas </w:t>
            </w:r>
          </w:p>
        </w:tc>
        <w:tc>
          <w:tcPr>
            <w:tcW w:w="2715" w:type="dxa"/>
            <w:tcBorders>
              <w:top w:val="single" w:sz="4" w:space="0" w:color="auto"/>
              <w:left w:val="single" w:sz="4" w:space="0" w:color="auto"/>
              <w:bottom w:val="nil"/>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26</w:t>
            </w:r>
          </w:p>
        </w:tc>
      </w:tr>
      <w:tr w:rsidR="002639AF" w:rsidRPr="009E698D" w:rsidTr="002639AF">
        <w:trPr>
          <w:trHeight w:val="795"/>
        </w:trPr>
        <w:tc>
          <w:tcPr>
            <w:tcW w:w="1515" w:type="dxa"/>
            <w:tcBorders>
              <w:top w:val="single" w:sz="4" w:space="0" w:color="auto"/>
              <w:left w:val="single" w:sz="4" w:space="0" w:color="auto"/>
              <w:bottom w:val="nil"/>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b/>
                <w:bCs/>
                <w:szCs w:val="24"/>
              </w:rPr>
            </w:pPr>
            <w:r w:rsidRPr="00640819">
              <w:rPr>
                <w:rFonts w:ascii="Times New Roman" w:hAnsi="Times New Roman" w:cs="Times New Roman"/>
                <w:b/>
                <w:bCs/>
                <w:szCs w:val="24"/>
              </w:rPr>
              <w:t>14</w:t>
            </w:r>
          </w:p>
        </w:tc>
        <w:tc>
          <w:tcPr>
            <w:tcW w:w="4260" w:type="dxa"/>
            <w:tcBorders>
              <w:top w:val="single" w:sz="4" w:space="0" w:color="auto"/>
              <w:left w:val="single" w:sz="4" w:space="0" w:color="auto"/>
              <w:bottom w:val="nil"/>
              <w:right w:val="nil"/>
            </w:tcBorders>
            <w:shd w:val="clear" w:color="auto" w:fill="FFFFFF" w:themeFill="background1"/>
            <w:vAlign w:val="center"/>
          </w:tcPr>
          <w:p w:rsidR="002639AF" w:rsidRPr="00640819" w:rsidRDefault="002639AF" w:rsidP="00C24E0B">
            <w:pPr>
              <w:spacing w:after="0" w:line="360" w:lineRule="auto"/>
              <w:jc w:val="left"/>
              <w:rPr>
                <w:rFonts w:ascii="Times New Roman" w:hAnsi="Times New Roman" w:cs="Times New Roman"/>
                <w:szCs w:val="24"/>
              </w:rPr>
            </w:pPr>
            <w:r w:rsidRPr="00640819">
              <w:rPr>
                <w:rFonts w:ascii="Times New Roman" w:hAnsi="Times New Roman" w:cs="Times New Roman"/>
                <w:szCs w:val="24"/>
              </w:rPr>
              <w:t xml:space="preserve">Nuevas </w:t>
            </w:r>
            <w:r w:rsidR="00C24E0B">
              <w:rPr>
                <w:rFonts w:ascii="Times New Roman" w:hAnsi="Times New Roman" w:cs="Times New Roman"/>
                <w:szCs w:val="24"/>
              </w:rPr>
              <w:t>L</w:t>
            </w:r>
            <w:r w:rsidRPr="00640819">
              <w:rPr>
                <w:rFonts w:ascii="Times New Roman" w:hAnsi="Times New Roman" w:cs="Times New Roman"/>
                <w:szCs w:val="24"/>
              </w:rPr>
              <w:t>icencias otorgadas que no requieren concurso público</w:t>
            </w:r>
          </w:p>
        </w:tc>
        <w:tc>
          <w:tcPr>
            <w:tcW w:w="2715" w:type="dxa"/>
            <w:tcBorders>
              <w:top w:val="single" w:sz="4" w:space="0" w:color="auto"/>
              <w:left w:val="single" w:sz="4" w:space="0" w:color="auto"/>
              <w:bottom w:val="nil"/>
              <w:right w:val="single" w:sz="4" w:space="0" w:color="auto"/>
            </w:tcBorders>
            <w:shd w:val="clear" w:color="auto" w:fill="FFFFFF" w:themeFill="background1"/>
            <w:vAlign w:val="center"/>
          </w:tcPr>
          <w:p w:rsidR="002639AF" w:rsidRPr="00640819" w:rsidRDefault="002639AF" w:rsidP="002639AF">
            <w:pPr>
              <w:spacing w:after="0" w:line="360" w:lineRule="auto"/>
              <w:jc w:val="center"/>
              <w:rPr>
                <w:rFonts w:ascii="Times New Roman" w:hAnsi="Times New Roman" w:cs="Times New Roman"/>
                <w:szCs w:val="24"/>
              </w:rPr>
            </w:pPr>
            <w:r w:rsidRPr="00640819">
              <w:rPr>
                <w:rFonts w:ascii="Times New Roman" w:hAnsi="Times New Roman" w:cs="Times New Roman"/>
                <w:szCs w:val="24"/>
              </w:rPr>
              <w:t>19</w:t>
            </w:r>
          </w:p>
        </w:tc>
      </w:tr>
      <w:tr w:rsidR="002639AF" w:rsidRPr="009E698D" w:rsidTr="0063671D">
        <w:trPr>
          <w:trHeight w:val="795"/>
        </w:trPr>
        <w:tc>
          <w:tcPr>
            <w:tcW w:w="5775" w:type="dxa"/>
            <w:gridSpan w:val="2"/>
            <w:tcBorders>
              <w:top w:val="single" w:sz="8" w:space="0" w:color="auto"/>
              <w:left w:val="single" w:sz="8" w:space="0" w:color="auto"/>
              <w:bottom w:val="single" w:sz="8" w:space="0" w:color="auto"/>
              <w:right w:val="nil"/>
            </w:tcBorders>
            <w:shd w:val="clear" w:color="auto" w:fill="003876"/>
            <w:vAlign w:val="center"/>
          </w:tcPr>
          <w:p w:rsidR="002639AF" w:rsidRPr="00640819" w:rsidRDefault="002639AF" w:rsidP="002639AF">
            <w:pPr>
              <w:spacing w:after="0" w:line="360" w:lineRule="auto"/>
              <w:jc w:val="center"/>
              <w:rPr>
                <w:rFonts w:ascii="Times New Roman" w:hAnsi="Times New Roman" w:cs="Times New Roman"/>
                <w:b/>
                <w:bCs/>
                <w:color w:val="FFFFFF" w:themeColor="background1"/>
                <w:szCs w:val="24"/>
              </w:rPr>
            </w:pPr>
            <w:r w:rsidRPr="00640819">
              <w:rPr>
                <w:rFonts w:ascii="Times New Roman" w:hAnsi="Times New Roman" w:cs="Times New Roman"/>
                <w:b/>
                <w:bCs/>
                <w:color w:val="FFFFFF" w:themeColor="background1"/>
                <w:szCs w:val="24"/>
              </w:rPr>
              <w:t xml:space="preserve">Total </w:t>
            </w:r>
          </w:p>
        </w:tc>
        <w:tc>
          <w:tcPr>
            <w:tcW w:w="2715" w:type="dxa"/>
            <w:tcBorders>
              <w:top w:val="single" w:sz="8" w:space="0" w:color="auto"/>
              <w:left w:val="single" w:sz="8" w:space="0" w:color="auto"/>
              <w:bottom w:val="single" w:sz="8" w:space="0" w:color="auto"/>
              <w:right w:val="single" w:sz="8" w:space="0" w:color="auto"/>
            </w:tcBorders>
            <w:shd w:val="clear" w:color="auto" w:fill="003876"/>
            <w:vAlign w:val="center"/>
          </w:tcPr>
          <w:p w:rsidR="002639AF" w:rsidRPr="00640819" w:rsidRDefault="002639AF" w:rsidP="002639AF">
            <w:pPr>
              <w:spacing w:after="0" w:line="360" w:lineRule="auto"/>
              <w:jc w:val="center"/>
              <w:rPr>
                <w:rFonts w:ascii="Times New Roman" w:hAnsi="Times New Roman" w:cs="Times New Roman"/>
                <w:b/>
                <w:bCs/>
                <w:color w:val="FFFFFF" w:themeColor="background1"/>
                <w:szCs w:val="24"/>
              </w:rPr>
            </w:pPr>
            <w:r w:rsidRPr="00640819">
              <w:rPr>
                <w:rFonts w:ascii="Times New Roman" w:hAnsi="Times New Roman" w:cs="Times New Roman"/>
                <w:b/>
                <w:bCs/>
                <w:color w:val="FFFFFF" w:themeColor="background1"/>
                <w:szCs w:val="24"/>
              </w:rPr>
              <w:t>11,819</w:t>
            </w:r>
          </w:p>
        </w:tc>
      </w:tr>
    </w:tbl>
    <w:p w:rsidR="002639AF" w:rsidRPr="00C24E0B" w:rsidRDefault="002639AF" w:rsidP="002639AF">
      <w:pPr>
        <w:spacing w:after="0" w:line="360" w:lineRule="auto"/>
        <w:jc w:val="left"/>
        <w:rPr>
          <w:rFonts w:eastAsiaTheme="minorHAnsi"/>
          <w:sz w:val="18"/>
          <w:szCs w:val="24"/>
          <w:lang w:eastAsia="en-US"/>
        </w:rPr>
      </w:pPr>
      <w:r w:rsidRPr="00C24E0B">
        <w:rPr>
          <w:rFonts w:eastAsia="Times New Roman"/>
          <w:b/>
          <w:bCs/>
          <w:sz w:val="18"/>
          <w:szCs w:val="24"/>
        </w:rPr>
        <w:t>Fuente</w:t>
      </w:r>
      <w:r w:rsidRPr="00C24E0B">
        <w:rPr>
          <w:rFonts w:eastAsia="Times New Roman"/>
          <w:sz w:val="18"/>
          <w:szCs w:val="24"/>
        </w:rPr>
        <w:t>: Sistema de Gestión Interna (SGI)</w:t>
      </w:r>
    </w:p>
    <w:p w:rsidR="002639AF" w:rsidRDefault="002639AF" w:rsidP="002639AF">
      <w:pPr>
        <w:pStyle w:val="Sinespaciado"/>
        <w:rPr>
          <w:color w:val="767171"/>
        </w:rPr>
      </w:pPr>
    </w:p>
    <w:p w:rsidR="002639AF" w:rsidRDefault="002639AF" w:rsidP="002639AF">
      <w:pPr>
        <w:pStyle w:val="Sinespaciado"/>
        <w:rPr>
          <w:color w:val="767171"/>
        </w:rPr>
      </w:pPr>
    </w:p>
    <w:p w:rsidR="002639AF" w:rsidRDefault="002639AF" w:rsidP="002639AF">
      <w:pPr>
        <w:pStyle w:val="Sinespaciado"/>
        <w:rPr>
          <w:color w:val="767171"/>
        </w:rPr>
      </w:pPr>
    </w:p>
    <w:p w:rsidR="002639AF" w:rsidRDefault="002639AF" w:rsidP="002639AF">
      <w:pPr>
        <w:pStyle w:val="Sinespaciado"/>
        <w:rPr>
          <w:color w:val="767171"/>
        </w:rPr>
      </w:pPr>
    </w:p>
    <w:p w:rsidR="002639AF" w:rsidRDefault="002639AF" w:rsidP="002639AF">
      <w:pPr>
        <w:pStyle w:val="Sinespaciado"/>
        <w:rPr>
          <w:color w:val="767171"/>
        </w:rPr>
      </w:pPr>
    </w:p>
    <w:p w:rsidR="002639AF" w:rsidRDefault="002639AF" w:rsidP="002639AF">
      <w:pPr>
        <w:pStyle w:val="Sinespaciado"/>
        <w:rPr>
          <w:color w:val="767171"/>
        </w:rPr>
      </w:pPr>
    </w:p>
    <w:p w:rsidR="002639AF" w:rsidRDefault="002639AF" w:rsidP="002639AF">
      <w:pPr>
        <w:pStyle w:val="Sinespaciado"/>
        <w:rPr>
          <w:color w:val="767171"/>
        </w:rPr>
      </w:pPr>
    </w:p>
    <w:p w:rsidR="002639AF" w:rsidRDefault="002639A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Default="00B07CFF" w:rsidP="002639AF">
      <w:pPr>
        <w:pStyle w:val="Sinespaciado"/>
        <w:rPr>
          <w:color w:val="767171"/>
        </w:rPr>
      </w:pPr>
    </w:p>
    <w:p w:rsidR="00B07CFF" w:rsidRPr="00EC5627" w:rsidRDefault="00B07CFF" w:rsidP="002639AF">
      <w:pPr>
        <w:pStyle w:val="Sinespaciado"/>
        <w:rPr>
          <w:color w:val="767171"/>
        </w:rPr>
      </w:pPr>
    </w:p>
    <w:p w:rsidR="002639AF" w:rsidRPr="00E83EBC" w:rsidRDefault="002639AF" w:rsidP="002639AF">
      <w:pPr>
        <w:pStyle w:val="Ttulo3"/>
      </w:pPr>
      <w:bookmarkStart w:id="17" w:name="_Toc90936648"/>
      <w:r w:rsidRPr="00E83EBC">
        <w:lastRenderedPageBreak/>
        <w:t>Protección al Usuario</w:t>
      </w:r>
      <w:bookmarkEnd w:id="17"/>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Desde el INDOTEL se difunden normas y acciones regulatorias tendentes a garantizar el respeto a los derechos de los usuarios finales de los servicios públicos de telecomunicaciones.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El INDOTEL ofrece al público orientación y asistencia sobre los derechos, obligaciones y reclamaciones vinculadas a los servicios públicos de telecomunicaciones.</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Asimismo, funge como punto de partida para la gestión de los casos donde amerita intervención del INDOTEL, encargándose de registrar y dar curso a las reclamaciones recibidas por parte de los usuarios. Hoy en día contamos con diferentes vías para asentar las reclamaciones tales como: telefónica, presencial, correo electrónico, formulario web, chat en línea, correspondencia y redes sociales.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Desde el mes de enero al 15 de noviembre de 2021 hemos recibido un total de 15,176 reclamaciones, para un promedio mensual de 1,445, las cuales se clasifican según las normativas y procesos establecidos en los diferentes tipos de casos, detallados en la siguiente tabla:</w:t>
      </w:r>
    </w:p>
    <w:p w:rsidR="00B70CDD" w:rsidRPr="00B70CDD" w:rsidRDefault="00B70CDD" w:rsidP="00B70CDD">
      <w:pPr>
        <w:spacing w:before="100" w:beforeAutospacing="1" w:after="0" w:line="240" w:lineRule="auto"/>
        <w:rPr>
          <w:rFonts w:eastAsia="Times New Roman"/>
          <w:szCs w:val="24"/>
        </w:rPr>
      </w:pPr>
      <w:r w:rsidRPr="00BE37BE">
        <w:rPr>
          <w:rFonts w:asciiTheme="minorHAnsi" w:eastAsiaTheme="minorHAnsi" w:hAnsiTheme="minorHAnsi" w:cstheme="minorBidi"/>
          <w:noProof/>
          <w:sz w:val="22"/>
          <w:lang w:val="en-US" w:eastAsia="en-US"/>
        </w:rPr>
        <w:drawing>
          <wp:inline distT="0" distB="0" distL="0" distR="0" wp14:anchorId="7668BF18" wp14:editId="2B77EBE3">
            <wp:extent cx="5854700" cy="2250440"/>
            <wp:effectExtent l="0" t="0" r="12700" b="1651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0CDD" w:rsidRPr="00B70CDD" w:rsidRDefault="00B70CDD" w:rsidP="00B70CDD">
      <w:pPr>
        <w:spacing w:after="0" w:line="240" w:lineRule="auto"/>
        <w:rPr>
          <w:sz w:val="18"/>
          <w:szCs w:val="16"/>
        </w:rPr>
      </w:pPr>
      <w:r w:rsidRPr="00B70CDD">
        <w:rPr>
          <w:b/>
          <w:sz w:val="18"/>
          <w:szCs w:val="16"/>
        </w:rPr>
        <w:t>Fuente:</w:t>
      </w:r>
      <w:r w:rsidRPr="00B70CDD">
        <w:rPr>
          <w:sz w:val="18"/>
          <w:szCs w:val="16"/>
        </w:rPr>
        <w:t xml:space="preserve"> Sistema de Gestión (</w:t>
      </w:r>
      <w:proofErr w:type="spellStart"/>
      <w:r w:rsidRPr="00B70CDD">
        <w:rPr>
          <w:sz w:val="18"/>
          <w:szCs w:val="16"/>
        </w:rPr>
        <w:t>WebDau</w:t>
      </w:r>
      <w:proofErr w:type="spellEnd"/>
      <w:r w:rsidRPr="00B70CDD">
        <w:rPr>
          <w:sz w:val="18"/>
          <w:szCs w:val="16"/>
        </w:rPr>
        <w:t>)</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lastRenderedPageBreak/>
        <w:t>Del total de reclamaciones recibidas en el DAU, podemos identificar las diferentes vías de solicitud por las cuales han acudido los usuarios. A continuación, mostramos las gráficas de estos:</w:t>
      </w:r>
    </w:p>
    <w:p w:rsidR="00B70CDD" w:rsidRPr="00B70CDD" w:rsidRDefault="00B70CDD" w:rsidP="00B70CDD">
      <w:pPr>
        <w:spacing w:after="0" w:line="240" w:lineRule="auto"/>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32A13A28" wp14:editId="6E40F070">
            <wp:extent cx="5943600" cy="2000885"/>
            <wp:effectExtent l="0" t="0" r="0" b="1841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0CDD" w:rsidRPr="00B70CDD" w:rsidRDefault="00B70CDD" w:rsidP="00B70CDD">
      <w:pPr>
        <w:spacing w:after="0" w:line="240" w:lineRule="auto"/>
        <w:jc w:val="left"/>
        <w:rPr>
          <w:rFonts w:eastAsia="Times New Roman"/>
          <w:color w:val="auto"/>
          <w:sz w:val="18"/>
          <w:szCs w:val="16"/>
        </w:rPr>
      </w:pPr>
      <w:r w:rsidRPr="00B70CDD">
        <w:rPr>
          <w:rFonts w:eastAsia="Times New Roman"/>
          <w:b/>
          <w:sz w:val="18"/>
          <w:szCs w:val="16"/>
        </w:rPr>
        <w:t>Fuente:</w:t>
      </w:r>
      <w:r w:rsidRPr="00B70CDD">
        <w:rPr>
          <w:rFonts w:eastAsia="Times New Roman"/>
          <w:sz w:val="18"/>
          <w:szCs w:val="16"/>
        </w:rPr>
        <w:t xml:space="preserve"> Sistema de Gestión (</w:t>
      </w:r>
      <w:proofErr w:type="spellStart"/>
      <w:r w:rsidRPr="00B70CDD">
        <w:rPr>
          <w:rFonts w:eastAsia="Times New Roman"/>
          <w:sz w:val="18"/>
          <w:szCs w:val="16"/>
        </w:rPr>
        <w:t>WebDau</w:t>
      </w:r>
      <w:proofErr w:type="spellEnd"/>
      <w:r w:rsidRPr="00B70CDD">
        <w:rPr>
          <w:rFonts w:eastAsia="Times New Roman"/>
          <w:sz w:val="18"/>
          <w:szCs w:val="16"/>
        </w:rPr>
        <w:t>)</w:t>
      </w:r>
    </w:p>
    <w:p w:rsidR="00B70CDD" w:rsidRPr="00B70CDD" w:rsidRDefault="00B70CDD" w:rsidP="00B70CDD">
      <w:pPr>
        <w:spacing w:after="0" w:line="360" w:lineRule="auto"/>
        <w:rPr>
          <w:rFonts w:eastAsia="Times New Roman"/>
          <w:szCs w:val="24"/>
        </w:rPr>
      </w:pPr>
    </w:p>
    <w:p w:rsidR="00B70CDD" w:rsidRPr="00B70CDD" w:rsidRDefault="00B70CDD" w:rsidP="00B70CDD">
      <w:pPr>
        <w:spacing w:after="0" w:line="360" w:lineRule="auto"/>
      </w:pPr>
      <w:r w:rsidRPr="00B70CDD">
        <w:t xml:space="preserve">Acorde con nuestras estadísticas, podemos mencionar que los principales motivos de reclamos presentados por los usuarios durante el presente año son: </w:t>
      </w:r>
    </w:p>
    <w:p w:rsidR="00B70CDD" w:rsidRPr="00B70CDD" w:rsidRDefault="00B70CDD" w:rsidP="00B70CDD">
      <w:pPr>
        <w:numPr>
          <w:ilvl w:val="0"/>
          <w:numId w:val="41"/>
        </w:numPr>
        <w:spacing w:before="100" w:beforeAutospacing="1" w:after="100" w:afterAutospacing="1" w:line="360" w:lineRule="auto"/>
        <w:jc w:val="left"/>
        <w:rPr>
          <w:rFonts w:eastAsia="Times New Roman"/>
          <w:szCs w:val="24"/>
        </w:rPr>
      </w:pPr>
      <w:r w:rsidRPr="00B70CDD">
        <w:rPr>
          <w:rFonts w:eastAsia="Times New Roman"/>
          <w:szCs w:val="24"/>
        </w:rPr>
        <w:t>Facturación, el DAU recibe aproximadamente 147 casos mensuales de inconvenientes con la factura;</w:t>
      </w:r>
    </w:p>
    <w:p w:rsidR="00B70CDD" w:rsidRPr="00B70CDD" w:rsidRDefault="00B70CDD" w:rsidP="00B70CDD">
      <w:pPr>
        <w:numPr>
          <w:ilvl w:val="0"/>
          <w:numId w:val="41"/>
        </w:numPr>
        <w:spacing w:before="100" w:beforeAutospacing="1" w:after="100" w:afterAutospacing="1" w:line="360" w:lineRule="auto"/>
        <w:jc w:val="left"/>
        <w:rPr>
          <w:rFonts w:eastAsia="Times New Roman"/>
          <w:szCs w:val="24"/>
        </w:rPr>
      </w:pPr>
      <w:r w:rsidRPr="00B70CDD">
        <w:rPr>
          <w:rFonts w:eastAsia="Times New Roman"/>
          <w:szCs w:val="24"/>
        </w:rPr>
        <w:t>Cargos de penalidad, con un promedio mensual aproximado de 216 casos;</w:t>
      </w:r>
    </w:p>
    <w:p w:rsidR="00B70CDD" w:rsidRPr="00B70CDD" w:rsidRDefault="00B70CDD" w:rsidP="00B70CDD">
      <w:pPr>
        <w:numPr>
          <w:ilvl w:val="0"/>
          <w:numId w:val="41"/>
        </w:numPr>
        <w:spacing w:before="100" w:beforeAutospacing="1" w:after="100" w:afterAutospacing="1" w:line="360" w:lineRule="auto"/>
        <w:jc w:val="left"/>
        <w:rPr>
          <w:rFonts w:eastAsia="Times New Roman"/>
          <w:szCs w:val="24"/>
        </w:rPr>
      </w:pPr>
      <w:r w:rsidRPr="00B70CDD">
        <w:rPr>
          <w:rFonts w:eastAsia="Times New Roman"/>
          <w:szCs w:val="24"/>
        </w:rPr>
        <w:t xml:space="preserve">Calidad en el servicio, con un promedio de 106 casos por mes, y; </w:t>
      </w:r>
    </w:p>
    <w:p w:rsidR="00B70CDD" w:rsidRPr="00B70CDD" w:rsidRDefault="00B70CDD" w:rsidP="00B70CDD">
      <w:pPr>
        <w:numPr>
          <w:ilvl w:val="0"/>
          <w:numId w:val="41"/>
        </w:numPr>
        <w:spacing w:before="100" w:beforeAutospacing="1" w:after="100" w:afterAutospacing="1" w:line="360" w:lineRule="auto"/>
        <w:jc w:val="left"/>
        <w:rPr>
          <w:rFonts w:eastAsia="Times New Roman"/>
          <w:szCs w:val="24"/>
        </w:rPr>
      </w:pPr>
      <w:r w:rsidRPr="00B70CDD">
        <w:rPr>
          <w:rFonts w:eastAsia="Times New Roman"/>
          <w:szCs w:val="24"/>
        </w:rPr>
        <w:t>Avería, con un promedio de 72 casos por mes.</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Debajo se detalla la gráfica con los principales motivos de reclamos:</w:t>
      </w:r>
    </w:p>
    <w:p w:rsidR="00B70CDD" w:rsidRPr="00B70CDD" w:rsidRDefault="00B70CDD" w:rsidP="00B70CDD">
      <w:pPr>
        <w:spacing w:before="100" w:beforeAutospacing="1" w:after="0" w:line="240" w:lineRule="auto"/>
        <w:rPr>
          <w:rFonts w:eastAsia="Times New Roman"/>
          <w:szCs w:val="24"/>
        </w:rPr>
      </w:pPr>
      <w:r w:rsidRPr="00B70CDD">
        <w:rPr>
          <w:rFonts w:asciiTheme="minorHAnsi" w:eastAsiaTheme="minorHAnsi" w:hAnsiTheme="minorHAnsi" w:cstheme="minorBidi"/>
          <w:noProof/>
          <w:color w:val="auto"/>
          <w:sz w:val="22"/>
          <w:lang w:val="en-US" w:eastAsia="en-US"/>
        </w:rPr>
        <w:lastRenderedPageBreak/>
        <w:drawing>
          <wp:inline distT="0" distB="0" distL="0" distR="0" wp14:anchorId="4C54E5B5" wp14:editId="6FFD35AE">
            <wp:extent cx="5848350" cy="2673350"/>
            <wp:effectExtent l="0" t="0" r="0" b="1270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70CDD" w:rsidRPr="00B70CDD" w:rsidRDefault="00B70CDD" w:rsidP="00B70CDD">
      <w:pPr>
        <w:spacing w:after="0" w:line="240" w:lineRule="auto"/>
        <w:jc w:val="left"/>
        <w:rPr>
          <w:rFonts w:eastAsia="Times New Roman"/>
          <w:sz w:val="18"/>
          <w:szCs w:val="16"/>
        </w:rPr>
      </w:pPr>
      <w:r w:rsidRPr="00B70CDD">
        <w:rPr>
          <w:rFonts w:eastAsia="Times New Roman"/>
          <w:b/>
          <w:sz w:val="18"/>
          <w:szCs w:val="16"/>
        </w:rPr>
        <w:t>Fuente:</w:t>
      </w:r>
      <w:r w:rsidRPr="00B70CDD">
        <w:rPr>
          <w:rFonts w:eastAsia="Times New Roman"/>
          <w:sz w:val="18"/>
          <w:szCs w:val="16"/>
        </w:rPr>
        <w:t xml:space="preserve"> Sistema de Gestión (</w:t>
      </w:r>
      <w:proofErr w:type="spellStart"/>
      <w:r w:rsidRPr="00B70CDD">
        <w:rPr>
          <w:rFonts w:eastAsia="Times New Roman"/>
          <w:sz w:val="18"/>
          <w:szCs w:val="16"/>
        </w:rPr>
        <w:t>WebDau</w:t>
      </w:r>
      <w:proofErr w:type="spellEnd"/>
      <w:r w:rsidRPr="00B70CDD">
        <w:rPr>
          <w:rFonts w:eastAsia="Times New Roman"/>
          <w:sz w:val="18"/>
          <w:szCs w:val="16"/>
        </w:rPr>
        <w:t>)</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Resulta relevante resaltar que en el gráfico que antecede solo se han detallado los 5 principales tipos de casos más frecuentes, que son: facturación en el servicio, cancelación, cargos de penalidad, calidad en el servicio y avería.</w:t>
      </w:r>
    </w:p>
    <w:p w:rsidR="00B70CDD" w:rsidRPr="00B70CDD" w:rsidRDefault="00B70CDD" w:rsidP="00B70CDD">
      <w:pPr>
        <w:spacing w:line="360" w:lineRule="auto"/>
        <w:rPr>
          <w:b/>
        </w:rPr>
      </w:pPr>
      <w:r w:rsidRPr="00BE37BE">
        <w:rPr>
          <w:b/>
        </w:rPr>
        <w:t>Asistencia</w:t>
      </w:r>
      <w:r w:rsidRPr="00B70CDD">
        <w:rPr>
          <w:b/>
        </w:rPr>
        <w:t xml:space="preserve"> al Usuario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Podemos resaltar la mejora implementada en cuanto a la asistencia al usuario logrando reducir la cantidad de Casos de Información (CI) que son asentados en la institución y al mismo tiempo la mejora en la asistencia telefónica.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En el mes de marzo del presente año se implementó un flujo para las llamadas recibidas en la central telefónica (809) 547-1000, donde se agregaron los Casos de Información más recurrentes por los cuales los usuarios contactan el DAU para que la asistencia que brindaba un agente del INDOTEL sea ofrecida en una grabación de acuerdo a los requerimientos del usuario. Este flujo ayudó a </w:t>
      </w:r>
      <w:proofErr w:type="spellStart"/>
      <w:r w:rsidRPr="00B70CDD">
        <w:rPr>
          <w:rFonts w:eastAsia="Times New Roman"/>
          <w:szCs w:val="24"/>
        </w:rPr>
        <w:t>eficientizar</w:t>
      </w:r>
      <w:proofErr w:type="spellEnd"/>
      <w:r w:rsidRPr="00B70CDD">
        <w:rPr>
          <w:rFonts w:eastAsia="Times New Roman"/>
          <w:szCs w:val="24"/>
        </w:rPr>
        <w:t xml:space="preserve"> el área de atención vía telefónica, logrando obtener los estándares establecidos para áreas de </w:t>
      </w:r>
      <w:proofErr w:type="spellStart"/>
      <w:r w:rsidRPr="00B70CDD">
        <w:rPr>
          <w:rFonts w:eastAsia="Times New Roman"/>
          <w:szCs w:val="24"/>
        </w:rPr>
        <w:t>call</w:t>
      </w:r>
      <w:proofErr w:type="spellEnd"/>
      <w:r w:rsidRPr="00B70CDD">
        <w:rPr>
          <w:rFonts w:eastAsia="Times New Roman"/>
          <w:szCs w:val="24"/>
        </w:rPr>
        <w:t xml:space="preserve"> center de empresas de servicios, el cual establece un 80-20 para la relación de llamadas contestadas sobre las abandonadas del total recibido, como se muestra en la siguiente gráfica:</w:t>
      </w:r>
    </w:p>
    <w:p w:rsidR="00B70CDD" w:rsidRPr="00B70CDD" w:rsidRDefault="00B70CDD" w:rsidP="00B70CDD">
      <w:pPr>
        <w:spacing w:before="100" w:beforeAutospacing="1" w:after="0" w:line="240" w:lineRule="auto"/>
        <w:rPr>
          <w:rFonts w:eastAsia="Times New Roman"/>
          <w:szCs w:val="24"/>
        </w:rPr>
      </w:pPr>
      <w:r w:rsidRPr="00B70CDD">
        <w:rPr>
          <w:rFonts w:asciiTheme="minorHAnsi" w:eastAsiaTheme="minorHAnsi" w:hAnsiTheme="minorHAnsi" w:cstheme="minorBidi"/>
          <w:noProof/>
          <w:color w:val="auto"/>
          <w:sz w:val="22"/>
          <w:lang w:val="en-US" w:eastAsia="en-US"/>
        </w:rPr>
        <w:lastRenderedPageBreak/>
        <w:drawing>
          <wp:inline distT="0" distB="0" distL="0" distR="0" wp14:anchorId="600147C0" wp14:editId="2C2A6E30">
            <wp:extent cx="5868035" cy="3021330"/>
            <wp:effectExtent l="0" t="0" r="18415" b="762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70CDD" w:rsidRPr="00B70CDD" w:rsidRDefault="00B70CDD" w:rsidP="00B70CDD">
      <w:pPr>
        <w:spacing w:after="0" w:line="240" w:lineRule="auto"/>
        <w:jc w:val="left"/>
        <w:rPr>
          <w:rFonts w:eastAsia="Times New Roman"/>
          <w:sz w:val="18"/>
          <w:szCs w:val="16"/>
        </w:rPr>
      </w:pPr>
      <w:r w:rsidRPr="00B70CDD">
        <w:rPr>
          <w:rFonts w:eastAsia="Times New Roman"/>
          <w:b/>
          <w:sz w:val="18"/>
          <w:szCs w:val="16"/>
        </w:rPr>
        <w:t>Fuente:</w:t>
      </w:r>
      <w:r w:rsidRPr="00B70CDD">
        <w:rPr>
          <w:rFonts w:eastAsia="Times New Roman"/>
          <w:sz w:val="18"/>
          <w:szCs w:val="16"/>
        </w:rPr>
        <w:t xml:space="preserve"> Sistema de Manejo de Central (</w:t>
      </w:r>
      <w:proofErr w:type="spellStart"/>
      <w:r w:rsidRPr="00B70CDD">
        <w:rPr>
          <w:rFonts w:eastAsia="Times New Roman"/>
          <w:sz w:val="18"/>
          <w:szCs w:val="16"/>
        </w:rPr>
        <w:t>Avaya</w:t>
      </w:r>
      <w:proofErr w:type="spellEnd"/>
      <w:r w:rsidRPr="00B70CDD">
        <w:rPr>
          <w:rFonts w:eastAsia="Times New Roman"/>
          <w:sz w:val="18"/>
          <w:szCs w:val="16"/>
        </w:rPr>
        <w:t>)</w:t>
      </w:r>
    </w:p>
    <w:p w:rsidR="00B70CDD" w:rsidRPr="00B70CDD" w:rsidRDefault="00B70CDD" w:rsidP="00B70CDD">
      <w:pPr>
        <w:spacing w:after="0" w:line="240" w:lineRule="auto"/>
        <w:jc w:val="left"/>
        <w:rPr>
          <w:rFonts w:eastAsia="Times New Roman"/>
          <w:sz w:val="16"/>
          <w:szCs w:val="16"/>
        </w:rPr>
      </w:pPr>
    </w:p>
    <w:p w:rsidR="00B70CDD" w:rsidRPr="00B70CDD" w:rsidRDefault="00B70CDD" w:rsidP="00B70CDD">
      <w:pPr>
        <w:spacing w:after="0" w:line="360" w:lineRule="auto"/>
        <w:rPr>
          <w:rFonts w:eastAsia="Times New Roman"/>
          <w:sz w:val="18"/>
          <w:szCs w:val="18"/>
        </w:rPr>
      </w:pPr>
    </w:p>
    <w:p w:rsidR="00B70CDD" w:rsidRPr="00B70CDD" w:rsidRDefault="00B70CDD" w:rsidP="00B70CDD">
      <w:pPr>
        <w:spacing w:line="360" w:lineRule="auto"/>
        <w:rPr>
          <w:b/>
        </w:rPr>
      </w:pPr>
      <w:r w:rsidRPr="00B70CDD">
        <w:rPr>
          <w:b/>
        </w:rPr>
        <w:t>Tramitación de Denuncias y Conciliación</w:t>
      </w:r>
    </w:p>
    <w:p w:rsidR="00B70CDD" w:rsidRPr="00B70CDD" w:rsidRDefault="00B70CDD" w:rsidP="00B70CDD">
      <w:pPr>
        <w:spacing w:line="360" w:lineRule="auto"/>
        <w:rPr>
          <w:szCs w:val="24"/>
        </w:rPr>
      </w:pPr>
      <w:r w:rsidRPr="00B70CDD">
        <w:rPr>
          <w:szCs w:val="24"/>
        </w:rPr>
        <w:t>El INDOTEL también desempeña la función de mediador en las controversias que se presentan entre usuarios y prestadoras de servicios público de telecomunicaciones y ayuda en el proceso de negociación con el objetivo de llegar a un acuerdo aceptado entre ambas partes. Los tipos de casos que se trabajan desde el INDOTEL para conciliación de los mismos son Casos de Denuncia (CD) y Recursos de Quejas (RDQ).</w:t>
      </w:r>
    </w:p>
    <w:p w:rsidR="00B70CDD" w:rsidRPr="00B70CDD" w:rsidRDefault="00B70CDD" w:rsidP="00B70CDD">
      <w:pPr>
        <w:spacing w:before="240" w:line="360" w:lineRule="auto"/>
        <w:rPr>
          <w:szCs w:val="24"/>
        </w:rPr>
      </w:pPr>
      <w:r w:rsidRPr="00B70CDD">
        <w:rPr>
          <w:szCs w:val="24"/>
        </w:rPr>
        <w:t>Los Casos de Denuncia (CD) son los requerimientos interpuestos por el usuario titular o su representante autorizado por ante el Departamento de Asistencia al Usuario (DAU) por alegada violación a una disposición establecida en la Ley General de Telecomunicaciones, Núm. 153-98 o en los reglamentos, resoluciones o disposiciones emitidas por el INDOTEL, así como también las reclamaciones no solucionadas en Casos de Pre-Formalización (CPF) por motivos de avería y calidad en el servicio.</w:t>
      </w:r>
    </w:p>
    <w:p w:rsidR="00B70CDD" w:rsidRPr="00B70CDD" w:rsidRDefault="00B70CDD" w:rsidP="00B70CDD">
      <w:pPr>
        <w:spacing w:before="240" w:line="360" w:lineRule="auto"/>
        <w:rPr>
          <w:szCs w:val="24"/>
        </w:rPr>
      </w:pPr>
      <w:r w:rsidRPr="00B70CDD">
        <w:rPr>
          <w:szCs w:val="24"/>
        </w:rPr>
        <w:lastRenderedPageBreak/>
        <w:t>En el período de enero – noviembre de 2021 se recibieron un total de 699 Casos de Denuncia (CD), cuyos principales motivos fueron: cobro de deuda, avería, calidad en el servicio, serie bloqueada, portabilidad numérica y código de subsidio.</w:t>
      </w:r>
    </w:p>
    <w:p w:rsidR="00B70CDD" w:rsidRPr="00B70CDD" w:rsidRDefault="00B70CDD" w:rsidP="00B70CDD">
      <w:pPr>
        <w:spacing w:before="240" w:line="360" w:lineRule="auto"/>
        <w:rPr>
          <w:szCs w:val="24"/>
        </w:rPr>
      </w:pPr>
      <w:r w:rsidRPr="00B70CDD">
        <w:rPr>
          <w:szCs w:val="24"/>
        </w:rPr>
        <w:t>A la fecha, de los 699 Casos de Denuncias (CD), se encuentran debidamente concluidos 714. Esto incluye casos finalizados que pasan de un mes a otro y en proceso 11 casos.</w:t>
      </w:r>
    </w:p>
    <w:p w:rsidR="00B70CDD" w:rsidRPr="00B70CDD" w:rsidRDefault="00B70CDD" w:rsidP="00B70CDD">
      <w:pPr>
        <w:spacing w:before="240" w:after="0" w:line="240" w:lineRule="auto"/>
        <w:rPr>
          <w:szCs w:val="24"/>
        </w:rPr>
      </w:pPr>
      <w:r w:rsidRPr="00B70CDD">
        <w:rPr>
          <w:rFonts w:asciiTheme="minorHAnsi" w:eastAsiaTheme="minorHAnsi" w:hAnsiTheme="minorHAnsi" w:cstheme="minorBidi"/>
          <w:noProof/>
          <w:color w:val="auto"/>
          <w:sz w:val="22"/>
          <w:lang w:val="en-US" w:eastAsia="en-US"/>
        </w:rPr>
        <w:drawing>
          <wp:inline distT="0" distB="0" distL="0" distR="0" wp14:anchorId="72D1EE51" wp14:editId="7AB0932E">
            <wp:extent cx="5854700" cy="2266950"/>
            <wp:effectExtent l="0" t="0" r="1270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0CDD" w:rsidRPr="00B70CDD" w:rsidRDefault="00B70CDD" w:rsidP="00B70CDD">
      <w:pPr>
        <w:spacing w:after="0" w:line="240" w:lineRule="auto"/>
        <w:jc w:val="left"/>
        <w:rPr>
          <w:rFonts w:eastAsia="Times New Roman"/>
          <w:sz w:val="18"/>
          <w:szCs w:val="16"/>
        </w:rPr>
      </w:pPr>
      <w:r w:rsidRPr="00B70CDD">
        <w:rPr>
          <w:rFonts w:eastAsia="Times New Roman"/>
          <w:b/>
          <w:sz w:val="18"/>
          <w:szCs w:val="16"/>
        </w:rPr>
        <w:t>Fuente:</w:t>
      </w:r>
      <w:r w:rsidRPr="00B70CDD">
        <w:rPr>
          <w:rFonts w:eastAsia="Times New Roman"/>
          <w:sz w:val="18"/>
          <w:szCs w:val="16"/>
        </w:rPr>
        <w:t xml:space="preserve"> Sistema de Gestión Interna (SGI)</w:t>
      </w:r>
    </w:p>
    <w:p w:rsidR="00B70CDD" w:rsidRPr="00B70CDD" w:rsidRDefault="00B70CDD" w:rsidP="00B70CDD">
      <w:pPr>
        <w:spacing w:after="0" w:line="240" w:lineRule="auto"/>
        <w:jc w:val="left"/>
        <w:rPr>
          <w:rFonts w:eastAsia="Times New Roman"/>
          <w:sz w:val="16"/>
          <w:szCs w:val="16"/>
        </w:rPr>
      </w:pPr>
    </w:p>
    <w:p w:rsidR="00B70CDD" w:rsidRPr="00B70CDD" w:rsidRDefault="00B70CDD" w:rsidP="005556AA">
      <w:pPr>
        <w:pStyle w:val="Textonotasalpie"/>
      </w:pPr>
    </w:p>
    <w:p w:rsidR="00B70CDD" w:rsidRPr="00B70CDD" w:rsidRDefault="00B70CDD" w:rsidP="00B70CDD">
      <w:pPr>
        <w:spacing w:line="360" w:lineRule="auto"/>
        <w:rPr>
          <w:szCs w:val="24"/>
        </w:rPr>
      </w:pPr>
      <w:r w:rsidRPr="00B70CDD">
        <w:rPr>
          <w:szCs w:val="24"/>
        </w:rPr>
        <w:t>Por otro lado, en el periodo enero – noviembre de 2021 se recibió un total de 417 Recursos de Quejas (RDQ), 10 se encuentran todavía en proceso de conciliación; 412 fueron concluidos, estos incluyen casos que pasaron de un mes a otro y 54 fueron remitidos a los Cuerpos Colegiados, detallados en la siguiente tabla:</w:t>
      </w:r>
    </w:p>
    <w:p w:rsidR="00B70CDD" w:rsidRPr="00B70CDD" w:rsidRDefault="00B70CDD" w:rsidP="00B70CDD">
      <w:pPr>
        <w:spacing w:after="0" w:line="240" w:lineRule="auto"/>
        <w:rPr>
          <w:szCs w:val="24"/>
        </w:rPr>
      </w:pPr>
      <w:r w:rsidRPr="00B70CDD">
        <w:rPr>
          <w:rFonts w:asciiTheme="minorHAnsi" w:eastAsiaTheme="minorHAnsi" w:hAnsiTheme="minorHAnsi" w:cstheme="minorBidi"/>
          <w:noProof/>
          <w:color w:val="auto"/>
          <w:sz w:val="22"/>
          <w:lang w:val="en-US" w:eastAsia="en-US"/>
        </w:rPr>
        <w:lastRenderedPageBreak/>
        <w:drawing>
          <wp:inline distT="0" distB="0" distL="0" distR="0" wp14:anchorId="630B525B" wp14:editId="446356A2">
            <wp:extent cx="5522259" cy="2712085"/>
            <wp:effectExtent l="0" t="0" r="2540" b="12065"/>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70CDD" w:rsidRPr="00B70CDD" w:rsidRDefault="00B70CDD" w:rsidP="00B70CDD">
      <w:pPr>
        <w:spacing w:after="0" w:line="240" w:lineRule="auto"/>
        <w:jc w:val="left"/>
        <w:rPr>
          <w:rFonts w:eastAsia="Times New Roman"/>
          <w:color w:val="auto"/>
          <w:sz w:val="18"/>
          <w:szCs w:val="16"/>
        </w:rPr>
      </w:pPr>
      <w:r w:rsidRPr="00B70CDD">
        <w:rPr>
          <w:rFonts w:eastAsia="Times New Roman"/>
          <w:b/>
          <w:sz w:val="18"/>
          <w:szCs w:val="16"/>
        </w:rPr>
        <w:t>Fuente:</w:t>
      </w:r>
      <w:r w:rsidRPr="00B70CDD">
        <w:rPr>
          <w:rFonts w:eastAsia="Times New Roman"/>
          <w:sz w:val="18"/>
          <w:szCs w:val="16"/>
        </w:rPr>
        <w:t xml:space="preserve"> Sistema de Gestión Interna (SGI)</w:t>
      </w:r>
    </w:p>
    <w:p w:rsidR="00B70CDD" w:rsidRPr="00B70CDD" w:rsidRDefault="00B70CDD" w:rsidP="00B70CDD">
      <w:pPr>
        <w:spacing w:after="0" w:line="360" w:lineRule="auto"/>
        <w:rPr>
          <w:szCs w:val="24"/>
        </w:rPr>
      </w:pPr>
    </w:p>
    <w:p w:rsidR="00B70CDD" w:rsidRPr="00B70CDD" w:rsidRDefault="00B70CDD" w:rsidP="00B70CDD">
      <w:pPr>
        <w:spacing w:line="360" w:lineRule="auto"/>
        <w:rPr>
          <w:szCs w:val="24"/>
        </w:rPr>
      </w:pPr>
      <w:r w:rsidRPr="00B70CDD">
        <w:rPr>
          <w:szCs w:val="24"/>
        </w:rPr>
        <w:t>La mayoría de los Recursos de Quejas (RDQ) recibidos corresponden a temas relacionados con la facturación en el servicio. En la gráfica siguiente se muestra una comparación del total monetario reclamado versus el total monetario acreditado a los usuarios tanto de los Recursos de Quejas (RDQ) como de los Casos de Pre-Formalización (CPF) luego de haber terminado el proceso de conciliación por parte de los analistas:</w:t>
      </w:r>
    </w:p>
    <w:p w:rsidR="00B70CDD" w:rsidRPr="00B70CDD" w:rsidRDefault="00B70CDD" w:rsidP="00B70CDD">
      <w:pPr>
        <w:spacing w:after="0" w:line="360" w:lineRule="auto"/>
        <w:rPr>
          <w:szCs w:val="24"/>
        </w:rPr>
      </w:pPr>
      <w:r w:rsidRPr="00B70CDD">
        <w:rPr>
          <w:rFonts w:asciiTheme="minorHAnsi" w:eastAsiaTheme="minorHAnsi" w:hAnsiTheme="minorHAnsi" w:cstheme="minorBidi"/>
          <w:noProof/>
          <w:color w:val="auto"/>
          <w:sz w:val="22"/>
          <w:lang w:val="en-US" w:eastAsia="en-US"/>
        </w:rPr>
        <w:drawing>
          <wp:inline distT="0" distB="0" distL="0" distR="0" wp14:anchorId="31FF5C12" wp14:editId="2C7BE280">
            <wp:extent cx="5882005" cy="2076450"/>
            <wp:effectExtent l="0" t="0" r="4445"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70CDD" w:rsidRDefault="00B70CDD" w:rsidP="00B70CDD">
      <w:pPr>
        <w:spacing w:after="0" w:line="360" w:lineRule="auto"/>
        <w:jc w:val="left"/>
        <w:rPr>
          <w:rFonts w:eastAsia="Times New Roman"/>
          <w:sz w:val="18"/>
          <w:szCs w:val="16"/>
        </w:rPr>
      </w:pPr>
      <w:r w:rsidRPr="00B70CDD">
        <w:rPr>
          <w:rFonts w:eastAsia="Times New Roman"/>
          <w:b/>
          <w:sz w:val="18"/>
          <w:szCs w:val="16"/>
        </w:rPr>
        <w:t>Fuente:</w:t>
      </w:r>
      <w:r w:rsidRPr="00B70CDD">
        <w:rPr>
          <w:rFonts w:eastAsia="Times New Roman"/>
          <w:sz w:val="18"/>
          <w:szCs w:val="16"/>
        </w:rPr>
        <w:t xml:space="preserve"> Sistema de Gestión Interna (SGI)</w:t>
      </w:r>
    </w:p>
    <w:p w:rsidR="005556AA" w:rsidRPr="00B70CDD" w:rsidRDefault="005556AA" w:rsidP="00B70CDD">
      <w:pPr>
        <w:spacing w:after="0" w:line="360" w:lineRule="auto"/>
        <w:jc w:val="left"/>
        <w:rPr>
          <w:rFonts w:eastAsia="Times New Roman"/>
          <w:color w:val="auto"/>
          <w:sz w:val="18"/>
          <w:szCs w:val="16"/>
        </w:rPr>
      </w:pPr>
    </w:p>
    <w:p w:rsidR="00B70CDD" w:rsidRPr="00B70CDD" w:rsidRDefault="00B70CDD" w:rsidP="00B70CDD">
      <w:pPr>
        <w:spacing w:after="0" w:line="360" w:lineRule="auto"/>
        <w:rPr>
          <w:szCs w:val="24"/>
        </w:rPr>
      </w:pPr>
      <w:r w:rsidRPr="00B70CDD">
        <w:rPr>
          <w:szCs w:val="24"/>
        </w:rPr>
        <w:lastRenderedPageBreak/>
        <w:t>El balance detallado en este gráfico como acreditado se refiere al monto que las prestadoras reconocieron a favor del usuario en la etapa de conciliación del procedimiento de solución de controversias. Es válido resaltar que la diferencia entre ambos montos corresponde a la gestión realizada en el Departamento de Tramitación de Denuncia y Conciliación; logrando en ocasiones conseguir más crédito del solicitado por el usuario.</w:t>
      </w:r>
    </w:p>
    <w:p w:rsidR="00B70CDD" w:rsidRPr="00B70CDD" w:rsidRDefault="00B70CDD" w:rsidP="005556AA">
      <w:pPr>
        <w:pStyle w:val="Textonotasalpie"/>
      </w:pPr>
    </w:p>
    <w:p w:rsidR="00B70CDD" w:rsidRPr="00B70CDD" w:rsidRDefault="00B70CDD" w:rsidP="00B70CDD">
      <w:pPr>
        <w:spacing w:line="360" w:lineRule="auto"/>
        <w:rPr>
          <w:b/>
        </w:rPr>
      </w:pPr>
      <w:r w:rsidRPr="00B70CDD">
        <w:rPr>
          <w:b/>
        </w:rPr>
        <w:t>Cuerpos Colegiados</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En virtud del artículo 79 de la Ley General de Telecomunicaciones, Núm. 153-98 y de las disposiciones contenidas en el Reglamento para la Solución de Controversias entre Usuarios y las Prestadoras de Servicios Públicos de Telecomunicaciones, los Cuerpos Colegiados son los facultados para conocer y resolver los Recursos de Queja (RDQ) que sean sometidos por los usuarios de los servicios públicos de telecomunicaciones en contra de las prestadoras y que no hayan logrado un acuerdo previo en la fase de conciliación.</w:t>
      </w:r>
    </w:p>
    <w:p w:rsidR="00B70CDD" w:rsidRPr="00B70CDD" w:rsidRDefault="00B70CDD" w:rsidP="00B70CDD">
      <w:pPr>
        <w:spacing w:after="0" w:line="360" w:lineRule="auto"/>
        <w:rPr>
          <w:rFonts w:eastAsia="Times New Roman"/>
          <w:szCs w:val="24"/>
        </w:rPr>
      </w:pPr>
      <w:r w:rsidRPr="00B70CDD">
        <w:rPr>
          <w:rFonts w:eastAsia="Times New Roman"/>
          <w:szCs w:val="24"/>
        </w:rPr>
        <w:t>A continuación, se muestran los casos que devinieron en decisiones favorables para el usuario y aquellos casos que fueron fallados a favor de la prestadora. Es bueno resaltar que en el periodo enero – noviembre de 2021 se apoderaron casos que estuvieron en espera de la habilitación de los miembros de los Cuerpos Colegiados de los meses octubre – diciembre de 2020 (15 RDQ):</w:t>
      </w:r>
    </w:p>
    <w:p w:rsidR="00B70CDD" w:rsidRPr="00B70CDD" w:rsidRDefault="00B70CDD" w:rsidP="00B70CDD">
      <w:pPr>
        <w:spacing w:after="0" w:line="360" w:lineRule="auto"/>
        <w:rPr>
          <w:rFonts w:eastAsia="Times New Roman"/>
          <w:szCs w:val="24"/>
        </w:rPr>
      </w:pPr>
    </w:p>
    <w:p w:rsidR="00B70CDD" w:rsidRPr="00B70CDD" w:rsidRDefault="00B70CDD" w:rsidP="00B70CDD">
      <w:pPr>
        <w:spacing w:after="0" w:line="240" w:lineRule="auto"/>
        <w:jc w:val="left"/>
        <w:rPr>
          <w:rFonts w:eastAsia="Times New Roman"/>
          <w:szCs w:val="24"/>
        </w:rPr>
      </w:pPr>
      <w:r w:rsidRPr="00B70CDD">
        <w:rPr>
          <w:rFonts w:asciiTheme="minorHAnsi" w:eastAsiaTheme="minorHAnsi" w:hAnsiTheme="minorHAnsi" w:cstheme="minorBidi"/>
          <w:noProof/>
          <w:color w:val="auto"/>
          <w:sz w:val="22"/>
          <w:lang w:val="en-US" w:eastAsia="en-US"/>
        </w:rPr>
        <w:lastRenderedPageBreak/>
        <w:drawing>
          <wp:inline distT="0" distB="0" distL="0" distR="0" wp14:anchorId="27AD18AD" wp14:editId="369865F6">
            <wp:extent cx="6169937" cy="2027976"/>
            <wp:effectExtent l="0" t="0" r="2540" b="1079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70CDD" w:rsidRPr="005556AA" w:rsidRDefault="00B70CDD" w:rsidP="00B70CDD">
      <w:pPr>
        <w:spacing w:after="0" w:line="240" w:lineRule="auto"/>
        <w:jc w:val="left"/>
        <w:rPr>
          <w:rFonts w:eastAsia="Times New Roman"/>
          <w:sz w:val="18"/>
        </w:rPr>
      </w:pPr>
      <w:r w:rsidRPr="005556AA">
        <w:rPr>
          <w:rFonts w:eastAsia="Times New Roman"/>
          <w:b/>
          <w:sz w:val="18"/>
        </w:rPr>
        <w:t>Fuente:</w:t>
      </w:r>
      <w:r w:rsidRPr="005556AA">
        <w:rPr>
          <w:rFonts w:eastAsia="Times New Roman"/>
          <w:sz w:val="18"/>
        </w:rPr>
        <w:t xml:space="preserve"> Sistema de Gestión Interna (SGI)</w:t>
      </w:r>
    </w:p>
    <w:p w:rsidR="00B70CDD" w:rsidRPr="00B70CDD" w:rsidRDefault="00B70CDD" w:rsidP="00B70CDD">
      <w:pPr>
        <w:spacing w:after="0" w:line="360" w:lineRule="auto"/>
        <w:jc w:val="left"/>
        <w:rPr>
          <w:rFonts w:eastAsia="Times New Roman"/>
          <w:sz w:val="18"/>
        </w:rPr>
      </w:pP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El balance detallado en este gráfico como fallado a favor del usuario se refiere al monto que la prestadora acreditó en beneficio de los mismos a propósito de una decisión de los Cuerpos Colegiados del INDOTEL.</w:t>
      </w:r>
    </w:p>
    <w:p w:rsidR="00B70CDD" w:rsidRPr="00B70CDD" w:rsidRDefault="00B70CDD" w:rsidP="00B70CDD">
      <w:pPr>
        <w:spacing w:after="0" w:line="240" w:lineRule="auto"/>
        <w:jc w:val="left"/>
        <w:rPr>
          <w:rFonts w:eastAsia="Times New Roman"/>
          <w:color w:val="auto"/>
        </w:rPr>
      </w:pPr>
      <w:r w:rsidRPr="00B70CDD">
        <w:rPr>
          <w:rFonts w:asciiTheme="minorHAnsi" w:eastAsiaTheme="minorHAnsi" w:hAnsiTheme="minorHAnsi" w:cstheme="minorBidi"/>
          <w:noProof/>
          <w:color w:val="auto"/>
          <w:sz w:val="22"/>
          <w:lang w:val="en-US" w:eastAsia="en-US"/>
        </w:rPr>
        <w:drawing>
          <wp:inline distT="0" distB="0" distL="0" distR="0" wp14:anchorId="0F8C624A" wp14:editId="17A37525">
            <wp:extent cx="5674360" cy="2466975"/>
            <wp:effectExtent l="0" t="0" r="2540" b="952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70CDD" w:rsidRPr="005556AA" w:rsidRDefault="00B70CDD" w:rsidP="00B70CDD">
      <w:pPr>
        <w:spacing w:after="0" w:line="240" w:lineRule="auto"/>
        <w:jc w:val="left"/>
        <w:rPr>
          <w:rFonts w:eastAsia="Times New Roman"/>
          <w:sz w:val="18"/>
        </w:rPr>
      </w:pPr>
      <w:r w:rsidRPr="005556AA">
        <w:rPr>
          <w:rFonts w:eastAsia="Times New Roman"/>
          <w:b/>
          <w:sz w:val="18"/>
        </w:rPr>
        <w:t>Fuente:</w:t>
      </w:r>
      <w:r w:rsidRPr="005556AA">
        <w:rPr>
          <w:rFonts w:eastAsia="Times New Roman"/>
          <w:sz w:val="18"/>
        </w:rPr>
        <w:t xml:space="preserve"> Sistema de Gestión Interna (SGI)</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En el periodo comprendido entre enero – noviembre de 2021 el INDOTEL ha logrado mediar para que le sean acreditado a los usuarios un monto acumulado de Seis Millones Trecientos Treinta y Un Mil Seiscientos Ochenta y Siete Pesos Dominicanos con 15/100 (RD$6</w:t>
      </w:r>
      <w:proofErr w:type="gramStart"/>
      <w:r w:rsidRPr="00B70CDD">
        <w:rPr>
          <w:rFonts w:eastAsia="Times New Roman"/>
          <w:szCs w:val="24"/>
        </w:rPr>
        <w:t>,331,687.15</w:t>
      </w:r>
      <w:proofErr w:type="gramEnd"/>
      <w:r w:rsidRPr="00B70CDD">
        <w:rPr>
          <w:rFonts w:eastAsia="Times New Roman"/>
          <w:szCs w:val="24"/>
        </w:rPr>
        <w:t>) proveniente de los procesos, tanto en Conciliación como en unidad de Cuerpos Colegiados.</w:t>
      </w:r>
    </w:p>
    <w:p w:rsid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lastRenderedPageBreak/>
        <w:t>A este monto antes mencionado se suma los créditos otorgados a los usuarios por concepto de avería tipo 2 en el periodo comprendido entre enero – noviembre de 2021 alcanzando la suma de Veintiún Millones Quinientos Cincuenta y Tres Mil Dieciséis Pesos Dominicanos con 34/100 (RD$21</w:t>
      </w:r>
      <w:proofErr w:type="gramStart"/>
      <w:r w:rsidRPr="00B70CDD">
        <w:rPr>
          <w:rFonts w:eastAsia="Times New Roman"/>
          <w:szCs w:val="24"/>
        </w:rPr>
        <w:t>,553,016.34</w:t>
      </w:r>
      <w:proofErr w:type="gramEnd"/>
      <w:r w:rsidRPr="00B70CDD">
        <w:rPr>
          <w:rFonts w:eastAsia="Times New Roman"/>
          <w:szCs w:val="24"/>
        </w:rPr>
        <w:t>), el cual nos llevó alcanzar un total de Veintisiete Millones Ochocientos Ochenta y Cuatro Mil Setecientos Tres Pesos Dominicanos con 49/100 (RD$27,884,703.49).</w:t>
      </w:r>
    </w:p>
    <w:p w:rsidR="00D14276" w:rsidRPr="00B70CDD" w:rsidRDefault="00D14276" w:rsidP="005556AA">
      <w:pPr>
        <w:pStyle w:val="Textonotasalpie"/>
      </w:pPr>
    </w:p>
    <w:tbl>
      <w:tblPr>
        <w:tblW w:w="684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70" w:type="dxa"/>
          <w:bottom w:w="15" w:type="dxa"/>
          <w:right w:w="70" w:type="dxa"/>
        </w:tblCellMar>
        <w:tblLook w:val="04A0" w:firstRow="1" w:lastRow="0" w:firstColumn="1" w:lastColumn="0" w:noHBand="0" w:noVBand="1"/>
      </w:tblPr>
      <w:tblGrid>
        <w:gridCol w:w="4026"/>
        <w:gridCol w:w="2817"/>
      </w:tblGrid>
      <w:tr w:rsidR="00B70CDD" w:rsidRPr="00B70CDD" w:rsidTr="00183736">
        <w:trPr>
          <w:trHeight w:val="287"/>
          <w:jc w:val="center"/>
        </w:trPr>
        <w:tc>
          <w:tcPr>
            <w:tcW w:w="6843" w:type="dxa"/>
            <w:gridSpan w:val="2"/>
            <w:shd w:val="clear" w:color="auto" w:fill="003876"/>
            <w:noWrap/>
            <w:vAlign w:val="bottom"/>
            <w:hideMark/>
          </w:tcPr>
          <w:p w:rsidR="00B70CDD" w:rsidRPr="00B70CDD" w:rsidRDefault="00B70CDD" w:rsidP="00B70CDD">
            <w:pPr>
              <w:spacing w:after="0" w:line="240" w:lineRule="auto"/>
              <w:jc w:val="center"/>
              <w:rPr>
                <w:rFonts w:eastAsia="Times New Roman"/>
                <w:b/>
                <w:bCs/>
                <w:color w:val="FFFFFF" w:themeColor="background1"/>
              </w:rPr>
            </w:pPr>
            <w:r w:rsidRPr="00B70CDD">
              <w:rPr>
                <w:rFonts w:eastAsia="Times New Roman"/>
                <w:b/>
                <w:bCs/>
                <w:color w:val="FFFFFF" w:themeColor="background1"/>
              </w:rPr>
              <w:t>Créditos Obtenidos por Averías Prestadoras</w:t>
            </w:r>
          </w:p>
          <w:p w:rsidR="00B70CDD" w:rsidRPr="00B70CDD" w:rsidRDefault="00B70CDD" w:rsidP="00B70CDD">
            <w:pPr>
              <w:spacing w:after="0" w:line="240" w:lineRule="auto"/>
              <w:jc w:val="center"/>
              <w:rPr>
                <w:rFonts w:eastAsia="Times New Roman"/>
                <w:b/>
                <w:bCs/>
                <w:color w:val="3A3838"/>
              </w:rPr>
            </w:pPr>
            <w:r w:rsidRPr="00B70CDD">
              <w:rPr>
                <w:rFonts w:eastAsia="Times New Roman"/>
                <w:b/>
                <w:bCs/>
                <w:color w:val="FFFFFF" w:themeColor="background1"/>
              </w:rPr>
              <w:t>Enero – Noviembre de 2021</w:t>
            </w:r>
          </w:p>
        </w:tc>
      </w:tr>
      <w:tr w:rsidR="00B70CDD" w:rsidRPr="00B70CDD" w:rsidTr="00183736">
        <w:trPr>
          <w:trHeight w:val="287"/>
          <w:jc w:val="center"/>
        </w:trPr>
        <w:tc>
          <w:tcPr>
            <w:tcW w:w="4026" w:type="dxa"/>
            <w:noWrap/>
            <w:vAlign w:val="bottom"/>
            <w:hideMark/>
          </w:tcPr>
          <w:p w:rsidR="00B70CDD" w:rsidRPr="005556AA" w:rsidRDefault="00B70CDD" w:rsidP="00B70CDD">
            <w:pPr>
              <w:spacing w:after="0" w:line="360" w:lineRule="auto"/>
              <w:jc w:val="left"/>
              <w:rPr>
                <w:rFonts w:eastAsia="Times New Roman"/>
              </w:rPr>
            </w:pPr>
            <w:r w:rsidRPr="005556AA">
              <w:rPr>
                <w:rFonts w:eastAsia="Times New Roman"/>
              </w:rPr>
              <w:t>Avería 13 y 14 de abril de 2021</w:t>
            </w:r>
          </w:p>
        </w:tc>
        <w:tc>
          <w:tcPr>
            <w:tcW w:w="2817" w:type="dxa"/>
            <w:noWrap/>
            <w:vAlign w:val="bottom"/>
            <w:hideMark/>
          </w:tcPr>
          <w:p w:rsidR="00B70CDD" w:rsidRPr="005556AA" w:rsidRDefault="00B70CDD" w:rsidP="00B70CDD">
            <w:pPr>
              <w:spacing w:after="0" w:line="360" w:lineRule="auto"/>
              <w:jc w:val="right"/>
              <w:rPr>
                <w:rFonts w:eastAsia="Times New Roman"/>
              </w:rPr>
            </w:pPr>
            <w:r w:rsidRPr="005556AA">
              <w:rPr>
                <w:rFonts w:eastAsia="Times New Roman"/>
              </w:rPr>
              <w:t xml:space="preserve"> $1,085,623.02 </w:t>
            </w:r>
          </w:p>
        </w:tc>
      </w:tr>
      <w:tr w:rsidR="00B70CDD" w:rsidRPr="00B70CDD" w:rsidTr="00183736">
        <w:trPr>
          <w:trHeight w:val="302"/>
          <w:jc w:val="center"/>
        </w:trPr>
        <w:tc>
          <w:tcPr>
            <w:tcW w:w="4026" w:type="dxa"/>
            <w:noWrap/>
            <w:vAlign w:val="bottom"/>
            <w:hideMark/>
          </w:tcPr>
          <w:p w:rsidR="00B70CDD" w:rsidRPr="005556AA" w:rsidRDefault="00B70CDD" w:rsidP="00B70CDD">
            <w:pPr>
              <w:spacing w:after="0" w:line="360" w:lineRule="auto"/>
              <w:jc w:val="left"/>
              <w:rPr>
                <w:rFonts w:eastAsia="Times New Roman"/>
              </w:rPr>
            </w:pPr>
            <w:r w:rsidRPr="005556AA">
              <w:rPr>
                <w:rFonts w:eastAsia="Times New Roman"/>
              </w:rPr>
              <w:t>Avería 25 de junio de 2021</w:t>
            </w:r>
          </w:p>
        </w:tc>
        <w:tc>
          <w:tcPr>
            <w:tcW w:w="2817" w:type="dxa"/>
            <w:noWrap/>
            <w:vAlign w:val="bottom"/>
            <w:hideMark/>
          </w:tcPr>
          <w:p w:rsidR="00B70CDD" w:rsidRPr="005556AA" w:rsidRDefault="00B70CDD" w:rsidP="00B70CDD">
            <w:pPr>
              <w:spacing w:after="0" w:line="360" w:lineRule="auto"/>
              <w:jc w:val="right"/>
              <w:rPr>
                <w:rFonts w:eastAsia="Times New Roman"/>
              </w:rPr>
            </w:pPr>
            <w:r w:rsidRPr="005556AA">
              <w:rPr>
                <w:rFonts w:eastAsia="Times New Roman"/>
              </w:rPr>
              <w:t xml:space="preserve"> $5,479,389.97 </w:t>
            </w:r>
          </w:p>
        </w:tc>
      </w:tr>
      <w:tr w:rsidR="00B70CDD" w:rsidRPr="00B70CDD" w:rsidTr="00183736">
        <w:trPr>
          <w:trHeight w:val="287"/>
          <w:jc w:val="center"/>
        </w:trPr>
        <w:tc>
          <w:tcPr>
            <w:tcW w:w="4026" w:type="dxa"/>
            <w:noWrap/>
            <w:vAlign w:val="bottom"/>
            <w:hideMark/>
          </w:tcPr>
          <w:p w:rsidR="00B70CDD" w:rsidRPr="005556AA" w:rsidRDefault="00B70CDD" w:rsidP="00B70CDD">
            <w:pPr>
              <w:spacing w:after="0" w:line="360" w:lineRule="auto"/>
              <w:jc w:val="left"/>
              <w:rPr>
                <w:rFonts w:eastAsia="Times New Roman"/>
              </w:rPr>
            </w:pPr>
            <w:r w:rsidRPr="005556AA">
              <w:rPr>
                <w:rFonts w:eastAsia="Times New Roman"/>
              </w:rPr>
              <w:t>Avería 28 de julio de 2021</w:t>
            </w:r>
          </w:p>
        </w:tc>
        <w:tc>
          <w:tcPr>
            <w:tcW w:w="2817" w:type="dxa"/>
            <w:noWrap/>
            <w:vAlign w:val="bottom"/>
            <w:hideMark/>
          </w:tcPr>
          <w:p w:rsidR="00B70CDD" w:rsidRPr="005556AA" w:rsidRDefault="00B70CDD" w:rsidP="00B70CDD">
            <w:pPr>
              <w:spacing w:after="0" w:line="360" w:lineRule="auto"/>
              <w:jc w:val="right"/>
              <w:rPr>
                <w:rFonts w:eastAsia="Times New Roman"/>
              </w:rPr>
            </w:pPr>
            <w:r w:rsidRPr="005556AA">
              <w:rPr>
                <w:rFonts w:eastAsia="Times New Roman"/>
              </w:rPr>
              <w:t xml:space="preserve"> $14,988,003.35 </w:t>
            </w:r>
          </w:p>
        </w:tc>
      </w:tr>
      <w:tr w:rsidR="00B70CDD" w:rsidRPr="00B70CDD" w:rsidTr="00183736">
        <w:trPr>
          <w:trHeight w:val="302"/>
          <w:jc w:val="center"/>
        </w:trPr>
        <w:tc>
          <w:tcPr>
            <w:tcW w:w="4026" w:type="dxa"/>
            <w:shd w:val="clear" w:color="auto" w:fill="003876"/>
            <w:noWrap/>
            <w:vAlign w:val="bottom"/>
            <w:hideMark/>
          </w:tcPr>
          <w:p w:rsidR="00B70CDD" w:rsidRPr="00B70CDD" w:rsidRDefault="00B70CDD" w:rsidP="00B70CDD">
            <w:pPr>
              <w:spacing w:after="0" w:line="360" w:lineRule="auto"/>
              <w:jc w:val="left"/>
              <w:rPr>
                <w:rFonts w:ascii="Calibri" w:eastAsia="Times New Roman" w:hAnsi="Calibri" w:cs="Calibri"/>
                <w:color w:val="auto"/>
                <w:sz w:val="22"/>
              </w:rPr>
            </w:pPr>
            <w:r w:rsidRPr="00B70CDD">
              <w:rPr>
                <w:rFonts w:ascii="Calibri" w:eastAsia="Times New Roman" w:hAnsi="Calibri" w:cs="Calibri"/>
                <w:color w:val="auto"/>
                <w:sz w:val="22"/>
              </w:rPr>
              <w:t>Total</w:t>
            </w:r>
          </w:p>
        </w:tc>
        <w:tc>
          <w:tcPr>
            <w:tcW w:w="2817" w:type="dxa"/>
            <w:shd w:val="clear" w:color="auto" w:fill="003876"/>
            <w:noWrap/>
            <w:vAlign w:val="bottom"/>
            <w:hideMark/>
          </w:tcPr>
          <w:p w:rsidR="00B70CDD" w:rsidRPr="00B70CDD" w:rsidRDefault="00B70CDD" w:rsidP="00B70CDD">
            <w:pPr>
              <w:spacing w:after="0" w:line="360" w:lineRule="auto"/>
              <w:jc w:val="right"/>
              <w:rPr>
                <w:rFonts w:ascii="Calibri" w:eastAsia="Times New Roman" w:hAnsi="Calibri" w:cs="Calibri"/>
                <w:b/>
                <w:bCs/>
                <w:color w:val="auto"/>
                <w:sz w:val="22"/>
              </w:rPr>
            </w:pPr>
            <w:r w:rsidRPr="00B70CDD">
              <w:rPr>
                <w:rFonts w:ascii="Calibri" w:eastAsia="Times New Roman" w:hAnsi="Calibri" w:cs="Calibri"/>
                <w:b/>
                <w:bCs/>
                <w:color w:val="auto"/>
                <w:sz w:val="22"/>
              </w:rPr>
              <w:t xml:space="preserve"> $21,553,016.34 </w:t>
            </w:r>
          </w:p>
        </w:tc>
      </w:tr>
    </w:tbl>
    <w:p w:rsidR="00B70CDD" w:rsidRPr="00B70CDD" w:rsidRDefault="00D14276" w:rsidP="00D14276">
      <w:pPr>
        <w:spacing w:after="0" w:line="360" w:lineRule="auto"/>
        <w:jc w:val="left"/>
        <w:rPr>
          <w:rFonts w:eastAsia="Times New Roman"/>
          <w:sz w:val="18"/>
        </w:rPr>
      </w:pPr>
      <w:r w:rsidRPr="00D14276">
        <w:rPr>
          <w:rFonts w:eastAsia="Times New Roman"/>
          <w:b/>
          <w:sz w:val="18"/>
        </w:rPr>
        <w:t xml:space="preserve">            </w:t>
      </w:r>
      <w:r w:rsidR="00B70CDD" w:rsidRPr="00B70CDD">
        <w:rPr>
          <w:rFonts w:eastAsia="Times New Roman"/>
          <w:b/>
          <w:sz w:val="18"/>
        </w:rPr>
        <w:t xml:space="preserve">Fuente: </w:t>
      </w:r>
      <w:r w:rsidR="00B70CDD" w:rsidRPr="00B70CDD">
        <w:rPr>
          <w:rFonts w:eastAsia="Times New Roman"/>
          <w:sz w:val="18"/>
        </w:rPr>
        <w:t>Créditos reportados por prestadoras en las averías tipo 2</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Es bueno resaltar que en la unidad de Cuerpos Colegiados hemos logrado ahorros en el presupuesto que tenemos destinados para la atención de casos, que llegan a esta unidad por un monto de Un Millón Ciento Cincuenta y Dos Mil Pesos Dominicanos con 00/100 (RD$1,152,000.00). Esto gracias a los cambios realizados en el procedimiento para el manejo de las reclamaciones de los usuarios.</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El Departamento de Asistencia al Usuario ha hecho mejoras muy favorables para que, desde el primer contacto con el usuario, abordar a la prestadora de servicios públicos de telecomunicaciones planteando el caso reclamado y desde ese momento motivar a la prestadora a analizar el caso y tratar de dar respuesta en ese primer contacto. Así como también dando las respuestas correctas y educando a los usuarios cuando estos presentan casos que ya están regulados en algunas de nuestras normativas. Estos cambios también se han visto reflejados en la cantidad de casos recibidos en el Departamento de Tramitación de Denuncia y Conciliación, </w:t>
      </w:r>
      <w:r w:rsidRPr="00B70CDD">
        <w:rPr>
          <w:rFonts w:eastAsia="Times New Roman"/>
          <w:szCs w:val="24"/>
        </w:rPr>
        <w:lastRenderedPageBreak/>
        <w:t xml:space="preserve">ya que en el mismo se ha visto una reducción y gracias a los cambios también realizados en el proceso para el manejo de los casos en esta área, hemos logrado reducir significativamente los casos dirigidos a la Unidad Cuerpos Colegiados, a pesar de la reducción de los plazos para solucionar los mismos.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En adición a las gestiones antes mencionadas, como parte de la labor de protección a los usuarios se realizan fiscalizaciones todo el año a los </w:t>
      </w:r>
      <w:proofErr w:type="spellStart"/>
      <w:r w:rsidRPr="00B70CDD">
        <w:rPr>
          <w:rFonts w:eastAsia="Times New Roman"/>
          <w:szCs w:val="24"/>
        </w:rPr>
        <w:t>dealers</w:t>
      </w:r>
      <w:proofErr w:type="spellEnd"/>
      <w:r w:rsidRPr="00B70CDD">
        <w:rPr>
          <w:rFonts w:eastAsia="Times New Roman"/>
          <w:szCs w:val="24"/>
        </w:rPr>
        <w:t xml:space="preserve"> y tiendas de las diferentes prestadoras para velar por el cumplimiento de las normas establecidas. En el periodo enero – noviembre de 2021, se han realizado 143 inspecciones en distintos puntos del país, donde hemos logrado identificar debilidades que luego son tomadas para la creación de campañas educativas a favor de los usuarios, así como también se han realizado fiscalizaciones a las prestadoras para hacerlas cumplir con la obligación de cancelar el servicio en las tiendas en las que realizan activaciones.</w:t>
      </w:r>
    </w:p>
    <w:p w:rsidR="00B70CDD" w:rsidRPr="005556AA" w:rsidRDefault="00B70CDD" w:rsidP="005556AA">
      <w:pPr>
        <w:spacing w:before="100" w:beforeAutospacing="1" w:after="100" w:afterAutospacing="1" w:line="360" w:lineRule="auto"/>
        <w:rPr>
          <w:rFonts w:eastAsia="Times New Roman"/>
          <w:szCs w:val="24"/>
        </w:rPr>
      </w:pPr>
      <w:r w:rsidRPr="00B70CDD">
        <w:rPr>
          <w:rFonts w:eastAsia="Times New Roman"/>
          <w:szCs w:val="24"/>
        </w:rPr>
        <w:t>En los primeros meses del 2021, se creó las redes sociales de la Dirección de Protección al Usuario (DPU), en búsqueda de tener un contacto más directo con los usuarios y manejar un contenido más educativo. En la actualidad, estamos en proceso de la creación del área de comunicaciones de la Dirección de Protección al Usuario, la cual se encargará de manejar nuestras redes sociale</w:t>
      </w:r>
      <w:r w:rsidR="005556AA">
        <w:rPr>
          <w:rFonts w:eastAsia="Times New Roman"/>
          <w:szCs w:val="24"/>
        </w:rPr>
        <w:t>s. A continuación, presentamos:</w:t>
      </w:r>
    </w:p>
    <w:p w:rsidR="00B70CDD" w:rsidRPr="00B70CDD" w:rsidRDefault="00B70CDD" w:rsidP="00B70CDD">
      <w:pPr>
        <w:spacing w:before="100" w:beforeAutospacing="1" w:after="100" w:afterAutospacing="1" w:line="360" w:lineRule="auto"/>
        <w:rPr>
          <w:rFonts w:asciiTheme="minorHAnsi" w:eastAsiaTheme="minorHAnsi" w:hAnsiTheme="minorHAnsi" w:cstheme="minorBidi"/>
          <w:b/>
          <w:i/>
          <w:iCs/>
          <w:color w:val="404040" w:themeColor="text1" w:themeTint="BF"/>
          <w:sz w:val="22"/>
          <w:lang w:eastAsia="en-US"/>
        </w:rPr>
      </w:pPr>
      <w:r w:rsidRPr="00B70CDD">
        <w:rPr>
          <w:rFonts w:eastAsia="Times New Roman"/>
          <w:b/>
          <w:szCs w:val="24"/>
        </w:rPr>
        <w:t>Mayo</w:t>
      </w:r>
    </w:p>
    <w:p w:rsid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Posterior al lanzamiento de las nuevas redes sociales y nuevas vías de contacto con la Dirección de Protección al Usuario del INDOTEL, en las redes de @</w:t>
      </w:r>
      <w:proofErr w:type="spellStart"/>
      <w:r w:rsidRPr="00B70CDD">
        <w:rPr>
          <w:rFonts w:eastAsia="Times New Roman"/>
          <w:szCs w:val="24"/>
        </w:rPr>
        <w:t>apoyoindotelrd</w:t>
      </w:r>
      <w:proofErr w:type="spellEnd"/>
      <w:r w:rsidRPr="00B70CDD">
        <w:rPr>
          <w:rFonts w:eastAsia="Times New Roman"/>
          <w:szCs w:val="24"/>
        </w:rPr>
        <w:t xml:space="preserve"> se han creado diversas campañas / contenido informativo.</w:t>
      </w:r>
    </w:p>
    <w:p w:rsidR="005C5B6E" w:rsidRDefault="005C5B6E" w:rsidP="00B70CDD">
      <w:pPr>
        <w:spacing w:before="100" w:beforeAutospacing="1" w:after="100" w:afterAutospacing="1" w:line="360" w:lineRule="auto"/>
        <w:rPr>
          <w:rFonts w:eastAsia="Times New Roman"/>
          <w:szCs w:val="24"/>
        </w:rPr>
      </w:pPr>
    </w:p>
    <w:p w:rsidR="005C5B6E" w:rsidRPr="00B70CDD" w:rsidRDefault="005C5B6E" w:rsidP="00B70CDD">
      <w:pPr>
        <w:spacing w:before="100" w:beforeAutospacing="1" w:after="100" w:afterAutospacing="1" w:line="360" w:lineRule="auto"/>
        <w:rPr>
          <w:rFonts w:eastAsia="Times New Roman"/>
          <w:szCs w:val="24"/>
        </w:rPr>
      </w:pPr>
    </w:p>
    <w:p w:rsidR="00940118" w:rsidRPr="00E711A9" w:rsidRDefault="00B70CDD" w:rsidP="00E711A9">
      <w:pPr>
        <w:spacing w:after="100" w:afterAutospacing="1" w:line="360" w:lineRule="auto"/>
        <w:jc w:val="center"/>
        <w:rPr>
          <w:rFonts w:eastAsia="Times New Roman"/>
          <w:b/>
          <w:szCs w:val="24"/>
        </w:rPr>
      </w:pPr>
      <w:r w:rsidRPr="00B70CDD">
        <w:rPr>
          <w:rFonts w:eastAsia="Times New Roman"/>
          <w:b/>
          <w:szCs w:val="24"/>
        </w:rPr>
        <w:lastRenderedPageBreak/>
        <w:t>Campaña Introducción de la Redes @</w:t>
      </w:r>
      <w:proofErr w:type="spellStart"/>
      <w:r w:rsidRPr="00B70CDD">
        <w:rPr>
          <w:rFonts w:eastAsia="Times New Roman"/>
          <w:b/>
          <w:szCs w:val="24"/>
        </w:rPr>
        <w:t>ApoyoIndotelrd</w:t>
      </w:r>
      <w:proofErr w:type="spellEnd"/>
    </w:p>
    <w:p w:rsidR="00B70CDD" w:rsidRPr="00C7640B" w:rsidRDefault="00B70CDD" w:rsidP="00940118">
      <w:pPr>
        <w:spacing w:before="100" w:beforeAutospacing="1" w:after="0" w:line="240" w:lineRule="auto"/>
        <w:jc w:val="left"/>
        <w:rPr>
          <w:rFonts w:eastAsia="Times New Roman"/>
          <w:b/>
          <w:sz w:val="18"/>
          <w:lang w:val="en-US"/>
        </w:rPr>
      </w:pPr>
      <w:r w:rsidRPr="00B70CDD">
        <w:rPr>
          <w:rFonts w:asciiTheme="minorHAnsi" w:eastAsiaTheme="minorHAnsi" w:hAnsiTheme="minorHAnsi" w:cstheme="minorBidi"/>
          <w:noProof/>
          <w:color w:val="auto"/>
          <w:sz w:val="22"/>
          <w:lang w:val="en-US" w:eastAsia="en-US"/>
        </w:rPr>
        <w:drawing>
          <wp:inline distT="0" distB="0" distL="0" distR="0" wp14:anchorId="74D1D21F" wp14:editId="3076EC9E">
            <wp:extent cx="4266865" cy="2064385"/>
            <wp:effectExtent l="0" t="0" r="63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76505" cy="2117431"/>
                    </a:xfrm>
                    <a:prstGeom prst="rect">
                      <a:avLst/>
                    </a:prstGeom>
                    <a:ln>
                      <a:noFill/>
                    </a:ln>
                  </pic:spPr>
                </pic:pic>
              </a:graphicData>
            </a:graphic>
          </wp:inline>
        </w:drawing>
      </w:r>
      <w:r w:rsidR="00940118" w:rsidRPr="00C7640B">
        <w:rPr>
          <w:rFonts w:eastAsia="Times New Roman"/>
          <w:b/>
          <w:sz w:val="18"/>
          <w:lang w:val="en-US"/>
        </w:rPr>
        <w:br/>
      </w:r>
      <w:proofErr w:type="spellStart"/>
      <w:r w:rsidRPr="00C7640B">
        <w:rPr>
          <w:rFonts w:eastAsia="Times New Roman"/>
          <w:b/>
          <w:sz w:val="18"/>
          <w:lang w:val="en-US"/>
        </w:rPr>
        <w:t>Fuente</w:t>
      </w:r>
      <w:proofErr w:type="spellEnd"/>
      <w:r w:rsidRPr="00C7640B">
        <w:rPr>
          <w:rFonts w:eastAsia="Times New Roman"/>
          <w:b/>
          <w:sz w:val="18"/>
          <w:lang w:val="en-US"/>
        </w:rPr>
        <w:t xml:space="preserve">: </w:t>
      </w:r>
      <w:r w:rsidRPr="00C7640B">
        <w:rPr>
          <w:rFonts w:eastAsia="Times New Roman"/>
          <w:sz w:val="18"/>
          <w:lang w:val="en-US"/>
        </w:rPr>
        <w:t>@</w:t>
      </w:r>
      <w:proofErr w:type="spellStart"/>
      <w:r w:rsidRPr="00C7640B">
        <w:rPr>
          <w:rFonts w:eastAsia="Times New Roman"/>
          <w:sz w:val="18"/>
          <w:lang w:val="en-US"/>
        </w:rPr>
        <w:t>ApoyoIndotelrd</w:t>
      </w:r>
      <w:proofErr w:type="spellEnd"/>
      <w:r w:rsidRPr="00C7640B">
        <w:rPr>
          <w:rFonts w:eastAsia="Times New Roman"/>
          <w:sz w:val="18"/>
          <w:lang w:val="en-US"/>
        </w:rPr>
        <w:t xml:space="preserve"> (Facebook, </w:t>
      </w:r>
      <w:proofErr w:type="spellStart"/>
      <w:r w:rsidRPr="00C7640B">
        <w:rPr>
          <w:rFonts w:eastAsia="Times New Roman"/>
          <w:sz w:val="18"/>
          <w:lang w:val="en-US"/>
        </w:rPr>
        <w:t>Instagram</w:t>
      </w:r>
      <w:proofErr w:type="spellEnd"/>
      <w:r w:rsidRPr="00C7640B">
        <w:rPr>
          <w:rFonts w:eastAsia="Times New Roman"/>
          <w:sz w:val="18"/>
          <w:lang w:val="en-US"/>
        </w:rPr>
        <w:t xml:space="preserve"> y Twitter)</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En el mes de mayo se realizaron las publicaciones introductorias en el momento del lanzamiento de las plataformas, lanzamiento anunciado en el discurso del Presidente Nelson Arroyo. </w:t>
      </w:r>
    </w:p>
    <w:p w:rsidR="005C5B6E"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Posteriormente, se realizó una pequeña campaña sobre los derechos más relevantes de los usuarios de los servicios de telecomunicaciones.</w:t>
      </w:r>
    </w:p>
    <w:p w:rsidR="00B70CDD" w:rsidRPr="00B70CDD" w:rsidRDefault="00B70CDD" w:rsidP="00B70CDD">
      <w:pPr>
        <w:spacing w:after="100" w:afterAutospacing="1" w:line="360" w:lineRule="auto"/>
        <w:jc w:val="center"/>
        <w:rPr>
          <w:rFonts w:eastAsia="Times New Roman"/>
          <w:b/>
          <w:szCs w:val="24"/>
        </w:rPr>
      </w:pPr>
      <w:r w:rsidRPr="00B70CDD">
        <w:rPr>
          <w:rFonts w:eastAsia="Times New Roman"/>
          <w:b/>
          <w:szCs w:val="24"/>
        </w:rPr>
        <w:t>Derechos y Deberes de los Usuarios</w:t>
      </w:r>
    </w:p>
    <w:p w:rsidR="00B70CDD" w:rsidRPr="00B70CDD" w:rsidRDefault="00B70CDD" w:rsidP="00940118">
      <w:pPr>
        <w:spacing w:after="0" w:line="240" w:lineRule="auto"/>
        <w:jc w:val="left"/>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5D603EE4" wp14:editId="50599455">
            <wp:extent cx="4219575" cy="1994557"/>
            <wp:effectExtent l="0" t="0" r="0" b="57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20251" cy="2042146"/>
                    </a:xfrm>
                    <a:prstGeom prst="rect">
                      <a:avLst/>
                    </a:prstGeom>
                  </pic:spPr>
                </pic:pic>
              </a:graphicData>
            </a:graphic>
          </wp:inline>
        </w:drawing>
      </w:r>
    </w:p>
    <w:p w:rsidR="00B70CDD" w:rsidRDefault="00B70CDD" w:rsidP="00B70CDD">
      <w:pPr>
        <w:spacing w:after="0" w:line="240" w:lineRule="auto"/>
        <w:jc w:val="left"/>
        <w:rPr>
          <w:rFonts w:eastAsia="Times New Roman"/>
          <w:sz w:val="18"/>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E711A9" w:rsidRDefault="00E711A9" w:rsidP="00B70CDD">
      <w:pPr>
        <w:spacing w:after="0" w:line="240" w:lineRule="auto"/>
        <w:jc w:val="left"/>
        <w:rPr>
          <w:rFonts w:eastAsia="Times New Roman"/>
          <w:sz w:val="18"/>
          <w:lang w:val="en-US"/>
        </w:rPr>
      </w:pPr>
    </w:p>
    <w:p w:rsidR="00E711A9" w:rsidRPr="00B70CDD" w:rsidRDefault="00E711A9" w:rsidP="00B70CDD">
      <w:pPr>
        <w:spacing w:after="0" w:line="240" w:lineRule="auto"/>
        <w:jc w:val="left"/>
        <w:rPr>
          <w:rFonts w:eastAsia="Times New Roman"/>
          <w:szCs w:val="24"/>
          <w:lang w:val="en-US"/>
        </w:rPr>
      </w:pPr>
    </w:p>
    <w:p w:rsidR="00B70CDD" w:rsidRPr="00B70CDD" w:rsidRDefault="00B70CDD" w:rsidP="00B70CDD">
      <w:pPr>
        <w:spacing w:before="100" w:beforeAutospacing="1" w:after="100" w:afterAutospacing="1" w:line="360" w:lineRule="auto"/>
        <w:rPr>
          <w:rFonts w:eastAsia="Times New Roman"/>
          <w:b/>
          <w:szCs w:val="24"/>
        </w:rPr>
      </w:pPr>
      <w:r w:rsidRPr="00B70CDD">
        <w:rPr>
          <w:rFonts w:eastAsia="Times New Roman"/>
          <w:b/>
          <w:szCs w:val="24"/>
        </w:rPr>
        <w:lastRenderedPageBreak/>
        <w:t xml:space="preserve">Junio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En este mes se realizaron campañas diversas iniciando con las activaciones fraudulentas y cómo evitar que los usuarios sean víctimas de esta acción.</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Esta campaña se llevó a cabo en la semana del 21 al 26 del mes de junio. Además, se realizó una campaña de introducción, a los fines de informar a los usuarios el propósito de nuestras redes sociales y nuevos canales de contacto.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Otra campaña que se hizo fue basada en la siguiente pregunta, “¿Qué es apoyo INDOTEL y que valor les aporta a los usuarios que forman parte de nuestra comunidad?”</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En ese sentido, se realizaron publicaciones alrededor de este tema en la semana posterior al lanzamiento para dar a conocer a los usuarios el por qué es importante seguir nuestras plataformas. </w:t>
      </w:r>
    </w:p>
    <w:p w:rsidR="005C5B6E" w:rsidRDefault="00B70CDD" w:rsidP="00B70CDD">
      <w:pPr>
        <w:spacing w:before="100" w:beforeAutospacing="1" w:after="100" w:afterAutospacing="1" w:line="360" w:lineRule="auto"/>
        <w:rPr>
          <w:rFonts w:eastAsia="Times New Roman"/>
          <w:szCs w:val="24"/>
        </w:rPr>
      </w:pPr>
      <w:r w:rsidRPr="00B70CDD">
        <w:rPr>
          <w:rFonts w:eastAsia="Times New Roman"/>
          <w:szCs w:val="24"/>
        </w:rPr>
        <w:t>Esta campaña se realizó en conjunto con las redes de @</w:t>
      </w:r>
      <w:proofErr w:type="spellStart"/>
      <w:r w:rsidRPr="00B70CDD">
        <w:rPr>
          <w:rFonts w:eastAsia="Times New Roman"/>
          <w:szCs w:val="24"/>
        </w:rPr>
        <w:t>indotelrd</w:t>
      </w:r>
      <w:proofErr w:type="spellEnd"/>
      <w:r w:rsidRPr="00B70CDD">
        <w:rPr>
          <w:rFonts w:eastAsia="Times New Roman"/>
          <w:szCs w:val="24"/>
        </w:rPr>
        <w:t>, a los fines de que fuera replicado y la información impactara a más personas.</w:t>
      </w:r>
    </w:p>
    <w:p w:rsidR="005556AA" w:rsidRDefault="005556AA" w:rsidP="00B70CDD">
      <w:pPr>
        <w:spacing w:before="100" w:beforeAutospacing="1" w:after="100" w:afterAutospacing="1" w:line="360" w:lineRule="auto"/>
        <w:rPr>
          <w:rFonts w:eastAsia="Times New Roman"/>
          <w:szCs w:val="24"/>
        </w:rPr>
      </w:pPr>
    </w:p>
    <w:p w:rsidR="005556AA" w:rsidRDefault="005556AA" w:rsidP="00B70CDD">
      <w:pPr>
        <w:spacing w:before="100" w:beforeAutospacing="1" w:after="100" w:afterAutospacing="1" w:line="360" w:lineRule="auto"/>
        <w:rPr>
          <w:rFonts w:eastAsia="Times New Roman"/>
          <w:szCs w:val="24"/>
        </w:rPr>
      </w:pPr>
    </w:p>
    <w:p w:rsidR="005556AA" w:rsidRDefault="005556AA" w:rsidP="00B70CDD">
      <w:pPr>
        <w:spacing w:before="100" w:beforeAutospacing="1" w:after="100" w:afterAutospacing="1" w:line="360" w:lineRule="auto"/>
        <w:rPr>
          <w:rFonts w:eastAsia="Times New Roman"/>
          <w:szCs w:val="24"/>
        </w:rPr>
      </w:pPr>
    </w:p>
    <w:p w:rsidR="005556AA" w:rsidRDefault="005556AA" w:rsidP="00B70CDD">
      <w:pPr>
        <w:spacing w:before="100" w:beforeAutospacing="1" w:after="100" w:afterAutospacing="1" w:line="360" w:lineRule="auto"/>
        <w:rPr>
          <w:rFonts w:eastAsia="Times New Roman"/>
          <w:szCs w:val="24"/>
        </w:rPr>
      </w:pPr>
    </w:p>
    <w:p w:rsidR="005556AA" w:rsidRDefault="005556AA" w:rsidP="00B70CDD">
      <w:pPr>
        <w:spacing w:before="100" w:beforeAutospacing="1" w:after="100" w:afterAutospacing="1" w:line="360" w:lineRule="auto"/>
        <w:rPr>
          <w:rFonts w:eastAsia="Times New Roman"/>
          <w:szCs w:val="24"/>
        </w:rPr>
      </w:pPr>
    </w:p>
    <w:p w:rsidR="005556AA" w:rsidRDefault="005556AA" w:rsidP="00B70CDD">
      <w:pPr>
        <w:spacing w:before="100" w:beforeAutospacing="1" w:after="100" w:afterAutospacing="1" w:line="360" w:lineRule="auto"/>
        <w:rPr>
          <w:rFonts w:eastAsia="Times New Roman"/>
          <w:szCs w:val="24"/>
        </w:rPr>
      </w:pPr>
    </w:p>
    <w:p w:rsidR="005556AA" w:rsidRPr="00B70CDD" w:rsidRDefault="005556AA" w:rsidP="00B70CDD">
      <w:pPr>
        <w:spacing w:before="100" w:beforeAutospacing="1" w:after="100" w:afterAutospacing="1" w:line="360" w:lineRule="auto"/>
        <w:rPr>
          <w:rFonts w:eastAsia="Times New Roman"/>
          <w:szCs w:val="24"/>
        </w:rPr>
      </w:pPr>
    </w:p>
    <w:p w:rsidR="00B70CDD" w:rsidRPr="00B70CDD" w:rsidRDefault="00B70CDD" w:rsidP="00B70CDD">
      <w:pPr>
        <w:spacing w:after="100" w:afterAutospacing="1" w:line="360" w:lineRule="auto"/>
        <w:jc w:val="center"/>
        <w:rPr>
          <w:rFonts w:eastAsia="Times New Roman"/>
          <w:b/>
          <w:szCs w:val="24"/>
        </w:rPr>
      </w:pPr>
      <w:r w:rsidRPr="00B70CDD">
        <w:rPr>
          <w:rFonts w:eastAsia="Times New Roman"/>
          <w:b/>
          <w:szCs w:val="24"/>
        </w:rPr>
        <w:lastRenderedPageBreak/>
        <w:t>Derechos y Deberes de los Usuarios</w:t>
      </w:r>
    </w:p>
    <w:p w:rsidR="00B70CDD" w:rsidRPr="00B70CDD" w:rsidRDefault="00B70CDD" w:rsidP="00B70CDD">
      <w:pPr>
        <w:spacing w:before="100" w:beforeAutospacing="1" w:after="0" w:line="240" w:lineRule="auto"/>
        <w:jc w:val="center"/>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179C631D" wp14:editId="65930807">
            <wp:extent cx="5219700" cy="276225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19700" cy="2762250"/>
                    </a:xfrm>
                    <a:prstGeom prst="rect">
                      <a:avLst/>
                    </a:prstGeom>
                  </pic:spPr>
                </pic:pic>
              </a:graphicData>
            </a:graphic>
          </wp:inline>
        </w:drawing>
      </w:r>
    </w:p>
    <w:p w:rsidR="00B70CDD" w:rsidRPr="00B70CDD" w:rsidRDefault="00B70CDD" w:rsidP="00B70CDD">
      <w:pPr>
        <w:spacing w:after="0" w:line="240" w:lineRule="auto"/>
        <w:jc w:val="left"/>
        <w:rPr>
          <w:rFonts w:eastAsia="Times New Roman"/>
          <w:szCs w:val="24"/>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B70CDD" w:rsidRPr="00B70CDD" w:rsidRDefault="00B70CDD" w:rsidP="005556AA">
      <w:pPr>
        <w:pStyle w:val="Textonotasalpie"/>
        <w:rPr>
          <w:lang w:val="en-US"/>
        </w:rPr>
      </w:pPr>
    </w:p>
    <w:p w:rsidR="00B70CDD" w:rsidRPr="00B70CDD" w:rsidRDefault="00B70CDD" w:rsidP="00B70CDD">
      <w:pPr>
        <w:spacing w:before="100" w:beforeAutospacing="1" w:after="100" w:afterAutospacing="1" w:line="360" w:lineRule="auto"/>
        <w:rPr>
          <w:rFonts w:eastAsia="Times New Roman"/>
          <w:b/>
          <w:szCs w:val="24"/>
        </w:rPr>
      </w:pPr>
      <w:r w:rsidRPr="00B70CDD">
        <w:rPr>
          <w:rFonts w:eastAsia="Times New Roman"/>
          <w:b/>
          <w:szCs w:val="24"/>
        </w:rPr>
        <w:t xml:space="preserve">Julio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En este mes se dieron a conocer los procesos de fiscalización que se realizan por medio de artes y videos educativos.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Además, educamos a los usuarios sobre la información que deben tener en cuenta sobre la facturación de sus servicios y el contrato al momento de activarlos. </w:t>
      </w:r>
    </w:p>
    <w:p w:rsid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En este mes se produjeron varias averías en la red de una prestadora de servicios en el país, por este motivo realizamos distintas publicaciones aclarando cómo funciona la aplicación de créditos por el servicio no recibido.</w:t>
      </w:r>
    </w:p>
    <w:p w:rsidR="005C5B6E" w:rsidRDefault="005C5B6E" w:rsidP="00B70CDD">
      <w:pPr>
        <w:spacing w:before="100" w:beforeAutospacing="1" w:after="100" w:afterAutospacing="1" w:line="360" w:lineRule="auto"/>
        <w:rPr>
          <w:rFonts w:eastAsia="Times New Roman"/>
          <w:szCs w:val="24"/>
        </w:rPr>
      </w:pPr>
    </w:p>
    <w:p w:rsidR="005C5B6E" w:rsidRDefault="005C5B6E" w:rsidP="00B70CDD">
      <w:pPr>
        <w:spacing w:before="100" w:beforeAutospacing="1" w:after="100" w:afterAutospacing="1" w:line="360" w:lineRule="auto"/>
        <w:rPr>
          <w:rFonts w:eastAsia="Times New Roman"/>
          <w:szCs w:val="24"/>
        </w:rPr>
      </w:pPr>
    </w:p>
    <w:p w:rsidR="00E711A9" w:rsidRPr="00B70CDD" w:rsidRDefault="00E711A9" w:rsidP="00B70CDD">
      <w:pPr>
        <w:spacing w:before="100" w:beforeAutospacing="1" w:after="100" w:afterAutospacing="1" w:line="360" w:lineRule="auto"/>
        <w:rPr>
          <w:rFonts w:eastAsia="Times New Roman"/>
          <w:szCs w:val="24"/>
        </w:rPr>
      </w:pPr>
    </w:p>
    <w:p w:rsidR="00B70CDD" w:rsidRPr="00B70CDD" w:rsidRDefault="00B70CDD" w:rsidP="00B70CDD">
      <w:pPr>
        <w:spacing w:before="100" w:beforeAutospacing="1" w:after="100" w:afterAutospacing="1" w:line="360" w:lineRule="auto"/>
        <w:jc w:val="center"/>
        <w:rPr>
          <w:rFonts w:eastAsia="Times New Roman"/>
          <w:b/>
          <w:szCs w:val="24"/>
        </w:rPr>
      </w:pPr>
      <w:r w:rsidRPr="00B70CDD">
        <w:rPr>
          <w:rFonts w:eastAsia="Times New Roman"/>
          <w:b/>
          <w:szCs w:val="24"/>
        </w:rPr>
        <w:lastRenderedPageBreak/>
        <w:t>Educación sobre INDOTEL y Diferentes Procesos</w:t>
      </w:r>
    </w:p>
    <w:p w:rsidR="00B70CDD" w:rsidRPr="00B70CDD" w:rsidRDefault="00B70CDD" w:rsidP="00940118">
      <w:pPr>
        <w:spacing w:before="100" w:beforeAutospacing="1" w:after="0" w:line="240" w:lineRule="auto"/>
        <w:jc w:val="left"/>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54A7F319" wp14:editId="4A25D7E7">
            <wp:extent cx="4438650" cy="2319852"/>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68074" cy="2335230"/>
                    </a:xfrm>
                    <a:prstGeom prst="rect">
                      <a:avLst/>
                    </a:prstGeom>
                  </pic:spPr>
                </pic:pic>
              </a:graphicData>
            </a:graphic>
          </wp:inline>
        </w:drawing>
      </w:r>
    </w:p>
    <w:p w:rsidR="00B70CDD" w:rsidRPr="00B70CDD" w:rsidRDefault="00B70CDD" w:rsidP="00B70CDD">
      <w:pPr>
        <w:spacing w:after="0" w:line="240" w:lineRule="auto"/>
        <w:jc w:val="left"/>
        <w:rPr>
          <w:rFonts w:eastAsia="Times New Roman"/>
          <w:szCs w:val="24"/>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B70CDD" w:rsidRPr="00B70CDD" w:rsidRDefault="00B70CDD" w:rsidP="00B70CDD">
      <w:pPr>
        <w:spacing w:before="100" w:beforeAutospacing="1" w:after="100" w:afterAutospacing="1" w:line="360" w:lineRule="auto"/>
        <w:rPr>
          <w:rFonts w:eastAsia="Times New Roman"/>
          <w:b/>
          <w:szCs w:val="24"/>
        </w:rPr>
      </w:pPr>
      <w:r w:rsidRPr="00B70CDD">
        <w:rPr>
          <w:rFonts w:eastAsia="Times New Roman"/>
          <w:b/>
          <w:szCs w:val="24"/>
        </w:rPr>
        <w:t xml:space="preserve">Agosto </w:t>
      </w:r>
    </w:p>
    <w:p w:rsidR="00B70CDD" w:rsidRP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Desde el lunes 2 hasta el lunes 16 de agosto se realizó la campaña sobre #</w:t>
      </w:r>
      <w:proofErr w:type="spellStart"/>
      <w:r w:rsidRPr="00B70CDD">
        <w:rPr>
          <w:rFonts w:eastAsia="Times New Roman"/>
          <w:szCs w:val="24"/>
        </w:rPr>
        <w:t>optimizatuconexión</w:t>
      </w:r>
      <w:proofErr w:type="spellEnd"/>
      <w:r w:rsidRPr="00B70CDD">
        <w:rPr>
          <w:rFonts w:eastAsia="Times New Roman"/>
          <w:szCs w:val="24"/>
        </w:rPr>
        <w:t xml:space="preserve">. Dentro de esta campaña digital se creó un artículo con la recopilación de toda la información sugerida y compilada tanto en las prestadoras como en el área de fiscalización de la institución, sobre los diferentes puntos a tener en cuenta para optimizar el servicio de internet que reciben de parte de sus prestadoras. El artículo fue publicado en el portal web de INDOTEL como complemento y cierre </w:t>
      </w:r>
      <w:r w:rsidR="005556AA">
        <w:rPr>
          <w:rFonts w:eastAsia="Times New Roman"/>
          <w:szCs w:val="24"/>
        </w:rPr>
        <w:t xml:space="preserve">a </w:t>
      </w:r>
      <w:r w:rsidRPr="00B70CDD">
        <w:rPr>
          <w:rFonts w:eastAsia="Times New Roman"/>
          <w:szCs w:val="24"/>
        </w:rPr>
        <w:t xml:space="preserve">la campaña. </w:t>
      </w:r>
    </w:p>
    <w:p w:rsid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Esta campaña tuvo un impacto muy positivo en la plataforma y fue replicada por las plataformas de @</w:t>
      </w:r>
      <w:proofErr w:type="spellStart"/>
      <w:r w:rsidRPr="00B70CDD">
        <w:rPr>
          <w:rFonts w:eastAsia="Times New Roman"/>
          <w:szCs w:val="24"/>
        </w:rPr>
        <w:t>indotelrd</w:t>
      </w:r>
      <w:proofErr w:type="spellEnd"/>
      <w:r w:rsidRPr="00B70CDD">
        <w:rPr>
          <w:rFonts w:eastAsia="Times New Roman"/>
          <w:szCs w:val="24"/>
        </w:rPr>
        <w:t>. Esta ha sido una de las campañas digitales más exitosas para @</w:t>
      </w:r>
      <w:proofErr w:type="spellStart"/>
      <w:r w:rsidRPr="00B70CDD">
        <w:rPr>
          <w:rFonts w:eastAsia="Times New Roman"/>
          <w:szCs w:val="24"/>
        </w:rPr>
        <w:t>apoyoindotelrd</w:t>
      </w:r>
      <w:proofErr w:type="spellEnd"/>
      <w:r w:rsidRPr="00B70CDD">
        <w:rPr>
          <w:rFonts w:eastAsia="Times New Roman"/>
          <w:szCs w:val="24"/>
        </w:rPr>
        <w:t>.</w:t>
      </w:r>
    </w:p>
    <w:p w:rsidR="005C5B6E" w:rsidRDefault="005C5B6E" w:rsidP="00B70CDD">
      <w:pPr>
        <w:spacing w:before="100" w:beforeAutospacing="1" w:after="100" w:afterAutospacing="1" w:line="360" w:lineRule="auto"/>
        <w:rPr>
          <w:rFonts w:eastAsia="Times New Roman"/>
          <w:szCs w:val="24"/>
        </w:rPr>
      </w:pPr>
    </w:p>
    <w:p w:rsidR="005C5B6E" w:rsidRDefault="005C5B6E" w:rsidP="00B70CDD">
      <w:pPr>
        <w:spacing w:before="100" w:beforeAutospacing="1" w:after="100" w:afterAutospacing="1" w:line="360" w:lineRule="auto"/>
        <w:rPr>
          <w:rFonts w:eastAsia="Times New Roman"/>
          <w:szCs w:val="24"/>
        </w:rPr>
      </w:pPr>
    </w:p>
    <w:p w:rsidR="005C5B6E" w:rsidRPr="00B70CDD" w:rsidRDefault="005C5B6E" w:rsidP="00B70CDD">
      <w:pPr>
        <w:spacing w:before="100" w:beforeAutospacing="1" w:after="100" w:afterAutospacing="1" w:line="360" w:lineRule="auto"/>
        <w:rPr>
          <w:rFonts w:eastAsia="Times New Roman"/>
          <w:szCs w:val="24"/>
        </w:rPr>
      </w:pPr>
    </w:p>
    <w:p w:rsidR="00B70CDD" w:rsidRPr="00B70CDD" w:rsidRDefault="00B70CDD" w:rsidP="00B70CDD">
      <w:pPr>
        <w:spacing w:before="100" w:beforeAutospacing="1" w:after="100" w:afterAutospacing="1" w:line="360" w:lineRule="auto"/>
        <w:jc w:val="center"/>
        <w:rPr>
          <w:rFonts w:eastAsia="Times New Roman"/>
          <w:b/>
          <w:szCs w:val="24"/>
        </w:rPr>
      </w:pPr>
      <w:r w:rsidRPr="00B70CDD">
        <w:rPr>
          <w:rFonts w:eastAsia="Times New Roman"/>
          <w:b/>
          <w:szCs w:val="24"/>
        </w:rPr>
        <w:lastRenderedPageBreak/>
        <w:t>Optimiza tu Conexión</w:t>
      </w:r>
    </w:p>
    <w:p w:rsidR="00B70CDD" w:rsidRPr="00B70CDD" w:rsidRDefault="00B70CDD" w:rsidP="00940118">
      <w:pPr>
        <w:spacing w:before="100" w:beforeAutospacing="1" w:after="0" w:line="240" w:lineRule="auto"/>
        <w:jc w:val="left"/>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28D8A03F" wp14:editId="198856DF">
            <wp:extent cx="4305300" cy="2274917"/>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52704" cy="2299965"/>
                    </a:xfrm>
                    <a:prstGeom prst="rect">
                      <a:avLst/>
                    </a:prstGeom>
                  </pic:spPr>
                </pic:pic>
              </a:graphicData>
            </a:graphic>
          </wp:inline>
        </w:drawing>
      </w:r>
    </w:p>
    <w:p w:rsidR="00B70CDD" w:rsidRDefault="00B70CDD" w:rsidP="00B70CDD">
      <w:pPr>
        <w:spacing w:after="0" w:line="240" w:lineRule="auto"/>
        <w:jc w:val="left"/>
        <w:rPr>
          <w:rFonts w:eastAsia="Times New Roman"/>
          <w:sz w:val="18"/>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5556AA" w:rsidRPr="00B70CDD" w:rsidRDefault="005556AA" w:rsidP="00B70CDD">
      <w:pPr>
        <w:spacing w:after="0" w:line="240" w:lineRule="auto"/>
        <w:jc w:val="left"/>
        <w:rPr>
          <w:rFonts w:eastAsia="Times New Roman"/>
          <w:szCs w:val="24"/>
          <w:lang w:val="en-US"/>
        </w:rPr>
      </w:pPr>
    </w:p>
    <w:p w:rsidR="00B70CDD" w:rsidRPr="00B70CDD" w:rsidRDefault="00B70CDD" w:rsidP="00B70CDD">
      <w:pPr>
        <w:spacing w:before="100" w:beforeAutospacing="1" w:after="100" w:afterAutospacing="1" w:line="360" w:lineRule="auto"/>
        <w:rPr>
          <w:rFonts w:eastAsia="Times New Roman"/>
          <w:b/>
          <w:szCs w:val="24"/>
        </w:rPr>
      </w:pPr>
      <w:r w:rsidRPr="00B70CDD">
        <w:rPr>
          <w:rFonts w:eastAsia="Times New Roman"/>
          <w:b/>
          <w:szCs w:val="24"/>
        </w:rPr>
        <w:t xml:space="preserve">Septiembre </w:t>
      </w:r>
    </w:p>
    <w:p w:rsidR="00B70CDD" w:rsidRDefault="00B70CDD" w:rsidP="00B70CDD">
      <w:pPr>
        <w:spacing w:before="100" w:beforeAutospacing="1" w:after="100" w:afterAutospacing="1" w:line="360" w:lineRule="auto"/>
        <w:rPr>
          <w:rFonts w:eastAsia="Times New Roman"/>
          <w:szCs w:val="24"/>
        </w:rPr>
      </w:pPr>
      <w:r w:rsidRPr="00B70CDD">
        <w:rPr>
          <w:rFonts w:eastAsia="Times New Roman"/>
          <w:szCs w:val="24"/>
        </w:rPr>
        <w:t xml:space="preserve">En este mes se realizaron publicaciones con </w:t>
      </w:r>
      <w:proofErr w:type="spellStart"/>
      <w:r w:rsidRPr="00B70CDD">
        <w:rPr>
          <w:rFonts w:eastAsia="Times New Roman"/>
          <w:szCs w:val="24"/>
        </w:rPr>
        <w:t>tips</w:t>
      </w:r>
      <w:proofErr w:type="spellEnd"/>
      <w:r w:rsidRPr="00B70CDD">
        <w:rPr>
          <w:rFonts w:eastAsia="Times New Roman"/>
          <w:szCs w:val="24"/>
        </w:rPr>
        <w:t xml:space="preserve"> para dar a conocer a los usuarios los diferentes deberes que tienen e informaciones que deben tomar en cuenta a la hora de contratar servicios de telecomunicaciones.</w:t>
      </w:r>
    </w:p>
    <w:p w:rsidR="00940118" w:rsidRDefault="00940118" w:rsidP="00B70CDD">
      <w:pPr>
        <w:spacing w:before="100" w:beforeAutospacing="1" w:after="100" w:afterAutospacing="1" w:line="360" w:lineRule="auto"/>
        <w:rPr>
          <w:rFonts w:eastAsia="Times New Roman"/>
          <w:szCs w:val="24"/>
        </w:rPr>
      </w:pPr>
    </w:p>
    <w:p w:rsidR="00940118" w:rsidRDefault="00940118" w:rsidP="00B70CDD">
      <w:pPr>
        <w:spacing w:before="100" w:beforeAutospacing="1" w:after="100" w:afterAutospacing="1" w:line="360" w:lineRule="auto"/>
        <w:rPr>
          <w:rFonts w:eastAsia="Times New Roman"/>
          <w:szCs w:val="24"/>
        </w:rPr>
      </w:pPr>
    </w:p>
    <w:p w:rsidR="00940118" w:rsidRDefault="00940118" w:rsidP="00B70CDD">
      <w:pPr>
        <w:spacing w:before="100" w:beforeAutospacing="1" w:after="100" w:afterAutospacing="1" w:line="360" w:lineRule="auto"/>
        <w:rPr>
          <w:rFonts w:eastAsia="Times New Roman"/>
          <w:szCs w:val="24"/>
        </w:rPr>
      </w:pPr>
    </w:p>
    <w:p w:rsidR="00940118" w:rsidRDefault="00940118" w:rsidP="00B70CDD">
      <w:pPr>
        <w:spacing w:before="100" w:beforeAutospacing="1" w:after="100" w:afterAutospacing="1" w:line="360" w:lineRule="auto"/>
        <w:jc w:val="center"/>
        <w:rPr>
          <w:rFonts w:eastAsia="Times New Roman"/>
          <w:szCs w:val="24"/>
        </w:rPr>
      </w:pPr>
    </w:p>
    <w:p w:rsidR="005C5B6E" w:rsidRDefault="005C5B6E" w:rsidP="00B70CDD">
      <w:pPr>
        <w:spacing w:before="100" w:beforeAutospacing="1" w:after="100" w:afterAutospacing="1" w:line="360" w:lineRule="auto"/>
        <w:jc w:val="center"/>
        <w:rPr>
          <w:rFonts w:eastAsia="Times New Roman"/>
          <w:szCs w:val="24"/>
        </w:rPr>
      </w:pPr>
    </w:p>
    <w:p w:rsidR="005C5B6E" w:rsidRDefault="005C5B6E" w:rsidP="00B70CDD">
      <w:pPr>
        <w:spacing w:before="100" w:beforeAutospacing="1" w:after="100" w:afterAutospacing="1" w:line="360" w:lineRule="auto"/>
        <w:jc w:val="center"/>
        <w:rPr>
          <w:rFonts w:eastAsia="Times New Roman"/>
          <w:szCs w:val="24"/>
        </w:rPr>
      </w:pPr>
    </w:p>
    <w:p w:rsidR="005C5B6E" w:rsidRDefault="005C5B6E" w:rsidP="00B70CDD">
      <w:pPr>
        <w:spacing w:before="100" w:beforeAutospacing="1" w:after="100" w:afterAutospacing="1" w:line="360" w:lineRule="auto"/>
        <w:jc w:val="center"/>
        <w:rPr>
          <w:rFonts w:eastAsia="Times New Roman"/>
          <w:szCs w:val="24"/>
        </w:rPr>
      </w:pPr>
    </w:p>
    <w:p w:rsidR="00B70CDD" w:rsidRPr="00B70CDD" w:rsidRDefault="00B70CDD" w:rsidP="00B70CDD">
      <w:pPr>
        <w:spacing w:before="100" w:beforeAutospacing="1" w:after="100" w:afterAutospacing="1" w:line="360" w:lineRule="auto"/>
        <w:jc w:val="center"/>
        <w:rPr>
          <w:rFonts w:eastAsia="Times New Roman"/>
          <w:b/>
          <w:szCs w:val="24"/>
        </w:rPr>
      </w:pPr>
      <w:r w:rsidRPr="00B70CDD">
        <w:rPr>
          <w:rFonts w:eastAsia="Times New Roman"/>
          <w:b/>
          <w:szCs w:val="24"/>
        </w:rPr>
        <w:lastRenderedPageBreak/>
        <w:t>Deberes de los Usuarios</w:t>
      </w:r>
    </w:p>
    <w:p w:rsidR="00B70CDD" w:rsidRPr="00B70CDD" w:rsidRDefault="00B70CDD" w:rsidP="00940118">
      <w:pPr>
        <w:spacing w:before="100" w:beforeAutospacing="1" w:after="0" w:line="240" w:lineRule="auto"/>
        <w:jc w:val="left"/>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1E797584" wp14:editId="349E0DE3">
            <wp:extent cx="4248150" cy="2224514"/>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00129" cy="2251732"/>
                    </a:xfrm>
                    <a:prstGeom prst="rect">
                      <a:avLst/>
                    </a:prstGeom>
                  </pic:spPr>
                </pic:pic>
              </a:graphicData>
            </a:graphic>
          </wp:inline>
        </w:drawing>
      </w:r>
    </w:p>
    <w:p w:rsidR="00B70CDD" w:rsidRPr="00B70CDD" w:rsidRDefault="00B70CDD" w:rsidP="00B70CDD">
      <w:pPr>
        <w:spacing w:after="0" w:line="240" w:lineRule="auto"/>
        <w:jc w:val="left"/>
        <w:rPr>
          <w:rFonts w:eastAsia="Times New Roman"/>
          <w:szCs w:val="24"/>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B70CDD" w:rsidRPr="00B70CDD" w:rsidRDefault="00B70CDD" w:rsidP="00B70CDD">
      <w:pPr>
        <w:spacing w:after="0" w:line="360" w:lineRule="auto"/>
        <w:rPr>
          <w:rFonts w:eastAsia="Times New Roman"/>
          <w:b/>
          <w:szCs w:val="24"/>
          <w:lang w:val="en-US"/>
        </w:rPr>
      </w:pPr>
    </w:p>
    <w:p w:rsidR="00B70CDD" w:rsidRPr="00B70CDD" w:rsidRDefault="00B70CDD" w:rsidP="00B70CDD">
      <w:pPr>
        <w:spacing w:after="0" w:line="360" w:lineRule="auto"/>
        <w:rPr>
          <w:rFonts w:eastAsia="Times New Roman"/>
          <w:b/>
          <w:szCs w:val="24"/>
        </w:rPr>
      </w:pPr>
      <w:r w:rsidRPr="00B70CDD">
        <w:rPr>
          <w:rFonts w:eastAsia="Times New Roman"/>
          <w:b/>
          <w:szCs w:val="24"/>
        </w:rPr>
        <w:t xml:space="preserve">Octubre </w:t>
      </w:r>
    </w:p>
    <w:p w:rsidR="00B70CDD" w:rsidRPr="00B70CDD" w:rsidRDefault="00B70CDD" w:rsidP="00B70CDD">
      <w:pPr>
        <w:spacing w:after="0" w:line="360" w:lineRule="auto"/>
        <w:rPr>
          <w:rFonts w:eastAsia="Times New Roman"/>
          <w:szCs w:val="24"/>
        </w:rPr>
      </w:pPr>
      <w:r w:rsidRPr="00B70CDD">
        <w:rPr>
          <w:rFonts w:eastAsia="Times New Roman"/>
          <w:szCs w:val="24"/>
        </w:rPr>
        <w:t>Se realizaron publicaciones sobre el proceso de reclamación y lo que el usuario debe tener en cuenta a la hora de realizarla ante su prestadora o ante el INDOTEL.</w:t>
      </w:r>
    </w:p>
    <w:p w:rsidR="00B70CDD" w:rsidRPr="00B70CDD" w:rsidRDefault="00B70CDD" w:rsidP="00B70CDD">
      <w:pPr>
        <w:spacing w:after="0" w:line="360" w:lineRule="auto"/>
        <w:rPr>
          <w:rFonts w:eastAsia="Times New Roman"/>
          <w:szCs w:val="24"/>
        </w:rPr>
      </w:pPr>
    </w:p>
    <w:p w:rsidR="00B70CDD" w:rsidRPr="00B70CDD" w:rsidRDefault="00B70CDD" w:rsidP="00B70CDD">
      <w:pPr>
        <w:spacing w:after="0" w:line="360" w:lineRule="auto"/>
        <w:jc w:val="center"/>
        <w:rPr>
          <w:rFonts w:eastAsia="Times New Roman"/>
          <w:b/>
          <w:szCs w:val="24"/>
        </w:rPr>
      </w:pPr>
      <w:r w:rsidRPr="00B70CDD">
        <w:rPr>
          <w:rFonts w:eastAsia="Times New Roman"/>
          <w:b/>
          <w:szCs w:val="24"/>
        </w:rPr>
        <w:t>Proceso de Reclamación</w:t>
      </w:r>
    </w:p>
    <w:p w:rsidR="00B70CDD" w:rsidRPr="00B70CDD" w:rsidRDefault="00B70CDD" w:rsidP="00B70CDD">
      <w:pPr>
        <w:spacing w:before="100" w:beforeAutospacing="1" w:after="0" w:line="240" w:lineRule="auto"/>
        <w:jc w:val="center"/>
        <w:rPr>
          <w:rFonts w:eastAsia="Times New Roman"/>
          <w:szCs w:val="24"/>
        </w:rPr>
      </w:pPr>
      <w:r w:rsidRPr="00B70CDD">
        <w:rPr>
          <w:rFonts w:asciiTheme="minorHAnsi" w:eastAsiaTheme="minorHAnsi" w:hAnsiTheme="minorHAnsi" w:cstheme="minorBidi"/>
          <w:noProof/>
          <w:color w:val="auto"/>
          <w:sz w:val="22"/>
          <w:lang w:val="en-US" w:eastAsia="en-US"/>
        </w:rPr>
        <w:drawing>
          <wp:inline distT="0" distB="0" distL="0" distR="0" wp14:anchorId="2E879B80" wp14:editId="236555C5">
            <wp:extent cx="5000625" cy="259715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45796" cy="2620615"/>
                    </a:xfrm>
                    <a:prstGeom prst="rect">
                      <a:avLst/>
                    </a:prstGeom>
                  </pic:spPr>
                </pic:pic>
              </a:graphicData>
            </a:graphic>
          </wp:inline>
        </w:drawing>
      </w:r>
    </w:p>
    <w:p w:rsidR="00B70CDD" w:rsidRPr="00B70CDD" w:rsidRDefault="00B70CDD" w:rsidP="00B70CDD">
      <w:pPr>
        <w:spacing w:after="0" w:line="240" w:lineRule="auto"/>
        <w:jc w:val="left"/>
        <w:rPr>
          <w:rFonts w:eastAsia="Times New Roman"/>
          <w:szCs w:val="24"/>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B70CDD" w:rsidRPr="00B70CDD" w:rsidRDefault="00B70CDD" w:rsidP="00B70CDD">
      <w:pPr>
        <w:spacing w:after="0" w:line="360" w:lineRule="auto"/>
        <w:rPr>
          <w:rFonts w:eastAsia="Times New Roman"/>
          <w:b/>
          <w:szCs w:val="24"/>
          <w:lang w:val="en-US"/>
        </w:rPr>
      </w:pPr>
    </w:p>
    <w:p w:rsidR="00B70CDD" w:rsidRPr="00B70CDD" w:rsidRDefault="00B70CDD" w:rsidP="00B70CDD">
      <w:pPr>
        <w:spacing w:after="0" w:line="360" w:lineRule="auto"/>
        <w:rPr>
          <w:rFonts w:eastAsia="Times New Roman"/>
          <w:b/>
          <w:szCs w:val="24"/>
        </w:rPr>
      </w:pPr>
      <w:r w:rsidRPr="00B70CDD">
        <w:rPr>
          <w:rFonts w:eastAsia="Times New Roman"/>
          <w:b/>
          <w:szCs w:val="24"/>
        </w:rPr>
        <w:lastRenderedPageBreak/>
        <w:t xml:space="preserve">Noviembre </w:t>
      </w:r>
    </w:p>
    <w:p w:rsidR="00B70CDD" w:rsidRPr="00940118" w:rsidRDefault="00B70CDD" w:rsidP="00940118">
      <w:pPr>
        <w:spacing w:after="0" w:line="360" w:lineRule="auto"/>
        <w:rPr>
          <w:rFonts w:eastAsia="Times New Roman"/>
          <w:szCs w:val="24"/>
        </w:rPr>
      </w:pPr>
      <w:r w:rsidRPr="00B70CDD">
        <w:rPr>
          <w:rFonts w:eastAsia="Times New Roman"/>
          <w:szCs w:val="24"/>
        </w:rPr>
        <w:t>En el mes de noviembre fue publicado contenido con información variada, relacionada a las inquietudes que los usuarios presentaron por las vías de contacto, así como por redes sociales.</w:t>
      </w:r>
    </w:p>
    <w:p w:rsidR="00B70CDD" w:rsidRPr="00B70CDD" w:rsidRDefault="00B70CDD" w:rsidP="00B70CDD">
      <w:pPr>
        <w:spacing w:after="0" w:line="360" w:lineRule="auto"/>
        <w:jc w:val="center"/>
        <w:rPr>
          <w:rFonts w:eastAsia="Times New Roman"/>
          <w:b/>
          <w:szCs w:val="24"/>
        </w:rPr>
      </w:pPr>
    </w:p>
    <w:p w:rsidR="00B70CDD" w:rsidRPr="00B70CDD" w:rsidRDefault="00B70CDD" w:rsidP="00B70CDD">
      <w:pPr>
        <w:spacing w:after="0" w:line="360" w:lineRule="auto"/>
        <w:jc w:val="center"/>
        <w:rPr>
          <w:rFonts w:eastAsia="Times New Roman"/>
          <w:b/>
          <w:szCs w:val="24"/>
        </w:rPr>
      </w:pPr>
      <w:r w:rsidRPr="00B70CDD">
        <w:rPr>
          <w:rFonts w:eastAsia="Times New Roman"/>
          <w:b/>
          <w:szCs w:val="24"/>
        </w:rPr>
        <w:t>Preguntas Frecuentes</w:t>
      </w:r>
    </w:p>
    <w:p w:rsidR="00B70CDD" w:rsidRPr="00B70CDD" w:rsidRDefault="00B70CDD" w:rsidP="00B70CDD">
      <w:pPr>
        <w:spacing w:after="0" w:line="240" w:lineRule="auto"/>
        <w:jc w:val="center"/>
        <w:rPr>
          <w:rFonts w:eastAsia="Times New Roman"/>
          <w:b/>
          <w:sz w:val="18"/>
          <w:lang w:val="en-US"/>
        </w:rPr>
      </w:pPr>
      <w:r w:rsidRPr="00B70CDD">
        <w:rPr>
          <w:rFonts w:asciiTheme="minorHAnsi" w:eastAsiaTheme="minorHAnsi" w:hAnsiTheme="minorHAnsi" w:cstheme="minorBidi"/>
          <w:noProof/>
          <w:color w:val="auto"/>
          <w:sz w:val="22"/>
          <w:lang w:val="en-US" w:eastAsia="en-US"/>
        </w:rPr>
        <w:drawing>
          <wp:inline distT="0" distB="0" distL="0" distR="0" wp14:anchorId="019818FF" wp14:editId="4303AB7B">
            <wp:extent cx="5245711" cy="199009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16631" cy="2016995"/>
                    </a:xfrm>
                    <a:prstGeom prst="rect">
                      <a:avLst/>
                    </a:prstGeom>
                  </pic:spPr>
                </pic:pic>
              </a:graphicData>
            </a:graphic>
          </wp:inline>
        </w:drawing>
      </w:r>
    </w:p>
    <w:p w:rsidR="00B70CDD" w:rsidRDefault="00B70CDD" w:rsidP="00B70CDD">
      <w:pPr>
        <w:spacing w:after="0" w:line="240" w:lineRule="auto"/>
        <w:jc w:val="left"/>
        <w:rPr>
          <w:rFonts w:eastAsia="Times New Roman"/>
          <w:sz w:val="18"/>
          <w:lang w:val="en-US"/>
        </w:rPr>
      </w:pPr>
      <w:proofErr w:type="spellStart"/>
      <w:r w:rsidRPr="00B70CDD">
        <w:rPr>
          <w:rFonts w:eastAsia="Times New Roman"/>
          <w:b/>
          <w:sz w:val="18"/>
          <w:lang w:val="en-US"/>
        </w:rPr>
        <w:t>Fuente</w:t>
      </w:r>
      <w:proofErr w:type="spellEnd"/>
      <w:r w:rsidRPr="00B70CDD">
        <w:rPr>
          <w:rFonts w:eastAsia="Times New Roman"/>
          <w:b/>
          <w:sz w:val="18"/>
          <w:lang w:val="en-US"/>
        </w:rPr>
        <w:t xml:space="preserve">: </w:t>
      </w:r>
      <w:r w:rsidRPr="00B70CDD">
        <w:rPr>
          <w:rFonts w:eastAsia="Times New Roman"/>
          <w:sz w:val="18"/>
          <w:lang w:val="en-US"/>
        </w:rPr>
        <w:t>@</w:t>
      </w:r>
      <w:proofErr w:type="spellStart"/>
      <w:r w:rsidRPr="00B70CDD">
        <w:rPr>
          <w:rFonts w:eastAsia="Times New Roman"/>
          <w:sz w:val="18"/>
          <w:lang w:val="en-US"/>
        </w:rPr>
        <w:t>ApoyoIndotelrd</w:t>
      </w:r>
      <w:proofErr w:type="spellEnd"/>
      <w:r w:rsidRPr="00B70CDD">
        <w:rPr>
          <w:rFonts w:eastAsia="Times New Roman"/>
          <w:sz w:val="18"/>
          <w:lang w:val="en-US"/>
        </w:rPr>
        <w:t xml:space="preserve"> (Facebook, </w:t>
      </w:r>
      <w:proofErr w:type="spellStart"/>
      <w:r w:rsidRPr="00B70CDD">
        <w:rPr>
          <w:rFonts w:eastAsia="Times New Roman"/>
          <w:sz w:val="18"/>
          <w:lang w:val="en-US"/>
        </w:rPr>
        <w:t>Instagram</w:t>
      </w:r>
      <w:proofErr w:type="spellEnd"/>
      <w:r w:rsidRPr="00B70CDD">
        <w:rPr>
          <w:rFonts w:eastAsia="Times New Roman"/>
          <w:sz w:val="18"/>
          <w:lang w:val="en-US"/>
        </w:rPr>
        <w:t xml:space="preserve"> y Twitter)</w:t>
      </w: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940118" w:rsidRDefault="00940118" w:rsidP="00B70CDD">
      <w:pPr>
        <w:spacing w:after="0" w:line="240" w:lineRule="auto"/>
        <w:jc w:val="left"/>
        <w:rPr>
          <w:rFonts w:eastAsia="Times New Roman"/>
          <w:sz w:val="18"/>
          <w:lang w:val="en-US"/>
        </w:rPr>
      </w:pPr>
    </w:p>
    <w:p w:rsidR="00940118" w:rsidRDefault="00940118" w:rsidP="00B70CDD">
      <w:pPr>
        <w:spacing w:after="0" w:line="240" w:lineRule="auto"/>
        <w:jc w:val="left"/>
        <w:rPr>
          <w:rFonts w:eastAsia="Times New Roman"/>
          <w:sz w:val="18"/>
          <w:lang w:val="en-US"/>
        </w:rPr>
      </w:pPr>
    </w:p>
    <w:p w:rsidR="00940118" w:rsidRDefault="00940118"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Default="00B70CDD" w:rsidP="00B70CDD">
      <w:pPr>
        <w:spacing w:after="0" w:line="240" w:lineRule="auto"/>
        <w:jc w:val="left"/>
        <w:rPr>
          <w:rFonts w:eastAsia="Times New Roman"/>
          <w:sz w:val="18"/>
          <w:lang w:val="en-US"/>
        </w:rPr>
      </w:pPr>
    </w:p>
    <w:p w:rsidR="00B70CDD" w:rsidRPr="00B70CDD" w:rsidRDefault="00B70CDD" w:rsidP="00B70CDD">
      <w:pPr>
        <w:spacing w:after="0" w:line="240" w:lineRule="auto"/>
        <w:jc w:val="left"/>
        <w:rPr>
          <w:rFonts w:eastAsia="Times New Roman"/>
          <w:b/>
          <w:sz w:val="18"/>
          <w:lang w:val="en-US"/>
        </w:rPr>
      </w:pPr>
    </w:p>
    <w:p w:rsidR="002639AF" w:rsidRPr="00E83EBC" w:rsidRDefault="002639AF" w:rsidP="002639AF">
      <w:pPr>
        <w:pStyle w:val="Ttulo3"/>
      </w:pPr>
      <w:bookmarkStart w:id="18" w:name="_Toc90936649"/>
      <w:r w:rsidRPr="00E83EBC">
        <w:lastRenderedPageBreak/>
        <w:t>Fondo para el Desarrollo de las Telecomunicaciones</w:t>
      </w:r>
      <w:bookmarkEnd w:id="18"/>
    </w:p>
    <w:p w:rsidR="002639AF" w:rsidRPr="00DC17C5" w:rsidRDefault="002639AF" w:rsidP="002639AF">
      <w:pPr>
        <w:pStyle w:val="Sinespaciado"/>
      </w:pPr>
    </w:p>
    <w:p w:rsidR="002639AF" w:rsidRPr="00F97D6D" w:rsidRDefault="002639AF" w:rsidP="002639AF">
      <w:pPr>
        <w:spacing w:line="360" w:lineRule="auto"/>
        <w:rPr>
          <w:bCs/>
          <w:szCs w:val="24"/>
        </w:rPr>
      </w:pPr>
      <w:r w:rsidRPr="00F97D6D">
        <w:rPr>
          <w:bCs/>
          <w:szCs w:val="24"/>
        </w:rPr>
        <w:t xml:space="preserve">El INDOTEL gestiona  </w:t>
      </w:r>
      <w:r w:rsidRPr="00F97D6D">
        <w:rPr>
          <w:szCs w:val="24"/>
        </w:rPr>
        <w:t>a través del Fondo de Desarrollo de las Telecomunicaciones</w:t>
      </w:r>
      <w:r w:rsidRPr="00F97D6D">
        <w:rPr>
          <w:bCs/>
          <w:szCs w:val="24"/>
        </w:rPr>
        <w:t xml:space="preserve"> proyectos en áreas rurales y urbanas de bajos ingresos o de interés social, que promueven el servicio universal y el desarrollo de las telecomunicaciones/TIC siguiendo los lineamientos de la Política Social sobre el Servicio Universal, en virtud de lo que establece el Art. 49 de la Ley General de Telecomunicaciones, Núm. 153-98. </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bCs/>
          <w:szCs w:val="24"/>
        </w:rPr>
      </w:pPr>
      <w:r w:rsidRPr="00F97D6D">
        <w:rPr>
          <w:bCs/>
          <w:szCs w:val="24"/>
        </w:rPr>
        <w:t>De acuerdo con los lineamientos de la Política Social sobre el Servicio Universal aprobada mediante la Resolución Núm. 024-10, el INDOTEL tiene el compromiso de contribuir a la integración de la sociedad dominicana, promoviendo la inclusión social y el crecimiento económico del país, con el aprovechamiento de las tecnologías de la información y la comunicación. Para alcanzar estos objetivos se financian proyectos de desarrollo de infraestructura y servicios de telecomunicaciones que permitan:</w:t>
      </w:r>
    </w:p>
    <w:p w:rsidR="002639AF" w:rsidRPr="00F97D6D" w:rsidRDefault="002639AF" w:rsidP="00A17C7C">
      <w:pPr>
        <w:numPr>
          <w:ilvl w:val="0"/>
          <w:numId w:val="9"/>
        </w:numPr>
        <w:spacing w:line="360" w:lineRule="auto"/>
        <w:contextualSpacing/>
        <w:jc w:val="left"/>
        <w:rPr>
          <w:bCs/>
          <w:szCs w:val="24"/>
        </w:rPr>
      </w:pPr>
      <w:r w:rsidRPr="00F97D6D">
        <w:rPr>
          <w:bCs/>
          <w:szCs w:val="24"/>
        </w:rPr>
        <w:t>Proporcionar acceso y cobertura universal a servicios de telecomunicaciones.</w:t>
      </w:r>
    </w:p>
    <w:p w:rsidR="002639AF" w:rsidRPr="00F97D6D" w:rsidRDefault="002639AF" w:rsidP="00A17C7C">
      <w:pPr>
        <w:numPr>
          <w:ilvl w:val="0"/>
          <w:numId w:val="9"/>
        </w:numPr>
        <w:spacing w:line="360" w:lineRule="auto"/>
        <w:contextualSpacing/>
        <w:jc w:val="left"/>
        <w:rPr>
          <w:bCs/>
          <w:szCs w:val="24"/>
        </w:rPr>
      </w:pPr>
      <w:r w:rsidRPr="00F97D6D">
        <w:rPr>
          <w:bCs/>
          <w:szCs w:val="24"/>
        </w:rPr>
        <w:t>Proporcionar apoyo al desarrollo económico con la implementación estratégica de las telecomunicaciones.</w:t>
      </w:r>
    </w:p>
    <w:p w:rsidR="002639AF" w:rsidRPr="00F97D6D" w:rsidRDefault="002639AF" w:rsidP="00A17C7C">
      <w:pPr>
        <w:numPr>
          <w:ilvl w:val="0"/>
          <w:numId w:val="9"/>
        </w:numPr>
        <w:spacing w:line="360" w:lineRule="auto"/>
        <w:contextualSpacing/>
        <w:jc w:val="left"/>
        <w:rPr>
          <w:bCs/>
          <w:szCs w:val="24"/>
        </w:rPr>
      </w:pPr>
      <w:r w:rsidRPr="00F97D6D">
        <w:rPr>
          <w:bCs/>
          <w:szCs w:val="24"/>
        </w:rPr>
        <w:t>Proporcionar apoyo a instituciones de servicios públicos y de servicios comunitarios.</w:t>
      </w:r>
    </w:p>
    <w:p w:rsidR="002639AF" w:rsidRDefault="002639AF" w:rsidP="00A17C7C">
      <w:pPr>
        <w:numPr>
          <w:ilvl w:val="0"/>
          <w:numId w:val="9"/>
        </w:numPr>
        <w:spacing w:line="360" w:lineRule="auto"/>
        <w:contextualSpacing/>
        <w:jc w:val="left"/>
        <w:rPr>
          <w:bCs/>
          <w:szCs w:val="24"/>
        </w:rPr>
      </w:pPr>
      <w:r w:rsidRPr="00F97D6D">
        <w:rPr>
          <w:bCs/>
          <w:szCs w:val="24"/>
        </w:rPr>
        <w:t>Proporcionar apoyo a la capacitación en tecnologías de información y la comunicación.</w:t>
      </w:r>
    </w:p>
    <w:p w:rsidR="00DA4FB5" w:rsidRPr="00F97D6D" w:rsidRDefault="00DA4FB5" w:rsidP="00DA4FB5">
      <w:pPr>
        <w:spacing w:line="360" w:lineRule="auto"/>
        <w:ind w:left="720"/>
        <w:contextualSpacing/>
        <w:jc w:val="left"/>
        <w:rPr>
          <w:bCs/>
          <w:szCs w:val="24"/>
        </w:rPr>
      </w:pPr>
    </w:p>
    <w:p w:rsidR="002639AF" w:rsidRDefault="002639AF" w:rsidP="002639AF">
      <w:pPr>
        <w:spacing w:line="360" w:lineRule="auto"/>
        <w:rPr>
          <w:bCs/>
          <w:szCs w:val="24"/>
        </w:rPr>
      </w:pPr>
      <w:r w:rsidRPr="00F97D6D">
        <w:rPr>
          <w:bCs/>
          <w:szCs w:val="24"/>
        </w:rPr>
        <w:t xml:space="preserve">Para estos fines, el INDOTEL cuenta con el Fondo de Desarrollo de las Telecomunicaciones y los Planes Bianuales de Proyectos. </w:t>
      </w:r>
    </w:p>
    <w:p w:rsidR="002639AF" w:rsidRDefault="002639AF" w:rsidP="002639AF">
      <w:pPr>
        <w:spacing w:after="0" w:line="240" w:lineRule="auto"/>
        <w:jc w:val="left"/>
        <w:rPr>
          <w:bCs/>
          <w:szCs w:val="24"/>
        </w:rPr>
      </w:pPr>
    </w:p>
    <w:p w:rsidR="00DA4FB5" w:rsidRPr="00F97D6D" w:rsidRDefault="00DA4FB5" w:rsidP="002639AF">
      <w:pPr>
        <w:spacing w:after="0" w:line="240" w:lineRule="auto"/>
        <w:jc w:val="left"/>
        <w:rPr>
          <w:rFonts w:eastAsia="Times New Roman"/>
          <w:szCs w:val="24"/>
        </w:rPr>
      </w:pPr>
    </w:p>
    <w:p w:rsidR="002639AF" w:rsidRPr="00F97D6D" w:rsidRDefault="002639AF" w:rsidP="002639AF">
      <w:pPr>
        <w:rPr>
          <w:b/>
          <w:szCs w:val="24"/>
        </w:rPr>
      </w:pPr>
      <w:r w:rsidRPr="00F97D6D">
        <w:rPr>
          <w:b/>
          <w:szCs w:val="24"/>
        </w:rPr>
        <w:lastRenderedPageBreak/>
        <w:t>Plan Bianual de Proyectos de Desarrollo 2021-2022</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 xml:space="preserve">Mediante la Resolución Núm. 010-21 de fecha 18 de febrero de 2021, el Consejo Directivo del INDOTEL aprobó de manera definitiva el Plan Bianual de Proyectos de Desarrollo 2021-2022 del Fondo de Desarrollo de las Telecomunicaciones (FDT), el cual consiste en un proyecto integral para “Conectar a los no Conectados” que  dotará a comunidades rurales no servidas y a mujeres jefas de hogar con bajos niveles de penetración de Internet y que viven bajo línea de pobreza, del acceso y conectividad a la banda ancha de calidad, con el objetivo de reducir la brecha digital de la República Dominicana. </w:t>
      </w:r>
    </w:p>
    <w:p w:rsidR="002639AF" w:rsidRPr="00F97D6D" w:rsidRDefault="002639AF" w:rsidP="002639AF">
      <w:pPr>
        <w:spacing w:line="360" w:lineRule="auto"/>
        <w:rPr>
          <w:szCs w:val="24"/>
        </w:rPr>
      </w:pPr>
      <w:r w:rsidRPr="00F97D6D">
        <w:rPr>
          <w:szCs w:val="24"/>
        </w:rPr>
        <w:t xml:space="preserve">El proyecto está conformado por tres (3) componentes: </w:t>
      </w:r>
    </w:p>
    <w:p w:rsidR="002639AF" w:rsidRPr="00F97D6D" w:rsidRDefault="002639AF" w:rsidP="00A17C7C">
      <w:pPr>
        <w:numPr>
          <w:ilvl w:val="0"/>
          <w:numId w:val="7"/>
        </w:numPr>
        <w:spacing w:line="360" w:lineRule="auto"/>
        <w:contextualSpacing/>
        <w:jc w:val="left"/>
        <w:rPr>
          <w:szCs w:val="24"/>
        </w:rPr>
      </w:pPr>
      <w:r w:rsidRPr="00F97D6D">
        <w:rPr>
          <w:szCs w:val="24"/>
        </w:rPr>
        <w:t xml:space="preserve">Componente de Acceso e Infraestructura </w:t>
      </w:r>
    </w:p>
    <w:p w:rsidR="002639AF" w:rsidRPr="00F97D6D" w:rsidRDefault="002639AF" w:rsidP="00A17C7C">
      <w:pPr>
        <w:numPr>
          <w:ilvl w:val="0"/>
          <w:numId w:val="7"/>
        </w:numPr>
        <w:spacing w:line="360" w:lineRule="auto"/>
        <w:contextualSpacing/>
        <w:jc w:val="left"/>
        <w:rPr>
          <w:szCs w:val="24"/>
        </w:rPr>
      </w:pPr>
      <w:r w:rsidRPr="00F97D6D">
        <w:rPr>
          <w:szCs w:val="24"/>
        </w:rPr>
        <w:t>Componente de Subsidio a la Demanda</w:t>
      </w:r>
    </w:p>
    <w:p w:rsidR="002639AF" w:rsidRDefault="002639AF" w:rsidP="00A17C7C">
      <w:pPr>
        <w:numPr>
          <w:ilvl w:val="0"/>
          <w:numId w:val="7"/>
        </w:numPr>
        <w:spacing w:line="360" w:lineRule="auto"/>
        <w:contextualSpacing/>
        <w:jc w:val="left"/>
        <w:rPr>
          <w:szCs w:val="24"/>
        </w:rPr>
      </w:pPr>
      <w:r w:rsidRPr="00F97D6D">
        <w:rPr>
          <w:szCs w:val="24"/>
        </w:rPr>
        <w:t xml:space="preserve">Componente de Apropiación Social y Desarrollo de Habilidades </w:t>
      </w:r>
    </w:p>
    <w:p w:rsidR="00DA4FB5" w:rsidRPr="00F97D6D" w:rsidRDefault="00DA4FB5" w:rsidP="00DA4FB5">
      <w:pPr>
        <w:spacing w:line="360" w:lineRule="auto"/>
        <w:ind w:left="720"/>
        <w:contextualSpacing/>
        <w:jc w:val="left"/>
        <w:rPr>
          <w:szCs w:val="24"/>
        </w:rPr>
      </w:pPr>
    </w:p>
    <w:p w:rsidR="002639AF" w:rsidRPr="00F97D6D" w:rsidRDefault="002639AF" w:rsidP="002639AF">
      <w:pPr>
        <w:spacing w:line="360" w:lineRule="auto"/>
        <w:rPr>
          <w:szCs w:val="24"/>
        </w:rPr>
      </w:pPr>
      <w:r w:rsidRPr="00F97D6D">
        <w:rPr>
          <w:szCs w:val="24"/>
        </w:rPr>
        <w:t xml:space="preserve">En el año 2021, las comisiones multidisciplinarias conformadas para cada uno de los componentes avanzaron en la definición de los hitos centrales del proyecto y sus componentes, de cara a su implementación. Estos son: </w:t>
      </w:r>
    </w:p>
    <w:p w:rsidR="002639AF" w:rsidRPr="00F97D6D" w:rsidRDefault="002639AF" w:rsidP="00A17C7C">
      <w:pPr>
        <w:numPr>
          <w:ilvl w:val="0"/>
          <w:numId w:val="8"/>
        </w:numPr>
        <w:spacing w:line="360" w:lineRule="auto"/>
        <w:contextualSpacing/>
        <w:jc w:val="left"/>
        <w:rPr>
          <w:szCs w:val="24"/>
        </w:rPr>
      </w:pPr>
      <w:r w:rsidRPr="00F97D6D">
        <w:rPr>
          <w:szCs w:val="24"/>
        </w:rPr>
        <w:t xml:space="preserve">Revisión y aprobación de los documentos del proyecto; </w:t>
      </w:r>
    </w:p>
    <w:p w:rsidR="002639AF" w:rsidRPr="00F97D6D" w:rsidRDefault="002639AF" w:rsidP="00A17C7C">
      <w:pPr>
        <w:numPr>
          <w:ilvl w:val="0"/>
          <w:numId w:val="8"/>
        </w:numPr>
        <w:spacing w:line="360" w:lineRule="auto"/>
        <w:contextualSpacing/>
        <w:jc w:val="left"/>
        <w:rPr>
          <w:szCs w:val="24"/>
        </w:rPr>
      </w:pPr>
      <w:r w:rsidRPr="00F97D6D">
        <w:rPr>
          <w:szCs w:val="24"/>
        </w:rPr>
        <w:t>Elaboración y revisión de los acuerdos de colaboración interinstitucionales;</w:t>
      </w:r>
    </w:p>
    <w:p w:rsidR="002639AF" w:rsidRPr="00F97D6D" w:rsidRDefault="002639AF" w:rsidP="00A17C7C">
      <w:pPr>
        <w:numPr>
          <w:ilvl w:val="0"/>
          <w:numId w:val="8"/>
        </w:numPr>
        <w:spacing w:line="360" w:lineRule="auto"/>
        <w:contextualSpacing/>
        <w:jc w:val="left"/>
        <w:rPr>
          <w:szCs w:val="24"/>
        </w:rPr>
      </w:pPr>
      <w:r w:rsidRPr="00F97D6D">
        <w:rPr>
          <w:szCs w:val="24"/>
        </w:rPr>
        <w:t>Análisis y proyecciones de metas y presupuesto para el 2021 y 2022;</w:t>
      </w:r>
    </w:p>
    <w:p w:rsidR="002639AF" w:rsidRPr="00F97D6D" w:rsidRDefault="002639AF" w:rsidP="00A17C7C">
      <w:pPr>
        <w:numPr>
          <w:ilvl w:val="0"/>
          <w:numId w:val="8"/>
        </w:numPr>
        <w:spacing w:line="360" w:lineRule="auto"/>
        <w:contextualSpacing/>
        <w:jc w:val="left"/>
        <w:rPr>
          <w:szCs w:val="24"/>
        </w:rPr>
      </w:pPr>
      <w:r w:rsidRPr="00F97D6D">
        <w:rPr>
          <w:szCs w:val="24"/>
        </w:rPr>
        <w:t>Diagnóstico de las comunidades;</w:t>
      </w:r>
    </w:p>
    <w:p w:rsidR="002639AF" w:rsidRPr="00F97D6D" w:rsidRDefault="002639AF" w:rsidP="00A17C7C">
      <w:pPr>
        <w:numPr>
          <w:ilvl w:val="0"/>
          <w:numId w:val="8"/>
        </w:numPr>
        <w:spacing w:line="360" w:lineRule="auto"/>
        <w:contextualSpacing/>
        <w:jc w:val="left"/>
        <w:rPr>
          <w:szCs w:val="24"/>
        </w:rPr>
      </w:pPr>
      <w:r w:rsidRPr="00F97D6D">
        <w:rPr>
          <w:szCs w:val="24"/>
        </w:rPr>
        <w:t>Definición de metodologías de ejecución;</w:t>
      </w:r>
    </w:p>
    <w:p w:rsidR="002639AF" w:rsidRPr="00F97D6D" w:rsidRDefault="002639AF" w:rsidP="00A17C7C">
      <w:pPr>
        <w:numPr>
          <w:ilvl w:val="0"/>
          <w:numId w:val="8"/>
        </w:numPr>
        <w:spacing w:line="360" w:lineRule="auto"/>
        <w:contextualSpacing/>
        <w:jc w:val="left"/>
        <w:rPr>
          <w:szCs w:val="24"/>
        </w:rPr>
      </w:pPr>
      <w:r w:rsidRPr="00F97D6D">
        <w:rPr>
          <w:szCs w:val="24"/>
        </w:rPr>
        <w:t>Informes técnicos como base para la elaboración de los términos de referencia para las adquisiciones.</w:t>
      </w:r>
    </w:p>
    <w:p w:rsidR="002639AF" w:rsidRPr="00F97D6D" w:rsidRDefault="002639AF" w:rsidP="002639AF">
      <w:pPr>
        <w:spacing w:line="360" w:lineRule="auto"/>
        <w:rPr>
          <w:szCs w:val="24"/>
        </w:rPr>
      </w:pPr>
      <w:r w:rsidRPr="00F97D6D">
        <w:rPr>
          <w:szCs w:val="24"/>
        </w:rPr>
        <w:t>A continuación, se incluye un breve reporte de los principales logros alcanzados para cada uno de estos tres (3) componentes:</w:t>
      </w:r>
    </w:p>
    <w:p w:rsidR="002639AF" w:rsidRPr="00F97D6D" w:rsidRDefault="002639AF" w:rsidP="002639AF">
      <w:pPr>
        <w:rPr>
          <w:b/>
          <w:szCs w:val="24"/>
        </w:rPr>
      </w:pPr>
      <w:r w:rsidRPr="00F97D6D">
        <w:rPr>
          <w:b/>
          <w:szCs w:val="24"/>
        </w:rPr>
        <w:lastRenderedPageBreak/>
        <w:t>Componente de Acceso e Infraestructura</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 xml:space="preserve">El componente de Acceso e Infraestructura consiste en el diseño e implementación para el despliegue de infraestructura digital en zonas rurales y sub-urbanas de la República Dominicana donde a la fecha, no hay un servicio de internet de banda ancha de calidad, o el mismo sea precario, acompañado de un subsidio al servicio de internet fijo y de un celular inteligente para los hogares de las comunidades priorizadas por el componente. </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En el año 2021, este componente completó la definición del perfil de las comunidades que se estarán beneficiando con el proyecto y fueron realizadas las visitas de levantamiento a las 17 comunidades seleccionadas con el objetivo de elaborar el diagnóstico de cada localidad. A nivel general, la comisión multidisciplinaria designada para el desarrollo del proyecto trabajó en la formulación detallada de la iniciativa que incluye la definición de los modelos de ejecución y soluciones tecnológicas posibles.</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En fecha 28 de mayo del presente año, fue publicada una consulta pública con la finalidad de obtener información de soluciones tecnológicas costo-efectivas disponibles por los diferentes proveedores de servicios de telecomunicaciones para las comunidades a impactar con el componente.</w:t>
      </w:r>
    </w:p>
    <w:p w:rsidR="002639AF" w:rsidRPr="00F97D6D" w:rsidRDefault="002639AF" w:rsidP="002639AF">
      <w:pPr>
        <w:spacing w:after="0" w:line="240" w:lineRule="auto"/>
        <w:jc w:val="left"/>
        <w:rPr>
          <w:rFonts w:eastAsia="Times New Roman"/>
          <w:szCs w:val="24"/>
        </w:rPr>
      </w:pPr>
    </w:p>
    <w:p w:rsidR="002639AF" w:rsidRDefault="002639AF" w:rsidP="002639AF">
      <w:pPr>
        <w:spacing w:line="360" w:lineRule="auto"/>
        <w:rPr>
          <w:szCs w:val="24"/>
        </w:rPr>
      </w:pPr>
      <w:r w:rsidRPr="00F97D6D">
        <w:rPr>
          <w:szCs w:val="24"/>
        </w:rPr>
        <w:t xml:space="preserve">El componente ha finalizado la elaboración del Informe de Especificaciones Técnicas que sirvió de base para la elaboración de los términos de referencia para la Licitación Nacional Núm. </w:t>
      </w:r>
      <w:r w:rsidR="00EF4333">
        <w:rPr>
          <w:szCs w:val="24"/>
        </w:rPr>
        <w:t>INDOTEL-</w:t>
      </w:r>
      <w:r w:rsidRPr="00F97D6D">
        <w:rPr>
          <w:szCs w:val="24"/>
        </w:rPr>
        <w:t>CCC-LPN-2021-0002 publicada en fecha 2 de noviembre de 2021 para la contratación de una (1) o dos (2) empresas para implementar este componente.</w:t>
      </w:r>
    </w:p>
    <w:p w:rsidR="002639AF" w:rsidRDefault="002639AF" w:rsidP="002639AF">
      <w:pPr>
        <w:spacing w:after="0" w:line="240" w:lineRule="auto"/>
        <w:jc w:val="left"/>
        <w:rPr>
          <w:szCs w:val="24"/>
        </w:rPr>
      </w:pPr>
    </w:p>
    <w:p w:rsidR="00EF4333" w:rsidRPr="00F97D6D" w:rsidRDefault="00EF4333" w:rsidP="002639AF">
      <w:pPr>
        <w:spacing w:after="0" w:line="240" w:lineRule="auto"/>
        <w:jc w:val="left"/>
        <w:rPr>
          <w:rFonts w:eastAsia="Times New Roman"/>
          <w:szCs w:val="24"/>
        </w:rPr>
      </w:pPr>
    </w:p>
    <w:p w:rsidR="002639AF" w:rsidRPr="00F97D6D" w:rsidRDefault="002639AF" w:rsidP="002639AF">
      <w:pPr>
        <w:rPr>
          <w:b/>
          <w:szCs w:val="24"/>
        </w:rPr>
      </w:pPr>
      <w:r w:rsidRPr="00F97D6D">
        <w:rPr>
          <w:b/>
          <w:szCs w:val="24"/>
        </w:rPr>
        <w:lastRenderedPageBreak/>
        <w:t>Componente de Subsidio a la Demanda</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color w:val="FF0000"/>
          <w:szCs w:val="24"/>
        </w:rPr>
      </w:pPr>
      <w:r w:rsidRPr="00F97D6D">
        <w:rPr>
          <w:szCs w:val="24"/>
        </w:rPr>
        <w:t xml:space="preserve">El Componente Subsidio a la Demanda consiste en dotar de una “Canasta Digital Social”, compuesta de un subsidio parcial al servicio de internet de banda ancha y de un dispositivo de acceso, a 2,000 mujeres jefas de hogares con Índices de Calidad de Vida ICV2 e ICV3, 10 (diez) provincias y quince (15) municipios con altos índices de pobreza, con bajos niveles de penetración de internet fijo, por un período de 24 meses. </w:t>
      </w:r>
    </w:p>
    <w:p w:rsidR="002639AF" w:rsidRPr="00F97D6D" w:rsidRDefault="002639AF" w:rsidP="002639AF">
      <w:pPr>
        <w:spacing w:after="0" w:line="240" w:lineRule="auto"/>
        <w:jc w:val="left"/>
        <w:rPr>
          <w:rFonts w:eastAsia="Times New Roman"/>
          <w:szCs w:val="24"/>
        </w:rPr>
      </w:pPr>
      <w:r w:rsidRPr="00F97D6D">
        <w:rPr>
          <w:rFonts w:eastAsia="Times New Roman"/>
          <w:szCs w:val="24"/>
        </w:rPr>
        <w:t xml:space="preserve"> </w:t>
      </w:r>
    </w:p>
    <w:p w:rsidR="002639AF" w:rsidRPr="00F97D6D" w:rsidRDefault="002639AF" w:rsidP="002639AF">
      <w:pPr>
        <w:spacing w:line="360" w:lineRule="auto"/>
        <w:rPr>
          <w:rFonts w:eastAsia="Times New Roman"/>
          <w:szCs w:val="24"/>
        </w:rPr>
      </w:pPr>
      <w:r w:rsidRPr="00F97D6D">
        <w:rPr>
          <w:szCs w:val="24"/>
        </w:rPr>
        <w:t>Este componente ha completado el análisis, formulación y definición de la metodología de ejecución de la “Canasta Digital Social”, aprobada por parte del Consejo Directivo del INDOTEL. El 18 de octubre de 2021 fue firmado un acuerdo entre INDOTEL y SUPERATE con miras a aunar esfuerzos, sinergias y experiencias mutuas para una efectiva implementación de este proyecto. En adición, ha culminado la elaboración del Informe de Especificaciones Técnicas que sirvió de base para la elaboración del pliego de condiciones específicas para la licitación pública nacional</w:t>
      </w:r>
      <w:r w:rsidRPr="00F97D6D">
        <w:rPr>
          <w:rFonts w:eastAsiaTheme="minorHAnsi"/>
          <w:szCs w:val="24"/>
          <w:lang w:val="es-419" w:eastAsia="en-US"/>
        </w:rPr>
        <w:t xml:space="preserve"> </w:t>
      </w:r>
      <w:r w:rsidRPr="00F97D6D">
        <w:rPr>
          <w:szCs w:val="24"/>
        </w:rPr>
        <w:t>INDOTEL-CCC- LPN-2021-0001, publicada en fecha 19 de octubre de 2021 para la contratación de una empresa de telecomunicaciones para la provisión de una canasta digital social que incluye un servicio de internet y un teléfono inteligente.</w:t>
      </w:r>
      <w:r w:rsidRPr="00F97D6D" w:rsidDel="00A5766B">
        <w:rPr>
          <w:szCs w:val="24"/>
        </w:rPr>
        <w:t xml:space="preserve"> </w:t>
      </w:r>
    </w:p>
    <w:p w:rsidR="002639AF" w:rsidRPr="00F97D6D" w:rsidRDefault="002639AF" w:rsidP="002639AF">
      <w:pPr>
        <w:rPr>
          <w:b/>
          <w:szCs w:val="24"/>
        </w:rPr>
      </w:pPr>
      <w:r w:rsidRPr="00F97D6D">
        <w:rPr>
          <w:b/>
          <w:szCs w:val="24"/>
        </w:rPr>
        <w:t>Componente de Apropiación Social y Desarrollo de Habilidades Digitales</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 xml:space="preserve">El componente de Apropiación Social y Desarrollo de Habilidades consiste en el diseño e implementación de un programa de capacitación y desarrollo de habilidades digitales dirigido a las beneficiarias del componente de Subsidio a la Demanda; y en mejorar el nivel de competencias, destrezas y conocimientos de las tecnologías digitales de estudiantes sobresalientes y de escasos recursos económicos. </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lastRenderedPageBreak/>
        <w:t>En el presente año se ha trabajado en la definición de la oferta académica vinculada al desarrollo de habilidades digitales y estrategias de apropiación, conjuntamente con SUPERATE. En adición, ha finalizado la evaluación de la oferta educativa del ITLA</w:t>
      </w:r>
      <w:r w:rsidR="00EF4333">
        <w:rPr>
          <w:szCs w:val="24"/>
        </w:rPr>
        <w:t>.</w:t>
      </w:r>
      <w:r w:rsidRPr="00F97D6D">
        <w:rPr>
          <w:szCs w:val="24"/>
        </w:rPr>
        <w:t xml:space="preserve"> </w:t>
      </w:r>
    </w:p>
    <w:p w:rsidR="002639AF" w:rsidRPr="00F97D6D" w:rsidRDefault="002639AF" w:rsidP="002639AF">
      <w:pPr>
        <w:spacing w:after="0" w:line="240" w:lineRule="auto"/>
        <w:jc w:val="left"/>
        <w:rPr>
          <w:rFonts w:eastAsia="Times New Roman"/>
          <w:szCs w:val="24"/>
        </w:rPr>
      </w:pPr>
      <w:r w:rsidRPr="00F97D6D">
        <w:rPr>
          <w:rFonts w:eastAsia="Times New Roman"/>
          <w:szCs w:val="24"/>
        </w:rPr>
        <w:t xml:space="preserve">  </w:t>
      </w:r>
    </w:p>
    <w:p w:rsidR="002639AF" w:rsidRPr="00F97D6D" w:rsidRDefault="002639AF" w:rsidP="002639AF">
      <w:pPr>
        <w:spacing w:line="360" w:lineRule="auto"/>
        <w:rPr>
          <w:szCs w:val="24"/>
        </w:rPr>
      </w:pPr>
      <w:r w:rsidRPr="00F97D6D">
        <w:rPr>
          <w:szCs w:val="24"/>
        </w:rPr>
        <w:t>En el acuerdo de cooperación firmado para el Componente de Subsidio a la Demanda, entre INDOTEL y SUPERATE también fueron establecidas las bases para ejecutar este componente de manera colaborativa por ambas instituciones.</w:t>
      </w:r>
    </w:p>
    <w:p w:rsidR="002639AF" w:rsidRPr="00F97D6D" w:rsidRDefault="002639AF" w:rsidP="002639AF">
      <w:pPr>
        <w:spacing w:line="360" w:lineRule="auto"/>
        <w:rPr>
          <w:szCs w:val="24"/>
          <w:lang w:val="es-419"/>
        </w:rPr>
      </w:pPr>
      <w:r w:rsidRPr="00F97D6D">
        <w:rPr>
          <w:szCs w:val="24"/>
        </w:rPr>
        <w:t xml:space="preserve"> Finalizó la elaboración de los Términos de Referencia que sirvieron de base para el pliego de condiciones de la Comparación de Precios Núm. CCC-CP-2021-0016, publicada el 2 de noviembre de 2021 cuyo objeto es la contratación de una consultoría técnica para elaborar un programa de capacitación digital básica con enfoque de género y entrenar a una red de multiplicadores (as). El 16 de noviembre se llevó a cabo el acto de apertura de ofertas técnicas</w:t>
      </w:r>
      <w:r w:rsidR="00EF4333">
        <w:rPr>
          <w:szCs w:val="24"/>
        </w:rPr>
        <w:t>,</w:t>
      </w:r>
      <w:r w:rsidRPr="00F97D6D">
        <w:rPr>
          <w:szCs w:val="24"/>
        </w:rPr>
        <w:t xml:space="preserve"> las cuales se encuentran en etapa de evaluación.</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after="0" w:line="240" w:lineRule="auto"/>
        <w:jc w:val="left"/>
        <w:rPr>
          <w:rFonts w:eastAsia="Times New Roman"/>
          <w:b/>
          <w:szCs w:val="24"/>
        </w:rPr>
      </w:pPr>
      <w:r w:rsidRPr="00F97D6D">
        <w:rPr>
          <w:rFonts w:eastAsia="Times New Roman"/>
          <w:b/>
          <w:szCs w:val="24"/>
        </w:rPr>
        <w:t>Proyecto Mejora Conectividad Fibra Óptica Región Sur en RD</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color w:val="7F7F7F" w:themeColor="text1" w:themeTint="80"/>
          <w:szCs w:val="24"/>
        </w:rPr>
      </w:pPr>
      <w:r w:rsidRPr="00F97D6D">
        <w:rPr>
          <w:szCs w:val="24"/>
        </w:rPr>
        <w:t xml:space="preserve">Este proyecto perteneciente al Plan Bianual 2019-2020 del INDOTEL, consiste en el despliegue de fibra óptica para conectividad en localidades específicas ubicadas en las provincias de Elías Piña, </w:t>
      </w:r>
      <w:proofErr w:type="spellStart"/>
      <w:r w:rsidRPr="00F97D6D">
        <w:rPr>
          <w:szCs w:val="24"/>
        </w:rPr>
        <w:t>Bahoruco</w:t>
      </w:r>
      <w:proofErr w:type="spellEnd"/>
      <w:r w:rsidRPr="00F97D6D">
        <w:rPr>
          <w:szCs w:val="24"/>
        </w:rPr>
        <w:t>, Independencia y San Juan de la Maguana. En el segundo semestre del año en curso, se completó la construcción del 98.55% de esta red, equivalente a</w:t>
      </w:r>
      <w:r w:rsidR="00EF4333">
        <w:rPr>
          <w:szCs w:val="24"/>
        </w:rPr>
        <w:t xml:space="preserve"> 286.8 Km de un total de 291 Km,</w:t>
      </w:r>
      <w:r w:rsidRPr="00F97D6D">
        <w:rPr>
          <w:szCs w:val="24"/>
        </w:rPr>
        <w:t xml:space="preserve"> los cuales han sido puestos en servicio, conectando unas 44 comunidades de la región sur del país.</w:t>
      </w:r>
    </w:p>
    <w:p w:rsidR="002639AF" w:rsidRPr="00F97D6D" w:rsidRDefault="002639AF" w:rsidP="002639AF">
      <w:pPr>
        <w:spacing w:line="360" w:lineRule="auto"/>
        <w:rPr>
          <w:b/>
          <w:color w:val="FF0000"/>
          <w:szCs w:val="24"/>
        </w:rPr>
      </w:pPr>
    </w:p>
    <w:p w:rsidR="002639AF" w:rsidRPr="00F97D6D" w:rsidRDefault="002639AF" w:rsidP="002639AF">
      <w:pPr>
        <w:spacing w:line="360" w:lineRule="auto"/>
        <w:rPr>
          <w:b/>
          <w:color w:val="FF0000"/>
          <w:szCs w:val="24"/>
        </w:rPr>
      </w:pPr>
    </w:p>
    <w:p w:rsidR="002639AF" w:rsidRDefault="002639AF" w:rsidP="002639AF">
      <w:pPr>
        <w:spacing w:after="0" w:line="240" w:lineRule="auto"/>
        <w:jc w:val="left"/>
        <w:rPr>
          <w:rFonts w:eastAsia="Times New Roman"/>
          <w:szCs w:val="24"/>
        </w:rPr>
      </w:pPr>
    </w:p>
    <w:p w:rsidR="002639AF" w:rsidRDefault="002639AF" w:rsidP="002639AF">
      <w:pPr>
        <w:spacing w:after="0" w:line="240" w:lineRule="auto"/>
        <w:jc w:val="left"/>
        <w:rPr>
          <w:rFonts w:eastAsia="Times New Roman"/>
          <w:szCs w:val="24"/>
        </w:rPr>
      </w:pPr>
    </w:p>
    <w:p w:rsidR="002639AF" w:rsidRDefault="002639AF" w:rsidP="002639AF">
      <w:pPr>
        <w:spacing w:after="0" w:line="240" w:lineRule="auto"/>
        <w:jc w:val="left"/>
        <w:rPr>
          <w:rFonts w:eastAsia="Times New Roman"/>
          <w:szCs w:val="24"/>
        </w:rPr>
      </w:pP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after="0" w:line="240" w:lineRule="auto"/>
        <w:jc w:val="left"/>
        <w:rPr>
          <w:rFonts w:eastAsia="Times New Roman"/>
          <w:b/>
          <w:szCs w:val="24"/>
        </w:rPr>
      </w:pPr>
      <w:r w:rsidRPr="00F97D6D">
        <w:rPr>
          <w:rFonts w:eastAsia="Times New Roman"/>
          <w:b/>
          <w:szCs w:val="24"/>
        </w:rPr>
        <w:t>Proyecto Especial “Recepción de Televisión Digital Educativa para Todas y Todos”</w:t>
      </w:r>
    </w:p>
    <w:p w:rsidR="002639AF" w:rsidRPr="00F97D6D" w:rsidRDefault="002639AF" w:rsidP="002639AF">
      <w:pPr>
        <w:rPr>
          <w:szCs w:val="24"/>
        </w:rPr>
      </w:pPr>
    </w:p>
    <w:p w:rsidR="002639AF" w:rsidRPr="00F97D6D" w:rsidRDefault="002639AF" w:rsidP="002639AF">
      <w:pPr>
        <w:spacing w:line="360" w:lineRule="auto"/>
        <w:rPr>
          <w:szCs w:val="24"/>
        </w:rPr>
      </w:pPr>
      <w:r w:rsidRPr="00F97D6D">
        <w:rPr>
          <w:szCs w:val="24"/>
        </w:rPr>
        <w:t xml:space="preserve">Con este proyecto, el INDOTEL proveerá cajas </w:t>
      </w:r>
      <w:proofErr w:type="spellStart"/>
      <w:r w:rsidRPr="00F97D6D">
        <w:rPr>
          <w:szCs w:val="24"/>
        </w:rPr>
        <w:t>convertidoras</w:t>
      </w:r>
      <w:proofErr w:type="spellEnd"/>
      <w:r w:rsidRPr="00F97D6D">
        <w:rPr>
          <w:szCs w:val="24"/>
        </w:rPr>
        <w:t xml:space="preserve"> de señal análoga a señal digital a hogares localizados específicamente en las provincias de la región del Cibao que están bajo el área de influencia de Radio Santa María y de sus principales actividades educativas a distancia.  Este proyecto se ha concebido como un proyecto piloto de la transición a la televisión digital del canal a través del cual actualmente opera Radio Santa María. </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Este espacio de comunicación televisiva está orientado a educar a jóvenes y adultos de las escuelas de radiodifusión en sectores rurales y suburbanos, mediante su sistema de educación a distancia. Beneficiará aproximadamente a cinco mil hogares, expandiendo de esta forma, el servicio educativo en toda la región del Cibao con programas que promueven la vocación productiva, valores culturales y/o sociales de esta población y sus comunidades.</w:t>
      </w:r>
    </w:p>
    <w:p w:rsidR="002639AF" w:rsidRPr="00F97D6D" w:rsidRDefault="002639AF" w:rsidP="002639AF">
      <w:pPr>
        <w:spacing w:after="0" w:line="240" w:lineRule="auto"/>
        <w:jc w:val="left"/>
        <w:rPr>
          <w:rFonts w:eastAsia="Times New Roman"/>
          <w:szCs w:val="24"/>
        </w:rPr>
      </w:pPr>
    </w:p>
    <w:p w:rsidR="002639AF" w:rsidRPr="00F97D6D" w:rsidRDefault="002639AF" w:rsidP="002639AF">
      <w:pPr>
        <w:spacing w:line="360" w:lineRule="auto"/>
        <w:rPr>
          <w:szCs w:val="24"/>
        </w:rPr>
      </w:pPr>
      <w:r w:rsidRPr="00F97D6D">
        <w:rPr>
          <w:szCs w:val="24"/>
        </w:rPr>
        <w:t>Radio Santa María a lo largo de sus años de operación, ha integrado múltiples vías para brindar su oferta educativa a la población dominicana. Inicia con una emisora de AM (590), luego integra la FM (97.9), posteriormente se incluyen medios impresos con varias publicaciones periódicas. Más tarde se integra un canal de televisión 53 (UHF), y más recientemente han incursionado con el uso de las nuevas tecnologías en sus productos comunicacionales.</w:t>
      </w:r>
    </w:p>
    <w:p w:rsidR="002639AF" w:rsidRPr="00F97D6D" w:rsidRDefault="002639AF" w:rsidP="002639AF">
      <w:pPr>
        <w:spacing w:after="0" w:line="240" w:lineRule="auto"/>
        <w:jc w:val="left"/>
        <w:rPr>
          <w:rFonts w:eastAsia="Times New Roman"/>
          <w:szCs w:val="24"/>
        </w:rPr>
      </w:pPr>
    </w:p>
    <w:p w:rsidR="002639AF" w:rsidRPr="00035383" w:rsidRDefault="002639AF" w:rsidP="002639AF">
      <w:pPr>
        <w:spacing w:line="360" w:lineRule="auto"/>
        <w:rPr>
          <w:szCs w:val="24"/>
        </w:rPr>
      </w:pPr>
      <w:r w:rsidRPr="00F97D6D">
        <w:rPr>
          <w:szCs w:val="24"/>
        </w:rPr>
        <w:t xml:space="preserve">Con el objetivo de realizar una mejor focalización del proyecto se elaboró un perfil sociodemográfico y un estudio para determinar  la necesidad de cajas </w:t>
      </w:r>
      <w:proofErr w:type="spellStart"/>
      <w:r w:rsidRPr="00F97D6D">
        <w:rPr>
          <w:szCs w:val="24"/>
        </w:rPr>
        <w:t>convertidoras</w:t>
      </w:r>
      <w:proofErr w:type="spellEnd"/>
      <w:r w:rsidRPr="00F97D6D">
        <w:rPr>
          <w:szCs w:val="24"/>
        </w:rPr>
        <w:t xml:space="preserve"> de los hogares ubicados en la zona de incidencia del proyecto. A la fecha, se está preparando el informe técnico que servirá de base para el pliego de condiciones para la adquisición de las cajas </w:t>
      </w:r>
      <w:proofErr w:type="spellStart"/>
      <w:r w:rsidRPr="00F97D6D">
        <w:rPr>
          <w:szCs w:val="24"/>
        </w:rPr>
        <w:t>convertidoras</w:t>
      </w:r>
      <w:proofErr w:type="spellEnd"/>
      <w:r>
        <w:rPr>
          <w:szCs w:val="24"/>
        </w:rPr>
        <w:t>.</w:t>
      </w:r>
    </w:p>
    <w:p w:rsidR="002639AF" w:rsidRPr="00F97D6D" w:rsidRDefault="002639AF" w:rsidP="002639AF">
      <w:pPr>
        <w:shd w:val="clear" w:color="auto" w:fill="FFFFFF"/>
        <w:spacing w:beforeAutospacing="1" w:after="0" w:afterAutospacing="1" w:line="240" w:lineRule="auto"/>
        <w:rPr>
          <w:rFonts w:eastAsia="Times New Roman"/>
          <w:b/>
          <w:szCs w:val="24"/>
          <w:bdr w:val="none" w:sz="0" w:space="0" w:color="auto" w:frame="1"/>
          <w:lang w:val="es-419" w:eastAsia="en-US"/>
        </w:rPr>
      </w:pPr>
      <w:r w:rsidRPr="00F97D6D">
        <w:rPr>
          <w:rFonts w:eastAsia="Times New Roman"/>
          <w:b/>
          <w:szCs w:val="24"/>
          <w:bdr w:val="none" w:sz="0" w:space="0" w:color="auto" w:frame="1"/>
          <w:lang w:val="es-419" w:eastAsia="en-US"/>
        </w:rPr>
        <w:lastRenderedPageBreak/>
        <w:t>Proyecto Especial de Equipamiento Laboratorio Extensión ITLA</w:t>
      </w:r>
      <w:r>
        <w:rPr>
          <w:rFonts w:eastAsia="Times New Roman"/>
          <w:b/>
          <w:szCs w:val="24"/>
          <w:bdr w:val="none" w:sz="0" w:space="0" w:color="auto" w:frame="1"/>
          <w:lang w:val="es-419" w:eastAsia="en-US"/>
        </w:rPr>
        <w:t xml:space="preserve"> – </w:t>
      </w:r>
      <w:proofErr w:type="spellStart"/>
      <w:r w:rsidRPr="00F97D6D">
        <w:rPr>
          <w:rFonts w:eastAsia="Times New Roman"/>
          <w:b/>
          <w:szCs w:val="24"/>
          <w:bdr w:val="none" w:sz="0" w:space="0" w:color="auto" w:frame="1"/>
          <w:lang w:val="es-419" w:eastAsia="en-US"/>
        </w:rPr>
        <w:t>Tetelo</w:t>
      </w:r>
      <w:proofErr w:type="spellEnd"/>
      <w:r>
        <w:rPr>
          <w:rFonts w:eastAsia="Times New Roman"/>
          <w:b/>
          <w:szCs w:val="24"/>
          <w:bdr w:val="none" w:sz="0" w:space="0" w:color="auto" w:frame="1"/>
          <w:lang w:val="es-419" w:eastAsia="en-US"/>
        </w:rPr>
        <w:t xml:space="preserve"> </w:t>
      </w:r>
      <w:r w:rsidRPr="00F97D6D">
        <w:rPr>
          <w:rFonts w:eastAsia="Times New Roman"/>
          <w:b/>
          <w:szCs w:val="24"/>
          <w:bdr w:val="none" w:sz="0" w:space="0" w:color="auto" w:frame="1"/>
          <w:lang w:val="es-419" w:eastAsia="en-US"/>
        </w:rPr>
        <w:t>Vargas</w:t>
      </w:r>
    </w:p>
    <w:p w:rsidR="002639AF" w:rsidRPr="00F97D6D" w:rsidRDefault="002639AF" w:rsidP="002639AF">
      <w:pPr>
        <w:spacing w:line="360" w:lineRule="auto"/>
        <w:rPr>
          <w:szCs w:val="24"/>
        </w:rPr>
      </w:pPr>
      <w:r w:rsidRPr="00F97D6D">
        <w:rPr>
          <w:szCs w:val="24"/>
        </w:rPr>
        <w:t>El proyecto consiste en proveer el equipamiento tecnológico requerido para la puesta en operación del Laboratorio de Software de la extensión del ITLA en el Centro Tételo Vargas, ubicado en la provincia San Pedro de Macorís. Este notable centro dispondrá de dos (2) laboratorios adicionales a través de los cuales se impartirán cursos, talleres y diplomados en las modalidades de Multimedia, Redes y Seguridad Informática.</w:t>
      </w:r>
    </w:p>
    <w:p w:rsidR="002639AF" w:rsidRPr="00F97D6D" w:rsidRDefault="002639AF" w:rsidP="002639AF">
      <w:pPr>
        <w:spacing w:line="360" w:lineRule="auto"/>
        <w:rPr>
          <w:szCs w:val="24"/>
        </w:rPr>
      </w:pPr>
      <w:r w:rsidRPr="00F97D6D">
        <w:rPr>
          <w:szCs w:val="24"/>
        </w:rPr>
        <w:t>Para este proyecto se completó el proceso de licitación adjudicado mediante la Resolución del Comité de Compras y Contrataciones Núm. CCC-047-2021, de fecha 16 de septiembre de 2021, por un monto de RD$2</w:t>
      </w:r>
      <w:proofErr w:type="gramStart"/>
      <w:r w:rsidRPr="00F97D6D">
        <w:rPr>
          <w:szCs w:val="24"/>
        </w:rPr>
        <w:t>,961,499.44</w:t>
      </w:r>
      <w:proofErr w:type="gramEnd"/>
      <w:r w:rsidRPr="00F97D6D">
        <w:rPr>
          <w:szCs w:val="24"/>
        </w:rPr>
        <w:t>.</w:t>
      </w:r>
    </w:p>
    <w:p w:rsidR="002639AF" w:rsidRPr="00F97D6D" w:rsidRDefault="002639AF" w:rsidP="002639AF">
      <w:pPr>
        <w:shd w:val="clear" w:color="auto" w:fill="FFFFFF"/>
        <w:spacing w:beforeAutospacing="1" w:after="0" w:afterAutospacing="1" w:line="240" w:lineRule="auto"/>
        <w:ind w:left="720" w:hanging="810"/>
        <w:jc w:val="left"/>
        <w:rPr>
          <w:rFonts w:eastAsia="Times New Roman"/>
          <w:b/>
          <w:szCs w:val="24"/>
          <w:bdr w:val="none" w:sz="0" w:space="0" w:color="auto" w:frame="1"/>
          <w:lang w:val="es-419" w:eastAsia="en-US"/>
        </w:rPr>
      </w:pPr>
      <w:r w:rsidRPr="00F97D6D">
        <w:rPr>
          <w:rFonts w:eastAsia="Times New Roman"/>
          <w:b/>
          <w:szCs w:val="24"/>
          <w:bdr w:val="none" w:sz="0" w:space="0" w:color="auto" w:frame="1"/>
          <w:lang w:val="es-419" w:eastAsia="en-US"/>
        </w:rPr>
        <w:t xml:space="preserve">Despliegue de </w:t>
      </w:r>
      <w:r w:rsidR="00FB3B97">
        <w:rPr>
          <w:rFonts w:eastAsia="Times New Roman"/>
          <w:b/>
          <w:szCs w:val="24"/>
          <w:bdr w:val="none" w:sz="0" w:space="0" w:color="auto" w:frame="1"/>
          <w:lang w:val="es-419" w:eastAsia="en-US"/>
        </w:rPr>
        <w:t>Redes WI-FI en Lugares Públicos</w:t>
      </w:r>
    </w:p>
    <w:p w:rsidR="002639AF" w:rsidRPr="00F97D6D" w:rsidRDefault="002639AF" w:rsidP="002639AF">
      <w:pPr>
        <w:spacing w:line="360" w:lineRule="auto"/>
        <w:rPr>
          <w:szCs w:val="24"/>
        </w:rPr>
      </w:pPr>
      <w:r w:rsidRPr="00F97D6D">
        <w:rPr>
          <w:szCs w:val="24"/>
        </w:rPr>
        <w:t>El objetivo del proyecto Redes WI-FI de Acceso en Lugares Públicos es proveer a la población de las localidades beneficiadas de una cobertura inalámbrica para acceder al servicio de internet de banda ancha, cumpliendo con el mandato de la Estrategia Nacional de Desarrollo (END) de "lograr acceso universal y uso productivo de las Tecnologías de la Información y Comunicación (TIC)".</w:t>
      </w:r>
    </w:p>
    <w:p w:rsidR="002639AF" w:rsidRPr="00F97D6D" w:rsidRDefault="002639AF" w:rsidP="002639AF">
      <w:pPr>
        <w:spacing w:line="360" w:lineRule="auto"/>
        <w:rPr>
          <w:szCs w:val="24"/>
        </w:rPr>
      </w:pPr>
      <w:r w:rsidRPr="00F97D6D">
        <w:rPr>
          <w:szCs w:val="24"/>
        </w:rPr>
        <w:t xml:space="preserve">En la actualidad están en funcionamiento 1,083 puntos WI-FI distribuidos </w:t>
      </w:r>
      <w:proofErr w:type="gramStart"/>
      <w:r w:rsidRPr="00F97D6D">
        <w:rPr>
          <w:szCs w:val="24"/>
        </w:rPr>
        <w:t xml:space="preserve">en toda la geografía nacional e instalados en </w:t>
      </w:r>
      <w:proofErr w:type="gramEnd"/>
      <w:r w:rsidRPr="00F97D6D">
        <w:rPr>
          <w:szCs w:val="24"/>
        </w:rPr>
        <w:t xml:space="preserve"> universidades, escuelas, hospitales, alcaldías, parques, casas de cultura, iglesias, unidades de atención primarias, centros deportivos, estaciones del Metro de Santo Domingo y Teleférico.</w:t>
      </w:r>
    </w:p>
    <w:p w:rsidR="002639AF" w:rsidRPr="00F97D6D" w:rsidRDefault="002639AF" w:rsidP="002639AF">
      <w:pPr>
        <w:shd w:val="clear" w:color="auto" w:fill="FFFFFF"/>
        <w:spacing w:beforeAutospacing="1" w:after="0" w:afterAutospacing="1" w:line="240" w:lineRule="auto"/>
        <w:ind w:left="-90"/>
        <w:rPr>
          <w:rFonts w:eastAsia="Times New Roman"/>
          <w:szCs w:val="24"/>
          <w:lang w:val="es-419" w:eastAsia="en-US"/>
        </w:rPr>
      </w:pPr>
      <w:r w:rsidRPr="00F97D6D">
        <w:rPr>
          <w:rFonts w:eastAsia="Times New Roman"/>
          <w:noProof/>
          <w:szCs w:val="24"/>
          <w:lang w:val="es-419" w:eastAsia="en-US"/>
        </w:rPr>
        <w:t>En el segundo semestre del 2021</w:t>
      </w:r>
      <w:r w:rsidRPr="00F97D6D">
        <w:rPr>
          <w:rFonts w:eastAsia="Times New Roman"/>
          <w:szCs w:val="24"/>
          <w:lang w:val="es-419" w:eastAsia="en-US"/>
        </w:rPr>
        <w:t xml:space="preserve"> fueron instalados l</w:t>
      </w:r>
      <w:r w:rsidR="00FB3B97">
        <w:rPr>
          <w:rFonts w:eastAsia="Times New Roman"/>
          <w:szCs w:val="24"/>
          <w:lang w:val="es-419" w:eastAsia="en-US"/>
        </w:rPr>
        <w:t xml:space="preserve">os </w:t>
      </w:r>
      <w:r w:rsidRPr="00F97D6D">
        <w:rPr>
          <w:rFonts w:eastAsia="Times New Roman"/>
          <w:szCs w:val="24"/>
          <w:lang w:val="es-419" w:eastAsia="en-US"/>
        </w:rPr>
        <w:t xml:space="preserve">siguientes puntos </w:t>
      </w:r>
      <w:proofErr w:type="spellStart"/>
      <w:r w:rsidRPr="00F97D6D">
        <w:rPr>
          <w:rFonts w:eastAsia="Times New Roman"/>
          <w:szCs w:val="24"/>
          <w:lang w:val="es-419" w:eastAsia="en-US"/>
        </w:rPr>
        <w:t>Wi</w:t>
      </w:r>
      <w:proofErr w:type="spellEnd"/>
      <w:r w:rsidRPr="00F97D6D">
        <w:rPr>
          <w:rFonts w:eastAsia="Times New Roman"/>
          <w:szCs w:val="24"/>
          <w:lang w:val="es-419" w:eastAsia="en-US"/>
        </w:rPr>
        <w:t>-</w:t>
      </w:r>
      <w:proofErr w:type="gramStart"/>
      <w:r w:rsidRPr="00F97D6D">
        <w:rPr>
          <w:rFonts w:eastAsia="Times New Roman"/>
          <w:szCs w:val="24"/>
          <w:lang w:val="es-419" w:eastAsia="en-US"/>
        </w:rPr>
        <w:t>Fi :</w:t>
      </w:r>
      <w:proofErr w:type="gramEnd"/>
    </w:p>
    <w:p w:rsidR="002639AF" w:rsidRPr="00F97D6D" w:rsidRDefault="002639AF" w:rsidP="00FB3B97">
      <w:pPr>
        <w:numPr>
          <w:ilvl w:val="0"/>
          <w:numId w:val="33"/>
        </w:numPr>
        <w:shd w:val="clear" w:color="auto" w:fill="FFFFFF"/>
        <w:spacing w:beforeAutospacing="1" w:after="0" w:afterAutospacing="1" w:line="360" w:lineRule="auto"/>
        <w:contextualSpacing/>
        <w:jc w:val="left"/>
        <w:rPr>
          <w:rFonts w:eastAsia="Times New Roman"/>
          <w:szCs w:val="24"/>
          <w:lang w:val="es-419" w:eastAsia="en-US"/>
        </w:rPr>
      </w:pPr>
      <w:r w:rsidRPr="00F97D6D">
        <w:rPr>
          <w:rFonts w:eastAsia="Times New Roman"/>
          <w:szCs w:val="24"/>
          <w:lang w:val="es-419" w:eastAsia="en-US"/>
        </w:rPr>
        <w:t>Comunidad Santa Bárbara (Fuerte del Ángulo)</w:t>
      </w:r>
    </w:p>
    <w:p w:rsidR="002639AF" w:rsidRPr="00F97D6D" w:rsidRDefault="002639AF" w:rsidP="00FB3B97">
      <w:pPr>
        <w:numPr>
          <w:ilvl w:val="0"/>
          <w:numId w:val="33"/>
        </w:numPr>
        <w:shd w:val="clear" w:color="auto" w:fill="FFFFFF"/>
        <w:spacing w:beforeAutospacing="1" w:after="0" w:afterAutospacing="1" w:line="360" w:lineRule="auto"/>
        <w:contextualSpacing/>
        <w:jc w:val="left"/>
        <w:rPr>
          <w:rFonts w:eastAsia="Times New Roman"/>
          <w:szCs w:val="24"/>
          <w:lang w:val="es-419" w:eastAsia="en-US"/>
        </w:rPr>
      </w:pPr>
      <w:r w:rsidRPr="00F97D6D">
        <w:rPr>
          <w:rFonts w:eastAsia="Times New Roman"/>
          <w:szCs w:val="24"/>
          <w:lang w:val="es-419" w:eastAsia="en-US"/>
        </w:rPr>
        <w:t>Fundación La Merced</w:t>
      </w:r>
    </w:p>
    <w:p w:rsidR="002639AF" w:rsidRDefault="002639AF" w:rsidP="00FB3B97">
      <w:pPr>
        <w:numPr>
          <w:ilvl w:val="0"/>
          <w:numId w:val="33"/>
        </w:numPr>
        <w:shd w:val="clear" w:color="auto" w:fill="FFFFFF"/>
        <w:spacing w:beforeAutospacing="1" w:after="0" w:afterAutospacing="1" w:line="360" w:lineRule="auto"/>
        <w:contextualSpacing/>
        <w:jc w:val="left"/>
        <w:rPr>
          <w:rFonts w:eastAsia="Times New Roman"/>
          <w:szCs w:val="24"/>
          <w:lang w:val="es-419" w:eastAsia="en-US"/>
        </w:rPr>
      </w:pPr>
      <w:r w:rsidRPr="00F97D6D">
        <w:rPr>
          <w:rFonts w:eastAsia="Times New Roman"/>
          <w:szCs w:val="24"/>
          <w:lang w:val="es-419" w:eastAsia="en-US"/>
        </w:rPr>
        <w:t>Fortaleza de San Pedro de Macorís Pedro Santana</w:t>
      </w:r>
    </w:p>
    <w:p w:rsidR="002639AF" w:rsidRDefault="002639AF" w:rsidP="002639AF">
      <w:pPr>
        <w:shd w:val="clear" w:color="auto" w:fill="FFFFFF"/>
        <w:spacing w:beforeAutospacing="1" w:after="0" w:afterAutospacing="1" w:line="240" w:lineRule="auto"/>
        <w:contextualSpacing/>
        <w:jc w:val="left"/>
        <w:rPr>
          <w:rFonts w:eastAsia="Times New Roman"/>
          <w:szCs w:val="24"/>
          <w:lang w:val="es-419" w:eastAsia="en-US"/>
        </w:rPr>
      </w:pPr>
    </w:p>
    <w:p w:rsidR="002639AF" w:rsidRPr="00F97D6D" w:rsidRDefault="002639AF" w:rsidP="002639AF">
      <w:pPr>
        <w:shd w:val="clear" w:color="auto" w:fill="FFFFFF"/>
        <w:spacing w:beforeAutospacing="1" w:after="0" w:afterAutospacing="1" w:line="240" w:lineRule="auto"/>
        <w:contextualSpacing/>
        <w:jc w:val="left"/>
        <w:rPr>
          <w:rFonts w:eastAsia="Times New Roman"/>
          <w:szCs w:val="24"/>
          <w:lang w:val="es-419" w:eastAsia="en-US"/>
        </w:rPr>
      </w:pPr>
    </w:p>
    <w:p w:rsidR="002639AF" w:rsidRPr="00F97D6D" w:rsidRDefault="002639AF" w:rsidP="002639AF">
      <w:pPr>
        <w:shd w:val="clear" w:color="auto" w:fill="FFFFFF"/>
        <w:spacing w:beforeAutospacing="1" w:after="0" w:afterAutospacing="1" w:line="240" w:lineRule="auto"/>
        <w:ind w:left="720" w:hanging="810"/>
        <w:jc w:val="left"/>
        <w:rPr>
          <w:rFonts w:eastAsia="Times New Roman"/>
          <w:b/>
          <w:szCs w:val="24"/>
          <w:lang w:val="es-419" w:eastAsia="en-US"/>
        </w:rPr>
      </w:pPr>
      <w:r w:rsidRPr="00F97D6D">
        <w:rPr>
          <w:rFonts w:eastAsia="Times New Roman"/>
          <w:b/>
          <w:szCs w:val="24"/>
          <w:bdr w:val="none" w:sz="0" w:space="0" w:color="auto" w:frame="1"/>
          <w:lang w:val="es-419" w:eastAsia="en-US"/>
        </w:rPr>
        <w:lastRenderedPageBreak/>
        <w:t>Conectividad de la Región Fronteriza</w:t>
      </w:r>
    </w:p>
    <w:p w:rsidR="002639AF" w:rsidRDefault="002639AF" w:rsidP="002639AF">
      <w:pPr>
        <w:spacing w:line="360" w:lineRule="auto"/>
        <w:rPr>
          <w:szCs w:val="24"/>
        </w:rPr>
      </w:pPr>
      <w:r w:rsidRPr="00F97D6D">
        <w:rPr>
          <w:szCs w:val="24"/>
        </w:rPr>
        <w:t>Una situación que afecta la radiodifusión y los servicios de telecomunicaciones en las provincias de la zona fronteriza es la falta de regulación y cumplimiento de acuerdos transfronterizos con Haití en materia de las telecomunicaciones para garantizar la no interferencia de las señales de radio, de la telefonía móvil, el mal uso del espectro radioeléctrico y en general el cumplimiento de los acuerdos internacionales en el ámbito de la Unión Internacional de Telecomunicaciones (UIT).</w:t>
      </w:r>
    </w:p>
    <w:p w:rsidR="00DA4FB5" w:rsidRPr="00F97D6D" w:rsidRDefault="00DA4FB5" w:rsidP="00DA4FB5">
      <w:pPr>
        <w:pStyle w:val="Sinespaciado"/>
      </w:pPr>
    </w:p>
    <w:p w:rsidR="002639AF" w:rsidRPr="00F97D6D" w:rsidRDefault="002639AF" w:rsidP="002639AF">
      <w:pPr>
        <w:spacing w:line="360" w:lineRule="auto"/>
        <w:rPr>
          <w:szCs w:val="24"/>
        </w:rPr>
      </w:pPr>
      <w:r w:rsidRPr="00F97D6D">
        <w:rPr>
          <w:szCs w:val="24"/>
        </w:rPr>
        <w:t>El INDOTEL ha firmado el pasado 16 de abril de 2021, un nuevo convenio el cual se ha enfocado en los siguientes aspectos:</w:t>
      </w:r>
    </w:p>
    <w:p w:rsidR="002639AF" w:rsidRPr="00F97D6D" w:rsidRDefault="002639AF" w:rsidP="002639AF">
      <w:pPr>
        <w:spacing w:line="360" w:lineRule="auto"/>
        <w:rPr>
          <w:szCs w:val="24"/>
        </w:rPr>
      </w:pPr>
      <w:r w:rsidRPr="00F97D6D">
        <w:rPr>
          <w:szCs w:val="24"/>
        </w:rPr>
        <w:t xml:space="preserve">Resolver problemas de interferencias de radio encontrados a lo largo de la frontera. Se realizarán </w:t>
      </w:r>
      <w:proofErr w:type="spellStart"/>
      <w:r w:rsidRPr="00F97D6D">
        <w:rPr>
          <w:szCs w:val="24"/>
        </w:rPr>
        <w:t>monitoreos</w:t>
      </w:r>
      <w:proofErr w:type="spellEnd"/>
      <w:r w:rsidRPr="00F97D6D">
        <w:rPr>
          <w:szCs w:val="24"/>
        </w:rPr>
        <w:t>, con una periodicidad de una (1) vez al año, a principios del mes de marzo o principios del mes de octubre de cada año, fecha previamente acordada por las dos partes. CONATEL e INDOTEL enviarán un equipo conjunto para monitorear las frecuencias y los sitios de telecomunicaciones en zonas fronterizas.</w:t>
      </w:r>
    </w:p>
    <w:p w:rsidR="00DA4FB5" w:rsidRDefault="00DA4FB5" w:rsidP="00DA4FB5">
      <w:pPr>
        <w:pStyle w:val="Sinespaciado"/>
      </w:pPr>
    </w:p>
    <w:p w:rsidR="002639AF" w:rsidRPr="00F97D6D" w:rsidRDefault="00DA4FB5" w:rsidP="002639AF">
      <w:pPr>
        <w:spacing w:line="360" w:lineRule="auto"/>
        <w:rPr>
          <w:szCs w:val="24"/>
        </w:rPr>
      </w:pPr>
      <w:r>
        <w:rPr>
          <w:szCs w:val="24"/>
        </w:rPr>
        <w:t xml:space="preserve">Asegurar </w:t>
      </w:r>
      <w:r w:rsidR="002639AF" w:rsidRPr="00F97D6D">
        <w:rPr>
          <w:szCs w:val="24"/>
        </w:rPr>
        <w:t>y garantizar que las estaciones transmisoras (radiodifusión, telecomunicaciones) cumplan con las especificaciones técnicas definidas en su licencia de operación, para que sus señales no excedan las áreas de cobertura definidas en los marcos regulatorios de ambos países, evitando así interferencias radioeléctricas en el territorio vecino.</w:t>
      </w:r>
    </w:p>
    <w:p w:rsidR="00DA4FB5" w:rsidRDefault="00DA4FB5" w:rsidP="00DA4FB5">
      <w:pPr>
        <w:pStyle w:val="Sinespaciado"/>
      </w:pPr>
    </w:p>
    <w:p w:rsidR="002639AF" w:rsidRPr="00F97D6D" w:rsidRDefault="002639AF" w:rsidP="002639AF">
      <w:pPr>
        <w:spacing w:line="360" w:lineRule="auto"/>
        <w:rPr>
          <w:szCs w:val="24"/>
        </w:rPr>
      </w:pPr>
      <w:r w:rsidRPr="00F97D6D">
        <w:rPr>
          <w:szCs w:val="24"/>
        </w:rPr>
        <w:t xml:space="preserve">Evitar que los habitantes de la zona fronteriza sufran la captación involuntaria de </w:t>
      </w:r>
      <w:proofErr w:type="gramStart"/>
      <w:r w:rsidRPr="00F97D6D">
        <w:rPr>
          <w:szCs w:val="24"/>
        </w:rPr>
        <w:t>señales</w:t>
      </w:r>
      <w:proofErr w:type="gramEnd"/>
      <w:r w:rsidRPr="00F97D6D">
        <w:rPr>
          <w:szCs w:val="24"/>
        </w:rPr>
        <w:t xml:space="preserve"> emitidas por los operadores de redes de telefonía móvil en el otro país. Esto trae como consecuencia, soportar los elevados cobros (tarifas) por concepto de uso de </w:t>
      </w:r>
      <w:proofErr w:type="spellStart"/>
      <w:r w:rsidRPr="00F97D6D">
        <w:rPr>
          <w:szCs w:val="24"/>
        </w:rPr>
        <w:t>roaming</w:t>
      </w:r>
      <w:proofErr w:type="spellEnd"/>
      <w:r w:rsidRPr="00F97D6D">
        <w:rPr>
          <w:szCs w:val="24"/>
        </w:rPr>
        <w:t xml:space="preserve"> móvil.</w:t>
      </w:r>
    </w:p>
    <w:p w:rsidR="002639AF" w:rsidRPr="00F97D6D" w:rsidRDefault="002639AF" w:rsidP="002639AF">
      <w:pPr>
        <w:spacing w:line="360" w:lineRule="auto"/>
        <w:rPr>
          <w:szCs w:val="24"/>
        </w:rPr>
      </w:pPr>
      <w:r w:rsidRPr="00F97D6D">
        <w:rPr>
          <w:szCs w:val="24"/>
        </w:rPr>
        <w:lastRenderedPageBreak/>
        <w:t xml:space="preserve">Neutralizar o ayudar a neutralizar las redes de operadores ilegales que causen daños graves, tanto a los operadores autorizados como al Estado, en la medida que lo permita la ley territorial aplicable. Para ello, dada la existencia de actividades fraudulentas perpetradas desde determinadas localidades cercanas a la frontera haitiano-dominicana, CONATEL e INDOTEL brindarán el apoyo necesario para identificar a los operadores ilegales y tomarán medidas enérgicas, en caso de ser necesario. </w:t>
      </w:r>
    </w:p>
    <w:p w:rsidR="002639AF" w:rsidRPr="00F97D6D" w:rsidRDefault="002639AF" w:rsidP="00FB3B97">
      <w:pPr>
        <w:pStyle w:val="Textonotasalpie"/>
      </w:pPr>
    </w:p>
    <w:p w:rsidR="002639AF" w:rsidRPr="00F97D6D" w:rsidRDefault="002639AF" w:rsidP="002639AF">
      <w:pPr>
        <w:spacing w:line="360" w:lineRule="auto"/>
        <w:rPr>
          <w:szCs w:val="24"/>
        </w:rPr>
      </w:pPr>
      <w:r w:rsidRPr="00F97D6D">
        <w:rPr>
          <w:szCs w:val="24"/>
        </w:rPr>
        <w:t>En el segundo semestre del 2021 fue realizado un diagnóstico de las brechas estructurales de la Zona Fronteriza en colaboración con la Dirección de Políticas de Desarrollo de la Zona Fronteriza (DPDZF) del Ministerio de Economía, Planificación y Desarrollo (</w:t>
      </w:r>
      <w:proofErr w:type="spellStart"/>
      <w:r w:rsidRPr="00F97D6D">
        <w:rPr>
          <w:szCs w:val="24"/>
        </w:rPr>
        <w:t>MEPyD</w:t>
      </w:r>
      <w:proofErr w:type="spellEnd"/>
      <w:r w:rsidRPr="00F97D6D">
        <w:rPr>
          <w:szCs w:val="24"/>
        </w:rPr>
        <w:t>). En su elaboración participaron también el Viceministerio de Análisis Económico y Social (VAES), el Viceministerio de Planificación (VIPLAN) y el Viceministerio de Ordenamiento Territorial y Desarrollo Regional (VIOTDR). Este diagnóstico ha servido de base a varios proyectos que está emprendiendo el FDT para seguir cerrando brecha de conectividad.</w:t>
      </w:r>
    </w:p>
    <w:p w:rsidR="002639AF" w:rsidRPr="00F97D6D" w:rsidRDefault="002639AF" w:rsidP="002639AF">
      <w:pPr>
        <w:spacing w:after="120" w:line="240" w:lineRule="auto"/>
        <w:rPr>
          <w:b/>
          <w:bCs/>
          <w:szCs w:val="24"/>
        </w:rPr>
      </w:pPr>
    </w:p>
    <w:p w:rsidR="002639AF" w:rsidRPr="00F97D6D" w:rsidRDefault="002639AF" w:rsidP="002639AF">
      <w:pPr>
        <w:spacing w:line="360" w:lineRule="auto"/>
        <w:rPr>
          <w:b/>
          <w:bCs/>
          <w:szCs w:val="24"/>
        </w:rPr>
      </w:pPr>
      <w:r w:rsidRPr="00F97D6D">
        <w:rPr>
          <w:b/>
          <w:bCs/>
          <w:szCs w:val="24"/>
        </w:rPr>
        <w:t>Plan Nacional de Banda Ancha</w:t>
      </w:r>
    </w:p>
    <w:p w:rsidR="002639AF" w:rsidRPr="00F97D6D" w:rsidRDefault="002639AF" w:rsidP="002639AF">
      <w:pPr>
        <w:spacing w:line="360" w:lineRule="auto"/>
        <w:rPr>
          <w:szCs w:val="24"/>
        </w:rPr>
      </w:pPr>
      <w:r w:rsidRPr="00F97D6D">
        <w:rPr>
          <w:szCs w:val="24"/>
        </w:rPr>
        <w:t xml:space="preserve">En el marco del Decreto Núm. 539-20 que designa al INDOTEL como coordinador para la formulación del Plan Nacional de Banda Ancha, el Fondo de Desarrollo de las Telecomunicaciones fue instruido para este objetivo. En este sentido, la institución avanzó en la formulación preliminar del Plan, desarrollándose un diagnóstico de la situación de la banda ancha en el país, definiendo los objetivos estratégicos, líneas de acción, proyectos estratégicos e indicadores para conectar al 2030 a todos los dominicanos y dominicanas al internet de banda ancha asequible como un medio para la inclusión social, el cierre de la brecha digital y el desarrollo de una economía digital nacional próspera que contribuya al desarrollo económico </w:t>
      </w:r>
      <w:r w:rsidRPr="00F97D6D">
        <w:rPr>
          <w:szCs w:val="24"/>
        </w:rPr>
        <w:lastRenderedPageBreak/>
        <w:t>y social sostenible, de acuerdo a la meta de referencia de la Unión Internacional de las Telecomunicaciones (UIT) quien ha establecido para el acceso universal asequible (meta 9c de los ODS  para el 2030) que el 90% de la población mayor de 10 años esté activamente conectada a una velocidad mínima de 10 Mbps. Estos trabajos se han plasmado en el Eje de Acceso y Conectividad de la Agenda Digital 2030 y se definió un plan de acción al 2024 con 15 proyectos priorizados para cerrar las principales brechas de conectividad del país.</w:t>
      </w: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Default="002639AF" w:rsidP="002639AF">
      <w:pPr>
        <w:spacing w:line="360" w:lineRule="auto"/>
        <w:rPr>
          <w:szCs w:val="24"/>
        </w:rPr>
      </w:pPr>
    </w:p>
    <w:p w:rsidR="002639AF" w:rsidRPr="00E83EBC" w:rsidRDefault="002639AF" w:rsidP="002639AF">
      <w:pPr>
        <w:pStyle w:val="Ttulo3"/>
      </w:pPr>
      <w:bookmarkStart w:id="19" w:name="_Toc90936650"/>
      <w:proofErr w:type="spellStart"/>
      <w:r w:rsidRPr="00E83EBC">
        <w:lastRenderedPageBreak/>
        <w:t>Ciberseguridad</w:t>
      </w:r>
      <w:proofErr w:type="spellEnd"/>
      <w:r w:rsidRPr="00E83EBC">
        <w:t>, Comercio Electrónico y Firma Digital</w:t>
      </w:r>
      <w:bookmarkEnd w:id="19"/>
    </w:p>
    <w:p w:rsidR="002639AF" w:rsidRDefault="002639AF" w:rsidP="002639AF">
      <w:pPr>
        <w:pStyle w:val="Sinespaciado"/>
      </w:pPr>
    </w:p>
    <w:p w:rsidR="00FC78F7" w:rsidRPr="00FC78F7" w:rsidRDefault="00FC78F7" w:rsidP="00FC78F7">
      <w:pPr>
        <w:shd w:val="clear" w:color="auto" w:fill="FFFFFF" w:themeFill="background1"/>
        <w:spacing w:after="0" w:line="360" w:lineRule="auto"/>
        <w:textAlignment w:val="baseline"/>
        <w:rPr>
          <w:rFonts w:eastAsiaTheme="minorHAnsi"/>
          <w:szCs w:val="24"/>
          <w:lang w:eastAsia="en-US"/>
        </w:rPr>
      </w:pPr>
      <w:r w:rsidRPr="00FC78F7">
        <w:rPr>
          <w:rFonts w:eastAsiaTheme="minorHAnsi"/>
          <w:szCs w:val="24"/>
          <w:lang w:eastAsia="en-US"/>
        </w:rPr>
        <w:t xml:space="preserve">El INDOTEL a través de la Dirección de </w:t>
      </w:r>
      <w:proofErr w:type="spellStart"/>
      <w:r w:rsidRPr="00FC78F7">
        <w:rPr>
          <w:rFonts w:eastAsiaTheme="minorHAnsi"/>
          <w:szCs w:val="24"/>
          <w:lang w:eastAsia="en-US"/>
        </w:rPr>
        <w:t>Ciberseguridad</w:t>
      </w:r>
      <w:proofErr w:type="spellEnd"/>
      <w:r w:rsidRPr="00FC78F7">
        <w:rPr>
          <w:rFonts w:eastAsiaTheme="minorHAnsi"/>
          <w:szCs w:val="24"/>
          <w:lang w:eastAsia="en-US"/>
        </w:rPr>
        <w:t xml:space="preserve">, Comercio Electrónico y Firma Digital tiene como objetivo crear una cultura de </w:t>
      </w:r>
      <w:proofErr w:type="spellStart"/>
      <w:r w:rsidRPr="00FC78F7">
        <w:rPr>
          <w:rFonts w:eastAsiaTheme="minorHAnsi"/>
          <w:szCs w:val="24"/>
          <w:lang w:eastAsia="en-US"/>
        </w:rPr>
        <w:t>ciberseguridad</w:t>
      </w:r>
      <w:proofErr w:type="spellEnd"/>
      <w:r w:rsidRPr="00FC78F7">
        <w:rPr>
          <w:rFonts w:eastAsiaTheme="minorHAnsi"/>
          <w:szCs w:val="24"/>
          <w:lang w:eastAsia="en-US"/>
        </w:rPr>
        <w:t xml:space="preserve"> en el sector de las telecomunicaciones con la finalidad de proteger los sistemas de información y la infraestructura e impulsar y promover a nivel nacional el comercio electrónico y el uso de la firma digital para contribuir al desarrollo de la economía digital en la República Dominicana.</w:t>
      </w:r>
    </w:p>
    <w:p w:rsidR="00FC78F7" w:rsidRPr="00FC78F7" w:rsidRDefault="00FC78F7" w:rsidP="00FC78F7">
      <w:pPr>
        <w:spacing w:after="0" w:line="360" w:lineRule="auto"/>
        <w:mirrorIndents/>
        <w:jc w:val="left"/>
        <w:rPr>
          <w:rFonts w:eastAsiaTheme="minorHAnsi"/>
          <w:szCs w:val="24"/>
          <w:lang w:eastAsia="en-US"/>
        </w:rPr>
      </w:pPr>
    </w:p>
    <w:p w:rsidR="00FC78F7" w:rsidRPr="00FC78F7" w:rsidRDefault="00FC78F7" w:rsidP="00FC78F7">
      <w:pPr>
        <w:spacing w:after="0" w:line="360" w:lineRule="auto"/>
        <w:rPr>
          <w:rFonts w:ascii="Calibri" w:eastAsia="Times New Roman" w:hAnsi="Calibri" w:cs="Calibri"/>
          <w:b/>
          <w:szCs w:val="24"/>
        </w:rPr>
      </w:pPr>
      <w:r w:rsidRPr="00FC78F7">
        <w:rPr>
          <w:rFonts w:eastAsiaTheme="minorHAnsi"/>
          <w:szCs w:val="24"/>
          <w:lang w:eastAsia="en-US"/>
        </w:rPr>
        <w:t>Para la consecución de este objetivo, en el 2021 fueron coordinadas las siguientes actividades:</w:t>
      </w:r>
      <w:r w:rsidRPr="00FC78F7">
        <w:rPr>
          <w:rFonts w:ascii="Calibri" w:eastAsia="Times New Roman" w:hAnsi="Calibri" w:cs="Calibri"/>
          <w:b/>
          <w:szCs w:val="24"/>
        </w:rPr>
        <w:t xml:space="preserve"> </w:t>
      </w:r>
    </w:p>
    <w:p w:rsidR="00FC78F7" w:rsidRPr="00FC78F7" w:rsidRDefault="00FC78F7" w:rsidP="00FC78F7">
      <w:pPr>
        <w:spacing w:after="0" w:line="360" w:lineRule="auto"/>
        <w:rPr>
          <w:rFonts w:eastAsiaTheme="minorHAnsi"/>
          <w:b/>
          <w:szCs w:val="24"/>
          <w:lang w:eastAsia="en-US"/>
        </w:rPr>
      </w:pPr>
    </w:p>
    <w:p w:rsidR="00FC78F7" w:rsidRPr="00FC78F7" w:rsidRDefault="00FC78F7" w:rsidP="00FC78F7">
      <w:pPr>
        <w:spacing w:after="0" w:line="360" w:lineRule="auto"/>
        <w:rPr>
          <w:rFonts w:eastAsiaTheme="minorHAnsi"/>
          <w:b/>
          <w:szCs w:val="24"/>
          <w:lang w:eastAsia="en-US"/>
        </w:rPr>
      </w:pPr>
      <w:proofErr w:type="spellStart"/>
      <w:r w:rsidRPr="00FC78F7">
        <w:rPr>
          <w:rFonts w:eastAsiaTheme="minorHAnsi"/>
          <w:b/>
          <w:szCs w:val="24"/>
          <w:lang w:eastAsia="en-US"/>
        </w:rPr>
        <w:t>Ciberseguridad</w:t>
      </w:r>
      <w:proofErr w:type="spellEnd"/>
    </w:p>
    <w:p w:rsidR="00FC78F7" w:rsidRPr="00FC78F7" w:rsidRDefault="00FC78F7" w:rsidP="00FC78F7">
      <w:pPr>
        <w:spacing w:after="0" w:line="360" w:lineRule="auto"/>
        <w:rPr>
          <w:rFonts w:eastAsiaTheme="minorHAnsi"/>
          <w:b/>
          <w:szCs w:val="24"/>
          <w:lang w:eastAsia="en-US"/>
        </w:rPr>
      </w:pPr>
    </w:p>
    <w:p w:rsidR="00FC78F7" w:rsidRPr="00FC78F7" w:rsidRDefault="00FC78F7" w:rsidP="00FC78F7">
      <w:pPr>
        <w:spacing w:after="0" w:line="360" w:lineRule="auto"/>
        <w:rPr>
          <w:rFonts w:eastAsiaTheme="minorHAnsi"/>
          <w:b/>
          <w:szCs w:val="24"/>
          <w:lang w:eastAsia="en-US"/>
        </w:rPr>
      </w:pPr>
      <w:r w:rsidRPr="00FC78F7">
        <w:rPr>
          <w:rFonts w:eastAsiaTheme="minorHAnsi"/>
          <w:b/>
          <w:szCs w:val="24"/>
          <w:lang w:eastAsia="en-US"/>
        </w:rPr>
        <w:t xml:space="preserve">Reglamento de </w:t>
      </w:r>
      <w:proofErr w:type="spellStart"/>
      <w:r w:rsidRPr="00FC78F7">
        <w:rPr>
          <w:rFonts w:eastAsiaTheme="minorHAnsi"/>
          <w:b/>
          <w:szCs w:val="24"/>
          <w:lang w:eastAsia="en-US"/>
        </w:rPr>
        <w:t>Ciberseguridad</w:t>
      </w:r>
      <w:proofErr w:type="spellEnd"/>
      <w:r w:rsidRPr="00FC78F7">
        <w:rPr>
          <w:rFonts w:eastAsiaTheme="minorHAnsi"/>
          <w:b/>
          <w:szCs w:val="24"/>
          <w:lang w:eastAsia="en-US"/>
        </w:rPr>
        <w:t xml:space="preserve"> para el sector de las telecomunicaciones</w:t>
      </w:r>
    </w:p>
    <w:p w:rsidR="00FC78F7" w:rsidRPr="00FC78F7" w:rsidRDefault="00FC78F7" w:rsidP="00FC78F7">
      <w:pPr>
        <w:spacing w:after="0" w:line="360" w:lineRule="auto"/>
        <w:rPr>
          <w:rFonts w:eastAsiaTheme="minorHAnsi"/>
          <w:b/>
          <w:szCs w:val="24"/>
          <w:lang w:eastAsia="en-US"/>
        </w:rPr>
      </w:pPr>
    </w:p>
    <w:p w:rsidR="00FC78F7" w:rsidRPr="00FC78F7" w:rsidRDefault="00FC78F7" w:rsidP="00FC78F7">
      <w:pPr>
        <w:spacing w:after="0" w:line="360" w:lineRule="auto"/>
        <w:mirrorIndents/>
        <w:rPr>
          <w:rFonts w:eastAsiaTheme="minorHAnsi"/>
          <w:szCs w:val="24"/>
          <w:lang w:eastAsia="en-US"/>
        </w:rPr>
      </w:pPr>
      <w:r w:rsidRPr="00FC78F7">
        <w:rPr>
          <w:rFonts w:eastAsiaTheme="minorHAnsi"/>
          <w:szCs w:val="24"/>
          <w:lang w:eastAsia="en-US"/>
        </w:rPr>
        <w:t>La penetración de la Banda Ancha ha crecido fuertemente y, a la fecha, más de la mitad de la población mundial está en línea. Para finales de 2019, 4,000 millones de personas (51.4% de la población mundial) utilizaban Internet, de acuerdo al reporte de la Unión Internacional de la Telecomunicaciones (UIT).</w:t>
      </w:r>
    </w:p>
    <w:p w:rsidR="00FC78F7" w:rsidRPr="00FC78F7" w:rsidRDefault="00FC78F7" w:rsidP="00FC78F7">
      <w:pPr>
        <w:spacing w:after="0" w:line="360" w:lineRule="auto"/>
        <w:mirrorIndents/>
        <w:rPr>
          <w:rFonts w:eastAsiaTheme="minorHAnsi"/>
          <w:szCs w:val="24"/>
          <w:lang w:eastAsia="en-US"/>
        </w:rPr>
      </w:pPr>
    </w:p>
    <w:p w:rsidR="00FC78F7" w:rsidRPr="00FC78F7" w:rsidRDefault="00FC78F7" w:rsidP="00FC78F7">
      <w:pPr>
        <w:spacing w:after="0" w:line="360" w:lineRule="auto"/>
        <w:mirrorIndents/>
        <w:rPr>
          <w:rFonts w:eastAsiaTheme="minorHAnsi"/>
          <w:szCs w:val="24"/>
          <w:lang w:eastAsia="en-US"/>
        </w:rPr>
      </w:pPr>
      <w:r w:rsidRPr="00FC78F7">
        <w:rPr>
          <w:rFonts w:eastAsiaTheme="minorHAnsi"/>
          <w:szCs w:val="24"/>
          <w:lang w:eastAsia="en-US"/>
        </w:rPr>
        <w:t>En el escenario mundial señalado anteriormente, las empresas prestadoras de servicios de acceso a Internet juegan un papel esencial, ya que a través de sus infraestructuras de tecnologías de información prestan a la ciudadanía el servicio de acceso a Internet, por medio del cual acceden, a la vez, a los servicios esenciales para su desarrollo social y económico.</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tabs>
          <w:tab w:val="left" w:pos="8647"/>
        </w:tabs>
        <w:spacing w:after="0" w:line="360" w:lineRule="auto"/>
        <w:mirrorIndents/>
        <w:rPr>
          <w:rFonts w:eastAsiaTheme="minorHAnsi"/>
          <w:szCs w:val="24"/>
          <w:lang w:eastAsia="en-US"/>
        </w:rPr>
      </w:pPr>
      <w:r w:rsidRPr="00FC78F7">
        <w:rPr>
          <w:rFonts w:eastAsiaTheme="minorHAnsi"/>
          <w:szCs w:val="24"/>
          <w:lang w:eastAsia="en-US"/>
        </w:rPr>
        <w:t xml:space="preserve">Por su naturaleza, las empresas prestadoras del servicio de Internet son consideradas como infraestructuras críticas pues un daño a sus plataformas tecnológicas, por causas naturales o deliberadas, causan la interrupción parcial o </w:t>
      </w:r>
      <w:r w:rsidRPr="00FC78F7">
        <w:rPr>
          <w:rFonts w:eastAsiaTheme="minorHAnsi"/>
          <w:szCs w:val="24"/>
          <w:lang w:eastAsia="en-US"/>
        </w:rPr>
        <w:lastRenderedPageBreak/>
        <w:t>total de los servicios ofrecidos a la ciudadanía a través del Internet, como por ejemplo, los de salud, transporte, suministro de agua potable, acceso a los sectores productivos y financieros, entre otros, que ponen en riesgo la vida de muchos ciudadanos y hasta pueden provocar la paralización del sistema económico nacional.</w:t>
      </w:r>
    </w:p>
    <w:p w:rsidR="00FC78F7" w:rsidRPr="00FC78F7" w:rsidRDefault="00FC78F7" w:rsidP="00FC78F7">
      <w:pPr>
        <w:tabs>
          <w:tab w:val="left" w:pos="8647"/>
        </w:tabs>
        <w:spacing w:after="0" w:line="360" w:lineRule="auto"/>
        <w:mirrorIndents/>
        <w:rPr>
          <w:rFonts w:eastAsiaTheme="minorHAnsi"/>
          <w:szCs w:val="24"/>
          <w:lang w:eastAsia="en-US"/>
        </w:rPr>
      </w:pPr>
    </w:p>
    <w:p w:rsidR="00FC78F7" w:rsidRPr="00FC78F7" w:rsidRDefault="00FC78F7" w:rsidP="00FC78F7">
      <w:pPr>
        <w:tabs>
          <w:tab w:val="left" w:pos="8647"/>
        </w:tabs>
        <w:spacing w:after="0" w:line="360" w:lineRule="auto"/>
        <w:mirrorIndents/>
        <w:rPr>
          <w:rFonts w:eastAsiaTheme="minorHAnsi"/>
          <w:color w:val="FF0000"/>
          <w:szCs w:val="24"/>
          <w:lang w:eastAsia="en-US"/>
        </w:rPr>
      </w:pPr>
      <w:r w:rsidRPr="00FC78F7">
        <w:rPr>
          <w:rFonts w:eastAsiaTheme="minorHAnsi"/>
          <w:szCs w:val="24"/>
          <w:lang w:eastAsia="en-US"/>
        </w:rPr>
        <w:t xml:space="preserve">Por lo antes expuesto, es preciso la creación y adopción de normativas e implementación de estándares y mejores prácticas en seguridad cibernética en las empresas prestadoras de servicio de Internet para garantizar, en casos de contingencia, la accesibilidad y continuidad de la prestación de los servicios públicos de telecomunicaciones y asegurar la protección de la integridad, disponibilidad y confidencialidad de la información que transita por los sistemas de información. La adopción de estas normativas y estándares se llevará a cabo por el Reglamento de </w:t>
      </w:r>
      <w:proofErr w:type="spellStart"/>
      <w:r w:rsidRPr="00FC78F7">
        <w:rPr>
          <w:rFonts w:eastAsiaTheme="minorHAnsi"/>
          <w:szCs w:val="24"/>
          <w:lang w:eastAsia="en-US"/>
        </w:rPr>
        <w:t>Ciberseguridad</w:t>
      </w:r>
      <w:proofErr w:type="spellEnd"/>
      <w:r w:rsidRPr="00FC78F7">
        <w:rPr>
          <w:rFonts w:eastAsiaTheme="minorHAnsi"/>
          <w:szCs w:val="24"/>
          <w:lang w:eastAsia="en-US"/>
        </w:rPr>
        <w:t xml:space="preserve"> para la Prestación del Servicio de Acceso a Internet, el cual fue aprobado mediante la Resolución Núm. 126-21 del Consejo Directivo de INDOTEL. </w:t>
      </w:r>
    </w:p>
    <w:p w:rsidR="00FC78F7" w:rsidRPr="00FC78F7" w:rsidRDefault="00FC78F7" w:rsidP="00FC78F7">
      <w:pPr>
        <w:tabs>
          <w:tab w:val="left" w:pos="8647"/>
        </w:tabs>
        <w:spacing w:after="0" w:line="360" w:lineRule="auto"/>
        <w:mirrorIndents/>
        <w:rPr>
          <w:rFonts w:eastAsiaTheme="minorHAnsi"/>
          <w:szCs w:val="24"/>
          <w:lang w:eastAsia="en-US"/>
        </w:rPr>
      </w:pPr>
    </w:p>
    <w:p w:rsidR="00FC78F7" w:rsidRPr="00FC78F7" w:rsidRDefault="00FC78F7" w:rsidP="00FC78F7">
      <w:pPr>
        <w:tabs>
          <w:tab w:val="left" w:pos="720"/>
        </w:tabs>
        <w:spacing w:after="0" w:line="360" w:lineRule="auto"/>
        <w:mirrorIndents/>
        <w:rPr>
          <w:rFonts w:eastAsiaTheme="minorHAnsi"/>
          <w:b/>
          <w:szCs w:val="24"/>
          <w:lang w:eastAsia="en-US"/>
        </w:rPr>
      </w:pPr>
      <w:r w:rsidRPr="00FC78F7">
        <w:rPr>
          <w:rFonts w:eastAsiaTheme="minorHAnsi"/>
          <w:b/>
          <w:szCs w:val="24"/>
          <w:lang w:eastAsia="en-US"/>
        </w:rPr>
        <w:t xml:space="preserve">Diagnóstico que mide el nivel de madurez de </w:t>
      </w:r>
      <w:proofErr w:type="spellStart"/>
      <w:r w:rsidRPr="00FC78F7">
        <w:rPr>
          <w:rFonts w:eastAsiaTheme="minorHAnsi"/>
          <w:b/>
          <w:szCs w:val="24"/>
          <w:lang w:eastAsia="en-US"/>
        </w:rPr>
        <w:t>ciberresiliencia</w:t>
      </w:r>
      <w:proofErr w:type="spellEnd"/>
      <w:r w:rsidRPr="00FC78F7">
        <w:rPr>
          <w:rFonts w:eastAsiaTheme="minorHAnsi"/>
          <w:b/>
          <w:szCs w:val="24"/>
          <w:lang w:eastAsia="en-US"/>
        </w:rPr>
        <w:t xml:space="preserve"> de las empresas de telecomunicaciones con mayor participación en el mercado</w:t>
      </w:r>
    </w:p>
    <w:p w:rsidR="00FC78F7" w:rsidRPr="00FC78F7" w:rsidRDefault="00FC78F7" w:rsidP="00FC78F7">
      <w:pPr>
        <w:tabs>
          <w:tab w:val="left" w:pos="720"/>
        </w:tabs>
        <w:spacing w:after="0" w:line="360" w:lineRule="auto"/>
        <w:mirrorIndents/>
        <w:rPr>
          <w:rFonts w:eastAsiaTheme="minorHAnsi"/>
          <w:b/>
          <w:szCs w:val="24"/>
          <w:lang w:eastAsia="en-US"/>
        </w:rPr>
      </w:pPr>
    </w:p>
    <w:p w:rsidR="00FC78F7" w:rsidRPr="00FC78F7" w:rsidRDefault="00FC78F7" w:rsidP="00FC78F7">
      <w:pPr>
        <w:tabs>
          <w:tab w:val="left" w:pos="720"/>
        </w:tabs>
        <w:spacing w:after="0" w:line="360" w:lineRule="auto"/>
        <w:mirrorIndents/>
        <w:rPr>
          <w:rFonts w:eastAsiaTheme="minorHAnsi"/>
          <w:szCs w:val="24"/>
          <w:lang w:eastAsia="en-US"/>
        </w:rPr>
      </w:pPr>
      <w:r w:rsidRPr="00FC78F7">
        <w:rPr>
          <w:rFonts w:eastAsiaTheme="minorHAnsi"/>
          <w:szCs w:val="24"/>
          <w:lang w:eastAsia="en-US"/>
        </w:rPr>
        <w:t>Las empresas de telecomunicaciones son consideradas mundialmente infraestructuras críticas, ya que prestan servicios vitales de comunicación a la ciudadanía en general, tanto a nivel nacional como internacional.</w:t>
      </w:r>
    </w:p>
    <w:p w:rsidR="00FC78F7" w:rsidRPr="00FC78F7" w:rsidRDefault="00FC78F7" w:rsidP="00FC78F7">
      <w:pPr>
        <w:tabs>
          <w:tab w:val="left" w:pos="720"/>
        </w:tabs>
        <w:spacing w:after="0" w:line="360" w:lineRule="auto"/>
        <w:mirrorIndents/>
        <w:rPr>
          <w:rFonts w:eastAsiaTheme="minorHAnsi"/>
          <w:szCs w:val="24"/>
          <w:lang w:eastAsia="en-US"/>
        </w:rPr>
      </w:pPr>
    </w:p>
    <w:p w:rsidR="00FC78F7" w:rsidRPr="00FC78F7" w:rsidRDefault="00FC78F7" w:rsidP="00FC78F7">
      <w:pPr>
        <w:tabs>
          <w:tab w:val="left" w:pos="720"/>
        </w:tabs>
        <w:spacing w:after="0" w:line="360" w:lineRule="auto"/>
        <w:mirrorIndents/>
        <w:rPr>
          <w:rFonts w:eastAsiaTheme="minorHAnsi"/>
          <w:szCs w:val="24"/>
          <w:lang w:eastAsia="en-US"/>
        </w:rPr>
      </w:pPr>
      <w:r w:rsidRPr="00FC78F7">
        <w:rPr>
          <w:rFonts w:eastAsiaTheme="minorHAnsi"/>
          <w:szCs w:val="24"/>
          <w:lang w:eastAsia="en-US"/>
        </w:rPr>
        <w:t>La responsabilidad de hacer cumplir los principios y objetivos de accesibilidad y continuidad de los servicios recae sobre el órgano regulador de las telecomunicaciones y de acuerdo al artículo 30 de la Ley Núm. 153-98, los concesionarios son responsables de la prestación de los servicios públicos de telecomunicaciones.</w:t>
      </w:r>
    </w:p>
    <w:p w:rsidR="00FC78F7" w:rsidRPr="00FC78F7" w:rsidRDefault="00FC78F7" w:rsidP="00FC78F7">
      <w:pPr>
        <w:tabs>
          <w:tab w:val="left" w:pos="720"/>
        </w:tabs>
        <w:spacing w:after="0" w:line="360" w:lineRule="auto"/>
        <w:mirrorIndents/>
        <w:rPr>
          <w:rFonts w:eastAsiaTheme="minorHAnsi"/>
          <w:color w:val="FF0000"/>
          <w:szCs w:val="24"/>
          <w:lang w:eastAsia="en-US"/>
        </w:rPr>
      </w:pPr>
      <w:r w:rsidRPr="00FC78F7">
        <w:rPr>
          <w:rFonts w:eastAsiaTheme="minorHAnsi"/>
          <w:szCs w:val="24"/>
          <w:lang w:eastAsia="en-US"/>
        </w:rPr>
        <w:lastRenderedPageBreak/>
        <w:t xml:space="preserve">Por las razones antes señaladas, durante los meses de febrero a abril de 2021 las empresas con mayor participación en el mercado: ALTICE DOMINICANA, S.A, COMPAÑÍA DOMINICANA DE TELÉFONOS, C. POR A. (CLARO), TRILOGY DOMINICANA, S.A. (VIVA) Y WIND TELECOM, S.A., realizaron, a solicitud del INDOTEL, el tercer autodiagnóstico que mide su nivel de madurez general de </w:t>
      </w:r>
      <w:proofErr w:type="spellStart"/>
      <w:r w:rsidRPr="00FC78F7">
        <w:rPr>
          <w:rFonts w:eastAsiaTheme="minorHAnsi"/>
          <w:szCs w:val="24"/>
          <w:lang w:eastAsia="en-US"/>
        </w:rPr>
        <w:t>ciberresiliencia</w:t>
      </w:r>
      <w:proofErr w:type="spellEnd"/>
      <w:r w:rsidRPr="00FC78F7">
        <w:rPr>
          <w:rFonts w:eastAsiaTheme="minorHAnsi"/>
          <w:szCs w:val="24"/>
          <w:lang w:eastAsia="en-US"/>
        </w:rPr>
        <w:t xml:space="preserve">. Los resultados de avances alcanzados fueron bastante favorables, experimentando todas las empresas progresos significativos comparados con los del año anterior, mostrando así un mayor compromiso de las empresas con mejorar la </w:t>
      </w:r>
      <w:proofErr w:type="spellStart"/>
      <w:r w:rsidRPr="00FC78F7">
        <w:rPr>
          <w:rFonts w:eastAsiaTheme="minorHAnsi"/>
          <w:szCs w:val="24"/>
          <w:lang w:eastAsia="en-US"/>
        </w:rPr>
        <w:t>ciberseguridad</w:t>
      </w:r>
      <w:proofErr w:type="spellEnd"/>
      <w:r w:rsidRPr="00FC78F7">
        <w:rPr>
          <w:rFonts w:eastAsiaTheme="minorHAnsi"/>
          <w:szCs w:val="24"/>
          <w:lang w:eastAsia="en-US"/>
        </w:rPr>
        <w:t xml:space="preserve"> a nivel nacional. </w:t>
      </w:r>
    </w:p>
    <w:p w:rsidR="00FC78F7" w:rsidRPr="00FC78F7" w:rsidRDefault="00FC78F7" w:rsidP="00FC78F7">
      <w:pPr>
        <w:tabs>
          <w:tab w:val="left" w:pos="8647"/>
        </w:tabs>
        <w:spacing w:after="0" w:line="360" w:lineRule="auto"/>
        <w:mirrorIndents/>
        <w:rPr>
          <w:rFonts w:eastAsiaTheme="minorHAnsi"/>
          <w:szCs w:val="24"/>
          <w:lang w:eastAsia="en-US"/>
        </w:rPr>
      </w:pPr>
    </w:p>
    <w:p w:rsidR="00FC78F7" w:rsidRPr="00FC78F7" w:rsidRDefault="00FC78F7" w:rsidP="00FC78F7">
      <w:pPr>
        <w:tabs>
          <w:tab w:val="left" w:pos="720"/>
        </w:tabs>
        <w:spacing w:after="0" w:line="360" w:lineRule="auto"/>
        <w:mirrorIndents/>
        <w:rPr>
          <w:rFonts w:eastAsiaTheme="minorHAnsi"/>
          <w:szCs w:val="24"/>
          <w:lang w:eastAsia="en-US"/>
        </w:rPr>
      </w:pPr>
      <w:r w:rsidRPr="00FC78F7">
        <w:rPr>
          <w:rFonts w:eastAsiaTheme="minorHAnsi"/>
          <w:szCs w:val="24"/>
          <w:lang w:eastAsia="en-US"/>
        </w:rPr>
        <w:t xml:space="preserve">Adicionalmente, en los meses de octubre y noviembre se realizó el segundo autodiagnóstico para medir el nivel general de madurez de </w:t>
      </w:r>
      <w:proofErr w:type="spellStart"/>
      <w:r w:rsidRPr="00FC78F7">
        <w:rPr>
          <w:rFonts w:eastAsiaTheme="minorHAnsi"/>
          <w:szCs w:val="24"/>
          <w:lang w:eastAsia="en-US"/>
        </w:rPr>
        <w:t>ciberresiliencia</w:t>
      </w:r>
      <w:proofErr w:type="spellEnd"/>
      <w:r w:rsidRPr="00FC78F7">
        <w:rPr>
          <w:rFonts w:eastAsiaTheme="minorHAnsi"/>
          <w:szCs w:val="24"/>
          <w:lang w:eastAsia="en-US"/>
        </w:rPr>
        <w:t xml:space="preserve"> de 15 pequeñas y medianas empresas de telecomunicaciones que prestan servicios de acceso a internet y conectividad. Al igual que en el caso anterior, este diagnóstico lo realizaron, a solicitud del INDOTEL, 15 empresas de telecomunicaciones que prestan servicio de televisión por suscripción y datos, en diferentes provincias del país, con la finalidad de medir su nivel general de madurez de </w:t>
      </w:r>
      <w:proofErr w:type="spellStart"/>
      <w:r w:rsidRPr="00FC78F7">
        <w:rPr>
          <w:rFonts w:eastAsiaTheme="minorHAnsi"/>
          <w:szCs w:val="24"/>
          <w:lang w:eastAsia="en-US"/>
        </w:rPr>
        <w:t>ciberresiliencia</w:t>
      </w:r>
      <w:proofErr w:type="spellEnd"/>
      <w:r w:rsidRPr="00FC78F7">
        <w:rPr>
          <w:rFonts w:eastAsiaTheme="minorHAnsi"/>
          <w:szCs w:val="24"/>
          <w:lang w:eastAsia="en-US"/>
        </w:rPr>
        <w:t>.</w:t>
      </w:r>
    </w:p>
    <w:p w:rsidR="00FC78F7" w:rsidRPr="00FC78F7" w:rsidRDefault="00FC78F7" w:rsidP="00FC78F7">
      <w:pPr>
        <w:tabs>
          <w:tab w:val="left" w:pos="720"/>
        </w:tabs>
        <w:spacing w:after="0" w:line="360" w:lineRule="auto"/>
        <w:mirrorIndents/>
        <w:rPr>
          <w:rFonts w:eastAsiaTheme="minorHAnsi"/>
          <w:szCs w:val="24"/>
          <w:lang w:eastAsia="en-US"/>
        </w:rPr>
      </w:pPr>
    </w:p>
    <w:p w:rsidR="00FC78F7" w:rsidRPr="00FC78F7" w:rsidRDefault="00FC78F7" w:rsidP="00FC78F7">
      <w:pPr>
        <w:tabs>
          <w:tab w:val="left" w:pos="720"/>
        </w:tabs>
        <w:spacing w:after="0" w:line="360" w:lineRule="auto"/>
        <w:mirrorIndents/>
        <w:rPr>
          <w:rFonts w:eastAsiaTheme="minorHAnsi"/>
          <w:szCs w:val="24"/>
          <w:lang w:eastAsia="en-US"/>
        </w:rPr>
      </w:pPr>
      <w:r w:rsidRPr="00FC78F7">
        <w:rPr>
          <w:rFonts w:eastAsiaTheme="minorHAnsi"/>
          <w:szCs w:val="24"/>
          <w:lang w:eastAsia="en-US"/>
        </w:rPr>
        <w:t>Las empresas participantes fueron: AIR COMUNICATIONS, CABLE ATLANTICO, CABLEMAX, CAPCANATEL, GOLD DATA, SENDA ENTERPRISE, TELECABLE CENTRAL, TELECABLE SABANETA, TELECASA, TELEMON, TELEVIADUCTO, UNE COMUNICACIONES, VILLA TAPIA CABLE VISIÓN, YUMA VISIÓN y COLOMBUS NETWORKS.</w:t>
      </w:r>
    </w:p>
    <w:p w:rsidR="00FC78F7" w:rsidRPr="00FC78F7" w:rsidRDefault="00FC78F7" w:rsidP="00FC78F7">
      <w:pPr>
        <w:tabs>
          <w:tab w:val="left" w:pos="8647"/>
        </w:tabs>
        <w:spacing w:after="0" w:line="360" w:lineRule="auto"/>
        <w:mirrorIndents/>
        <w:rPr>
          <w:rFonts w:eastAsiaTheme="minorHAnsi"/>
          <w:szCs w:val="24"/>
          <w:lang w:eastAsia="en-US"/>
        </w:rPr>
      </w:pPr>
    </w:p>
    <w:p w:rsidR="00FC78F7" w:rsidRPr="00FC78F7" w:rsidRDefault="00FC78F7" w:rsidP="00FC78F7">
      <w:pPr>
        <w:shd w:val="clear" w:color="auto" w:fill="FFFFFF"/>
        <w:spacing w:after="0" w:line="360" w:lineRule="auto"/>
        <w:textAlignment w:val="baseline"/>
        <w:rPr>
          <w:rFonts w:eastAsia="Times New Roman"/>
          <w:b/>
          <w:bCs/>
          <w:szCs w:val="24"/>
        </w:rPr>
      </w:pPr>
      <w:r w:rsidRPr="00FC78F7">
        <w:rPr>
          <w:rFonts w:eastAsia="Times New Roman"/>
          <w:b/>
          <w:bCs/>
          <w:szCs w:val="24"/>
        </w:rPr>
        <w:t xml:space="preserve">Elaboración de las Políticas de </w:t>
      </w:r>
      <w:proofErr w:type="spellStart"/>
      <w:r w:rsidRPr="00FC78F7">
        <w:rPr>
          <w:rFonts w:eastAsia="Times New Roman"/>
          <w:b/>
          <w:bCs/>
          <w:szCs w:val="24"/>
        </w:rPr>
        <w:t>Ciberseguridad</w:t>
      </w:r>
      <w:proofErr w:type="spellEnd"/>
      <w:r w:rsidRPr="00FC78F7">
        <w:rPr>
          <w:rFonts w:eastAsia="Times New Roman"/>
          <w:b/>
          <w:bCs/>
          <w:szCs w:val="24"/>
        </w:rPr>
        <w:t xml:space="preserve"> del INDOTEL</w:t>
      </w:r>
    </w:p>
    <w:p w:rsidR="00FC78F7" w:rsidRPr="00FC78F7" w:rsidRDefault="00FC78F7" w:rsidP="00FC78F7">
      <w:pPr>
        <w:shd w:val="clear" w:color="auto" w:fill="FFFFFF"/>
        <w:spacing w:after="0" w:line="360" w:lineRule="auto"/>
        <w:textAlignment w:val="baseline"/>
        <w:rPr>
          <w:rFonts w:eastAsia="Times New Roman"/>
          <w:b/>
          <w:bCs/>
          <w:szCs w:val="24"/>
        </w:rPr>
      </w:pPr>
    </w:p>
    <w:p w:rsidR="00FC78F7" w:rsidRPr="00FC78F7" w:rsidRDefault="00FC78F7" w:rsidP="00FC78F7">
      <w:pPr>
        <w:shd w:val="clear" w:color="auto" w:fill="FFFFFF"/>
        <w:spacing w:after="0" w:line="360" w:lineRule="auto"/>
        <w:textAlignment w:val="baseline"/>
        <w:rPr>
          <w:rFonts w:eastAsia="Times New Roman"/>
          <w:bCs/>
          <w:szCs w:val="24"/>
        </w:rPr>
      </w:pPr>
      <w:r w:rsidRPr="00FC78F7">
        <w:rPr>
          <w:rFonts w:eastAsia="Times New Roman"/>
          <w:bCs/>
          <w:szCs w:val="24"/>
        </w:rPr>
        <w:t xml:space="preserve">Como mecanismo para fortalecer la </w:t>
      </w:r>
      <w:proofErr w:type="spellStart"/>
      <w:r w:rsidRPr="00FC78F7">
        <w:rPr>
          <w:rFonts w:eastAsia="Times New Roman"/>
          <w:bCs/>
          <w:szCs w:val="24"/>
        </w:rPr>
        <w:t>ciberseguridad</w:t>
      </w:r>
      <w:proofErr w:type="spellEnd"/>
      <w:r w:rsidRPr="00FC78F7">
        <w:rPr>
          <w:rFonts w:eastAsia="Times New Roman"/>
          <w:bCs/>
          <w:szCs w:val="24"/>
        </w:rPr>
        <w:t xml:space="preserve"> a nivel interno de la institución se han elaborado una serie de políticas para gestionar eficazmente la integridad, </w:t>
      </w:r>
      <w:r w:rsidRPr="00FC78F7">
        <w:rPr>
          <w:rFonts w:eastAsia="Times New Roman"/>
          <w:bCs/>
          <w:szCs w:val="24"/>
        </w:rPr>
        <w:lastRenderedPageBreak/>
        <w:t xml:space="preserve">privacidad y confidencialidad de la información del INDOTEL, basada en las mejores prácticas en </w:t>
      </w:r>
      <w:proofErr w:type="spellStart"/>
      <w:r w:rsidRPr="00FC78F7">
        <w:rPr>
          <w:rFonts w:eastAsia="Times New Roman"/>
          <w:bCs/>
          <w:szCs w:val="24"/>
        </w:rPr>
        <w:t>ciberseguridad</w:t>
      </w:r>
      <w:proofErr w:type="spellEnd"/>
      <w:r w:rsidRPr="00FC78F7">
        <w:rPr>
          <w:rFonts w:eastAsia="Times New Roman"/>
          <w:bCs/>
          <w:szCs w:val="24"/>
        </w:rPr>
        <w:t>.</w:t>
      </w:r>
    </w:p>
    <w:p w:rsidR="00FC78F7" w:rsidRPr="00FC78F7" w:rsidRDefault="00FC78F7" w:rsidP="00FC78F7">
      <w:pPr>
        <w:shd w:val="clear" w:color="auto" w:fill="FFFFFF"/>
        <w:spacing w:after="0" w:line="360" w:lineRule="auto"/>
        <w:textAlignment w:val="baseline"/>
        <w:rPr>
          <w:rFonts w:eastAsia="Times New Roman"/>
          <w:bCs/>
          <w:szCs w:val="24"/>
        </w:rPr>
      </w:pPr>
    </w:p>
    <w:p w:rsidR="00FC78F7" w:rsidRPr="00FC78F7" w:rsidRDefault="00FC78F7" w:rsidP="00FC78F7">
      <w:pPr>
        <w:shd w:val="clear" w:color="auto" w:fill="FFFFFF"/>
        <w:spacing w:after="0" w:line="360" w:lineRule="auto"/>
        <w:textAlignment w:val="baseline"/>
        <w:rPr>
          <w:rFonts w:eastAsia="Times New Roman"/>
          <w:bCs/>
          <w:color w:val="FF0000"/>
          <w:szCs w:val="24"/>
        </w:rPr>
      </w:pPr>
      <w:r w:rsidRPr="00FC78F7">
        <w:rPr>
          <w:rFonts w:eastAsia="Times New Roman"/>
          <w:bCs/>
          <w:szCs w:val="24"/>
        </w:rPr>
        <w:t>Estas políticas comprenden unas dos docenas de documentos que abarcan áreas como: Gobierno de Tecnología, Uso de Antivirus, Control de Acceso e Identidad, Gestión de Incidentes, Gestión de Infraestructura, Gestión de Cambios, Mesa de Ayuda, Uso aceptable del Correo Electrónico, entre otras.</w:t>
      </w:r>
    </w:p>
    <w:p w:rsidR="00FC78F7" w:rsidRPr="00FC78F7" w:rsidRDefault="00FC78F7" w:rsidP="00FC78F7">
      <w:pPr>
        <w:shd w:val="clear" w:color="auto" w:fill="FFFFFF"/>
        <w:spacing w:after="0" w:line="360" w:lineRule="auto"/>
        <w:textAlignment w:val="baseline"/>
        <w:rPr>
          <w:rFonts w:eastAsia="Times New Roman"/>
          <w:bCs/>
          <w:szCs w:val="24"/>
        </w:rPr>
      </w:pPr>
    </w:p>
    <w:p w:rsidR="00FC78F7" w:rsidRPr="00FC78F7" w:rsidRDefault="00FC78F7" w:rsidP="00FC78F7">
      <w:pPr>
        <w:spacing w:after="0" w:line="360" w:lineRule="auto"/>
        <w:rPr>
          <w:rFonts w:eastAsia="Times New Roman"/>
          <w:b/>
          <w:bCs/>
          <w:szCs w:val="24"/>
        </w:rPr>
      </w:pPr>
      <w:r w:rsidRPr="00FC78F7">
        <w:rPr>
          <w:rFonts w:eastAsia="Times New Roman"/>
          <w:b/>
          <w:bCs/>
          <w:szCs w:val="24"/>
        </w:rPr>
        <w:t xml:space="preserve">Conferencia Regional de </w:t>
      </w:r>
      <w:proofErr w:type="spellStart"/>
      <w:r w:rsidRPr="00FC78F7">
        <w:rPr>
          <w:rFonts w:eastAsia="Times New Roman"/>
          <w:b/>
          <w:bCs/>
          <w:szCs w:val="24"/>
        </w:rPr>
        <w:t>Ciberseguridad</w:t>
      </w:r>
      <w:proofErr w:type="spellEnd"/>
      <w:r w:rsidRPr="00FC78F7">
        <w:rPr>
          <w:rFonts w:eastAsia="Times New Roman"/>
          <w:b/>
          <w:bCs/>
          <w:szCs w:val="24"/>
        </w:rPr>
        <w:t xml:space="preserve"> para Proveedores de Servicios de Internet</w:t>
      </w:r>
    </w:p>
    <w:p w:rsidR="00FC78F7" w:rsidRPr="00FC78F7" w:rsidRDefault="00FC78F7" w:rsidP="00FC78F7">
      <w:pPr>
        <w:spacing w:after="0" w:line="360" w:lineRule="auto"/>
        <w:rPr>
          <w:rFonts w:eastAsia="Times New Roman"/>
          <w:b/>
          <w:bCs/>
          <w:szCs w:val="24"/>
        </w:rPr>
      </w:pPr>
    </w:p>
    <w:p w:rsidR="00FC78F7" w:rsidRPr="00FC78F7" w:rsidRDefault="00FC78F7" w:rsidP="00FC78F7">
      <w:pPr>
        <w:spacing w:after="0" w:line="360" w:lineRule="auto"/>
        <w:rPr>
          <w:rFonts w:eastAsia="Times New Roman"/>
          <w:bCs/>
          <w:szCs w:val="24"/>
        </w:rPr>
      </w:pPr>
      <w:r w:rsidRPr="00FC78F7">
        <w:rPr>
          <w:rFonts w:eastAsia="Times New Roman"/>
          <w:bCs/>
          <w:szCs w:val="24"/>
        </w:rPr>
        <w:t xml:space="preserve">El Instituto Dominicano de Telecomunicaciones (INDOTEL) y el Centro Nacional de </w:t>
      </w:r>
      <w:proofErr w:type="spellStart"/>
      <w:r w:rsidRPr="00FC78F7">
        <w:rPr>
          <w:rFonts w:eastAsia="Times New Roman"/>
          <w:bCs/>
          <w:szCs w:val="24"/>
        </w:rPr>
        <w:t>Ciberseguridad</w:t>
      </w:r>
      <w:proofErr w:type="spellEnd"/>
      <w:r w:rsidRPr="00FC78F7">
        <w:rPr>
          <w:rFonts w:eastAsia="Times New Roman"/>
          <w:bCs/>
          <w:szCs w:val="24"/>
        </w:rPr>
        <w:t xml:space="preserve"> en colaboración con los proyectos EU </w:t>
      </w:r>
      <w:proofErr w:type="spellStart"/>
      <w:r w:rsidRPr="00FC78F7">
        <w:rPr>
          <w:rFonts w:eastAsia="Times New Roman"/>
          <w:bCs/>
          <w:szCs w:val="24"/>
        </w:rPr>
        <w:t>CyberNet</w:t>
      </w:r>
      <w:proofErr w:type="spellEnd"/>
      <w:r w:rsidRPr="00FC78F7">
        <w:rPr>
          <w:rFonts w:eastAsia="Times New Roman"/>
          <w:bCs/>
          <w:szCs w:val="24"/>
        </w:rPr>
        <w:t xml:space="preserve"> / LAC4 y Cyber4Dev organizaron la Conferencia Regional de </w:t>
      </w:r>
      <w:proofErr w:type="spellStart"/>
      <w:r w:rsidRPr="00FC78F7">
        <w:rPr>
          <w:rFonts w:eastAsia="Times New Roman"/>
          <w:bCs/>
          <w:szCs w:val="24"/>
        </w:rPr>
        <w:t>Ciberseguridad</w:t>
      </w:r>
      <w:proofErr w:type="spellEnd"/>
      <w:r w:rsidRPr="00FC78F7">
        <w:rPr>
          <w:rFonts w:eastAsia="Times New Roman"/>
          <w:bCs/>
          <w:szCs w:val="24"/>
        </w:rPr>
        <w:t xml:space="preserve"> para Proveedores de Servicios de Internet en la región de Latinoamérica y el Caribe los días del 19 al 21 de octubre de 2021.</w:t>
      </w:r>
    </w:p>
    <w:p w:rsidR="00FC78F7" w:rsidRPr="00FC78F7" w:rsidRDefault="00FC78F7" w:rsidP="00FC78F7">
      <w:pPr>
        <w:spacing w:after="0" w:line="360" w:lineRule="auto"/>
        <w:rPr>
          <w:rFonts w:eastAsia="Times New Roman"/>
          <w:bCs/>
          <w:szCs w:val="24"/>
        </w:rPr>
      </w:pPr>
    </w:p>
    <w:p w:rsidR="00FC78F7" w:rsidRPr="00FC78F7" w:rsidRDefault="00FC78F7" w:rsidP="00FC78F7">
      <w:pPr>
        <w:spacing w:after="0" w:line="360" w:lineRule="auto"/>
        <w:rPr>
          <w:rFonts w:eastAsia="Times New Roman"/>
          <w:bCs/>
          <w:szCs w:val="24"/>
        </w:rPr>
      </w:pPr>
      <w:r w:rsidRPr="00FC78F7">
        <w:rPr>
          <w:rFonts w:eastAsia="Times New Roman"/>
          <w:bCs/>
          <w:szCs w:val="24"/>
        </w:rPr>
        <w:t xml:space="preserve">Este evento constituyó un intercambio de conocimientos prácticos entre los reguladores de telecomunicaciones y los Proveedores de Servicios de Internet para abordar cómo prevenir y detectar el </w:t>
      </w:r>
      <w:proofErr w:type="spellStart"/>
      <w:r w:rsidRPr="00FC78F7">
        <w:rPr>
          <w:rFonts w:eastAsia="Times New Roman"/>
          <w:bCs/>
          <w:szCs w:val="24"/>
        </w:rPr>
        <w:t>ciberdelito</w:t>
      </w:r>
      <w:proofErr w:type="spellEnd"/>
      <w:r w:rsidRPr="00FC78F7">
        <w:rPr>
          <w:rFonts w:eastAsia="Times New Roman"/>
          <w:bCs/>
          <w:szCs w:val="24"/>
        </w:rPr>
        <w:t>, defender mejor sus redes y proteger a sus clientes de las amenazas en línea. Los oradores incluyeron expertos de Europa y América para ofrecer a los participantes la oportunidad de compartir y conectarse con sus pares y sumergirse en debates oportunos sobre los problemas más urgentes que enfrentan los Proveedores de Servicios de Internet en el ciberespacio.</w:t>
      </w:r>
    </w:p>
    <w:p w:rsidR="00FC78F7" w:rsidRPr="00FC78F7" w:rsidRDefault="00FC78F7" w:rsidP="00FC78F7">
      <w:pPr>
        <w:spacing w:after="0" w:line="360" w:lineRule="auto"/>
        <w:rPr>
          <w:rFonts w:eastAsia="Times New Roman"/>
          <w:bCs/>
          <w:szCs w:val="24"/>
        </w:rPr>
      </w:pPr>
    </w:p>
    <w:p w:rsidR="00FC78F7" w:rsidRPr="00FC78F7" w:rsidRDefault="00FC78F7" w:rsidP="00FC78F7">
      <w:pPr>
        <w:spacing w:after="0" w:line="360" w:lineRule="auto"/>
        <w:rPr>
          <w:rFonts w:eastAsia="Times New Roman"/>
          <w:bCs/>
          <w:color w:val="FF0000"/>
          <w:szCs w:val="24"/>
        </w:rPr>
      </w:pPr>
      <w:r w:rsidRPr="00FC78F7">
        <w:rPr>
          <w:rFonts w:eastAsia="Times New Roman"/>
          <w:bCs/>
          <w:szCs w:val="24"/>
        </w:rPr>
        <w:t xml:space="preserve">Se trató de un evento híbrido de tres (3) días que contó con sesiones plenarias de un (1) día dedicadas a presentaciones y debates sobre las tendencias y prácticas de </w:t>
      </w:r>
      <w:proofErr w:type="spellStart"/>
      <w:r w:rsidRPr="00FC78F7">
        <w:rPr>
          <w:rFonts w:eastAsia="Times New Roman"/>
          <w:bCs/>
          <w:szCs w:val="24"/>
        </w:rPr>
        <w:t>ciberseguridad</w:t>
      </w:r>
      <w:proofErr w:type="spellEnd"/>
      <w:r w:rsidRPr="00FC78F7">
        <w:rPr>
          <w:rFonts w:eastAsia="Times New Roman"/>
          <w:bCs/>
          <w:szCs w:val="24"/>
        </w:rPr>
        <w:t xml:space="preserve"> en los proveedores de servicios de Internet en la región y Europa, y talleres de dos (2) días en un formato interactivo para cubrir los elementos de las </w:t>
      </w:r>
      <w:r w:rsidRPr="00FC78F7">
        <w:rPr>
          <w:rFonts w:eastAsia="Times New Roman"/>
          <w:bCs/>
          <w:szCs w:val="24"/>
        </w:rPr>
        <w:lastRenderedPageBreak/>
        <w:t xml:space="preserve">regulaciones de </w:t>
      </w:r>
      <w:proofErr w:type="spellStart"/>
      <w:r w:rsidRPr="00FC78F7">
        <w:rPr>
          <w:rFonts w:eastAsia="Times New Roman"/>
          <w:bCs/>
          <w:szCs w:val="24"/>
        </w:rPr>
        <w:t>ciberseguridad</w:t>
      </w:r>
      <w:proofErr w:type="spellEnd"/>
      <w:r w:rsidRPr="00FC78F7">
        <w:rPr>
          <w:rFonts w:eastAsia="Times New Roman"/>
          <w:bCs/>
          <w:szCs w:val="24"/>
        </w:rPr>
        <w:t xml:space="preserve"> y estándares de referencia, desarrollo de marcos de políticas para incentivar la colaboración público-privada y la cooperación transfronteriza. Los talleres proporcionaron conocimientos y ejemplos de buenas prácticas sobre cómo abordar la protección de infraestructuras críticas a nivel nacional, establecer un marco de evaluación de riesgos viable a nivel organizacional, hablar sobre herramientas técnicas para prevenir y detectar el </w:t>
      </w:r>
      <w:proofErr w:type="spellStart"/>
      <w:r w:rsidRPr="00FC78F7">
        <w:rPr>
          <w:rFonts w:eastAsia="Times New Roman"/>
          <w:bCs/>
          <w:szCs w:val="24"/>
        </w:rPr>
        <w:t>ciberdelito</w:t>
      </w:r>
      <w:proofErr w:type="spellEnd"/>
      <w:r w:rsidRPr="00FC78F7">
        <w:rPr>
          <w:rFonts w:eastAsia="Times New Roman"/>
          <w:bCs/>
          <w:szCs w:val="24"/>
        </w:rPr>
        <w:t xml:space="preserve"> y ofrecer pasos prácticos para el establecimiento y ejecución de funciones de los </w:t>
      </w:r>
      <w:proofErr w:type="spellStart"/>
      <w:r w:rsidRPr="00FC78F7">
        <w:rPr>
          <w:rFonts w:eastAsia="Times New Roman"/>
          <w:bCs/>
          <w:szCs w:val="24"/>
        </w:rPr>
        <w:t>Chief</w:t>
      </w:r>
      <w:proofErr w:type="spellEnd"/>
      <w:r w:rsidRPr="00FC78F7">
        <w:rPr>
          <w:rFonts w:eastAsia="Times New Roman"/>
          <w:bCs/>
          <w:szCs w:val="24"/>
        </w:rPr>
        <w:t xml:space="preserve"> </w:t>
      </w:r>
      <w:proofErr w:type="spellStart"/>
      <w:r w:rsidRPr="00FC78F7">
        <w:rPr>
          <w:rFonts w:eastAsia="Times New Roman"/>
          <w:bCs/>
          <w:szCs w:val="24"/>
        </w:rPr>
        <w:t>Information</w:t>
      </w:r>
      <w:proofErr w:type="spellEnd"/>
      <w:r w:rsidRPr="00FC78F7">
        <w:rPr>
          <w:rFonts w:eastAsia="Times New Roman"/>
          <w:bCs/>
          <w:szCs w:val="24"/>
        </w:rPr>
        <w:t xml:space="preserve"> Security </w:t>
      </w:r>
      <w:proofErr w:type="spellStart"/>
      <w:r w:rsidRPr="00FC78F7">
        <w:rPr>
          <w:rFonts w:eastAsia="Times New Roman"/>
          <w:bCs/>
          <w:szCs w:val="24"/>
        </w:rPr>
        <w:t>Officers</w:t>
      </w:r>
      <w:proofErr w:type="spellEnd"/>
      <w:r w:rsidRPr="00FC78F7">
        <w:rPr>
          <w:rFonts w:eastAsia="Times New Roman"/>
          <w:bCs/>
          <w:szCs w:val="24"/>
        </w:rPr>
        <w:t xml:space="preserve"> (CISO). </w:t>
      </w:r>
    </w:p>
    <w:p w:rsidR="00FC78F7" w:rsidRPr="00FC78F7" w:rsidRDefault="00FC78F7" w:rsidP="00FC78F7">
      <w:pPr>
        <w:shd w:val="clear" w:color="auto" w:fill="FFFFFF"/>
        <w:spacing w:after="0" w:line="360" w:lineRule="auto"/>
        <w:textAlignment w:val="baseline"/>
        <w:rPr>
          <w:rFonts w:eastAsia="Times New Roman"/>
          <w:bCs/>
          <w:szCs w:val="24"/>
        </w:rPr>
      </w:pPr>
    </w:p>
    <w:p w:rsidR="00FC78F7" w:rsidRPr="00FC78F7" w:rsidRDefault="00FC78F7" w:rsidP="00FC78F7">
      <w:pPr>
        <w:spacing w:after="0" w:line="360" w:lineRule="auto"/>
        <w:rPr>
          <w:rFonts w:eastAsia="Times New Roman"/>
          <w:bCs/>
          <w:szCs w:val="24"/>
        </w:rPr>
      </w:pPr>
      <w:r w:rsidRPr="00FC78F7">
        <w:rPr>
          <w:rFonts w:eastAsiaTheme="minorHAnsi"/>
          <w:b/>
          <w:szCs w:val="24"/>
          <w:lang w:eastAsia="en-US"/>
        </w:rPr>
        <w:t>Comercio Electrónico</w:t>
      </w:r>
    </w:p>
    <w:p w:rsidR="00FC78F7" w:rsidRPr="00FC78F7" w:rsidRDefault="00FC78F7" w:rsidP="00FC78F7">
      <w:pPr>
        <w:tabs>
          <w:tab w:val="left" w:pos="720"/>
        </w:tabs>
        <w:spacing w:after="0" w:line="360" w:lineRule="auto"/>
        <w:contextualSpacing/>
        <w:mirrorIndents/>
        <w:rPr>
          <w:rFonts w:eastAsia="Times New Roman"/>
          <w:szCs w:val="24"/>
          <w:lang w:val="es-ES" w:eastAsia="en-US"/>
        </w:rPr>
      </w:pPr>
    </w:p>
    <w:p w:rsidR="00FC78F7" w:rsidRPr="00FC78F7" w:rsidRDefault="00FC78F7" w:rsidP="00FC78F7">
      <w:pPr>
        <w:tabs>
          <w:tab w:val="left" w:pos="720"/>
        </w:tabs>
        <w:spacing w:after="0" w:line="360" w:lineRule="auto"/>
        <w:contextualSpacing/>
        <w:mirrorIndents/>
        <w:rPr>
          <w:rFonts w:eastAsia="Times New Roman"/>
          <w:szCs w:val="24"/>
          <w:lang w:val="es-ES" w:eastAsia="en-US"/>
        </w:rPr>
      </w:pPr>
      <w:r w:rsidRPr="00FC78F7">
        <w:rPr>
          <w:rFonts w:eastAsia="Times New Roman"/>
          <w:szCs w:val="24"/>
          <w:lang w:val="es-ES" w:eastAsia="en-US"/>
        </w:rPr>
        <w:t xml:space="preserve">Con el objetivo de promover el uso y desarrollo del comercio electrónico en el país y fomentar la confianza de los usuarios en este modo de hacer negocios en línea, el INDOTEL a través del Departamento de Comercio Electrónico ha desarrollado el proyecto </w:t>
      </w:r>
      <w:r w:rsidRPr="00FC78F7">
        <w:rPr>
          <w:rFonts w:eastAsia="Times New Roman"/>
          <w:i/>
          <w:szCs w:val="24"/>
          <w:lang w:val="es-ES" w:eastAsia="en-US"/>
        </w:rPr>
        <w:t xml:space="preserve">Jueves de </w:t>
      </w:r>
      <w:proofErr w:type="spellStart"/>
      <w:r w:rsidRPr="00FC78F7">
        <w:rPr>
          <w:rFonts w:eastAsia="Times New Roman"/>
          <w:i/>
          <w:szCs w:val="24"/>
          <w:lang w:val="es-ES" w:eastAsia="en-US"/>
        </w:rPr>
        <w:t>eCommerce</w:t>
      </w:r>
      <w:proofErr w:type="spellEnd"/>
      <w:r w:rsidRPr="00FC78F7">
        <w:rPr>
          <w:rFonts w:eastAsia="Times New Roman"/>
          <w:szCs w:val="24"/>
          <w:lang w:val="es-ES" w:eastAsia="en-US"/>
        </w:rPr>
        <w:t xml:space="preserve"> con el objetivo de desmitificar el tema, crear conciencia de los aportes del uso de este, identificar ventajas y retos que conlleva para los emprendedores, MIPYMES y otros interesados incursionar en el comercio electrónico.</w:t>
      </w:r>
    </w:p>
    <w:p w:rsidR="00FC78F7" w:rsidRPr="00FC78F7" w:rsidRDefault="00FC78F7" w:rsidP="00FC78F7">
      <w:pPr>
        <w:tabs>
          <w:tab w:val="left" w:pos="720"/>
        </w:tabs>
        <w:spacing w:after="0" w:line="360" w:lineRule="auto"/>
        <w:contextualSpacing/>
        <w:mirrorIndents/>
        <w:rPr>
          <w:rFonts w:eastAsia="Times New Roman"/>
          <w:szCs w:val="24"/>
          <w:lang w:val="es-ES" w:eastAsia="en-US"/>
        </w:rPr>
      </w:pPr>
    </w:p>
    <w:p w:rsidR="00FC78F7" w:rsidRPr="00FC78F7" w:rsidRDefault="00FC78F7" w:rsidP="00FC78F7">
      <w:pPr>
        <w:spacing w:after="0" w:line="360" w:lineRule="auto"/>
        <w:rPr>
          <w:rFonts w:eastAsia="Times New Roman"/>
          <w:szCs w:val="24"/>
          <w:lang w:val="es-ES" w:eastAsia="en-US"/>
        </w:rPr>
      </w:pPr>
      <w:r w:rsidRPr="00FC78F7">
        <w:rPr>
          <w:rFonts w:eastAsia="Times New Roman"/>
          <w:szCs w:val="24"/>
          <w:lang w:val="es-ES" w:eastAsia="en-US"/>
        </w:rPr>
        <w:t>Estos talleres son impartidos por expertos nacionales e internacionales y abordan los cinco pilares del comercio electrónico:</w:t>
      </w:r>
    </w:p>
    <w:p w:rsidR="00FC78F7" w:rsidRPr="00FC78F7" w:rsidRDefault="00FC78F7" w:rsidP="00A17C7C">
      <w:pPr>
        <w:numPr>
          <w:ilvl w:val="0"/>
          <w:numId w:val="10"/>
        </w:numPr>
        <w:spacing w:after="0" w:line="360" w:lineRule="auto"/>
        <w:contextualSpacing/>
        <w:jc w:val="left"/>
        <w:rPr>
          <w:rFonts w:eastAsia="Times New Roman"/>
          <w:szCs w:val="24"/>
          <w:lang w:val="es-ES" w:eastAsia="en-US"/>
        </w:rPr>
      </w:pPr>
      <w:r w:rsidRPr="00FC78F7">
        <w:rPr>
          <w:rFonts w:eastAsia="Times New Roman"/>
          <w:szCs w:val="24"/>
          <w:lang w:val="es-ES" w:eastAsia="en-US"/>
        </w:rPr>
        <w:t>Reconocimiento</w:t>
      </w:r>
    </w:p>
    <w:p w:rsidR="00FC78F7" w:rsidRPr="00FC78F7" w:rsidRDefault="00FC78F7" w:rsidP="00A17C7C">
      <w:pPr>
        <w:numPr>
          <w:ilvl w:val="0"/>
          <w:numId w:val="10"/>
        </w:numPr>
        <w:spacing w:after="0" w:line="360" w:lineRule="auto"/>
        <w:contextualSpacing/>
        <w:jc w:val="left"/>
        <w:rPr>
          <w:rFonts w:eastAsia="Times New Roman"/>
          <w:szCs w:val="24"/>
          <w:lang w:val="es-ES" w:eastAsia="en-US"/>
        </w:rPr>
      </w:pPr>
      <w:r w:rsidRPr="00FC78F7">
        <w:rPr>
          <w:rFonts w:eastAsia="Times New Roman"/>
          <w:szCs w:val="24"/>
          <w:lang w:val="es-ES" w:eastAsia="en-US"/>
        </w:rPr>
        <w:t>Descubrimiento</w:t>
      </w:r>
    </w:p>
    <w:p w:rsidR="00FC78F7" w:rsidRPr="00FC78F7" w:rsidRDefault="00FC78F7" w:rsidP="00A17C7C">
      <w:pPr>
        <w:numPr>
          <w:ilvl w:val="0"/>
          <w:numId w:val="10"/>
        </w:numPr>
        <w:spacing w:after="0" w:line="360" w:lineRule="auto"/>
        <w:contextualSpacing/>
        <w:jc w:val="left"/>
        <w:rPr>
          <w:rFonts w:eastAsia="Times New Roman"/>
          <w:szCs w:val="24"/>
          <w:lang w:val="es-ES" w:eastAsia="en-US"/>
        </w:rPr>
      </w:pPr>
      <w:r w:rsidRPr="00FC78F7">
        <w:rPr>
          <w:rFonts w:eastAsia="Times New Roman"/>
          <w:szCs w:val="24"/>
          <w:lang w:val="es-ES" w:eastAsia="en-US"/>
        </w:rPr>
        <w:t>Adquisición</w:t>
      </w:r>
    </w:p>
    <w:p w:rsidR="00FC78F7" w:rsidRPr="00FC78F7" w:rsidRDefault="00FC78F7" w:rsidP="00A17C7C">
      <w:pPr>
        <w:numPr>
          <w:ilvl w:val="0"/>
          <w:numId w:val="10"/>
        </w:numPr>
        <w:spacing w:after="0" w:line="360" w:lineRule="auto"/>
        <w:contextualSpacing/>
        <w:jc w:val="left"/>
        <w:rPr>
          <w:rFonts w:eastAsia="Times New Roman"/>
          <w:szCs w:val="24"/>
          <w:lang w:val="es-ES" w:eastAsia="en-US"/>
        </w:rPr>
      </w:pPr>
      <w:r w:rsidRPr="00FC78F7">
        <w:rPr>
          <w:rFonts w:eastAsia="Times New Roman"/>
          <w:szCs w:val="24"/>
          <w:lang w:val="es-ES" w:eastAsia="en-US"/>
        </w:rPr>
        <w:t>Compra</w:t>
      </w:r>
    </w:p>
    <w:p w:rsidR="00FC78F7" w:rsidRDefault="00FC78F7" w:rsidP="00A17C7C">
      <w:pPr>
        <w:numPr>
          <w:ilvl w:val="0"/>
          <w:numId w:val="10"/>
        </w:numPr>
        <w:spacing w:after="0" w:line="360" w:lineRule="auto"/>
        <w:contextualSpacing/>
        <w:jc w:val="left"/>
        <w:rPr>
          <w:rFonts w:eastAsia="Times New Roman"/>
          <w:szCs w:val="24"/>
          <w:lang w:val="es-ES" w:eastAsia="en-US"/>
        </w:rPr>
      </w:pPr>
      <w:r w:rsidRPr="00FC78F7">
        <w:rPr>
          <w:rFonts w:eastAsia="Times New Roman"/>
          <w:szCs w:val="24"/>
          <w:lang w:val="es-ES" w:eastAsia="en-US"/>
        </w:rPr>
        <w:t>Post-compra</w:t>
      </w:r>
    </w:p>
    <w:p w:rsidR="00AD12CC" w:rsidRPr="00FC78F7" w:rsidRDefault="00AD12CC" w:rsidP="00AD12CC">
      <w:pPr>
        <w:spacing w:after="0" w:line="360" w:lineRule="auto"/>
        <w:ind w:left="720"/>
        <w:contextualSpacing/>
        <w:jc w:val="left"/>
        <w:rPr>
          <w:rFonts w:eastAsia="Times New Roman"/>
          <w:szCs w:val="24"/>
          <w:lang w:val="es-ES" w:eastAsia="en-US"/>
        </w:rPr>
      </w:pPr>
    </w:p>
    <w:p w:rsidR="00FC78F7" w:rsidRPr="00FC78F7" w:rsidRDefault="00FC78F7" w:rsidP="00FC78F7">
      <w:pPr>
        <w:spacing w:after="0" w:line="360" w:lineRule="auto"/>
        <w:rPr>
          <w:rFonts w:eastAsia="Times New Roman"/>
          <w:szCs w:val="24"/>
          <w:lang w:val="es-ES" w:eastAsia="en-US"/>
        </w:rPr>
      </w:pPr>
      <w:r w:rsidRPr="00FC78F7">
        <w:rPr>
          <w:rFonts w:eastAsia="Times New Roman"/>
          <w:szCs w:val="24"/>
          <w:lang w:val="es-ES" w:eastAsia="en-US"/>
        </w:rPr>
        <w:t xml:space="preserve">Además de presentar las mejores prácticas sobre temas como: modelos de negocios, reconocimiento de marca en el mundo digital, la importancia de los motores de </w:t>
      </w:r>
      <w:r w:rsidRPr="00FC78F7">
        <w:rPr>
          <w:rFonts w:eastAsia="Times New Roman"/>
          <w:szCs w:val="24"/>
          <w:lang w:val="es-ES" w:eastAsia="en-US"/>
        </w:rPr>
        <w:lastRenderedPageBreak/>
        <w:t>búsqueda, la experiencia de cliente frente al portal o aplicación, procesamiento de pagos electrónicos y alternativas en República Dominicana y la gestión de pedidos y entrega.</w:t>
      </w:r>
    </w:p>
    <w:p w:rsidR="00FC78F7" w:rsidRPr="00FC78F7" w:rsidRDefault="00FC78F7" w:rsidP="00FC78F7">
      <w:pPr>
        <w:spacing w:before="100" w:beforeAutospacing="1" w:after="100" w:afterAutospacing="1" w:line="360" w:lineRule="auto"/>
        <w:jc w:val="left"/>
        <w:rPr>
          <w:rFonts w:eastAsia="Times New Roman"/>
          <w:szCs w:val="24"/>
          <w:lang w:val="es-ES" w:eastAsia="en-US"/>
        </w:rPr>
      </w:pPr>
      <w:r w:rsidRPr="00FC78F7">
        <w:rPr>
          <w:rFonts w:eastAsia="Times New Roman"/>
          <w:szCs w:val="24"/>
          <w:lang w:val="es-ES" w:eastAsia="en-US"/>
        </w:rPr>
        <w:t xml:space="preserve">Otros temas cubiertos han sido: Aspectos logísticos, Servicio al Cliente Digital, Canales de Comunicación Digitales, Facebook Shop, </w:t>
      </w:r>
      <w:proofErr w:type="spellStart"/>
      <w:r w:rsidRPr="00FC78F7">
        <w:rPr>
          <w:rFonts w:eastAsia="Times New Roman"/>
          <w:szCs w:val="24"/>
          <w:lang w:val="es-ES" w:eastAsia="en-US"/>
        </w:rPr>
        <w:t>Instagram</w:t>
      </w:r>
      <w:proofErr w:type="spellEnd"/>
      <w:r w:rsidRPr="00FC78F7">
        <w:rPr>
          <w:rFonts w:eastAsia="Times New Roman"/>
          <w:szCs w:val="24"/>
          <w:lang w:val="es-ES" w:eastAsia="en-US"/>
        </w:rPr>
        <w:t xml:space="preserve"> Shop, Demostración de </w:t>
      </w:r>
      <w:proofErr w:type="spellStart"/>
      <w:r w:rsidRPr="00FC78F7">
        <w:rPr>
          <w:rFonts w:eastAsia="Times New Roman"/>
          <w:szCs w:val="24"/>
          <w:lang w:val="es-ES" w:eastAsia="en-US"/>
        </w:rPr>
        <w:t>Shopify</w:t>
      </w:r>
      <w:proofErr w:type="spellEnd"/>
      <w:r w:rsidRPr="00FC78F7">
        <w:rPr>
          <w:rFonts w:eastAsia="Times New Roman"/>
          <w:szCs w:val="24"/>
          <w:lang w:val="es-ES" w:eastAsia="en-US"/>
        </w:rPr>
        <w:t xml:space="preserve">, Demostración de </w:t>
      </w:r>
      <w:proofErr w:type="spellStart"/>
      <w:r w:rsidRPr="00FC78F7">
        <w:rPr>
          <w:rFonts w:eastAsia="Times New Roman"/>
          <w:szCs w:val="24"/>
          <w:lang w:val="es-ES" w:eastAsia="en-US"/>
        </w:rPr>
        <w:t>BigCommerce</w:t>
      </w:r>
      <w:proofErr w:type="spellEnd"/>
      <w:r w:rsidRPr="00FC78F7">
        <w:rPr>
          <w:rFonts w:eastAsia="Times New Roman"/>
          <w:szCs w:val="24"/>
          <w:lang w:val="es-ES" w:eastAsia="en-US"/>
        </w:rPr>
        <w:t xml:space="preserve"> y Demostración de Adobe </w:t>
      </w:r>
      <w:proofErr w:type="spellStart"/>
      <w:r w:rsidRPr="00FC78F7">
        <w:rPr>
          <w:rFonts w:eastAsia="Times New Roman"/>
          <w:szCs w:val="24"/>
          <w:lang w:val="es-ES" w:eastAsia="en-US"/>
        </w:rPr>
        <w:t>Magento</w:t>
      </w:r>
      <w:proofErr w:type="spellEnd"/>
      <w:r w:rsidRPr="00FC78F7">
        <w:rPr>
          <w:rFonts w:eastAsia="Times New Roman"/>
          <w:szCs w:val="24"/>
          <w:lang w:val="es-ES" w:eastAsia="en-US"/>
        </w:rPr>
        <w:t>.</w:t>
      </w:r>
    </w:p>
    <w:p w:rsidR="00FC78F7" w:rsidRPr="00FC78F7" w:rsidRDefault="00FC78F7" w:rsidP="00FC78F7">
      <w:pPr>
        <w:spacing w:after="0" w:line="360" w:lineRule="auto"/>
        <w:rPr>
          <w:rFonts w:eastAsia="Times New Roman"/>
          <w:b/>
          <w:bCs/>
          <w:szCs w:val="24"/>
        </w:rPr>
      </w:pPr>
      <w:r w:rsidRPr="00FC78F7">
        <w:rPr>
          <w:rFonts w:eastAsia="Times New Roman"/>
          <w:b/>
          <w:bCs/>
          <w:szCs w:val="24"/>
        </w:rPr>
        <w:t>Actualización de la Ley 126-02 de Comercio Electrónico, Documentos y Firmas Digitales y su Reglamento de Aplicación</w:t>
      </w:r>
    </w:p>
    <w:p w:rsidR="00FC78F7" w:rsidRPr="00FC78F7" w:rsidRDefault="00FC78F7" w:rsidP="00FC78F7">
      <w:pPr>
        <w:spacing w:after="0" w:line="360" w:lineRule="auto"/>
        <w:rPr>
          <w:rFonts w:eastAsia="Times New Roman"/>
          <w:b/>
          <w:bCs/>
          <w:szCs w:val="24"/>
        </w:rPr>
      </w:pP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t xml:space="preserve">El proceso de actualización normativa del comercio electrónico requiere de una exhaustiva revisión. En ese sentido, en </w:t>
      </w:r>
      <w:r w:rsidRPr="00FC78F7">
        <w:rPr>
          <w:rFonts w:eastAsia="Times New Roman"/>
          <w:szCs w:val="24"/>
          <w:bdr w:val="none" w:sz="0" w:space="0" w:color="auto" w:frame="1"/>
          <w:shd w:val="clear" w:color="auto" w:fill="FFFFFF"/>
        </w:rPr>
        <w:t>virtud de lo dispuesto en el artículo 56, numeral 11, de la Ley Núm. 126-02 sobre Comercio Electrónico, Documentos y Firmas Digitales, el INDOTEL está facultado a proponer al Poder Ejecutivo la implementación de políticas en relación con la regulación de las actividades de las entidades de certificación y la adaptación de los avances tecnológicos para la generación de firmas digitales, la emisión de certificados, la conservación y archivo de documentos en soporte electrónico.</w:t>
      </w:r>
    </w:p>
    <w:p w:rsidR="00FC78F7" w:rsidRPr="00FC78F7" w:rsidRDefault="00FC78F7" w:rsidP="00FC78F7">
      <w:pPr>
        <w:spacing w:after="0" w:line="360" w:lineRule="auto"/>
        <w:ind w:firstLine="708"/>
        <w:rPr>
          <w:rFonts w:eastAsia="Times New Roman"/>
          <w:szCs w:val="24"/>
          <w:bdr w:val="none" w:sz="0" w:space="0" w:color="auto" w:frame="1"/>
        </w:rPr>
      </w:pP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t xml:space="preserve">El proyecto de actualización </w:t>
      </w:r>
      <w:r w:rsidRPr="00FC78F7">
        <w:rPr>
          <w:rFonts w:eastAsia="Times New Roman"/>
          <w:szCs w:val="24"/>
          <w:bdr w:val="none" w:sz="0" w:space="0" w:color="auto" w:frame="1"/>
          <w:shd w:val="clear" w:color="auto" w:fill="FFFFFF"/>
        </w:rPr>
        <w:t xml:space="preserve">de la Ley Núm. 126-02 sobre Comercio Electrónico, Documentos y Firmas Digitales y su Reglamento de Aplicación, </w:t>
      </w:r>
      <w:r w:rsidRPr="00FC78F7">
        <w:rPr>
          <w:rFonts w:eastAsia="Times New Roman"/>
          <w:szCs w:val="24"/>
          <w:bdr w:val="none" w:sz="0" w:space="0" w:color="auto" w:frame="1"/>
        </w:rPr>
        <w:t>está motivado en la necesidad de adecuar la normativa dominicana con la regulación internacional actual, sobre servicios de confianza y certificación digital conforme al desarrollo de los estándares tecnológicos vigentes, aplicables a las firmas digitales, identidades digitales y al comercio electrónico con la finalidad de mejorar significativamente el marco habilitador y de confianza sobre estos servicios a nivel nacional.</w:t>
      </w:r>
    </w:p>
    <w:p w:rsidR="00FC78F7" w:rsidRPr="00FC78F7" w:rsidRDefault="00FC78F7" w:rsidP="00FC78F7">
      <w:pPr>
        <w:spacing w:after="0" w:line="360" w:lineRule="auto"/>
        <w:jc w:val="left"/>
        <w:rPr>
          <w:rFonts w:eastAsiaTheme="minorHAnsi"/>
          <w:b/>
          <w:szCs w:val="24"/>
          <w:lang w:eastAsia="en-US"/>
        </w:rPr>
      </w:pPr>
    </w:p>
    <w:p w:rsidR="00FC78F7" w:rsidRPr="00FC78F7" w:rsidRDefault="00FC78F7" w:rsidP="00FC78F7">
      <w:pPr>
        <w:spacing w:after="0" w:line="360" w:lineRule="auto"/>
        <w:rPr>
          <w:rFonts w:eastAsia="Times New Roman"/>
          <w:szCs w:val="24"/>
          <w:bdr w:val="none" w:sz="0" w:space="0" w:color="auto" w:frame="1"/>
        </w:rPr>
      </w:pPr>
      <w:r w:rsidRPr="00FC78F7">
        <w:rPr>
          <w:rFonts w:eastAsia="Times New Roman"/>
          <w:szCs w:val="24"/>
          <w:bdr w:val="none" w:sz="0" w:space="0" w:color="auto" w:frame="1"/>
        </w:rPr>
        <w:lastRenderedPageBreak/>
        <w:t xml:space="preserve">Actualmente, se ha desarrollado una nueva redacción de la Ley y se está logrando consensuar con otras iniciativas internacionales como la Ley Modelo de la UNCITRAL sobre Sistemas de Gestión de Identidad y el Reglamento </w:t>
      </w:r>
      <w:proofErr w:type="spellStart"/>
      <w:r w:rsidRPr="00FC78F7">
        <w:rPr>
          <w:rFonts w:eastAsia="Times New Roman"/>
          <w:szCs w:val="24"/>
          <w:bdr w:val="none" w:sz="0" w:space="0" w:color="auto" w:frame="1"/>
        </w:rPr>
        <w:t>eIDAS</w:t>
      </w:r>
      <w:proofErr w:type="spellEnd"/>
      <w:r w:rsidRPr="00FC78F7">
        <w:rPr>
          <w:rFonts w:eastAsia="Times New Roman"/>
          <w:szCs w:val="24"/>
          <w:bdr w:val="none" w:sz="0" w:space="0" w:color="auto" w:frame="1"/>
        </w:rPr>
        <w:t xml:space="preserve"> 2.</w:t>
      </w:r>
    </w:p>
    <w:p w:rsidR="00FC78F7" w:rsidRPr="00FC78F7" w:rsidRDefault="00FC78F7" w:rsidP="00FC78F7">
      <w:pPr>
        <w:spacing w:after="0" w:line="360" w:lineRule="auto"/>
        <w:jc w:val="left"/>
        <w:rPr>
          <w:rFonts w:eastAsia="Times New Roman"/>
          <w:szCs w:val="24"/>
          <w:bdr w:val="none" w:sz="0" w:space="0" w:color="auto" w:frame="1"/>
        </w:rPr>
      </w:pPr>
    </w:p>
    <w:p w:rsidR="00FC78F7" w:rsidRPr="00FC78F7" w:rsidRDefault="00FC78F7" w:rsidP="00FC78F7">
      <w:pPr>
        <w:spacing w:after="0" w:line="360" w:lineRule="auto"/>
        <w:jc w:val="left"/>
        <w:rPr>
          <w:rFonts w:eastAsiaTheme="minorHAnsi"/>
          <w:b/>
          <w:szCs w:val="24"/>
          <w:lang w:eastAsia="en-US"/>
        </w:rPr>
      </w:pPr>
      <w:r w:rsidRPr="00FC78F7">
        <w:rPr>
          <w:rFonts w:eastAsiaTheme="minorHAnsi"/>
          <w:b/>
          <w:szCs w:val="24"/>
          <w:lang w:eastAsia="en-US"/>
        </w:rPr>
        <w:t>Firma Digital</w:t>
      </w:r>
    </w:p>
    <w:p w:rsidR="00FC78F7" w:rsidRPr="00FC78F7" w:rsidRDefault="00FC78F7" w:rsidP="00FC78F7">
      <w:pPr>
        <w:spacing w:after="0" w:line="360" w:lineRule="auto"/>
        <w:jc w:val="left"/>
        <w:rPr>
          <w:rFonts w:eastAsia="Times New Roman"/>
          <w:b/>
          <w:bCs/>
          <w:szCs w:val="24"/>
        </w:rPr>
      </w:pPr>
    </w:p>
    <w:p w:rsidR="00FC78F7" w:rsidRPr="00FC78F7" w:rsidRDefault="00FC78F7" w:rsidP="00FC78F7">
      <w:pPr>
        <w:shd w:val="clear" w:color="auto" w:fill="FFFFFF" w:themeFill="background1"/>
        <w:spacing w:after="0" w:line="360" w:lineRule="auto"/>
        <w:rPr>
          <w:rFonts w:eastAsiaTheme="minorHAnsi"/>
          <w:b/>
          <w:szCs w:val="24"/>
          <w:lang w:eastAsia="en-US"/>
        </w:rPr>
      </w:pPr>
      <w:r w:rsidRPr="00FC78F7">
        <w:rPr>
          <w:rFonts w:eastAsiaTheme="minorHAnsi"/>
          <w:b/>
          <w:szCs w:val="24"/>
          <w:lang w:eastAsia="en-US"/>
        </w:rPr>
        <w:t>Resolución que actualiza el valor del monto de la fianza mercantil y las condiciones de la póliza de seguro de responsabilidad que deben contratar las entidades de certificación autorizadas y las que soliciten ser acreditadas, para cubrir los posibles daños y perjuicios que puedan causar a los clientes de los servicios electrónicos de confianza</w:t>
      </w:r>
    </w:p>
    <w:p w:rsidR="00FC78F7" w:rsidRPr="00FC78F7" w:rsidRDefault="00FC78F7" w:rsidP="00FC78F7">
      <w:pPr>
        <w:shd w:val="clear" w:color="auto" w:fill="FFFFFF" w:themeFill="background1"/>
        <w:spacing w:after="0" w:line="360" w:lineRule="auto"/>
        <w:rPr>
          <w:rFonts w:eastAsia="Times New Roman"/>
          <w:szCs w:val="24"/>
          <w:bdr w:val="none" w:sz="0" w:space="0" w:color="auto" w:frame="1"/>
        </w:rPr>
      </w:pP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t>En virtud de las disposiciones de la Ley Núm. 126-02, el INDOTEL como órgano de vigilancia y control de las actividades realizadas por los prestadores de servicios de confianza, a través de su Consejo Directivo, dictó la Resolución Núm. 113-06, que establece como requisito obligatorio a los solicitantes que deseen operar como Entidades de Certificación, contratar una fianza mercantil o seguro de responsabilidad, a los fines de asegurar el resarcimiento y la reparación de los daños y perjuicios que puedan eventualmente causar a los suscriptores de certificados digitales. </w:t>
      </w:r>
    </w:p>
    <w:p w:rsidR="00FC78F7" w:rsidRPr="00FC78F7" w:rsidRDefault="00FC78F7" w:rsidP="00FC78F7">
      <w:pPr>
        <w:spacing w:after="0" w:line="360" w:lineRule="auto"/>
        <w:ind w:left="360"/>
        <w:rPr>
          <w:rFonts w:eastAsia="Times New Roman"/>
          <w:szCs w:val="24"/>
        </w:rPr>
      </w:pPr>
      <w:r w:rsidRPr="00FC78F7">
        <w:rPr>
          <w:rFonts w:eastAsia="Times New Roman"/>
          <w:szCs w:val="24"/>
          <w:bdr w:val="none" w:sz="0" w:space="0" w:color="auto" w:frame="1"/>
        </w:rPr>
        <w:t> </w:t>
      </w: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t>El entonces Consejo Directivo, a través de la Resolución Núm. 113-06, considerando la realidad del mercado de la prestación de servicios de confianza y el valor de la moneda en ese momento, estableció que el monto mínimo de la fianza mercantil o seguro de responsabilidad sería el equivalente en Pesos Dominicanos a la suma de Ochenta Mil Dólares de los Estados Unidos de Norteamérica con 00/100 (US$80,000.00).</w:t>
      </w:r>
    </w:p>
    <w:p w:rsidR="00FC78F7" w:rsidRPr="00FC78F7" w:rsidRDefault="00FC78F7" w:rsidP="00FC78F7">
      <w:pPr>
        <w:spacing w:after="0" w:line="360" w:lineRule="auto"/>
        <w:rPr>
          <w:rFonts w:eastAsia="Times New Roman"/>
          <w:szCs w:val="24"/>
        </w:rPr>
      </w:pP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lastRenderedPageBreak/>
        <w:t>Un elemento que es esencial destacar es que la realidad del mercado de los servicios de confianza y certificación digital en la República Dominicana ha cambiado significativamente. Mientras que al momento de aprobación de la Resolución Núm. 113-06 no existía ni siquiera una Entidad de Certificación, 14 años después el mercado cuenta con prestadores tanto en el sector público como privado y la masificación de los servicios también ha crecido considerablemente.</w:t>
      </w: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t> </w:t>
      </w:r>
    </w:p>
    <w:p w:rsidR="00FC78F7" w:rsidRPr="00FC78F7" w:rsidRDefault="00FC78F7" w:rsidP="00FC78F7">
      <w:pPr>
        <w:spacing w:after="0" w:line="360" w:lineRule="auto"/>
        <w:rPr>
          <w:rFonts w:eastAsia="Times New Roman"/>
          <w:szCs w:val="24"/>
        </w:rPr>
      </w:pPr>
      <w:r w:rsidRPr="00FC78F7">
        <w:rPr>
          <w:rFonts w:eastAsia="Times New Roman"/>
          <w:szCs w:val="24"/>
          <w:bdr w:val="none" w:sz="0" w:space="0" w:color="auto" w:frame="1"/>
        </w:rPr>
        <w:t>Es por esto que el Consejo Directivo del INDOTEL mediante su Resolución Núm. 043-21 actualizó el monto de la fianza o seguro de responsabilidad con que deben contar las Entidades de Certificación, de acuerdo con el potencial de negocios estimado y la realidad económica del país, y que, al mismo tiempo, sea capaz de cubrir cualquier potencial daño o perjuicio que pueda ser causado por ellos a los suscriptores de los servicios de confianza y certificación digital.</w:t>
      </w:r>
      <w:r w:rsidRPr="00FC78F7">
        <w:rPr>
          <w:rFonts w:eastAsia="Times New Roman"/>
          <w:szCs w:val="24"/>
        </w:rPr>
        <w:t xml:space="preserve"> </w:t>
      </w:r>
      <w:r w:rsidRPr="00FC78F7">
        <w:rPr>
          <w:rFonts w:eastAsia="Times New Roman"/>
          <w:szCs w:val="24"/>
          <w:bdr w:val="none" w:sz="0" w:space="0" w:color="auto" w:frame="1"/>
        </w:rPr>
        <w:t>En tal virtud, dicho monto fue indexado utilizando el método de indexación por medio del Producto Interno Bruto, actualizándose el mismo a la suma de Ciento Ochenta y Seis Mil Ochocientos Ochenta Dólares de los Estados Unidos de Norteamérica con 00/100 (US$186,880.00).</w:t>
      </w:r>
    </w:p>
    <w:p w:rsidR="00FC78F7" w:rsidRPr="00FC78F7" w:rsidRDefault="00FC78F7" w:rsidP="00FC78F7">
      <w:pPr>
        <w:spacing w:after="0" w:line="360" w:lineRule="auto"/>
        <w:rPr>
          <w:rFonts w:eastAsia="Times New Roman"/>
          <w:szCs w:val="24"/>
        </w:rPr>
      </w:pPr>
    </w:p>
    <w:p w:rsidR="00FC78F7" w:rsidRPr="00FC78F7" w:rsidRDefault="00FC78F7" w:rsidP="00FC78F7">
      <w:pPr>
        <w:spacing w:after="0" w:line="360" w:lineRule="auto"/>
        <w:rPr>
          <w:rFonts w:eastAsia="Times New Roman"/>
          <w:szCs w:val="24"/>
          <w:bdr w:val="none" w:sz="0" w:space="0" w:color="auto" w:frame="1"/>
        </w:rPr>
      </w:pPr>
      <w:r w:rsidRPr="00FC78F7">
        <w:rPr>
          <w:rFonts w:eastAsia="Times New Roman"/>
          <w:szCs w:val="24"/>
          <w:bdr w:val="none" w:sz="0" w:space="0" w:color="auto" w:frame="1"/>
        </w:rPr>
        <w:t>Adicionalmente, la Resolución incluye las nuevas condiciones de la fianza mercantil y/o seguro de responsabilidad que deben contener los referidos documentos, con la finalidad de ser más claras las circunstancias que deben cubrir estos instrumentos.</w:t>
      </w:r>
    </w:p>
    <w:p w:rsidR="00FC78F7" w:rsidRPr="00FC78F7" w:rsidRDefault="00FC78F7" w:rsidP="00FC78F7">
      <w:pPr>
        <w:spacing w:after="0" w:line="360" w:lineRule="auto"/>
        <w:rPr>
          <w:rFonts w:eastAsia="Times New Roman"/>
          <w:szCs w:val="24"/>
        </w:rPr>
      </w:pPr>
    </w:p>
    <w:p w:rsidR="00FC78F7" w:rsidRPr="00FC78F7" w:rsidRDefault="00FC78F7" w:rsidP="00FC78F7">
      <w:pPr>
        <w:spacing w:after="0" w:line="360" w:lineRule="auto"/>
        <w:rPr>
          <w:rFonts w:eastAsiaTheme="minorHAnsi"/>
          <w:b/>
          <w:szCs w:val="24"/>
          <w:lang w:eastAsia="en-US"/>
        </w:rPr>
      </w:pPr>
      <w:r w:rsidRPr="00FC78F7">
        <w:rPr>
          <w:rFonts w:eastAsiaTheme="minorHAnsi"/>
          <w:b/>
          <w:szCs w:val="24"/>
          <w:lang w:eastAsia="en-US"/>
        </w:rPr>
        <w:t xml:space="preserve">Elaboración de la Norma Complementaria para el Manejo y salvaguarda de Documentos Digitales </w:t>
      </w:r>
    </w:p>
    <w:p w:rsidR="00FC78F7" w:rsidRPr="00FC78F7" w:rsidRDefault="00FC78F7" w:rsidP="00FC78F7">
      <w:pPr>
        <w:spacing w:after="0" w:line="360" w:lineRule="auto"/>
        <w:rPr>
          <w:rFonts w:eastAsiaTheme="minorHAnsi"/>
          <w:b/>
          <w:szCs w:val="24"/>
          <w:lang w:eastAsia="en-US"/>
        </w:rPr>
      </w:pPr>
    </w:p>
    <w:p w:rsidR="00FC78F7" w:rsidRPr="00FC78F7" w:rsidRDefault="00FC78F7" w:rsidP="00FC78F7">
      <w:pPr>
        <w:autoSpaceDE w:val="0"/>
        <w:autoSpaceDN w:val="0"/>
        <w:adjustRightInd w:val="0"/>
        <w:spacing w:after="0" w:line="360" w:lineRule="auto"/>
        <w:rPr>
          <w:rFonts w:eastAsiaTheme="minorHAnsi"/>
          <w:szCs w:val="24"/>
          <w:lang w:eastAsia="en-US"/>
        </w:rPr>
      </w:pPr>
      <w:r w:rsidRPr="00FC78F7">
        <w:rPr>
          <w:rFonts w:eastAsiaTheme="minorHAnsi"/>
          <w:szCs w:val="24"/>
          <w:lang w:eastAsia="en-US"/>
        </w:rPr>
        <w:t xml:space="preserve">El objetivo principal de esta intervención es proporcionar al Estado Dominicano un marco de trabajo para el tratamiento de documentos digitales, donde se pueda establecer los lineamientos para realizar las copias de resguardo de información, las </w:t>
      </w:r>
      <w:r w:rsidRPr="00FC78F7">
        <w:rPr>
          <w:rFonts w:eastAsiaTheme="minorHAnsi"/>
          <w:szCs w:val="24"/>
          <w:lang w:eastAsia="en-US"/>
        </w:rPr>
        <w:lastRenderedPageBreak/>
        <w:t xml:space="preserve">medidas de seguridad física y lógicas que garanticen la confidencialidad, integridad y disponibilidad de la información y las medidas de protección de la privacidad de los datos personales contenidos en documentos digitales. </w:t>
      </w:r>
    </w:p>
    <w:p w:rsidR="00FC78F7" w:rsidRPr="00FC78F7" w:rsidRDefault="00FC78F7" w:rsidP="00FC78F7">
      <w:pPr>
        <w:autoSpaceDE w:val="0"/>
        <w:autoSpaceDN w:val="0"/>
        <w:adjustRightInd w:val="0"/>
        <w:spacing w:after="0" w:line="360" w:lineRule="auto"/>
        <w:rPr>
          <w:rFonts w:eastAsiaTheme="minorHAnsi"/>
          <w:szCs w:val="24"/>
          <w:lang w:eastAsia="en-US"/>
        </w:rPr>
      </w:pPr>
    </w:p>
    <w:p w:rsidR="00FC78F7" w:rsidRPr="00FC78F7" w:rsidRDefault="00FC78F7" w:rsidP="00FC78F7">
      <w:pPr>
        <w:autoSpaceDE w:val="0"/>
        <w:autoSpaceDN w:val="0"/>
        <w:adjustRightInd w:val="0"/>
        <w:spacing w:after="0" w:line="360" w:lineRule="auto"/>
        <w:rPr>
          <w:rFonts w:eastAsiaTheme="minorHAnsi"/>
          <w:szCs w:val="24"/>
          <w:lang w:eastAsia="en-US"/>
        </w:rPr>
      </w:pPr>
      <w:r w:rsidRPr="00FC78F7">
        <w:rPr>
          <w:rFonts w:eastAsiaTheme="minorHAnsi"/>
          <w:szCs w:val="24"/>
          <w:lang w:eastAsia="en-US"/>
        </w:rPr>
        <w:t xml:space="preserve">Esta Norma recoge un estudio del marco jurídico implementado en República Dominicana respecto al uso de documentos digitales. El estudio se llevó a cabo teniendo en cuenta las disposiciones establecidas por la Ley Núm. 126-02 Sobre Comercio Electrónico, Documentos y Firmas Digitales, su Reglamento de Aplicación, Decreto Núm. 335-03 y Normas Complementarias, además observando los escenarios vigentes similares de carácter internacional y las buenas prácticas de seguridad de la información que han ido evolucionando según los riesgos y desafíos que se presentan en el gobierno electrónico en conjunto con su transformación digital y el uso de documentos digitales por el Estado Dominicano. </w:t>
      </w:r>
    </w:p>
    <w:p w:rsidR="00FC78F7" w:rsidRPr="00FC78F7" w:rsidRDefault="00FC78F7" w:rsidP="00FC78F7">
      <w:pPr>
        <w:autoSpaceDE w:val="0"/>
        <w:autoSpaceDN w:val="0"/>
        <w:adjustRightInd w:val="0"/>
        <w:spacing w:after="0" w:line="360" w:lineRule="auto"/>
        <w:rPr>
          <w:rFonts w:eastAsiaTheme="minorHAnsi"/>
          <w:szCs w:val="24"/>
          <w:lang w:eastAsia="en-US"/>
        </w:rPr>
      </w:pPr>
    </w:p>
    <w:p w:rsidR="00FC78F7" w:rsidRPr="00FC78F7" w:rsidRDefault="00FC78F7" w:rsidP="00FC78F7">
      <w:pPr>
        <w:autoSpaceDE w:val="0"/>
        <w:autoSpaceDN w:val="0"/>
        <w:adjustRightInd w:val="0"/>
        <w:spacing w:after="0" w:line="360" w:lineRule="auto"/>
        <w:rPr>
          <w:rFonts w:eastAsiaTheme="minorHAnsi"/>
          <w:szCs w:val="24"/>
          <w:lang w:eastAsia="en-US"/>
        </w:rPr>
      </w:pPr>
      <w:r w:rsidRPr="00FC78F7">
        <w:rPr>
          <w:rFonts w:eastAsiaTheme="minorHAnsi"/>
          <w:szCs w:val="24"/>
          <w:lang w:eastAsia="en-US"/>
        </w:rPr>
        <w:t>Partiendo de esa realidad el INDOTEL ha identificado la necesidad de elaborar mediante Norma Complementaria de la Ley Núm. 126-02 los criterios mínimos de protección e interoperabilidad sobre los procesos, sistemas y plataformas relacionados a los documentos digitales utilizados por el Estado Dominicano, facultad que posee el INDOTEL por disposición del Poder Ejecutivo establecida en el artículo 84 del Reglamento de Aplicación de la Ley Núm. 126-02.</w:t>
      </w:r>
    </w:p>
    <w:p w:rsidR="00FC78F7" w:rsidRPr="00FC78F7" w:rsidRDefault="00FC78F7" w:rsidP="00FC78F7">
      <w:pPr>
        <w:autoSpaceDE w:val="0"/>
        <w:autoSpaceDN w:val="0"/>
        <w:adjustRightInd w:val="0"/>
        <w:spacing w:after="0" w:line="360" w:lineRule="auto"/>
        <w:rPr>
          <w:rFonts w:eastAsiaTheme="minorHAnsi"/>
          <w:szCs w:val="24"/>
          <w:lang w:eastAsia="en-US"/>
        </w:rPr>
      </w:pPr>
    </w:p>
    <w:p w:rsidR="00FC78F7" w:rsidRPr="00FC78F7" w:rsidRDefault="00FC78F7" w:rsidP="00FC78F7">
      <w:pPr>
        <w:autoSpaceDE w:val="0"/>
        <w:autoSpaceDN w:val="0"/>
        <w:adjustRightInd w:val="0"/>
        <w:spacing w:after="0" w:line="360" w:lineRule="auto"/>
        <w:rPr>
          <w:rFonts w:eastAsiaTheme="minorHAnsi"/>
          <w:szCs w:val="24"/>
          <w:lang w:eastAsia="en-US"/>
        </w:rPr>
      </w:pPr>
      <w:r w:rsidRPr="00FC78F7">
        <w:rPr>
          <w:rFonts w:eastAsiaTheme="minorHAnsi"/>
          <w:szCs w:val="24"/>
          <w:lang w:eastAsia="en-US"/>
        </w:rPr>
        <w:t xml:space="preserve">En dicha normativa, además se propone el </w:t>
      </w:r>
      <w:bookmarkStart w:id="20" w:name="_Toc403732740"/>
      <w:bookmarkStart w:id="21" w:name="_Toc403733125"/>
      <w:bookmarkStart w:id="22" w:name="_Toc403736711"/>
      <w:bookmarkStart w:id="23" w:name="_Toc403737004"/>
      <w:bookmarkStart w:id="24" w:name="_Toc403753589"/>
      <w:bookmarkStart w:id="25" w:name="_Toc403754948"/>
      <w:bookmarkStart w:id="26" w:name="_Toc403755272"/>
      <w:bookmarkStart w:id="27" w:name="_Toc404523639"/>
      <w:bookmarkStart w:id="28" w:name="_Toc404523648"/>
      <w:bookmarkStart w:id="29" w:name="_Toc450913295"/>
      <w:bookmarkStart w:id="30" w:name="_Toc451236406"/>
      <w:bookmarkStart w:id="31" w:name="_Toc479865111"/>
      <w:bookmarkStart w:id="32" w:name="_Toc480567251"/>
      <w:bookmarkStart w:id="33" w:name="_Toc482380808"/>
      <w:bookmarkStart w:id="34" w:name="_Toc483423412"/>
      <w:bookmarkStart w:id="35" w:name="_Toc483423515"/>
      <w:bookmarkStart w:id="36" w:name="_Toc483423540"/>
      <w:bookmarkStart w:id="37" w:name="_Toc483423608"/>
      <w:bookmarkStart w:id="38" w:name="_Toc509925025"/>
      <w:bookmarkStart w:id="39" w:name="_Toc509930026"/>
      <w:bookmarkStart w:id="40" w:name="_Toc510028840"/>
      <w:bookmarkStart w:id="41" w:name="_Toc510078675"/>
      <w:bookmarkStart w:id="42" w:name="_Toc510089154"/>
      <w:bookmarkStart w:id="43" w:name="_Toc510090344"/>
      <w:bookmarkStart w:id="44" w:name="_Toc510106165"/>
      <w:bookmarkStart w:id="45" w:name="_Toc527534161"/>
      <w:bookmarkStart w:id="46" w:name="_Toc528317970"/>
      <w:bookmarkStart w:id="47" w:name="_Toc528317989"/>
      <w:bookmarkStart w:id="48" w:name="_Toc528319994"/>
      <w:bookmarkStart w:id="49" w:name="_Toc529975974"/>
      <w:bookmarkStart w:id="50" w:name="_Toc529976253"/>
      <w:bookmarkStart w:id="51" w:name="_Toc529976552"/>
      <w:bookmarkStart w:id="52" w:name="_Toc529979574"/>
      <w:bookmarkStart w:id="53" w:name="_Toc529980764"/>
      <w:bookmarkStart w:id="54" w:name="_Toc403732741"/>
      <w:bookmarkStart w:id="55" w:name="_Toc403733126"/>
      <w:bookmarkStart w:id="56" w:name="_Toc403736712"/>
      <w:bookmarkStart w:id="57" w:name="_Toc403737005"/>
      <w:bookmarkStart w:id="58" w:name="_Toc403753590"/>
      <w:bookmarkStart w:id="59" w:name="_Toc403754949"/>
      <w:bookmarkStart w:id="60" w:name="_Toc403755273"/>
      <w:bookmarkStart w:id="61" w:name="_Toc404523640"/>
      <w:bookmarkStart w:id="62" w:name="_Toc404523649"/>
      <w:bookmarkStart w:id="63" w:name="_Toc450913296"/>
      <w:bookmarkStart w:id="64" w:name="_Toc45123640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FC78F7">
        <w:rPr>
          <w:rFonts w:eastAsiaTheme="minorHAnsi"/>
          <w:szCs w:val="24"/>
          <w:lang w:eastAsia="en-US"/>
        </w:rPr>
        <w:t>establecimiento de un mecanismo de evaluación a la conformidad que resulte en una certificación por parte del INDOTEL sobre los procesos, infraestructura y plataformas que utilizan entidades del Estado para el tratamiento de documentos digitales, acción que da cumplimiento a lo dispuesto en el artículo 83 inciso 3 del Reglamento de Aplicación de la Ley Núm. 126-02, Decreto Núm. 335-03.</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spacing w:after="0" w:line="360" w:lineRule="auto"/>
        <w:rPr>
          <w:rFonts w:eastAsiaTheme="minorHAnsi"/>
          <w:color w:val="FF0000"/>
          <w:szCs w:val="24"/>
          <w:lang w:eastAsia="en-US"/>
        </w:rPr>
      </w:pPr>
      <w:r w:rsidRPr="00FC78F7">
        <w:rPr>
          <w:rFonts w:eastAsiaTheme="minorHAnsi"/>
          <w:szCs w:val="24"/>
          <w:lang w:eastAsia="en-US"/>
        </w:rPr>
        <w:lastRenderedPageBreak/>
        <w:t>Dichas Certificaciones serán periódicas y mantendrán sus respectivos procesos de revisión y monitoreo de forma que se logre mantener un ciclo de mejora continua con respecto a la seguridad de los repositorios de documentos digitales, necesidad requerida según los cambios en los procesos o en la infraestructura y los avances tecnológicos asumidos por cada entidad.</w:t>
      </w:r>
    </w:p>
    <w:p w:rsidR="00FC78F7" w:rsidRPr="00FC78F7" w:rsidRDefault="00FC78F7" w:rsidP="00FC78F7">
      <w:pPr>
        <w:spacing w:after="0" w:line="360" w:lineRule="auto"/>
        <w:rPr>
          <w:rFonts w:eastAsiaTheme="minorHAnsi"/>
          <w:color w:val="FF0000"/>
          <w:szCs w:val="24"/>
          <w:lang w:eastAsia="en-US"/>
        </w:rPr>
      </w:pPr>
    </w:p>
    <w:p w:rsidR="00FC78F7" w:rsidRPr="00FC78F7" w:rsidRDefault="00FC78F7" w:rsidP="00FC78F7">
      <w:pPr>
        <w:spacing w:after="0" w:line="360" w:lineRule="auto"/>
        <w:rPr>
          <w:rFonts w:eastAsiaTheme="minorHAnsi"/>
          <w:color w:val="FF0000"/>
          <w:szCs w:val="24"/>
          <w:lang w:eastAsia="en-US"/>
        </w:rPr>
      </w:pPr>
      <w:r w:rsidRPr="00FC78F7">
        <w:rPr>
          <w:rFonts w:eastAsiaTheme="minorHAnsi"/>
          <w:szCs w:val="24"/>
          <w:lang w:eastAsia="en-US"/>
        </w:rPr>
        <w:t>En vista de lo anterior, se ha</w:t>
      </w:r>
      <w:r w:rsidRPr="00FC78F7">
        <w:rPr>
          <w:rFonts w:asciiTheme="minorHAnsi" w:eastAsiaTheme="minorHAnsi" w:hAnsiTheme="minorHAnsi" w:cstheme="minorBidi"/>
          <w:color w:val="auto"/>
          <w:sz w:val="22"/>
          <w:lang w:eastAsia="en-US"/>
        </w:rPr>
        <w:t xml:space="preserve"> </w:t>
      </w:r>
      <w:r w:rsidRPr="00FC78F7">
        <w:rPr>
          <w:rFonts w:eastAsiaTheme="minorHAnsi"/>
          <w:szCs w:val="24"/>
          <w:lang w:eastAsia="en-US"/>
        </w:rPr>
        <w:t>preparado un documento de análisis que está siendo socializado con la Oficina Gubernamental de Tecnologías de la Información y Comunicación (OGTIC) y el Archivo General de la Nación (AGN).</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spacing w:after="0" w:line="360" w:lineRule="auto"/>
        <w:rPr>
          <w:rFonts w:eastAsiaTheme="minorHAnsi"/>
          <w:b/>
          <w:szCs w:val="24"/>
          <w:lang w:eastAsia="en-US"/>
        </w:rPr>
      </w:pPr>
      <w:r w:rsidRPr="00FC78F7">
        <w:rPr>
          <w:rFonts w:eastAsiaTheme="minorHAnsi"/>
          <w:b/>
          <w:szCs w:val="24"/>
          <w:lang w:eastAsia="en-US"/>
        </w:rPr>
        <w:t>Portal web certificador de validez de documentos digitales y Creación de la plataforma de las listas de servicios de confianza (TSL)</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spacing w:after="0" w:line="360" w:lineRule="auto"/>
        <w:rPr>
          <w:rFonts w:eastAsiaTheme="minorHAnsi"/>
          <w:szCs w:val="24"/>
          <w:lang w:eastAsia="en-US"/>
        </w:rPr>
      </w:pPr>
      <w:r w:rsidRPr="00FC78F7">
        <w:rPr>
          <w:rFonts w:eastAsiaTheme="minorHAnsi"/>
          <w:szCs w:val="24"/>
          <w:lang w:eastAsia="en-US"/>
        </w:rPr>
        <w:t xml:space="preserve">Como parte de los trabajos realizados en el 2019 con la Resolución Núm. 071-19, orientados a impulsar el desarrollo del sector de los servicios de confianza y certificación digital, se ha identificado la necesidad de contar con una plataforma que sea usada por los distintos sectores, tanto públicos como privados, donde las personas físicas o jurídicas puedan verificar la legitimidad de las firmas en los documentos digitales. </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spacing w:after="0" w:line="360" w:lineRule="auto"/>
        <w:rPr>
          <w:rFonts w:eastAsiaTheme="minorHAnsi"/>
          <w:szCs w:val="24"/>
          <w:lang w:eastAsia="en-US"/>
        </w:rPr>
      </w:pPr>
      <w:r w:rsidRPr="00FC78F7">
        <w:rPr>
          <w:rFonts w:eastAsiaTheme="minorHAnsi"/>
          <w:szCs w:val="24"/>
          <w:lang w:eastAsia="en-US"/>
        </w:rPr>
        <w:t>Además, en el portal se incluirá el cumplimiento de la publicación de la Lista de Confianza de los Prestadores de Servicios de Confianza de la República Dominicana, requerimiento que posee el INDOTEL bajo la Norma por la que se establece la equivalencia regulatoria del sistema dominicano de infraestructuras públicas y de confianza con los marcos regulatorios internacionales de servicios de confianza, recientemente aprobada en septiembre de 2019.</w:t>
      </w:r>
    </w:p>
    <w:p w:rsidR="00FC78F7" w:rsidRPr="00FC78F7" w:rsidRDefault="00FC78F7" w:rsidP="00FC78F7">
      <w:pPr>
        <w:spacing w:after="0" w:line="360" w:lineRule="auto"/>
        <w:rPr>
          <w:rFonts w:eastAsiaTheme="minorHAnsi"/>
          <w:color w:val="FF0000"/>
          <w:szCs w:val="24"/>
          <w:lang w:eastAsia="en-US"/>
        </w:rPr>
      </w:pPr>
    </w:p>
    <w:p w:rsidR="00FC78F7" w:rsidRPr="00FC78F7" w:rsidRDefault="00FC78F7" w:rsidP="00FC78F7">
      <w:pPr>
        <w:spacing w:after="0" w:line="360" w:lineRule="auto"/>
        <w:rPr>
          <w:rFonts w:eastAsiaTheme="minorHAnsi"/>
          <w:color w:val="FF0000"/>
          <w:szCs w:val="24"/>
          <w:lang w:eastAsia="en-US"/>
        </w:rPr>
      </w:pPr>
      <w:r w:rsidRPr="00FC78F7">
        <w:rPr>
          <w:rFonts w:eastAsiaTheme="minorHAnsi"/>
          <w:szCs w:val="24"/>
          <w:lang w:eastAsia="en-US"/>
        </w:rPr>
        <w:lastRenderedPageBreak/>
        <w:t>Actualmente, está en fase de elaboración de las especificaciones técnicas del proceso de compra que se debe</w:t>
      </w:r>
      <w:r w:rsidRPr="00FC78F7">
        <w:rPr>
          <w:rFonts w:eastAsiaTheme="minorHAnsi"/>
          <w:color w:val="FF0000"/>
          <w:szCs w:val="24"/>
          <w:lang w:eastAsia="en-US"/>
        </w:rPr>
        <w:t xml:space="preserve"> </w:t>
      </w:r>
      <w:r w:rsidRPr="00FC78F7">
        <w:rPr>
          <w:rFonts w:eastAsiaTheme="minorHAnsi"/>
          <w:szCs w:val="24"/>
          <w:lang w:eastAsia="en-US"/>
        </w:rPr>
        <w:t>llevar a cabo para la implementación del citado portal.</w:t>
      </w:r>
    </w:p>
    <w:p w:rsidR="00FC78F7" w:rsidRPr="00FC78F7" w:rsidRDefault="00FC78F7" w:rsidP="00FC78F7">
      <w:pPr>
        <w:spacing w:after="0" w:line="360" w:lineRule="auto"/>
        <w:jc w:val="left"/>
        <w:rPr>
          <w:rFonts w:eastAsiaTheme="minorHAnsi"/>
          <w:color w:val="FF0000"/>
          <w:szCs w:val="24"/>
          <w:lang w:eastAsia="en-US"/>
        </w:rPr>
      </w:pPr>
    </w:p>
    <w:p w:rsidR="00FC78F7" w:rsidRPr="00FC78F7" w:rsidRDefault="00FC78F7" w:rsidP="00FC78F7">
      <w:pPr>
        <w:spacing w:after="0" w:line="360" w:lineRule="auto"/>
        <w:rPr>
          <w:rFonts w:eastAsiaTheme="minorHAnsi"/>
          <w:b/>
          <w:szCs w:val="24"/>
          <w:lang w:eastAsia="en-US"/>
        </w:rPr>
      </w:pPr>
      <w:r w:rsidRPr="00FC78F7">
        <w:rPr>
          <w:rFonts w:eastAsiaTheme="minorHAnsi"/>
          <w:b/>
          <w:szCs w:val="24"/>
          <w:lang w:eastAsia="en-US"/>
        </w:rPr>
        <w:t>Encuentro sobre Firmas Electrónicas: Actualidad, Oportunidades y Retos</w:t>
      </w:r>
    </w:p>
    <w:p w:rsidR="00FC78F7" w:rsidRPr="00FC78F7" w:rsidRDefault="00FC78F7" w:rsidP="00FC78F7">
      <w:pPr>
        <w:spacing w:after="0" w:line="360" w:lineRule="auto"/>
        <w:rPr>
          <w:rFonts w:eastAsiaTheme="minorHAnsi"/>
          <w:b/>
          <w:szCs w:val="24"/>
          <w:lang w:eastAsia="en-US"/>
        </w:rPr>
      </w:pPr>
    </w:p>
    <w:p w:rsidR="00FC78F7" w:rsidRPr="00FC78F7" w:rsidRDefault="00FC78F7" w:rsidP="00FC78F7">
      <w:pPr>
        <w:spacing w:after="0" w:line="360" w:lineRule="auto"/>
        <w:rPr>
          <w:rFonts w:eastAsiaTheme="minorHAnsi"/>
          <w:b/>
          <w:szCs w:val="24"/>
          <w:lang w:eastAsia="en-US"/>
        </w:rPr>
      </w:pPr>
      <w:r w:rsidRPr="00FC78F7">
        <w:rPr>
          <w:rFonts w:eastAsiaTheme="minorHAnsi"/>
          <w:szCs w:val="24"/>
          <w:lang w:eastAsia="en-US"/>
        </w:rPr>
        <w:t>El Instituto Dominicano de Telecomunicaciones (INDOTEL), conjuntamente con la Cámara de Comercio y Producción de Santo Domingo y las demás Entidades de Certificación AVANSI, Oficina Gubernamental de Tecnologías de la Información y Comunicación (OGTIC), LLEIDANET y NOVOSIT llevaron a cabo el Encuentro sobre Firmas Electrónicas: Actualidad, Oportunidades y Retos, el 13 de octubre de 2021.</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spacing w:after="0" w:line="360" w:lineRule="auto"/>
        <w:rPr>
          <w:rFonts w:eastAsiaTheme="minorHAnsi"/>
          <w:szCs w:val="24"/>
          <w:lang w:eastAsia="en-US"/>
        </w:rPr>
      </w:pPr>
      <w:r w:rsidRPr="00FC78F7">
        <w:rPr>
          <w:rFonts w:eastAsiaTheme="minorHAnsi"/>
          <w:szCs w:val="24"/>
          <w:lang w:eastAsia="en-US"/>
        </w:rPr>
        <w:t>Este evento constituyó un intercambio de conocimientos prácticos entre el órgano regulador y los prestadores de servicios de certificación digital y de confianza para abordar los elementos de las regulaciones de las firmas electrónicas, las políticas para incentivar su uso a nivel nacional, así como los retos que se avecinan en el horizonte próximo y con lo cual se espera llevar a la República Dominicana a convertirse en un país líder a nivel mundial en la provisión de estos servicios.</w:t>
      </w:r>
    </w:p>
    <w:p w:rsidR="00FC78F7" w:rsidRPr="00FC78F7" w:rsidRDefault="00FC78F7" w:rsidP="00FC78F7">
      <w:pPr>
        <w:spacing w:after="0" w:line="360" w:lineRule="auto"/>
        <w:rPr>
          <w:rFonts w:eastAsiaTheme="minorHAnsi"/>
          <w:szCs w:val="24"/>
          <w:lang w:eastAsia="en-US"/>
        </w:rPr>
      </w:pPr>
    </w:p>
    <w:p w:rsidR="00FC78F7" w:rsidRPr="00FC78F7" w:rsidRDefault="00FC78F7" w:rsidP="00FC78F7">
      <w:pPr>
        <w:spacing w:after="0" w:line="360" w:lineRule="auto"/>
        <w:rPr>
          <w:rFonts w:eastAsiaTheme="minorHAnsi"/>
          <w:b/>
          <w:szCs w:val="24"/>
          <w:lang w:eastAsia="en-US"/>
        </w:rPr>
      </w:pPr>
      <w:r w:rsidRPr="00FC78F7">
        <w:rPr>
          <w:rFonts w:eastAsiaTheme="minorHAnsi"/>
          <w:szCs w:val="24"/>
          <w:lang w:eastAsia="en-US"/>
        </w:rPr>
        <w:t>El evento contó con sesiones plenarias y paneles dedicados a presentaciones y debates sobre las tendencias y prácticas de la industria de servicios de certificación digital y confianza en la República Dominicana y además contó con una variada participación de los mejores expertos en la materia. Tuvo como resultado la suscripción de la Declaración sobre los Servicios de Firmas Electrónicas en la República Dominicana.</w:t>
      </w:r>
    </w:p>
    <w:p w:rsidR="002639AF" w:rsidRDefault="002639AF" w:rsidP="002639AF">
      <w:pPr>
        <w:spacing w:line="360" w:lineRule="auto"/>
        <w:contextualSpacing/>
        <w:rPr>
          <w:rStyle w:val="Ttulo1Car"/>
          <w:rFonts w:eastAsia="Calibri"/>
          <w:color w:val="767171"/>
          <w:sz w:val="24"/>
          <w:szCs w:val="24"/>
        </w:rPr>
      </w:pPr>
    </w:p>
    <w:p w:rsidR="002639AF" w:rsidRDefault="002639AF" w:rsidP="008F0E84">
      <w:pPr>
        <w:spacing w:line="360" w:lineRule="auto"/>
      </w:pPr>
    </w:p>
    <w:p w:rsidR="002B3E80" w:rsidRPr="002B3E80" w:rsidRDefault="002B3E80" w:rsidP="00A17C7C">
      <w:pPr>
        <w:pStyle w:val="Ttulo1"/>
        <w:numPr>
          <w:ilvl w:val="0"/>
          <w:numId w:val="25"/>
        </w:numPr>
        <w:ind w:left="90"/>
        <w:rPr>
          <w:sz w:val="28"/>
        </w:rPr>
      </w:pPr>
      <w:bookmarkStart w:id="65" w:name="_Toc90936651"/>
      <w:r>
        <w:rPr>
          <w:color w:val="767171"/>
          <w:sz w:val="28"/>
        </w:rPr>
        <w:lastRenderedPageBreak/>
        <w:t>RESULTADOS ÁREAS TRANSVERSALES</w:t>
      </w:r>
      <w:r>
        <w:rPr>
          <w:color w:val="767171"/>
          <w:sz w:val="28"/>
        </w:rPr>
        <w:br/>
        <w:t xml:space="preserve"> Y DE APOYO</w:t>
      </w:r>
      <w:bookmarkEnd w:id="65"/>
    </w:p>
    <w:p w:rsidR="00D048D0" w:rsidRPr="006F0C62" w:rsidRDefault="000110B8" w:rsidP="00D048D0">
      <w:r w:rsidRPr="006F0C62">
        <w:rPr>
          <w:noProof/>
          <w:lang w:val="en-US" w:eastAsia="en-US"/>
        </w:rPr>
        <mc:AlternateContent>
          <mc:Choice Requires="wps">
            <w:drawing>
              <wp:anchor distT="0" distB="0" distL="114300" distR="114300" simplePos="0" relativeHeight="251660288" behindDoc="0" locked="1" layoutInCell="1" allowOverlap="1">
                <wp:simplePos x="0" y="0"/>
                <wp:positionH relativeFrom="margin">
                  <wp:posOffset>2280285</wp:posOffset>
                </wp:positionH>
                <wp:positionV relativeFrom="paragraph">
                  <wp:posOffset>34925</wp:posOffset>
                </wp:positionV>
                <wp:extent cx="463550" cy="0"/>
                <wp:effectExtent l="0" t="19050" r="31750" b="19050"/>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251ED" id="Conector recto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2.75pt" to="216.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uU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" strokecolor="#ee2a24" strokeweight="2.25pt">
                <v:stroke joinstyle="miter"/>
                <w10:wrap anchorx="margin"/>
                <w10:anchorlock/>
              </v:line>
            </w:pict>
          </mc:Fallback>
        </mc:AlternateContent>
      </w:r>
    </w:p>
    <w:p w:rsidR="00D048D0" w:rsidRDefault="00E715BA" w:rsidP="00D048D0">
      <w:pPr>
        <w:jc w:val="center"/>
        <w:rPr>
          <w:rStyle w:val="Ttulo1Car"/>
          <w:rFonts w:eastAsia="Calibri"/>
        </w:rPr>
      </w:pPr>
      <w:r>
        <w:rPr>
          <w:spacing w:val="20"/>
          <w:szCs w:val="24"/>
        </w:rPr>
        <w:t>Memoria Institucional 2021</w:t>
      </w:r>
    </w:p>
    <w:p w:rsidR="00D048D0" w:rsidRDefault="00D048D0" w:rsidP="00D048D0">
      <w:pPr>
        <w:rPr>
          <w:b/>
          <w:sz w:val="28"/>
        </w:rPr>
      </w:pPr>
    </w:p>
    <w:p w:rsidR="00AE7454" w:rsidRDefault="00D048D0" w:rsidP="00AE7454">
      <w:pPr>
        <w:pStyle w:val="Ttulo3"/>
        <w:rPr>
          <w:szCs w:val="28"/>
        </w:rPr>
      </w:pPr>
      <w:bookmarkStart w:id="66" w:name="_Toc90936652"/>
      <w:r w:rsidRPr="005D0A88">
        <w:rPr>
          <w:szCs w:val="28"/>
        </w:rPr>
        <w:t>Desempeño Administrativo</w:t>
      </w:r>
      <w:r w:rsidR="00AE7454">
        <w:rPr>
          <w:szCs w:val="28"/>
        </w:rPr>
        <w:t xml:space="preserve"> y Financiero</w:t>
      </w:r>
      <w:bookmarkEnd w:id="66"/>
    </w:p>
    <w:p w:rsidR="00AE7454" w:rsidRPr="00AE7454" w:rsidRDefault="00AE7454" w:rsidP="00AE7454">
      <w:pPr>
        <w:pStyle w:val="Sinespaciado"/>
      </w:pPr>
    </w:p>
    <w:p w:rsidR="004F1B76" w:rsidRDefault="00AE7454" w:rsidP="00AE7454">
      <w:pPr>
        <w:pStyle w:val="Ttulo4"/>
      </w:pPr>
      <w:r w:rsidRPr="005D0A88">
        <w:t>Desempeño Administrativo</w:t>
      </w:r>
    </w:p>
    <w:p w:rsidR="00AE7454" w:rsidRDefault="00AE7454" w:rsidP="00AE7454">
      <w:pPr>
        <w:pStyle w:val="Sinespaciado"/>
      </w:pPr>
    </w:p>
    <w:p w:rsidR="00162885" w:rsidRPr="00162885" w:rsidRDefault="00162885" w:rsidP="00162885">
      <w:pPr>
        <w:spacing w:after="0" w:line="360" w:lineRule="auto"/>
        <w:ind w:right="49"/>
        <w:contextualSpacing/>
        <w:rPr>
          <w:rFonts w:eastAsia="MS Mincho"/>
          <w:szCs w:val="24"/>
          <w:lang w:eastAsia="en-US"/>
        </w:rPr>
      </w:pPr>
      <w:r w:rsidRPr="00162885">
        <w:rPr>
          <w:rFonts w:eastAsia="MS Mincho"/>
          <w:szCs w:val="24"/>
          <w:lang w:eastAsia="en-US"/>
        </w:rPr>
        <w:t xml:space="preserve">El área Administrativa es la responsable de coordinar, organizar y dirigir todas aquellas actividades que conllevan los procesos operativos-administrativos de la institución, velando por la optimización del uso de los recursos, el buen mantenimiento y el funcionamiento de las áreas físicas y equipos de la institución. </w:t>
      </w:r>
    </w:p>
    <w:p w:rsidR="00162885" w:rsidRPr="00162885" w:rsidRDefault="00162885" w:rsidP="00162885">
      <w:pPr>
        <w:spacing w:after="0" w:line="240" w:lineRule="auto"/>
        <w:jc w:val="left"/>
        <w:rPr>
          <w:rFonts w:eastAsia="MS Mincho"/>
          <w:color w:val="auto"/>
        </w:rPr>
      </w:pPr>
    </w:p>
    <w:p w:rsidR="00162885" w:rsidRPr="00162885" w:rsidRDefault="00162885" w:rsidP="00162885">
      <w:pPr>
        <w:spacing w:line="360" w:lineRule="auto"/>
        <w:contextualSpacing/>
        <w:rPr>
          <w:rFonts w:eastAsia="MS Mincho"/>
          <w:szCs w:val="28"/>
          <w:lang w:eastAsia="en-US"/>
        </w:rPr>
      </w:pPr>
      <w:r w:rsidRPr="00162885">
        <w:rPr>
          <w:rFonts w:eastAsia="MS Mincho"/>
          <w:szCs w:val="28"/>
          <w:lang w:eastAsia="en-US"/>
        </w:rPr>
        <w:t>Se encarga, además, de tramitar y gestionar los pagos de los servicios básicos, combustibles, pólizas de seguros de todo riesgo y vehículos, contratos de arrendamientos y servicios de mantenimiento, actividades relacionadas al Plan Anual de Compras y Contrataciones, control y asignación de parqueos, control y asignación de equipos de telefonía móvil, entre otros.</w:t>
      </w:r>
    </w:p>
    <w:p w:rsidR="00162885" w:rsidRPr="00162885" w:rsidRDefault="00162885" w:rsidP="00162885">
      <w:pPr>
        <w:spacing w:after="0" w:line="240" w:lineRule="auto"/>
        <w:jc w:val="left"/>
        <w:rPr>
          <w:rFonts w:eastAsia="MS Mincho"/>
          <w:color w:val="auto"/>
          <w:lang w:eastAsia="en-US"/>
        </w:rPr>
      </w:pPr>
    </w:p>
    <w:p w:rsidR="00162885" w:rsidRDefault="00162885" w:rsidP="00162885">
      <w:pPr>
        <w:spacing w:line="360" w:lineRule="auto"/>
        <w:contextualSpacing/>
        <w:rPr>
          <w:rFonts w:eastAsia="MS Mincho"/>
          <w:szCs w:val="24"/>
          <w:lang w:eastAsia="en-US"/>
        </w:rPr>
      </w:pPr>
      <w:r w:rsidRPr="00162885">
        <w:rPr>
          <w:rFonts w:eastAsia="MS Mincho"/>
          <w:szCs w:val="24"/>
          <w:lang w:eastAsia="en-US"/>
        </w:rPr>
        <w:t xml:space="preserve">La gestión realizada de revisión, supervisión y control ha permitido obtener resultados en la reducción de gastos en comparación con el año 2020, que representan un ahorro ascendente a </w:t>
      </w:r>
      <w:r w:rsidRPr="007735D3">
        <w:rPr>
          <w:rFonts w:eastAsia="MS Mincho"/>
          <w:szCs w:val="24"/>
          <w:lang w:eastAsia="en-US"/>
        </w:rPr>
        <w:t>RD$6,984,786.41</w:t>
      </w:r>
      <w:r w:rsidRPr="00162885">
        <w:rPr>
          <w:rFonts w:eastAsia="MS Mincho"/>
          <w:szCs w:val="24"/>
          <w:lang w:eastAsia="en-US"/>
        </w:rPr>
        <w:t xml:space="preserve"> en el año 2021, manteniendo un servicio oportuno y ofreciendo soluciones eficientes a los requerimientos de la institución, según detallamos en la siguiente tabla:</w:t>
      </w:r>
    </w:p>
    <w:p w:rsidR="007F0B79" w:rsidRDefault="007F0B79" w:rsidP="00162885">
      <w:pPr>
        <w:spacing w:line="360" w:lineRule="auto"/>
        <w:contextualSpacing/>
        <w:rPr>
          <w:rFonts w:eastAsia="MS Mincho"/>
          <w:szCs w:val="24"/>
          <w:lang w:eastAsia="en-US"/>
        </w:rPr>
      </w:pPr>
    </w:p>
    <w:p w:rsidR="007F0B79" w:rsidRDefault="007F0B79" w:rsidP="00162885">
      <w:pPr>
        <w:spacing w:line="360" w:lineRule="auto"/>
        <w:contextualSpacing/>
        <w:rPr>
          <w:rFonts w:eastAsia="MS Mincho"/>
          <w:szCs w:val="24"/>
          <w:lang w:eastAsia="en-US"/>
        </w:rPr>
      </w:pPr>
    </w:p>
    <w:p w:rsidR="007F0B79" w:rsidRDefault="007F0B79" w:rsidP="00162885">
      <w:pPr>
        <w:spacing w:line="360" w:lineRule="auto"/>
        <w:contextualSpacing/>
        <w:rPr>
          <w:rFonts w:eastAsia="MS Mincho"/>
          <w:szCs w:val="24"/>
          <w:lang w:eastAsia="en-US"/>
        </w:rPr>
      </w:pPr>
    </w:p>
    <w:p w:rsidR="007F0B79" w:rsidRDefault="007F0B79" w:rsidP="00162885">
      <w:pPr>
        <w:spacing w:line="360" w:lineRule="auto"/>
        <w:contextualSpacing/>
        <w:rPr>
          <w:rFonts w:eastAsia="MS Mincho"/>
          <w:szCs w:val="24"/>
          <w:lang w:eastAsia="en-US"/>
        </w:rPr>
      </w:pPr>
    </w:p>
    <w:p w:rsidR="007F0B79" w:rsidRPr="00162885" w:rsidRDefault="007F0B79" w:rsidP="00162885">
      <w:pPr>
        <w:spacing w:line="360" w:lineRule="auto"/>
        <w:contextualSpacing/>
        <w:rPr>
          <w:rFonts w:eastAsia="MS Mincho"/>
          <w:szCs w:val="24"/>
          <w:lang w:eastAsia="en-US"/>
        </w:rPr>
      </w:pPr>
    </w:p>
    <w:tbl>
      <w:tblPr>
        <w:tblpPr w:leftFromText="141" w:rightFromText="141" w:vertAnchor="text" w:horzAnchor="margin" w:tblpXSpec="center" w:tblpY="352"/>
        <w:tblW w:w="7902" w:type="dxa"/>
        <w:tblCellMar>
          <w:left w:w="70" w:type="dxa"/>
          <w:right w:w="70" w:type="dxa"/>
        </w:tblCellMar>
        <w:tblLook w:val="04A0" w:firstRow="1" w:lastRow="0" w:firstColumn="1" w:lastColumn="0" w:noHBand="0" w:noVBand="1"/>
      </w:tblPr>
      <w:tblGrid>
        <w:gridCol w:w="2258"/>
        <w:gridCol w:w="1921"/>
        <w:gridCol w:w="1801"/>
        <w:gridCol w:w="1922"/>
      </w:tblGrid>
      <w:tr w:rsidR="00162885" w:rsidRPr="00162885" w:rsidTr="0063671D">
        <w:trPr>
          <w:trHeight w:val="315"/>
        </w:trPr>
        <w:tc>
          <w:tcPr>
            <w:tcW w:w="7902" w:type="dxa"/>
            <w:gridSpan w:val="4"/>
            <w:tcBorders>
              <w:top w:val="single" w:sz="4" w:space="0" w:color="auto"/>
              <w:left w:val="single" w:sz="4" w:space="0" w:color="auto"/>
              <w:bottom w:val="single" w:sz="4" w:space="0" w:color="auto"/>
              <w:right w:val="single" w:sz="4" w:space="0" w:color="auto"/>
            </w:tcBorders>
            <w:shd w:val="clear" w:color="auto" w:fill="003876"/>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lastRenderedPageBreak/>
              <w:t>Servicios</w:t>
            </w:r>
          </w:p>
        </w:tc>
      </w:tr>
      <w:tr w:rsidR="00162885" w:rsidRPr="00162885" w:rsidTr="0063671D">
        <w:trPr>
          <w:trHeight w:val="330"/>
        </w:trPr>
        <w:tc>
          <w:tcPr>
            <w:tcW w:w="7902" w:type="dxa"/>
            <w:gridSpan w:val="4"/>
            <w:tcBorders>
              <w:top w:val="single" w:sz="4" w:space="0" w:color="auto"/>
              <w:left w:val="single" w:sz="4" w:space="0" w:color="auto"/>
              <w:bottom w:val="single" w:sz="4" w:space="0" w:color="auto"/>
              <w:right w:val="single" w:sz="4" w:space="0" w:color="auto"/>
            </w:tcBorders>
            <w:shd w:val="clear" w:color="auto" w:fill="003876"/>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 xml:space="preserve">Enero – Octubre </w:t>
            </w:r>
            <w:r w:rsidR="00431E35">
              <w:rPr>
                <w:rFonts w:eastAsia="Times New Roman"/>
                <w:b/>
                <w:bCs/>
                <w:color w:val="FFFFFF"/>
                <w:szCs w:val="24"/>
              </w:rPr>
              <w:t xml:space="preserve">de </w:t>
            </w:r>
            <w:r w:rsidRPr="00162885">
              <w:rPr>
                <w:rFonts w:eastAsia="Times New Roman"/>
                <w:b/>
                <w:bCs/>
                <w:color w:val="FFFFFF"/>
                <w:szCs w:val="24"/>
              </w:rPr>
              <w:t>2021 vs Enero – Octubre</w:t>
            </w:r>
            <w:r w:rsidR="00431E35">
              <w:rPr>
                <w:rFonts w:eastAsia="Times New Roman"/>
                <w:b/>
                <w:bCs/>
                <w:color w:val="FFFFFF"/>
                <w:szCs w:val="24"/>
              </w:rPr>
              <w:t xml:space="preserve"> de</w:t>
            </w:r>
            <w:r w:rsidRPr="00162885">
              <w:rPr>
                <w:rFonts w:eastAsia="Times New Roman"/>
                <w:b/>
                <w:bCs/>
                <w:color w:val="FFFFFF"/>
                <w:szCs w:val="24"/>
              </w:rPr>
              <w:t xml:space="preserve"> 2020</w:t>
            </w:r>
          </w:p>
        </w:tc>
      </w:tr>
      <w:tr w:rsidR="00C336E0" w:rsidRPr="00162885" w:rsidTr="0063671D">
        <w:trPr>
          <w:trHeight w:val="330"/>
        </w:trPr>
        <w:tc>
          <w:tcPr>
            <w:tcW w:w="2258" w:type="dxa"/>
            <w:vMerge w:val="restart"/>
            <w:tcBorders>
              <w:top w:val="single" w:sz="4" w:space="0" w:color="auto"/>
              <w:left w:val="single" w:sz="4" w:space="0" w:color="auto"/>
              <w:bottom w:val="single" w:sz="4" w:space="0" w:color="auto"/>
              <w:right w:val="single" w:sz="4" w:space="0" w:color="auto"/>
            </w:tcBorders>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Concepto</w:t>
            </w:r>
          </w:p>
        </w:tc>
        <w:tc>
          <w:tcPr>
            <w:tcW w:w="1921" w:type="dxa"/>
            <w:tcBorders>
              <w:top w:val="single" w:sz="4" w:space="0" w:color="auto"/>
              <w:left w:val="single" w:sz="4" w:space="0" w:color="auto"/>
              <w:bottom w:val="single" w:sz="4" w:space="0" w:color="auto"/>
              <w:right w:val="single" w:sz="4" w:space="0" w:color="auto"/>
            </w:tcBorders>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2020</w:t>
            </w:r>
          </w:p>
        </w:tc>
        <w:tc>
          <w:tcPr>
            <w:tcW w:w="1801" w:type="dxa"/>
            <w:tcBorders>
              <w:top w:val="single" w:sz="4" w:space="0" w:color="auto"/>
              <w:left w:val="single" w:sz="4" w:space="0" w:color="auto"/>
              <w:bottom w:val="single" w:sz="4" w:space="0" w:color="auto"/>
              <w:right w:val="single" w:sz="4" w:space="0" w:color="auto"/>
            </w:tcBorders>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2021</w:t>
            </w:r>
          </w:p>
        </w:tc>
        <w:tc>
          <w:tcPr>
            <w:tcW w:w="1922" w:type="dxa"/>
            <w:vMerge w:val="restart"/>
            <w:tcBorders>
              <w:top w:val="single" w:sz="4" w:space="0" w:color="auto"/>
              <w:left w:val="single" w:sz="4" w:space="0" w:color="auto"/>
              <w:bottom w:val="single" w:sz="4" w:space="0" w:color="auto"/>
              <w:right w:val="single" w:sz="4" w:space="0" w:color="auto"/>
            </w:tcBorders>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 xml:space="preserve"> Diferencia </w:t>
            </w:r>
          </w:p>
        </w:tc>
      </w:tr>
      <w:tr w:rsidR="00C336E0" w:rsidRPr="00162885" w:rsidTr="0063671D">
        <w:trPr>
          <w:trHeight w:val="330"/>
        </w:trPr>
        <w:tc>
          <w:tcPr>
            <w:tcW w:w="2258" w:type="dxa"/>
            <w:vMerge/>
            <w:tcBorders>
              <w:top w:val="single" w:sz="4" w:space="0" w:color="auto"/>
              <w:left w:val="single" w:sz="8" w:space="0" w:color="auto"/>
              <w:bottom w:val="nil"/>
              <w:right w:val="single" w:sz="8" w:space="0" w:color="auto"/>
            </w:tcBorders>
            <w:vAlign w:val="center"/>
            <w:hideMark/>
          </w:tcPr>
          <w:p w:rsidR="00162885" w:rsidRPr="00162885" w:rsidRDefault="00162885" w:rsidP="00162885">
            <w:pPr>
              <w:spacing w:after="0" w:line="240" w:lineRule="auto"/>
              <w:jc w:val="left"/>
              <w:rPr>
                <w:rFonts w:eastAsia="Times New Roman"/>
                <w:b/>
                <w:bCs/>
                <w:color w:val="FFFFFF"/>
                <w:szCs w:val="24"/>
              </w:rPr>
            </w:pPr>
          </w:p>
        </w:tc>
        <w:tc>
          <w:tcPr>
            <w:tcW w:w="1921" w:type="dxa"/>
            <w:tcBorders>
              <w:top w:val="single" w:sz="4" w:space="0" w:color="auto"/>
              <w:left w:val="nil"/>
              <w:bottom w:val="nil"/>
              <w:right w:val="single" w:sz="8" w:space="0" w:color="auto"/>
            </w:tcBorders>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 xml:space="preserve"> (En RD$)   </w:t>
            </w:r>
          </w:p>
        </w:tc>
        <w:tc>
          <w:tcPr>
            <w:tcW w:w="1801" w:type="dxa"/>
            <w:tcBorders>
              <w:top w:val="single" w:sz="4" w:space="0" w:color="auto"/>
              <w:left w:val="nil"/>
              <w:bottom w:val="nil"/>
              <w:right w:val="single" w:sz="8" w:space="0" w:color="auto"/>
            </w:tcBorders>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 xml:space="preserve"> (En RD$) </w:t>
            </w:r>
          </w:p>
        </w:tc>
        <w:tc>
          <w:tcPr>
            <w:tcW w:w="1922" w:type="dxa"/>
            <w:vMerge/>
            <w:tcBorders>
              <w:top w:val="single" w:sz="4" w:space="0" w:color="auto"/>
              <w:left w:val="single" w:sz="8" w:space="0" w:color="auto"/>
              <w:bottom w:val="nil"/>
              <w:right w:val="single" w:sz="8" w:space="0" w:color="auto"/>
            </w:tcBorders>
            <w:vAlign w:val="center"/>
            <w:hideMark/>
          </w:tcPr>
          <w:p w:rsidR="00162885" w:rsidRPr="00162885" w:rsidRDefault="00162885" w:rsidP="00162885">
            <w:pPr>
              <w:spacing w:after="0" w:line="240" w:lineRule="auto"/>
              <w:jc w:val="left"/>
              <w:rPr>
                <w:rFonts w:eastAsia="Times New Roman"/>
                <w:b/>
                <w:bCs/>
                <w:color w:val="FFFFFF"/>
                <w:szCs w:val="24"/>
              </w:rPr>
            </w:pPr>
          </w:p>
        </w:tc>
      </w:tr>
      <w:tr w:rsidR="00162885" w:rsidRPr="00162885" w:rsidTr="007F55BA">
        <w:trPr>
          <w:trHeight w:val="330"/>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 xml:space="preserve">Telecomunicaciones </w:t>
            </w:r>
          </w:p>
        </w:tc>
        <w:tc>
          <w:tcPr>
            <w:tcW w:w="1921" w:type="dxa"/>
            <w:tcBorders>
              <w:top w:val="single" w:sz="4" w:space="0" w:color="auto"/>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12,184,959.69 </w:t>
            </w:r>
          </w:p>
        </w:tc>
        <w:tc>
          <w:tcPr>
            <w:tcW w:w="1801" w:type="dxa"/>
            <w:tcBorders>
              <w:top w:val="single" w:sz="4" w:space="0" w:color="auto"/>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8,021,579.66</w:t>
            </w:r>
          </w:p>
        </w:tc>
        <w:tc>
          <w:tcPr>
            <w:tcW w:w="1922" w:type="dxa"/>
            <w:tcBorders>
              <w:top w:val="single" w:sz="4" w:space="0" w:color="auto"/>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ind w:right="72"/>
              <w:jc w:val="right"/>
              <w:rPr>
                <w:rFonts w:eastAsia="Times New Roman"/>
                <w:szCs w:val="24"/>
              </w:rPr>
            </w:pPr>
            <w:r w:rsidRPr="00162885">
              <w:rPr>
                <w:rFonts w:eastAsia="Times New Roman"/>
                <w:szCs w:val="24"/>
              </w:rPr>
              <w:t xml:space="preserve">               -4,163,380.03 </w:t>
            </w:r>
          </w:p>
        </w:tc>
      </w:tr>
      <w:tr w:rsidR="00162885" w:rsidRPr="00162885" w:rsidTr="007F55BA">
        <w:trPr>
          <w:trHeight w:val="33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Energía Eléctrica</w:t>
            </w:r>
          </w:p>
        </w:tc>
        <w:tc>
          <w:tcPr>
            <w:tcW w:w="1921"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9,775,777.11 </w:t>
            </w:r>
          </w:p>
        </w:tc>
        <w:tc>
          <w:tcPr>
            <w:tcW w:w="1801"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7,449,189.34 </w:t>
            </w:r>
          </w:p>
        </w:tc>
        <w:tc>
          <w:tcPr>
            <w:tcW w:w="1922"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ind w:right="72"/>
              <w:jc w:val="right"/>
              <w:rPr>
                <w:rFonts w:eastAsia="Times New Roman"/>
                <w:szCs w:val="24"/>
              </w:rPr>
            </w:pPr>
            <w:r w:rsidRPr="00162885">
              <w:rPr>
                <w:rFonts w:eastAsia="Times New Roman"/>
                <w:szCs w:val="24"/>
              </w:rPr>
              <w:t xml:space="preserve">               -2,326,587.77 </w:t>
            </w:r>
          </w:p>
        </w:tc>
      </w:tr>
      <w:tr w:rsidR="00162885" w:rsidRPr="00162885" w:rsidTr="007F55BA">
        <w:trPr>
          <w:trHeight w:val="33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 xml:space="preserve">Combustibles </w:t>
            </w:r>
          </w:p>
        </w:tc>
        <w:tc>
          <w:tcPr>
            <w:tcW w:w="1921"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8,863,253.15 </w:t>
            </w:r>
          </w:p>
        </w:tc>
        <w:tc>
          <w:tcPr>
            <w:tcW w:w="1801"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8,416,367.58 </w:t>
            </w:r>
          </w:p>
        </w:tc>
        <w:tc>
          <w:tcPr>
            <w:tcW w:w="1922"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ind w:right="72"/>
              <w:jc w:val="right"/>
              <w:rPr>
                <w:rFonts w:eastAsia="Times New Roman"/>
                <w:szCs w:val="24"/>
              </w:rPr>
            </w:pPr>
            <w:r w:rsidRPr="00162885">
              <w:rPr>
                <w:rFonts w:eastAsia="Times New Roman"/>
                <w:szCs w:val="24"/>
              </w:rPr>
              <w:t xml:space="preserve">                   -446,885.57 </w:t>
            </w:r>
          </w:p>
        </w:tc>
      </w:tr>
      <w:tr w:rsidR="00162885" w:rsidRPr="00162885" w:rsidTr="007F55BA">
        <w:trPr>
          <w:trHeight w:val="33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Seguros Todo Riesgo/Vehículos</w:t>
            </w:r>
          </w:p>
        </w:tc>
        <w:tc>
          <w:tcPr>
            <w:tcW w:w="1921"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6,994,157.50 </w:t>
            </w:r>
          </w:p>
        </w:tc>
        <w:tc>
          <w:tcPr>
            <w:tcW w:w="1801"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6,946,224.46 </w:t>
            </w:r>
          </w:p>
        </w:tc>
        <w:tc>
          <w:tcPr>
            <w:tcW w:w="1922" w:type="dxa"/>
            <w:tcBorders>
              <w:top w:val="nil"/>
              <w:left w:val="nil"/>
              <w:bottom w:val="single" w:sz="4" w:space="0" w:color="auto"/>
              <w:right w:val="single" w:sz="4" w:space="0" w:color="auto"/>
            </w:tcBorders>
            <w:shd w:val="clear" w:color="auto" w:fill="auto"/>
            <w:noWrap/>
            <w:vAlign w:val="center"/>
            <w:hideMark/>
          </w:tcPr>
          <w:p w:rsidR="00162885" w:rsidRPr="00162885" w:rsidRDefault="00162885" w:rsidP="00162885">
            <w:pPr>
              <w:spacing w:after="0" w:line="240" w:lineRule="auto"/>
              <w:ind w:right="72"/>
              <w:jc w:val="right"/>
              <w:rPr>
                <w:rFonts w:eastAsia="Times New Roman"/>
                <w:szCs w:val="24"/>
              </w:rPr>
            </w:pPr>
            <w:r w:rsidRPr="00162885">
              <w:rPr>
                <w:rFonts w:eastAsia="Times New Roman"/>
                <w:szCs w:val="24"/>
              </w:rPr>
              <w:t xml:space="preserve">                     -47,933.04 </w:t>
            </w:r>
          </w:p>
        </w:tc>
      </w:tr>
      <w:tr w:rsidR="00C336E0" w:rsidRPr="00162885" w:rsidTr="0063671D">
        <w:trPr>
          <w:trHeight w:val="330"/>
        </w:trPr>
        <w:tc>
          <w:tcPr>
            <w:tcW w:w="2258" w:type="dxa"/>
            <w:tcBorders>
              <w:top w:val="nil"/>
              <w:left w:val="single" w:sz="8" w:space="0" w:color="auto"/>
              <w:bottom w:val="single" w:sz="8" w:space="0" w:color="auto"/>
              <w:right w:val="single" w:sz="8" w:space="0" w:color="auto"/>
            </w:tcBorders>
            <w:shd w:val="clear" w:color="auto" w:fill="003876"/>
            <w:noWrap/>
            <w:vAlign w:val="center"/>
            <w:hideMark/>
          </w:tcPr>
          <w:p w:rsidR="00162885" w:rsidRPr="00162885" w:rsidRDefault="00162885" w:rsidP="00162885">
            <w:pPr>
              <w:spacing w:after="0" w:line="240" w:lineRule="auto"/>
              <w:jc w:val="left"/>
              <w:rPr>
                <w:rFonts w:eastAsia="Times New Roman"/>
                <w:color w:val="FFFFFF"/>
                <w:szCs w:val="24"/>
              </w:rPr>
            </w:pPr>
            <w:r w:rsidRPr="00162885">
              <w:rPr>
                <w:rFonts w:eastAsia="Times New Roman"/>
                <w:color w:val="FFFFFF"/>
                <w:szCs w:val="24"/>
              </w:rPr>
              <w:t>Total</w:t>
            </w:r>
          </w:p>
        </w:tc>
        <w:tc>
          <w:tcPr>
            <w:tcW w:w="1921" w:type="dxa"/>
            <w:tcBorders>
              <w:top w:val="nil"/>
              <w:left w:val="nil"/>
              <w:bottom w:val="single" w:sz="8" w:space="0" w:color="auto"/>
              <w:right w:val="single" w:sz="8" w:space="0" w:color="auto"/>
            </w:tcBorders>
            <w:shd w:val="clear" w:color="auto" w:fill="003876"/>
            <w:noWrap/>
            <w:vAlign w:val="center"/>
            <w:hideMark/>
          </w:tcPr>
          <w:p w:rsidR="00162885" w:rsidRPr="00162885" w:rsidRDefault="00162885" w:rsidP="00162885">
            <w:pPr>
              <w:spacing w:after="0" w:line="240" w:lineRule="auto"/>
              <w:jc w:val="right"/>
              <w:rPr>
                <w:rFonts w:eastAsia="Times New Roman"/>
                <w:color w:val="FFFFFF"/>
                <w:szCs w:val="24"/>
              </w:rPr>
            </w:pPr>
            <w:r w:rsidRPr="00162885">
              <w:rPr>
                <w:rFonts w:eastAsia="Times New Roman"/>
                <w:color w:val="FFFFFF"/>
                <w:szCs w:val="24"/>
              </w:rPr>
              <w:t xml:space="preserve">     37,818,147.45 </w:t>
            </w:r>
          </w:p>
        </w:tc>
        <w:tc>
          <w:tcPr>
            <w:tcW w:w="1801" w:type="dxa"/>
            <w:tcBorders>
              <w:top w:val="nil"/>
              <w:left w:val="nil"/>
              <w:bottom w:val="single" w:sz="8" w:space="0" w:color="auto"/>
              <w:right w:val="single" w:sz="8" w:space="0" w:color="auto"/>
            </w:tcBorders>
            <w:shd w:val="clear" w:color="auto" w:fill="003876"/>
            <w:noWrap/>
            <w:vAlign w:val="center"/>
            <w:hideMark/>
          </w:tcPr>
          <w:p w:rsidR="00162885" w:rsidRPr="00162885" w:rsidRDefault="00162885" w:rsidP="00162885">
            <w:pPr>
              <w:spacing w:after="0" w:line="240" w:lineRule="auto"/>
              <w:jc w:val="right"/>
              <w:rPr>
                <w:rFonts w:eastAsia="Times New Roman"/>
                <w:color w:val="FFFFFF"/>
                <w:szCs w:val="24"/>
              </w:rPr>
            </w:pPr>
            <w:r w:rsidRPr="00162885">
              <w:rPr>
                <w:rFonts w:eastAsia="Times New Roman"/>
                <w:color w:val="FFFFFF"/>
                <w:szCs w:val="24"/>
              </w:rPr>
              <w:t xml:space="preserve">    30,833,361.04 </w:t>
            </w:r>
          </w:p>
        </w:tc>
        <w:tc>
          <w:tcPr>
            <w:tcW w:w="1922" w:type="dxa"/>
            <w:tcBorders>
              <w:top w:val="nil"/>
              <w:left w:val="nil"/>
              <w:bottom w:val="single" w:sz="8" w:space="0" w:color="auto"/>
              <w:right w:val="single" w:sz="8" w:space="0" w:color="auto"/>
            </w:tcBorders>
            <w:shd w:val="clear" w:color="auto" w:fill="003876"/>
            <w:noWrap/>
            <w:vAlign w:val="center"/>
            <w:hideMark/>
          </w:tcPr>
          <w:p w:rsidR="00162885" w:rsidRPr="00162885" w:rsidRDefault="00162885" w:rsidP="00162885">
            <w:pPr>
              <w:spacing w:after="0" w:line="240" w:lineRule="auto"/>
              <w:ind w:right="72"/>
              <w:jc w:val="right"/>
              <w:rPr>
                <w:rFonts w:eastAsia="Times New Roman"/>
                <w:b/>
                <w:bCs/>
                <w:color w:val="FFFFFF"/>
                <w:szCs w:val="24"/>
              </w:rPr>
            </w:pPr>
            <w:r w:rsidRPr="00162885">
              <w:rPr>
                <w:rFonts w:eastAsia="Times New Roman"/>
                <w:b/>
                <w:bCs/>
                <w:color w:val="FFFFFF"/>
                <w:szCs w:val="24"/>
              </w:rPr>
              <w:t xml:space="preserve">               -6,984,786.41 </w:t>
            </w:r>
          </w:p>
        </w:tc>
      </w:tr>
    </w:tbl>
    <w:p w:rsidR="007F0B79" w:rsidRDefault="007F0B79" w:rsidP="00162885">
      <w:pPr>
        <w:spacing w:line="360" w:lineRule="auto"/>
        <w:jc w:val="left"/>
        <w:rPr>
          <w:rFonts w:eastAsia="MS Mincho"/>
          <w:szCs w:val="24"/>
          <w:lang w:eastAsia="en-US"/>
        </w:rPr>
      </w:pPr>
    </w:p>
    <w:p w:rsidR="00162885" w:rsidRPr="00162885" w:rsidRDefault="00162885" w:rsidP="00162885">
      <w:pPr>
        <w:spacing w:line="360" w:lineRule="auto"/>
        <w:jc w:val="left"/>
        <w:rPr>
          <w:rFonts w:eastAsia="MS Mincho"/>
          <w:sz w:val="18"/>
          <w:szCs w:val="24"/>
          <w:lang w:eastAsia="en-US"/>
        </w:rPr>
      </w:pPr>
      <w:r w:rsidRPr="00162885">
        <w:rPr>
          <w:rFonts w:eastAsia="MS Mincho"/>
          <w:b/>
          <w:sz w:val="18"/>
          <w:szCs w:val="24"/>
          <w:lang w:eastAsia="en-US"/>
        </w:rPr>
        <w:t>Fuente:</w:t>
      </w:r>
      <w:r w:rsidRPr="00162885">
        <w:rPr>
          <w:rFonts w:eastAsia="MS Mincho"/>
          <w:sz w:val="18"/>
          <w:szCs w:val="24"/>
          <w:lang w:eastAsia="en-US"/>
        </w:rPr>
        <w:t xml:space="preserve"> Dirección Administrativa</w:t>
      </w:r>
    </w:p>
    <w:p w:rsidR="00162885" w:rsidRPr="00162885" w:rsidRDefault="00162885" w:rsidP="00162885">
      <w:pPr>
        <w:spacing w:after="0" w:line="240" w:lineRule="auto"/>
        <w:jc w:val="left"/>
        <w:rPr>
          <w:rFonts w:eastAsia="Times New Roman"/>
          <w:color w:val="auto"/>
        </w:rPr>
      </w:pPr>
    </w:p>
    <w:p w:rsidR="00162885" w:rsidRPr="00162885" w:rsidRDefault="00162885" w:rsidP="00162885">
      <w:pPr>
        <w:spacing w:line="360" w:lineRule="auto"/>
        <w:rPr>
          <w:b/>
          <w:szCs w:val="28"/>
        </w:rPr>
      </w:pPr>
      <w:r w:rsidRPr="00162885">
        <w:rPr>
          <w:b/>
          <w:szCs w:val="28"/>
        </w:rPr>
        <w:t>Automatización y Control de Casos</w:t>
      </w:r>
    </w:p>
    <w:p w:rsidR="00C93128" w:rsidRPr="00162885" w:rsidRDefault="00162885" w:rsidP="00162885">
      <w:pPr>
        <w:spacing w:line="360" w:lineRule="auto"/>
      </w:pPr>
      <w:r w:rsidRPr="00162885">
        <w:t xml:space="preserve">El Departamento de Tramitación y Control de Documentación es el responsable de mantener actualizada la base de datos del Sistema de Gestión Interna, de tal manera que esto sirva de soporte para las operaciones en términos de consultas fehacientes. Es por esto que se conformó un equipo multidisciplinario para la intervención del sistema, logrando una reducción de un </w:t>
      </w:r>
      <w:r w:rsidRPr="00162885">
        <w:rPr>
          <w:color w:val="595959" w:themeColor="text1" w:themeTint="A6"/>
        </w:rPr>
        <w:t xml:space="preserve">72% </w:t>
      </w:r>
      <w:r w:rsidRPr="00162885">
        <w:t xml:space="preserve">de los casos abiertos en el mismo. </w:t>
      </w:r>
    </w:p>
    <w:p w:rsidR="00162885" w:rsidRPr="00162885" w:rsidRDefault="00162885" w:rsidP="00162885">
      <w:pPr>
        <w:spacing w:line="360" w:lineRule="auto"/>
        <w:rPr>
          <w:b/>
          <w:szCs w:val="24"/>
        </w:rPr>
      </w:pPr>
      <w:r w:rsidRPr="00162885">
        <w:rPr>
          <w:b/>
          <w:szCs w:val="24"/>
        </w:rPr>
        <w:t>Estadísticas de Casos</w:t>
      </w:r>
    </w:p>
    <w:p w:rsidR="00162885" w:rsidRDefault="00162885" w:rsidP="00162885">
      <w:pPr>
        <w:spacing w:line="360" w:lineRule="auto"/>
      </w:pPr>
      <w:r w:rsidRPr="00162885">
        <w:t>En el mes de diciembre del año 2020 se encontraban en proceso 930 casos, dando por concluido 668 casos durante el año 2021. Actualmente, se encuentran 262 casos en proceso que están siendo trabajados.</w:t>
      </w:r>
    </w:p>
    <w:p w:rsidR="00C93128" w:rsidRDefault="00C93128" w:rsidP="00162885">
      <w:pPr>
        <w:spacing w:line="360" w:lineRule="auto"/>
      </w:pPr>
    </w:p>
    <w:p w:rsidR="00C93128" w:rsidRDefault="00C93128" w:rsidP="00162885">
      <w:pPr>
        <w:spacing w:line="360" w:lineRule="auto"/>
      </w:pPr>
    </w:p>
    <w:p w:rsidR="00C93128" w:rsidRDefault="00C93128" w:rsidP="00162885">
      <w:pPr>
        <w:spacing w:line="360" w:lineRule="auto"/>
      </w:pPr>
    </w:p>
    <w:p w:rsidR="00C93128" w:rsidRPr="00162885" w:rsidRDefault="00C93128" w:rsidP="00162885">
      <w:pPr>
        <w:spacing w:line="360" w:lineRule="auto"/>
      </w:pPr>
    </w:p>
    <w:p w:rsidR="00162885" w:rsidRPr="00162885" w:rsidRDefault="00162885" w:rsidP="00162885">
      <w:pPr>
        <w:spacing w:line="360" w:lineRule="auto"/>
      </w:pPr>
      <w:r w:rsidRPr="00162885">
        <w:rPr>
          <w:rFonts w:asciiTheme="minorHAnsi" w:eastAsiaTheme="minorHAnsi" w:hAnsiTheme="minorHAnsi" w:cstheme="minorBidi"/>
          <w:noProof/>
          <w:color w:val="auto"/>
          <w:sz w:val="22"/>
          <w:lang w:val="en-US" w:eastAsia="en-US"/>
        </w:rPr>
        <w:lastRenderedPageBreak/>
        <w:drawing>
          <wp:anchor distT="0" distB="0" distL="114300" distR="114300" simplePos="0" relativeHeight="251744256" behindDoc="0" locked="0" layoutInCell="1" allowOverlap="1" wp14:anchorId="0BB11BFA" wp14:editId="248B0F07">
            <wp:simplePos x="0" y="0"/>
            <wp:positionH relativeFrom="column">
              <wp:posOffset>469265</wp:posOffset>
            </wp:positionH>
            <wp:positionV relativeFrom="paragraph">
              <wp:posOffset>17145</wp:posOffset>
            </wp:positionV>
            <wp:extent cx="4572000" cy="2743200"/>
            <wp:effectExtent l="0" t="0" r="0" b="0"/>
            <wp:wrapNone/>
            <wp:docPr id="86" name="Gráfico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162885" w:rsidRPr="00162885" w:rsidRDefault="00162885" w:rsidP="00162885">
      <w:pPr>
        <w:spacing w:line="360" w:lineRule="auto"/>
      </w:pPr>
    </w:p>
    <w:p w:rsidR="00162885" w:rsidRPr="00162885" w:rsidRDefault="00162885" w:rsidP="00162885">
      <w:pPr>
        <w:spacing w:line="360" w:lineRule="auto"/>
      </w:pPr>
    </w:p>
    <w:p w:rsidR="00162885" w:rsidRPr="00162885" w:rsidRDefault="00162885" w:rsidP="00162885">
      <w:pPr>
        <w:spacing w:after="0" w:line="240" w:lineRule="auto"/>
        <w:jc w:val="center"/>
        <w:rPr>
          <w:rFonts w:eastAsia="MS Mincho"/>
          <w:color w:val="auto"/>
          <w:sz w:val="18"/>
          <w:szCs w:val="24"/>
          <w:highlight w:val="yellow"/>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162885" w:rsidP="00162885">
      <w:pPr>
        <w:spacing w:after="0" w:line="240" w:lineRule="auto"/>
        <w:ind w:firstLine="708"/>
        <w:jc w:val="left"/>
        <w:rPr>
          <w:rFonts w:eastAsia="MS Mincho"/>
          <w:b/>
          <w:sz w:val="18"/>
          <w:szCs w:val="24"/>
          <w:lang w:eastAsia="en-US"/>
        </w:rPr>
      </w:pPr>
    </w:p>
    <w:p w:rsidR="00162885" w:rsidRPr="00162885" w:rsidRDefault="00C93128" w:rsidP="00C93128">
      <w:pPr>
        <w:spacing w:after="0" w:line="240" w:lineRule="auto"/>
        <w:ind w:left="708"/>
        <w:jc w:val="left"/>
        <w:rPr>
          <w:rFonts w:eastAsia="MS Mincho"/>
          <w:b/>
          <w:sz w:val="18"/>
          <w:szCs w:val="24"/>
          <w:lang w:eastAsia="en-US"/>
        </w:rPr>
      </w:pPr>
      <w:r>
        <w:rPr>
          <w:rFonts w:eastAsia="MS Mincho"/>
          <w:b/>
          <w:sz w:val="18"/>
          <w:szCs w:val="24"/>
          <w:lang w:eastAsia="en-US"/>
        </w:rPr>
        <w:t xml:space="preserve"> </w:t>
      </w:r>
      <w:r w:rsidR="00162885" w:rsidRPr="00162885">
        <w:rPr>
          <w:rFonts w:eastAsia="MS Mincho"/>
          <w:b/>
          <w:sz w:val="18"/>
          <w:szCs w:val="24"/>
          <w:lang w:eastAsia="en-US"/>
        </w:rPr>
        <w:t xml:space="preserve">Fuente: </w:t>
      </w:r>
      <w:r w:rsidR="00162885" w:rsidRPr="00162885">
        <w:rPr>
          <w:rFonts w:eastAsia="MS Mincho"/>
          <w:sz w:val="18"/>
          <w:szCs w:val="24"/>
          <w:lang w:eastAsia="en-US"/>
        </w:rPr>
        <w:t>Sistema de Gestión Interna (SGI)</w:t>
      </w:r>
    </w:p>
    <w:p w:rsidR="00162885" w:rsidRPr="00162885" w:rsidRDefault="00162885" w:rsidP="00162885">
      <w:pPr>
        <w:spacing w:line="360" w:lineRule="auto"/>
        <w:rPr>
          <w:rFonts w:eastAsia="MS Mincho"/>
          <w:sz w:val="18"/>
          <w:szCs w:val="24"/>
          <w:lang w:eastAsia="en-US"/>
        </w:rPr>
      </w:pPr>
    </w:p>
    <w:p w:rsidR="00162885" w:rsidRPr="00162885" w:rsidRDefault="00162885" w:rsidP="00162885">
      <w:pPr>
        <w:spacing w:line="360" w:lineRule="auto"/>
        <w:rPr>
          <w:rFonts w:eastAsia="MS Mincho"/>
          <w:b/>
          <w:szCs w:val="24"/>
          <w:lang w:eastAsia="en-US"/>
        </w:rPr>
      </w:pPr>
      <w:r w:rsidRPr="00162885">
        <w:rPr>
          <w:rFonts w:eastAsia="MS Mincho"/>
          <w:b/>
          <w:szCs w:val="24"/>
          <w:lang w:eastAsia="en-US"/>
        </w:rPr>
        <w:t>Archivo de Documentos</w:t>
      </w:r>
    </w:p>
    <w:p w:rsidR="00162885" w:rsidRPr="00162885" w:rsidRDefault="00162885" w:rsidP="00162885">
      <w:pPr>
        <w:spacing w:line="360" w:lineRule="auto"/>
        <w:rPr>
          <w:rFonts w:eastAsia="MS Mincho"/>
          <w:szCs w:val="24"/>
          <w:lang w:eastAsia="en-US"/>
        </w:rPr>
      </w:pPr>
      <w:r w:rsidRPr="00162885">
        <w:rPr>
          <w:rFonts w:eastAsia="MS Mincho"/>
          <w:szCs w:val="24"/>
          <w:lang w:eastAsia="en-US"/>
        </w:rPr>
        <w:t xml:space="preserve">Dándole cumplimiento a la Ley General de Archivo e importancia a la confidencialidad de la documentación, la institución se ha encauzado en mejorar el acervo documentario, es por esto que han realizado varias jornadas de identificación y reorganización del archivo actual. A su vez, se habilitó una sección en la primera planta de la institución, un Archivo Técnico de consulta de libros de telecomunicaciones, ampliando así el sistema de archivo; permitiendo mayor espacio de almacenamiento en el archivo general para </w:t>
      </w:r>
      <w:proofErr w:type="spellStart"/>
      <w:r w:rsidRPr="00162885">
        <w:rPr>
          <w:rFonts w:eastAsia="MS Mincho"/>
          <w:szCs w:val="24"/>
          <w:lang w:eastAsia="en-US"/>
        </w:rPr>
        <w:t>eficientizar</w:t>
      </w:r>
      <w:proofErr w:type="spellEnd"/>
      <w:r w:rsidRPr="00162885">
        <w:rPr>
          <w:rFonts w:eastAsia="MS Mincho"/>
          <w:szCs w:val="24"/>
          <w:lang w:eastAsia="en-US"/>
        </w:rPr>
        <w:t xml:space="preserve"> el proceso de búsqueda de los documentos.</w:t>
      </w:r>
    </w:p>
    <w:p w:rsidR="00162885" w:rsidRPr="00162885" w:rsidRDefault="00162885" w:rsidP="00162885">
      <w:pPr>
        <w:spacing w:line="360" w:lineRule="auto"/>
        <w:rPr>
          <w:rFonts w:eastAsia="MS Mincho"/>
          <w:b/>
          <w:szCs w:val="24"/>
          <w:lang w:eastAsia="en-US"/>
        </w:rPr>
      </w:pPr>
      <w:r w:rsidRPr="00162885">
        <w:rPr>
          <w:rFonts w:eastAsia="MS Mincho"/>
          <w:b/>
          <w:szCs w:val="24"/>
          <w:lang w:eastAsia="en-US"/>
        </w:rPr>
        <w:t>Compras y Contrataciones</w:t>
      </w:r>
    </w:p>
    <w:p w:rsidR="00162885" w:rsidRPr="00162885" w:rsidRDefault="00162885" w:rsidP="00162885">
      <w:pPr>
        <w:spacing w:line="360" w:lineRule="auto"/>
        <w:rPr>
          <w:rFonts w:eastAsia="MS Mincho"/>
          <w:szCs w:val="24"/>
          <w:lang w:eastAsia="en-US"/>
        </w:rPr>
      </w:pPr>
      <w:r w:rsidRPr="00162885">
        <w:rPr>
          <w:rFonts w:eastAsia="MS Mincho"/>
          <w:szCs w:val="24"/>
          <w:lang w:eastAsia="en-US"/>
        </w:rPr>
        <w:t xml:space="preserve">En cumplimiento a la Ley General de Compras y Contrataciones 340-06, el INDOTEL ha ejecutado en </w:t>
      </w:r>
      <w:proofErr w:type="gramStart"/>
      <w:r w:rsidRPr="00162885">
        <w:rPr>
          <w:rFonts w:eastAsia="MS Mincho"/>
          <w:szCs w:val="24"/>
          <w:lang w:eastAsia="en-US"/>
        </w:rPr>
        <w:t>el portal transaccional 402 procesos los cuales han sido trabajados</w:t>
      </w:r>
      <w:proofErr w:type="gramEnd"/>
      <w:r w:rsidRPr="00162885">
        <w:rPr>
          <w:rFonts w:eastAsia="MS Mincho"/>
          <w:szCs w:val="24"/>
          <w:lang w:eastAsia="en-US"/>
        </w:rPr>
        <w:t xml:space="preserve"> cumpliendo los principios de transparencia, objetividad, economía, celeridad, publicidad y demás. Estos han sido el apoyo de la institución para lograr el cumplimiento de los objetivos en cuanto a necesidades y requerimientos, de acuerdo a la siguiente tabla: </w:t>
      </w:r>
    </w:p>
    <w:tbl>
      <w:tblPr>
        <w:tblW w:w="780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7"/>
        <w:gridCol w:w="1101"/>
        <w:gridCol w:w="3402"/>
      </w:tblGrid>
      <w:tr w:rsidR="00162885" w:rsidRPr="00162885" w:rsidTr="0063671D">
        <w:trPr>
          <w:trHeight w:val="315"/>
        </w:trPr>
        <w:tc>
          <w:tcPr>
            <w:tcW w:w="7802" w:type="dxa"/>
            <w:gridSpan w:val="3"/>
            <w:shd w:val="clear" w:color="auto" w:fill="003876"/>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lastRenderedPageBreak/>
              <w:t>Procesos de Compras y Contrataciones</w:t>
            </w:r>
          </w:p>
        </w:tc>
      </w:tr>
      <w:tr w:rsidR="00162885" w:rsidRPr="00162885" w:rsidTr="0063671D">
        <w:trPr>
          <w:trHeight w:val="330"/>
        </w:trPr>
        <w:tc>
          <w:tcPr>
            <w:tcW w:w="7802" w:type="dxa"/>
            <w:gridSpan w:val="3"/>
            <w:shd w:val="clear" w:color="auto" w:fill="003876"/>
            <w:vAlign w:val="center"/>
            <w:hideMark/>
          </w:tcPr>
          <w:p w:rsidR="00162885" w:rsidRPr="00162885" w:rsidRDefault="00162885" w:rsidP="00162885">
            <w:pPr>
              <w:spacing w:after="0" w:line="240" w:lineRule="auto"/>
              <w:ind w:right="281"/>
              <w:jc w:val="center"/>
              <w:rPr>
                <w:rFonts w:eastAsia="Times New Roman"/>
                <w:b/>
                <w:bCs/>
                <w:color w:val="FFFFFF"/>
                <w:szCs w:val="24"/>
              </w:rPr>
            </w:pPr>
            <w:r w:rsidRPr="00162885">
              <w:rPr>
                <w:rFonts w:eastAsia="Times New Roman"/>
                <w:b/>
                <w:bCs/>
                <w:color w:val="FFFFFF"/>
                <w:szCs w:val="24"/>
              </w:rPr>
              <w:t xml:space="preserve">Enero – Octubre </w:t>
            </w:r>
            <w:r w:rsidR="00431E35">
              <w:rPr>
                <w:rFonts w:eastAsia="Times New Roman"/>
                <w:b/>
                <w:bCs/>
                <w:color w:val="FFFFFF"/>
                <w:szCs w:val="24"/>
              </w:rPr>
              <w:t xml:space="preserve">de </w:t>
            </w:r>
            <w:r w:rsidRPr="00162885">
              <w:rPr>
                <w:rFonts w:eastAsia="Times New Roman"/>
                <w:b/>
                <w:bCs/>
                <w:color w:val="FFFFFF"/>
                <w:szCs w:val="24"/>
              </w:rPr>
              <w:t>2021</w:t>
            </w:r>
          </w:p>
        </w:tc>
      </w:tr>
      <w:tr w:rsidR="00162885" w:rsidRPr="00162885" w:rsidTr="00C9040F">
        <w:trPr>
          <w:trHeight w:val="330"/>
        </w:trPr>
        <w:tc>
          <w:tcPr>
            <w:tcW w:w="3407" w:type="dxa"/>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Tipo De Proceso</w:t>
            </w:r>
          </w:p>
        </w:tc>
        <w:tc>
          <w:tcPr>
            <w:tcW w:w="993" w:type="dxa"/>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Cantidad</w:t>
            </w:r>
          </w:p>
        </w:tc>
        <w:tc>
          <w:tcPr>
            <w:tcW w:w="3402" w:type="dxa"/>
            <w:shd w:val="clear" w:color="auto" w:fill="003876"/>
            <w:noWrap/>
            <w:vAlign w:val="center"/>
            <w:hideMark/>
          </w:tcPr>
          <w:p w:rsidR="00162885" w:rsidRPr="00162885" w:rsidRDefault="00162885" w:rsidP="00162885">
            <w:pPr>
              <w:spacing w:after="0" w:line="240" w:lineRule="auto"/>
              <w:jc w:val="center"/>
              <w:rPr>
                <w:rFonts w:eastAsia="Times New Roman"/>
                <w:b/>
                <w:bCs/>
                <w:color w:val="FFFFFF"/>
                <w:szCs w:val="24"/>
              </w:rPr>
            </w:pPr>
            <w:r w:rsidRPr="00162885">
              <w:rPr>
                <w:rFonts w:eastAsia="Times New Roman"/>
                <w:b/>
                <w:bCs/>
                <w:color w:val="FFFFFF"/>
                <w:szCs w:val="24"/>
              </w:rPr>
              <w:t xml:space="preserve"> Monto (En RD$) </w:t>
            </w:r>
          </w:p>
        </w:tc>
      </w:tr>
      <w:tr w:rsidR="00162885" w:rsidRPr="00162885" w:rsidTr="00C9040F">
        <w:trPr>
          <w:trHeight w:val="330"/>
        </w:trPr>
        <w:tc>
          <w:tcPr>
            <w:tcW w:w="3407" w:type="dxa"/>
            <w:shd w:val="clear" w:color="auto" w:fill="auto"/>
            <w:noWrap/>
            <w:vAlign w:val="center"/>
            <w:hideMark/>
          </w:tcPr>
          <w:p w:rsidR="00162885" w:rsidRPr="00162885" w:rsidRDefault="00162885" w:rsidP="00162885">
            <w:pPr>
              <w:spacing w:after="0" w:line="240" w:lineRule="auto"/>
              <w:rPr>
                <w:rFonts w:eastAsia="Times New Roman"/>
                <w:szCs w:val="24"/>
              </w:rPr>
            </w:pPr>
            <w:r w:rsidRPr="00162885">
              <w:rPr>
                <w:rFonts w:eastAsia="Times New Roman"/>
                <w:szCs w:val="24"/>
              </w:rPr>
              <w:t>Excepción</w:t>
            </w:r>
          </w:p>
        </w:tc>
        <w:tc>
          <w:tcPr>
            <w:tcW w:w="993"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18</w:t>
            </w:r>
          </w:p>
        </w:tc>
        <w:tc>
          <w:tcPr>
            <w:tcW w:w="3402" w:type="dxa"/>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18,429,681,00 </w:t>
            </w:r>
          </w:p>
        </w:tc>
      </w:tr>
      <w:tr w:rsidR="00162885" w:rsidRPr="00162885" w:rsidTr="00C9040F">
        <w:trPr>
          <w:trHeight w:val="435"/>
        </w:trPr>
        <w:tc>
          <w:tcPr>
            <w:tcW w:w="3407" w:type="dxa"/>
            <w:shd w:val="clear" w:color="auto" w:fill="auto"/>
            <w:noWrap/>
            <w:vAlign w:val="center"/>
            <w:hideMark/>
          </w:tcPr>
          <w:p w:rsidR="00162885" w:rsidRPr="00162885" w:rsidRDefault="00162885" w:rsidP="00162885">
            <w:pPr>
              <w:spacing w:after="0" w:line="240" w:lineRule="auto"/>
              <w:rPr>
                <w:rFonts w:eastAsia="Times New Roman"/>
                <w:szCs w:val="24"/>
              </w:rPr>
            </w:pPr>
            <w:r w:rsidRPr="00162885">
              <w:rPr>
                <w:rFonts w:eastAsia="Times New Roman"/>
                <w:szCs w:val="24"/>
              </w:rPr>
              <w:t>Comparación de Precios</w:t>
            </w:r>
          </w:p>
        </w:tc>
        <w:tc>
          <w:tcPr>
            <w:tcW w:w="993"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22</w:t>
            </w:r>
          </w:p>
        </w:tc>
        <w:tc>
          <w:tcPr>
            <w:tcW w:w="3402" w:type="dxa"/>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63,563,891.74</w:t>
            </w:r>
          </w:p>
        </w:tc>
      </w:tr>
      <w:tr w:rsidR="00162885" w:rsidRPr="00162885" w:rsidTr="00C9040F">
        <w:trPr>
          <w:trHeight w:val="390"/>
        </w:trPr>
        <w:tc>
          <w:tcPr>
            <w:tcW w:w="3407" w:type="dxa"/>
            <w:shd w:val="clear" w:color="auto" w:fill="auto"/>
            <w:noWrap/>
            <w:vAlign w:val="center"/>
            <w:hideMark/>
          </w:tcPr>
          <w:p w:rsidR="00162885" w:rsidRPr="00162885" w:rsidRDefault="00162885" w:rsidP="00162885">
            <w:pPr>
              <w:spacing w:after="0" w:line="240" w:lineRule="auto"/>
              <w:rPr>
                <w:rFonts w:eastAsia="Times New Roman"/>
                <w:szCs w:val="24"/>
              </w:rPr>
            </w:pPr>
            <w:r w:rsidRPr="00162885">
              <w:rPr>
                <w:rFonts w:eastAsia="Times New Roman"/>
                <w:szCs w:val="24"/>
              </w:rPr>
              <w:t xml:space="preserve">Compra Menor </w:t>
            </w:r>
          </w:p>
        </w:tc>
        <w:tc>
          <w:tcPr>
            <w:tcW w:w="993"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68</w:t>
            </w:r>
          </w:p>
        </w:tc>
        <w:tc>
          <w:tcPr>
            <w:tcW w:w="3402" w:type="dxa"/>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29,587,688.54</w:t>
            </w:r>
          </w:p>
        </w:tc>
      </w:tr>
      <w:tr w:rsidR="00162885" w:rsidRPr="00162885" w:rsidTr="00C9040F">
        <w:trPr>
          <w:trHeight w:val="495"/>
        </w:trPr>
        <w:tc>
          <w:tcPr>
            <w:tcW w:w="3407" w:type="dxa"/>
            <w:shd w:val="clear" w:color="auto" w:fill="auto"/>
            <w:noWrap/>
            <w:vAlign w:val="center"/>
            <w:hideMark/>
          </w:tcPr>
          <w:p w:rsidR="00162885" w:rsidRPr="00162885" w:rsidRDefault="00162885" w:rsidP="00162885">
            <w:pPr>
              <w:spacing w:after="0" w:line="240" w:lineRule="auto"/>
              <w:rPr>
                <w:rFonts w:eastAsia="Times New Roman"/>
                <w:szCs w:val="24"/>
              </w:rPr>
            </w:pPr>
            <w:r w:rsidRPr="00162885">
              <w:rPr>
                <w:rFonts w:eastAsia="Times New Roman"/>
                <w:szCs w:val="24"/>
              </w:rPr>
              <w:t xml:space="preserve">Compra por Debajo del Umbral </w:t>
            </w:r>
          </w:p>
        </w:tc>
        <w:tc>
          <w:tcPr>
            <w:tcW w:w="993"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291</w:t>
            </w:r>
          </w:p>
        </w:tc>
        <w:tc>
          <w:tcPr>
            <w:tcW w:w="3402" w:type="dxa"/>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14,605,000.33</w:t>
            </w:r>
          </w:p>
        </w:tc>
      </w:tr>
      <w:tr w:rsidR="00162885" w:rsidRPr="00162885" w:rsidTr="00C9040F">
        <w:trPr>
          <w:trHeight w:val="330"/>
        </w:trPr>
        <w:tc>
          <w:tcPr>
            <w:tcW w:w="3407" w:type="dxa"/>
            <w:shd w:val="clear" w:color="auto" w:fill="auto"/>
            <w:noWrap/>
            <w:vAlign w:val="center"/>
            <w:hideMark/>
          </w:tcPr>
          <w:p w:rsidR="00162885" w:rsidRPr="00162885" w:rsidRDefault="00162885" w:rsidP="00162885">
            <w:pPr>
              <w:spacing w:after="0" w:line="240" w:lineRule="auto"/>
              <w:rPr>
                <w:rFonts w:eastAsia="Times New Roman"/>
                <w:szCs w:val="24"/>
              </w:rPr>
            </w:pPr>
            <w:r w:rsidRPr="00162885">
              <w:rPr>
                <w:rFonts w:eastAsia="Times New Roman"/>
                <w:szCs w:val="24"/>
              </w:rPr>
              <w:t>Licitación Pública Nacional</w:t>
            </w:r>
          </w:p>
        </w:tc>
        <w:tc>
          <w:tcPr>
            <w:tcW w:w="993"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2</w:t>
            </w:r>
          </w:p>
        </w:tc>
        <w:tc>
          <w:tcPr>
            <w:tcW w:w="3402" w:type="dxa"/>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22,793,600.00</w:t>
            </w:r>
          </w:p>
        </w:tc>
      </w:tr>
      <w:tr w:rsidR="00162885" w:rsidRPr="00162885" w:rsidTr="00C9040F">
        <w:trPr>
          <w:trHeight w:val="330"/>
        </w:trPr>
        <w:tc>
          <w:tcPr>
            <w:tcW w:w="3407" w:type="dxa"/>
            <w:shd w:val="clear" w:color="auto" w:fill="auto"/>
            <w:noWrap/>
            <w:vAlign w:val="center"/>
            <w:hideMark/>
          </w:tcPr>
          <w:p w:rsidR="00162885" w:rsidRPr="00162885" w:rsidRDefault="00162885" w:rsidP="00162885">
            <w:pPr>
              <w:spacing w:after="0" w:line="240" w:lineRule="auto"/>
              <w:rPr>
                <w:rFonts w:eastAsia="Times New Roman"/>
                <w:szCs w:val="24"/>
              </w:rPr>
            </w:pPr>
            <w:r w:rsidRPr="00162885">
              <w:rPr>
                <w:rFonts w:eastAsia="Times New Roman"/>
                <w:szCs w:val="24"/>
              </w:rPr>
              <w:t>Licitación Pública Internacional</w:t>
            </w:r>
          </w:p>
        </w:tc>
        <w:tc>
          <w:tcPr>
            <w:tcW w:w="993"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1</w:t>
            </w:r>
          </w:p>
        </w:tc>
        <w:tc>
          <w:tcPr>
            <w:tcW w:w="3402" w:type="dxa"/>
            <w:shd w:val="clear" w:color="auto" w:fill="auto"/>
            <w:noWrap/>
            <w:vAlign w:val="center"/>
            <w:hideMark/>
          </w:tcPr>
          <w:p w:rsidR="00162885" w:rsidRPr="00162885" w:rsidRDefault="00162885" w:rsidP="00162885">
            <w:pPr>
              <w:spacing w:after="0" w:line="240" w:lineRule="auto"/>
              <w:jc w:val="right"/>
              <w:rPr>
                <w:rFonts w:eastAsia="Times New Roman"/>
                <w:szCs w:val="24"/>
              </w:rPr>
            </w:pPr>
            <w:r w:rsidRPr="00162885">
              <w:rPr>
                <w:rFonts w:eastAsia="Times New Roman"/>
                <w:szCs w:val="24"/>
              </w:rPr>
              <w:t xml:space="preserve">  13,706,000.00</w:t>
            </w:r>
          </w:p>
        </w:tc>
      </w:tr>
      <w:tr w:rsidR="00162885" w:rsidRPr="00162885" w:rsidTr="00C9040F">
        <w:trPr>
          <w:trHeight w:val="420"/>
        </w:trPr>
        <w:tc>
          <w:tcPr>
            <w:tcW w:w="3407" w:type="dxa"/>
            <w:shd w:val="clear" w:color="auto" w:fill="003876"/>
            <w:noWrap/>
            <w:vAlign w:val="center"/>
            <w:hideMark/>
          </w:tcPr>
          <w:p w:rsidR="00162885" w:rsidRPr="00431E35" w:rsidRDefault="00162885" w:rsidP="00162885">
            <w:pPr>
              <w:spacing w:after="0" w:line="240" w:lineRule="auto"/>
              <w:rPr>
                <w:rFonts w:eastAsia="Times New Roman"/>
                <w:b/>
                <w:color w:val="FFFFFF"/>
                <w:szCs w:val="24"/>
              </w:rPr>
            </w:pPr>
            <w:r w:rsidRPr="00431E35">
              <w:rPr>
                <w:rFonts w:eastAsia="Times New Roman"/>
                <w:b/>
                <w:color w:val="FFFFFF"/>
                <w:szCs w:val="24"/>
              </w:rPr>
              <w:t>Total</w:t>
            </w:r>
          </w:p>
        </w:tc>
        <w:tc>
          <w:tcPr>
            <w:tcW w:w="993" w:type="dxa"/>
            <w:shd w:val="clear" w:color="auto" w:fill="003876"/>
            <w:noWrap/>
            <w:vAlign w:val="center"/>
            <w:hideMark/>
          </w:tcPr>
          <w:p w:rsidR="00162885" w:rsidRPr="00431E35" w:rsidRDefault="00162885" w:rsidP="00162885">
            <w:pPr>
              <w:spacing w:after="0" w:line="240" w:lineRule="auto"/>
              <w:jc w:val="center"/>
              <w:rPr>
                <w:rFonts w:eastAsia="Times New Roman"/>
                <w:b/>
                <w:color w:val="FFFFFF"/>
                <w:szCs w:val="24"/>
              </w:rPr>
            </w:pPr>
            <w:r w:rsidRPr="00431E35">
              <w:rPr>
                <w:rFonts w:eastAsia="Times New Roman"/>
                <w:b/>
                <w:color w:val="FFFFFF"/>
                <w:szCs w:val="24"/>
              </w:rPr>
              <w:t>402</w:t>
            </w:r>
          </w:p>
        </w:tc>
        <w:tc>
          <w:tcPr>
            <w:tcW w:w="3402" w:type="dxa"/>
            <w:shd w:val="clear" w:color="auto" w:fill="003876"/>
            <w:noWrap/>
            <w:vAlign w:val="center"/>
            <w:hideMark/>
          </w:tcPr>
          <w:p w:rsidR="00162885" w:rsidRPr="00431E35" w:rsidRDefault="00162885" w:rsidP="00162885">
            <w:pPr>
              <w:spacing w:after="0" w:line="240" w:lineRule="auto"/>
              <w:jc w:val="right"/>
              <w:rPr>
                <w:rFonts w:eastAsia="Times New Roman"/>
                <w:b/>
                <w:bCs/>
                <w:color w:val="FFFFFF"/>
                <w:sz w:val="28"/>
                <w:szCs w:val="28"/>
              </w:rPr>
            </w:pPr>
            <w:r w:rsidRPr="00431E35">
              <w:rPr>
                <w:rFonts w:eastAsia="Times New Roman"/>
                <w:b/>
                <w:bCs/>
                <w:color w:val="FFFFFF" w:themeColor="background1"/>
                <w:sz w:val="28"/>
                <w:szCs w:val="28"/>
              </w:rPr>
              <w:t xml:space="preserve"> </w:t>
            </w:r>
            <w:r w:rsidRPr="00431E35">
              <w:rPr>
                <w:rFonts w:eastAsia="Times New Roman"/>
                <w:b/>
                <w:color w:val="FFFFFF" w:themeColor="background1"/>
                <w:szCs w:val="24"/>
              </w:rPr>
              <w:t xml:space="preserve"> $162,685,861.61</w:t>
            </w:r>
          </w:p>
        </w:tc>
      </w:tr>
    </w:tbl>
    <w:p w:rsidR="00162885" w:rsidRPr="00162885" w:rsidRDefault="00162885" w:rsidP="00162885">
      <w:pPr>
        <w:spacing w:line="360" w:lineRule="auto"/>
        <w:rPr>
          <w:rFonts w:eastAsia="MS Mincho"/>
          <w:sz w:val="18"/>
          <w:szCs w:val="24"/>
          <w:lang w:eastAsia="en-US"/>
        </w:rPr>
      </w:pPr>
      <w:r w:rsidRPr="00162885">
        <w:rPr>
          <w:rFonts w:eastAsia="MS Mincho"/>
          <w:b/>
          <w:sz w:val="18"/>
          <w:szCs w:val="24"/>
          <w:lang w:eastAsia="en-US"/>
        </w:rPr>
        <w:t xml:space="preserve">Fuente: </w:t>
      </w:r>
      <w:r w:rsidRPr="00162885">
        <w:rPr>
          <w:rFonts w:eastAsia="MS Mincho"/>
          <w:sz w:val="18"/>
          <w:szCs w:val="24"/>
          <w:lang w:eastAsia="en-US"/>
        </w:rPr>
        <w:t>Dirección Administrativa</w:t>
      </w:r>
    </w:p>
    <w:p w:rsidR="00162885" w:rsidRPr="00162885" w:rsidRDefault="00162885" w:rsidP="00162885">
      <w:pPr>
        <w:spacing w:after="0" w:line="240" w:lineRule="auto"/>
        <w:jc w:val="left"/>
        <w:rPr>
          <w:rFonts w:eastAsia="MS Mincho"/>
          <w:color w:val="auto"/>
          <w:lang w:eastAsia="en-US"/>
        </w:rPr>
      </w:pPr>
    </w:p>
    <w:p w:rsidR="00162885" w:rsidRPr="00162885" w:rsidRDefault="00162885" w:rsidP="00162885">
      <w:pPr>
        <w:spacing w:line="360" w:lineRule="auto"/>
        <w:rPr>
          <w:rFonts w:eastAsia="MS Mincho"/>
          <w:b/>
          <w:szCs w:val="24"/>
          <w:lang w:eastAsia="en-US"/>
        </w:rPr>
      </w:pPr>
      <w:r w:rsidRPr="00162885">
        <w:rPr>
          <w:rFonts w:eastAsia="MS Mincho"/>
          <w:b/>
          <w:szCs w:val="24"/>
          <w:lang w:eastAsia="en-US"/>
        </w:rPr>
        <w:t>Indicador del Uso del Sistema Nacional de Contrataciones Públicas (SISCOMPRAS)</w:t>
      </w:r>
    </w:p>
    <w:p w:rsidR="00162885" w:rsidRPr="00162885" w:rsidRDefault="00162885" w:rsidP="00162885">
      <w:pPr>
        <w:spacing w:after="0" w:line="360" w:lineRule="auto"/>
        <w:rPr>
          <w:rFonts w:eastAsia="MS Mincho"/>
          <w:lang w:eastAsia="en-US"/>
        </w:rPr>
      </w:pPr>
      <w:r w:rsidRPr="00162885">
        <w:rPr>
          <w:rFonts w:eastAsia="MS Mincho"/>
          <w:lang w:eastAsia="en-US"/>
        </w:rPr>
        <w:t xml:space="preserve">La institución logró una puntuación promedio de un </w:t>
      </w:r>
      <w:r w:rsidRPr="00162885">
        <w:rPr>
          <w:rFonts w:eastAsia="MS Mincho"/>
          <w:szCs w:val="24"/>
          <w:lang w:eastAsia="en-US"/>
        </w:rPr>
        <w:t>97.46%</w:t>
      </w:r>
      <w:r w:rsidRPr="00162885">
        <w:rPr>
          <w:rFonts w:eastAsia="MS Mincho"/>
          <w:color w:val="000000" w:themeColor="text1"/>
          <w:lang w:eastAsia="en-US"/>
        </w:rPr>
        <w:t xml:space="preserve"> </w:t>
      </w:r>
      <w:r w:rsidRPr="00162885">
        <w:rPr>
          <w:rFonts w:eastAsia="MS Mincho"/>
          <w:color w:val="7F7F7F" w:themeColor="text1" w:themeTint="80"/>
          <w:lang w:eastAsia="en-US"/>
        </w:rPr>
        <w:t>que comprende</w:t>
      </w:r>
      <w:r w:rsidRPr="00162885">
        <w:rPr>
          <w:rFonts w:eastAsia="MS Mincho"/>
          <w:lang w:eastAsia="en-US"/>
        </w:rPr>
        <w:t xml:space="preserve"> los tres primeros trimestres del año 2021, sobrepasando la meta del Plan Operativo Anual (POA) la cual era de un 96%.  Este indicador contempla 5 sub-indicadores tales como: Planificación de Compras, Publicación de Procesos, Gestión de Procesos, Administración de Contratos y Compras a MIPYMES, personas físicas y MIPYMES mujeres.</w:t>
      </w:r>
    </w:p>
    <w:p w:rsidR="00162885" w:rsidRPr="00162885" w:rsidRDefault="00162885" w:rsidP="00162885">
      <w:pPr>
        <w:spacing w:after="0" w:line="360" w:lineRule="auto"/>
        <w:rPr>
          <w:rFonts w:eastAsia="MS Mincho"/>
          <w:lang w:eastAsia="en-US"/>
        </w:rPr>
      </w:pPr>
    </w:p>
    <w:p w:rsidR="00162885" w:rsidRPr="00162885" w:rsidRDefault="00162885" w:rsidP="00162885">
      <w:pPr>
        <w:spacing w:after="0" w:line="360" w:lineRule="auto"/>
        <w:rPr>
          <w:rFonts w:eastAsia="MS Mincho"/>
          <w:lang w:eastAsia="en-US"/>
        </w:rPr>
      </w:pPr>
    </w:p>
    <w:p w:rsidR="00162885" w:rsidRPr="00162885" w:rsidRDefault="00162885" w:rsidP="00162885">
      <w:pPr>
        <w:spacing w:after="0" w:line="360" w:lineRule="auto"/>
        <w:rPr>
          <w:rFonts w:eastAsia="MS Mincho"/>
          <w:lang w:eastAsia="en-US"/>
        </w:rPr>
      </w:pPr>
    </w:p>
    <w:p w:rsidR="00162885" w:rsidRPr="00162885" w:rsidRDefault="00162885" w:rsidP="00162885">
      <w:pPr>
        <w:spacing w:after="0" w:line="360" w:lineRule="auto"/>
        <w:rPr>
          <w:rFonts w:eastAsia="MS Mincho"/>
          <w:lang w:eastAsia="en-US"/>
        </w:rPr>
      </w:pPr>
    </w:p>
    <w:p w:rsidR="00162885" w:rsidRPr="00162885" w:rsidRDefault="00162885" w:rsidP="00162885">
      <w:pPr>
        <w:spacing w:after="0" w:line="360" w:lineRule="auto"/>
        <w:rPr>
          <w:rFonts w:eastAsia="MS Mincho"/>
          <w:lang w:eastAsia="en-US"/>
        </w:rPr>
      </w:pPr>
    </w:p>
    <w:p w:rsidR="00162885" w:rsidRPr="00162885" w:rsidRDefault="00162885" w:rsidP="00162885">
      <w:pPr>
        <w:spacing w:after="0" w:line="360" w:lineRule="auto"/>
        <w:rPr>
          <w:rFonts w:eastAsia="MS Mincho"/>
          <w:lang w:eastAsia="en-US"/>
        </w:rPr>
      </w:pPr>
    </w:p>
    <w:p w:rsidR="00162885" w:rsidRDefault="00162885" w:rsidP="00162885">
      <w:pPr>
        <w:spacing w:after="0" w:line="360" w:lineRule="auto"/>
        <w:rPr>
          <w:rFonts w:eastAsia="MS Mincho"/>
          <w:lang w:eastAsia="en-US"/>
        </w:rPr>
      </w:pPr>
    </w:p>
    <w:p w:rsidR="00036E37" w:rsidRDefault="00036E37" w:rsidP="00162885">
      <w:pPr>
        <w:spacing w:after="0" w:line="360" w:lineRule="auto"/>
        <w:rPr>
          <w:rFonts w:eastAsia="MS Mincho"/>
          <w:lang w:eastAsia="en-US"/>
        </w:rPr>
      </w:pPr>
    </w:p>
    <w:p w:rsidR="001F4EEF" w:rsidRDefault="001F4EEF" w:rsidP="00162885">
      <w:pPr>
        <w:spacing w:after="0" w:line="360" w:lineRule="auto"/>
        <w:rPr>
          <w:rFonts w:eastAsia="MS Mincho"/>
          <w:lang w:eastAsia="en-US"/>
        </w:rPr>
      </w:pPr>
    </w:p>
    <w:p w:rsidR="00036E37" w:rsidRPr="00162885" w:rsidRDefault="00036E37" w:rsidP="00162885">
      <w:pPr>
        <w:spacing w:after="0" w:line="360" w:lineRule="auto"/>
        <w:rPr>
          <w:rFonts w:eastAsia="MS Mincho"/>
          <w:lang w:eastAsia="en-US"/>
        </w:rPr>
      </w:pPr>
    </w:p>
    <w:p w:rsidR="00162885" w:rsidRPr="00162885" w:rsidRDefault="00162885" w:rsidP="00162885">
      <w:pPr>
        <w:spacing w:after="0" w:line="360" w:lineRule="auto"/>
        <w:rPr>
          <w:rFonts w:eastAsia="MS Mincho"/>
          <w:b/>
          <w:lang w:eastAsia="en-US"/>
        </w:rPr>
      </w:pPr>
      <w:r w:rsidRPr="00162885">
        <w:rPr>
          <w:rFonts w:eastAsia="MS Mincho"/>
          <w:b/>
          <w:lang w:eastAsia="en-US"/>
        </w:rPr>
        <w:lastRenderedPageBreak/>
        <w:t>Puntuación Promedio Trimestral</w:t>
      </w:r>
    </w:p>
    <w:p w:rsidR="00162885" w:rsidRPr="00162885" w:rsidRDefault="00162885" w:rsidP="00162885">
      <w:pPr>
        <w:spacing w:after="0" w:line="240" w:lineRule="auto"/>
        <w:rPr>
          <w:rFonts w:eastAsia="MS Mincho"/>
          <w:lang w:eastAsia="en-US"/>
        </w:rPr>
      </w:pPr>
      <w:r w:rsidRPr="00162885">
        <w:rPr>
          <w:rFonts w:asciiTheme="minorHAnsi" w:eastAsiaTheme="minorHAnsi" w:hAnsiTheme="minorHAnsi" w:cstheme="minorBidi"/>
          <w:noProof/>
          <w:color w:val="auto"/>
          <w:sz w:val="22"/>
          <w:lang w:val="en-US" w:eastAsia="en-US"/>
        </w:rPr>
        <w:drawing>
          <wp:inline distT="0" distB="0" distL="0" distR="0" wp14:anchorId="05CC44C8" wp14:editId="087759D7">
            <wp:extent cx="5847605" cy="4249420"/>
            <wp:effectExtent l="0" t="0" r="127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9391" t="17379" r="22116" b="8262"/>
                    <a:stretch/>
                  </pic:blipFill>
                  <pic:spPr bwMode="auto">
                    <a:xfrm>
                      <a:off x="0" y="0"/>
                      <a:ext cx="5853022" cy="4253357"/>
                    </a:xfrm>
                    <a:prstGeom prst="rect">
                      <a:avLst/>
                    </a:prstGeom>
                    <a:ln>
                      <a:noFill/>
                    </a:ln>
                    <a:extLst>
                      <a:ext uri="{53640926-AAD7-44D8-BBD7-CCE9431645EC}">
                        <a14:shadowObscured xmlns:a14="http://schemas.microsoft.com/office/drawing/2010/main"/>
                      </a:ext>
                    </a:extLst>
                  </pic:spPr>
                </pic:pic>
              </a:graphicData>
            </a:graphic>
          </wp:inline>
        </w:drawing>
      </w:r>
      <w:r>
        <w:rPr>
          <w:rFonts w:eastAsia="MS Mincho"/>
          <w:b/>
          <w:sz w:val="18"/>
          <w:lang w:eastAsia="en-US"/>
        </w:rPr>
        <w:t xml:space="preserve"> </w:t>
      </w:r>
      <w:r w:rsidRPr="00162885">
        <w:rPr>
          <w:rFonts w:eastAsia="MS Mincho"/>
          <w:b/>
          <w:sz w:val="18"/>
          <w:lang w:eastAsia="en-US"/>
        </w:rPr>
        <w:t>Fuente:</w:t>
      </w:r>
      <w:r w:rsidRPr="00162885">
        <w:rPr>
          <w:rFonts w:eastAsia="MS Mincho"/>
          <w:sz w:val="18"/>
          <w:lang w:eastAsia="en-US"/>
        </w:rPr>
        <w:t xml:space="preserve"> Portal de SISCOMPRAS</w:t>
      </w:r>
    </w:p>
    <w:p w:rsidR="00162885" w:rsidRPr="00162885" w:rsidRDefault="00162885" w:rsidP="00162885">
      <w:pPr>
        <w:spacing w:after="0" w:line="360" w:lineRule="auto"/>
        <w:rPr>
          <w:rFonts w:eastAsia="MS Mincho"/>
          <w:lang w:eastAsia="en-US"/>
        </w:rPr>
      </w:pPr>
    </w:p>
    <w:p w:rsidR="00162885" w:rsidRPr="00162885" w:rsidRDefault="00162885" w:rsidP="00162885">
      <w:pPr>
        <w:spacing w:after="0" w:line="360" w:lineRule="auto"/>
        <w:rPr>
          <w:rFonts w:eastAsia="MS Mincho"/>
          <w:lang w:eastAsia="en-US"/>
        </w:rPr>
      </w:pPr>
      <w:r w:rsidRPr="00162885">
        <w:rPr>
          <w:rFonts w:eastAsia="MS Mincho"/>
          <w:lang w:eastAsia="en-US"/>
        </w:rPr>
        <w:t>A su vez, fue elaborado el Plan Anual de Compras y Contrataciones (PACC) 2021 de manera oportuna, publicado en los portales transaccionales y realizado el seguimiento mes tras mes de su ejecución.</w:t>
      </w:r>
    </w:p>
    <w:p w:rsidR="00162885" w:rsidRPr="00162885" w:rsidRDefault="00162885" w:rsidP="00162885">
      <w:pPr>
        <w:spacing w:after="0" w:line="360" w:lineRule="auto"/>
        <w:rPr>
          <w:rFonts w:eastAsia="Times New Roman"/>
          <w:b/>
          <w:szCs w:val="24"/>
          <w:lang w:eastAsia="ja-JP"/>
        </w:rPr>
      </w:pPr>
    </w:p>
    <w:p w:rsidR="00162885" w:rsidRPr="00162885" w:rsidRDefault="00162885" w:rsidP="00162885">
      <w:pPr>
        <w:spacing w:after="0" w:line="360" w:lineRule="auto"/>
        <w:rPr>
          <w:rFonts w:eastAsia="Times New Roman"/>
          <w:b/>
          <w:szCs w:val="24"/>
          <w:lang w:eastAsia="ja-JP"/>
        </w:rPr>
      </w:pPr>
      <w:r w:rsidRPr="00162885">
        <w:rPr>
          <w:rFonts w:eastAsia="Times New Roman"/>
          <w:b/>
          <w:szCs w:val="24"/>
          <w:lang w:eastAsia="ja-JP"/>
        </w:rPr>
        <w:t>Infraestructura Física y Servicios Generales</w:t>
      </w:r>
    </w:p>
    <w:p w:rsidR="00162885" w:rsidRPr="00162885" w:rsidRDefault="00162885" w:rsidP="00162885">
      <w:pPr>
        <w:spacing w:after="0" w:line="240" w:lineRule="auto"/>
        <w:jc w:val="left"/>
        <w:rPr>
          <w:rFonts w:eastAsia="Times New Roman"/>
          <w:color w:val="auto"/>
          <w:lang w:eastAsia="ja-JP"/>
        </w:rPr>
      </w:pPr>
    </w:p>
    <w:p w:rsidR="00162885" w:rsidRPr="00162885" w:rsidRDefault="00162885" w:rsidP="00162885">
      <w:pPr>
        <w:spacing w:after="0" w:line="360" w:lineRule="auto"/>
        <w:rPr>
          <w:rFonts w:eastAsia="MS Mincho"/>
          <w:szCs w:val="24"/>
          <w:lang w:eastAsia="en-US"/>
        </w:rPr>
      </w:pPr>
      <w:r w:rsidRPr="00162885">
        <w:rPr>
          <w:rFonts w:eastAsia="MS Mincho"/>
          <w:szCs w:val="24"/>
          <w:lang w:eastAsia="en-US"/>
        </w:rPr>
        <w:t xml:space="preserve">El área de infraestructura y servicios generales en este periodo ha trabajado arduamente para realizar readecuaciones y adecuaciones pertinentes a las áreas operativas logrando mejorar el entorno de trabajo. </w:t>
      </w:r>
    </w:p>
    <w:p w:rsidR="00162885" w:rsidRPr="00162885" w:rsidRDefault="00162885" w:rsidP="00162885">
      <w:pPr>
        <w:spacing w:after="0" w:line="360" w:lineRule="auto"/>
        <w:rPr>
          <w:rFonts w:eastAsia="MS Mincho"/>
          <w:szCs w:val="24"/>
          <w:lang w:eastAsia="en-US"/>
        </w:rPr>
      </w:pPr>
    </w:p>
    <w:p w:rsidR="00162885" w:rsidRPr="00162885" w:rsidRDefault="00162885" w:rsidP="00162885">
      <w:pPr>
        <w:spacing w:after="0" w:line="360" w:lineRule="auto"/>
        <w:rPr>
          <w:rFonts w:eastAsia="MS Mincho"/>
          <w:szCs w:val="24"/>
          <w:lang w:eastAsia="en-US"/>
        </w:rPr>
      </w:pPr>
      <w:r w:rsidRPr="00162885">
        <w:rPr>
          <w:rFonts w:eastAsia="MS Mincho"/>
          <w:szCs w:val="24"/>
          <w:lang w:eastAsia="en-US"/>
        </w:rPr>
        <w:lastRenderedPageBreak/>
        <w:t>Hemos realizado las siguientes adecuaciones y readecuaciones relevantes y de mayor impacto internamente:</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Creación de comedor para colaboradores.</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Creación de nuevas oficinas para la nueva Dirección BID.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Creación de una cocina fría para Presidencia.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Creación de nuevas oficinas para las áreas de servicios generales.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Ampliación del Departamento de Atención al Usuario (DAU), logrando mejorar la calidad del servicio a los usuarios.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Ampliación del área de tesorería, logrando mejorar el servicio para los proveedores.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Ampliación del área de seguridad física.</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Readecuación de antigua oficina de Correspondencia convertida a la nueva oficina de Tesorería.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Modificación de dos cubículos en Revisión y Control.</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Creación de nueva Oficina para el Director Jurídico.</w:t>
      </w:r>
    </w:p>
    <w:p w:rsidR="00162885" w:rsidRPr="00162885" w:rsidRDefault="00162885" w:rsidP="00A17C7C">
      <w:pPr>
        <w:numPr>
          <w:ilvl w:val="0"/>
          <w:numId w:val="12"/>
        </w:numPr>
        <w:spacing w:after="0" w:line="360" w:lineRule="auto"/>
        <w:contextualSpacing/>
        <w:jc w:val="left"/>
        <w:rPr>
          <w:rFonts w:eastAsia="MS Mincho"/>
          <w:color w:val="7F7F7F" w:themeColor="text1" w:themeTint="80"/>
          <w:szCs w:val="24"/>
          <w:lang w:eastAsia="en-US"/>
        </w:rPr>
      </w:pPr>
      <w:r w:rsidRPr="00162885">
        <w:rPr>
          <w:rFonts w:eastAsia="MS Mincho"/>
          <w:color w:val="7F7F7F" w:themeColor="text1" w:themeTint="80"/>
          <w:szCs w:val="24"/>
          <w:lang w:eastAsia="en-US"/>
        </w:rPr>
        <w:t xml:space="preserve">Readecuación del Departamento Protección al Usuario.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color w:val="7F7F7F" w:themeColor="text1" w:themeTint="80"/>
          <w:szCs w:val="24"/>
          <w:lang w:eastAsia="en-US"/>
        </w:rPr>
        <w:t>Instalación de cortinas Venecianas, en las áreas: Departamento de Compras y Contrataciones, Dirección Banco Interamericano de Desarrollo, Dirección Protección al Usuario, Dirección de Planificación Estratégica, Dirección del Espectro Radioeléctrico, Dirección de Autorizaciones, Departamento de Revisión y Control Interno, Departamento de Infraestructura, Dirección de Recursos Humanos y Consejo Directivo.</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Readecuación del Departamento de fortalecimiento (Gestión Humana).</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Instalación de 7 puertas en los Departamentos de: Atención al Usuario (DAU), Correspondencia y Servicios Generales.</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Readecuación de la oficina de la Encargada de Servicios Generales.</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lastRenderedPageBreak/>
        <w:t>Instalación de Mamparas en el Departamento de Asistencia al Usuario (DAU).</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Creación de oficina para el área de Fiscalización.</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Readecuación del área de Lactancia al consultorio médico. </w:t>
      </w:r>
    </w:p>
    <w:p w:rsidR="00162885" w:rsidRPr="00162885" w:rsidRDefault="00162885" w:rsidP="00A17C7C">
      <w:pPr>
        <w:numPr>
          <w:ilvl w:val="0"/>
          <w:numId w:val="12"/>
        </w:numPr>
        <w:spacing w:after="0" w:line="360" w:lineRule="auto"/>
        <w:contextualSpacing/>
        <w:jc w:val="left"/>
        <w:rPr>
          <w:rFonts w:eastAsia="MS Mincho"/>
          <w:szCs w:val="24"/>
          <w:lang w:eastAsia="en-US"/>
        </w:rPr>
      </w:pPr>
      <w:r w:rsidRPr="00162885">
        <w:rPr>
          <w:rFonts w:eastAsia="MS Mincho"/>
          <w:szCs w:val="24"/>
          <w:lang w:eastAsia="en-US"/>
        </w:rPr>
        <w:t xml:space="preserve">Readecuación de cubículos en hidrófugo en el Departamento de Recaudaciones.  </w:t>
      </w:r>
    </w:p>
    <w:p w:rsidR="00162885" w:rsidRPr="00162885" w:rsidRDefault="00162885" w:rsidP="00162885">
      <w:pPr>
        <w:spacing w:after="0" w:line="360" w:lineRule="auto"/>
        <w:rPr>
          <w:rFonts w:eastAsia="MS Mincho"/>
          <w:szCs w:val="24"/>
          <w:lang w:eastAsia="en-US"/>
        </w:rPr>
      </w:pPr>
    </w:p>
    <w:p w:rsidR="00DA4FB5" w:rsidRDefault="00162885" w:rsidP="00162885">
      <w:pPr>
        <w:spacing w:line="360" w:lineRule="auto"/>
        <w:rPr>
          <w:rFonts w:eastAsia="MS Mincho"/>
          <w:szCs w:val="24"/>
          <w:lang w:eastAsia="en-US"/>
        </w:rPr>
      </w:pPr>
      <w:r w:rsidRPr="00162885">
        <w:rPr>
          <w:rFonts w:eastAsia="MS Mincho"/>
          <w:szCs w:val="24"/>
          <w:lang w:eastAsia="en-US"/>
        </w:rPr>
        <w:t xml:space="preserve">De acuerdo a la naturaleza de la institución y buscando reducir la brecha digital, la institución realizó el remozamiento y equipamiento de las nuevas instalaciones del Centro Modelo de Capacitación de Informática del </w:t>
      </w:r>
      <w:proofErr w:type="spellStart"/>
      <w:r w:rsidRPr="00162885">
        <w:rPr>
          <w:rFonts w:eastAsia="MS Mincho"/>
          <w:szCs w:val="24"/>
          <w:lang w:eastAsia="en-US"/>
        </w:rPr>
        <w:t>Tetelo</w:t>
      </w:r>
      <w:proofErr w:type="spellEnd"/>
      <w:r w:rsidRPr="00162885">
        <w:rPr>
          <w:rFonts w:eastAsia="MS Mincho"/>
          <w:szCs w:val="24"/>
          <w:lang w:eastAsia="en-US"/>
        </w:rPr>
        <w:t xml:space="preserve"> Vargas extensión Instituto Tecnológico de las Américas (ITLA) en San Pedro de Macorís con una inversión estimada de RD$8</w:t>
      </w:r>
      <w:proofErr w:type="gramStart"/>
      <w:r w:rsidRPr="00162885">
        <w:rPr>
          <w:rFonts w:eastAsia="MS Mincho"/>
          <w:szCs w:val="24"/>
          <w:lang w:eastAsia="en-US"/>
        </w:rPr>
        <w:t>,000,000.00</w:t>
      </w:r>
      <w:proofErr w:type="gramEnd"/>
      <w:r w:rsidRPr="00162885">
        <w:rPr>
          <w:rFonts w:eastAsia="MS Mincho"/>
          <w:szCs w:val="24"/>
          <w:lang w:eastAsia="en-US"/>
        </w:rPr>
        <w:t xml:space="preserve"> que será de provecho para el conocimiento y capacitación de los moradores de la provincia de San Pedro de Macorís.</w:t>
      </w:r>
    </w:p>
    <w:p w:rsidR="00162885" w:rsidRPr="00162885" w:rsidRDefault="00162885" w:rsidP="00DA4FB5">
      <w:pPr>
        <w:pStyle w:val="Sinespaciado"/>
        <w:rPr>
          <w:rFonts w:eastAsia="MS Mincho"/>
          <w:lang w:eastAsia="en-US"/>
        </w:rPr>
      </w:pPr>
      <w:r w:rsidRPr="00162885">
        <w:rPr>
          <w:rFonts w:eastAsia="MS Mincho"/>
          <w:lang w:eastAsia="en-US"/>
        </w:rPr>
        <w:t xml:space="preserve"> </w:t>
      </w:r>
    </w:p>
    <w:p w:rsidR="00162885" w:rsidRPr="00162885" w:rsidRDefault="00162885" w:rsidP="00162885">
      <w:pPr>
        <w:spacing w:line="360" w:lineRule="auto"/>
        <w:rPr>
          <w:szCs w:val="24"/>
        </w:rPr>
      </w:pPr>
      <w:r w:rsidRPr="00162885">
        <w:rPr>
          <w:szCs w:val="24"/>
        </w:rPr>
        <w:t xml:space="preserve">En otro orden, la institución ha logrado </w:t>
      </w:r>
      <w:proofErr w:type="spellStart"/>
      <w:r w:rsidRPr="00162885">
        <w:rPr>
          <w:szCs w:val="24"/>
        </w:rPr>
        <w:t>eficientizar</w:t>
      </w:r>
      <w:proofErr w:type="spellEnd"/>
      <w:r w:rsidRPr="00162885">
        <w:rPr>
          <w:szCs w:val="24"/>
        </w:rPr>
        <w:t xml:space="preserve"> los servicios de mantenimiento de infraestructura y los servicios de transporte interno de tal manera que las áreas operativas realicen sus funciones de forma óptima. Ver detalles en la siguiente tabla:</w:t>
      </w:r>
    </w:p>
    <w:tbl>
      <w:tblPr>
        <w:tblW w:w="77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2"/>
        <w:gridCol w:w="1875"/>
      </w:tblGrid>
      <w:tr w:rsidR="00162885" w:rsidRPr="00162885" w:rsidTr="0063671D">
        <w:trPr>
          <w:trHeight w:val="790"/>
        </w:trPr>
        <w:tc>
          <w:tcPr>
            <w:tcW w:w="7717" w:type="dxa"/>
            <w:gridSpan w:val="2"/>
            <w:shd w:val="clear" w:color="auto" w:fill="003876"/>
            <w:noWrap/>
            <w:vAlign w:val="center"/>
            <w:hideMark/>
          </w:tcPr>
          <w:p w:rsidR="00162885" w:rsidRPr="00162885" w:rsidRDefault="00162885" w:rsidP="007735D3">
            <w:pPr>
              <w:shd w:val="clear" w:color="auto" w:fill="002060"/>
              <w:spacing w:after="0" w:line="240" w:lineRule="auto"/>
              <w:jc w:val="center"/>
              <w:rPr>
                <w:rFonts w:eastAsia="Times New Roman"/>
                <w:b/>
                <w:color w:val="FFFFFF"/>
                <w:szCs w:val="24"/>
              </w:rPr>
            </w:pPr>
            <w:r w:rsidRPr="00162885">
              <w:rPr>
                <w:rFonts w:eastAsia="Times New Roman"/>
                <w:b/>
                <w:color w:val="FFFFFF"/>
                <w:szCs w:val="24"/>
              </w:rPr>
              <w:t>Estadísticas de Mantenimientos de Infraestructura y Vehículos</w:t>
            </w:r>
          </w:p>
          <w:p w:rsidR="00162885" w:rsidRPr="00162885" w:rsidRDefault="00162885" w:rsidP="007735D3">
            <w:pPr>
              <w:shd w:val="clear" w:color="auto" w:fill="002060"/>
              <w:spacing w:after="0" w:line="240" w:lineRule="auto"/>
              <w:jc w:val="center"/>
              <w:rPr>
                <w:rFonts w:eastAsia="Times New Roman"/>
                <w:color w:val="FFFFFF"/>
                <w:szCs w:val="24"/>
              </w:rPr>
            </w:pPr>
            <w:r w:rsidRPr="00162885">
              <w:rPr>
                <w:rFonts w:eastAsia="Times New Roman"/>
                <w:b/>
                <w:color w:val="FFFFFF"/>
                <w:szCs w:val="24"/>
              </w:rPr>
              <w:t>Enero – Octubre de 2021</w:t>
            </w:r>
          </w:p>
        </w:tc>
      </w:tr>
      <w:tr w:rsidR="00162885" w:rsidRPr="00162885" w:rsidTr="00162885">
        <w:trPr>
          <w:trHeight w:val="276"/>
        </w:trPr>
        <w:tc>
          <w:tcPr>
            <w:tcW w:w="5842" w:type="dxa"/>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Mantenimiento de vehículos</w:t>
            </w:r>
          </w:p>
        </w:tc>
        <w:tc>
          <w:tcPr>
            <w:tcW w:w="1875"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89</w:t>
            </w:r>
          </w:p>
        </w:tc>
      </w:tr>
      <w:tr w:rsidR="00162885" w:rsidRPr="00162885" w:rsidTr="00162885">
        <w:trPr>
          <w:trHeight w:val="276"/>
        </w:trPr>
        <w:tc>
          <w:tcPr>
            <w:tcW w:w="5842" w:type="dxa"/>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Mantenimiento de infraestructura</w:t>
            </w:r>
          </w:p>
        </w:tc>
        <w:tc>
          <w:tcPr>
            <w:tcW w:w="1875"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771</w:t>
            </w:r>
          </w:p>
        </w:tc>
      </w:tr>
      <w:tr w:rsidR="00162885" w:rsidRPr="00162885" w:rsidTr="00162885">
        <w:trPr>
          <w:trHeight w:val="276"/>
        </w:trPr>
        <w:tc>
          <w:tcPr>
            <w:tcW w:w="5842" w:type="dxa"/>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 xml:space="preserve">Mantenimiento aires acondicionados </w:t>
            </w:r>
          </w:p>
        </w:tc>
        <w:tc>
          <w:tcPr>
            <w:tcW w:w="1875"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112</w:t>
            </w:r>
          </w:p>
        </w:tc>
      </w:tr>
      <w:tr w:rsidR="00162885" w:rsidRPr="00162885" w:rsidTr="00162885">
        <w:trPr>
          <w:trHeight w:val="276"/>
        </w:trPr>
        <w:tc>
          <w:tcPr>
            <w:tcW w:w="5842" w:type="dxa"/>
            <w:shd w:val="clear" w:color="auto" w:fill="auto"/>
            <w:noWrap/>
            <w:vAlign w:val="center"/>
            <w:hideMark/>
          </w:tcPr>
          <w:p w:rsidR="00162885" w:rsidRPr="00162885" w:rsidRDefault="00162885" w:rsidP="00162885">
            <w:pPr>
              <w:spacing w:after="0" w:line="240" w:lineRule="auto"/>
              <w:jc w:val="left"/>
              <w:rPr>
                <w:rFonts w:eastAsia="Times New Roman"/>
                <w:szCs w:val="24"/>
              </w:rPr>
            </w:pPr>
            <w:r w:rsidRPr="00162885">
              <w:rPr>
                <w:rFonts w:eastAsia="Times New Roman"/>
                <w:szCs w:val="24"/>
              </w:rPr>
              <w:t>Fumigación control de plagas y desinfección</w:t>
            </w:r>
          </w:p>
        </w:tc>
        <w:tc>
          <w:tcPr>
            <w:tcW w:w="1875" w:type="dxa"/>
            <w:shd w:val="clear" w:color="auto" w:fill="auto"/>
            <w:noWrap/>
            <w:vAlign w:val="center"/>
            <w:hideMark/>
          </w:tcPr>
          <w:p w:rsidR="00162885" w:rsidRPr="00162885" w:rsidRDefault="00162885" w:rsidP="00162885">
            <w:pPr>
              <w:spacing w:after="0" w:line="240" w:lineRule="auto"/>
              <w:jc w:val="center"/>
              <w:rPr>
                <w:rFonts w:eastAsia="Times New Roman"/>
                <w:szCs w:val="24"/>
              </w:rPr>
            </w:pPr>
            <w:r w:rsidRPr="00162885">
              <w:rPr>
                <w:rFonts w:eastAsia="Times New Roman"/>
                <w:szCs w:val="24"/>
              </w:rPr>
              <w:t>13</w:t>
            </w:r>
          </w:p>
        </w:tc>
      </w:tr>
    </w:tbl>
    <w:p w:rsidR="008D46AC" w:rsidRDefault="00162885" w:rsidP="00AE7454">
      <w:pPr>
        <w:pStyle w:val="Sinespaciado"/>
      </w:pPr>
      <w:r w:rsidRPr="00162885">
        <w:rPr>
          <w:rFonts w:eastAsia="MS Mincho"/>
          <w:b/>
          <w:color w:val="767171"/>
          <w:sz w:val="18"/>
          <w:szCs w:val="18"/>
          <w:lang w:eastAsia="en-US"/>
        </w:rPr>
        <w:t xml:space="preserve">Fuente: </w:t>
      </w:r>
      <w:r w:rsidRPr="00162885">
        <w:rPr>
          <w:rFonts w:eastAsia="MS Mincho"/>
          <w:color w:val="767171"/>
          <w:sz w:val="18"/>
          <w:szCs w:val="18"/>
          <w:lang w:eastAsia="en-US"/>
        </w:rPr>
        <w:t>Dirección Administrativa</w:t>
      </w:r>
    </w:p>
    <w:p w:rsidR="00E5663E" w:rsidRDefault="00E5663E" w:rsidP="00AE7454">
      <w:pPr>
        <w:pStyle w:val="Sinespaciado"/>
      </w:pPr>
    </w:p>
    <w:p w:rsidR="00297EC4" w:rsidRDefault="00297EC4" w:rsidP="00AE7454">
      <w:pPr>
        <w:pStyle w:val="Sinespaciado"/>
      </w:pPr>
    </w:p>
    <w:p w:rsidR="00297EC4" w:rsidRDefault="00297EC4" w:rsidP="00AE7454">
      <w:pPr>
        <w:pStyle w:val="Sinespaciado"/>
      </w:pPr>
    </w:p>
    <w:p w:rsidR="00146F1F" w:rsidRDefault="00146F1F" w:rsidP="00AE7454">
      <w:pPr>
        <w:pStyle w:val="Sinespaciado"/>
      </w:pPr>
    </w:p>
    <w:p w:rsidR="00146F1F" w:rsidRDefault="00146F1F" w:rsidP="00AE7454">
      <w:pPr>
        <w:pStyle w:val="Sinespaciado"/>
      </w:pPr>
    </w:p>
    <w:p w:rsidR="00146F1F" w:rsidRDefault="00146F1F" w:rsidP="00AE7454">
      <w:pPr>
        <w:pStyle w:val="Sinespaciado"/>
      </w:pPr>
    </w:p>
    <w:p w:rsidR="00146F1F" w:rsidRDefault="00146F1F" w:rsidP="00AE7454">
      <w:pPr>
        <w:pStyle w:val="Sinespaciado"/>
      </w:pPr>
    </w:p>
    <w:p w:rsidR="00146F1F" w:rsidRPr="00AE7454" w:rsidRDefault="00146F1F" w:rsidP="00AE7454">
      <w:pPr>
        <w:pStyle w:val="Sinespaciado"/>
      </w:pPr>
    </w:p>
    <w:p w:rsidR="00AE7454" w:rsidRPr="005D0A88" w:rsidRDefault="00AE7454" w:rsidP="00AE7454">
      <w:pPr>
        <w:pStyle w:val="Ttulo4"/>
      </w:pPr>
      <w:r w:rsidRPr="005D0A88">
        <w:lastRenderedPageBreak/>
        <w:t>Desempeño Financiero</w:t>
      </w:r>
    </w:p>
    <w:p w:rsidR="00AE7454" w:rsidRDefault="00AE7454" w:rsidP="00A2756D">
      <w:pPr>
        <w:spacing w:line="360" w:lineRule="auto"/>
      </w:pPr>
    </w:p>
    <w:p w:rsidR="005F520D" w:rsidRPr="005F520D" w:rsidRDefault="005F520D" w:rsidP="00A2756D">
      <w:pPr>
        <w:spacing w:line="360" w:lineRule="auto"/>
        <w:rPr>
          <w:b/>
        </w:rPr>
      </w:pPr>
      <w:r w:rsidRPr="005F520D">
        <w:rPr>
          <w:b/>
        </w:rPr>
        <w:t>Recaudaciones</w:t>
      </w:r>
    </w:p>
    <w:p w:rsidR="00005D58" w:rsidRDefault="00005D58" w:rsidP="00005D58">
      <w:pPr>
        <w:tabs>
          <w:tab w:val="left" w:pos="0"/>
        </w:tabs>
        <w:spacing w:after="0" w:line="360" w:lineRule="auto"/>
        <w:jc w:val="left"/>
        <w:rPr>
          <w:rFonts w:eastAsia="Times New Roman"/>
          <w:b/>
          <w:szCs w:val="24"/>
          <w:lang w:val="es-MX" w:eastAsia="es-ES"/>
        </w:rPr>
      </w:pPr>
      <w:r w:rsidRPr="00005D58">
        <w:rPr>
          <w:rFonts w:eastAsia="Times New Roman"/>
          <w:b/>
          <w:szCs w:val="24"/>
          <w:lang w:val="es-MX" w:eastAsia="es-ES"/>
        </w:rPr>
        <w:t>Contribución al Desarrollo de las Telecomunicaciones (CDT)</w:t>
      </w:r>
    </w:p>
    <w:p w:rsidR="00005D58" w:rsidRPr="00005D58" w:rsidRDefault="00005D58" w:rsidP="00005D58">
      <w:pPr>
        <w:tabs>
          <w:tab w:val="left" w:pos="0"/>
        </w:tabs>
        <w:spacing w:after="0" w:line="360" w:lineRule="auto"/>
        <w:jc w:val="left"/>
        <w:rPr>
          <w:rFonts w:eastAsia="Times New Roman"/>
          <w:b/>
          <w:szCs w:val="24"/>
          <w:lang w:val="es-MX" w:eastAsia="es-ES"/>
        </w:rPr>
      </w:pPr>
    </w:p>
    <w:p w:rsidR="00005D58" w:rsidRPr="00005D58" w:rsidRDefault="00005D58" w:rsidP="00005D58">
      <w:pPr>
        <w:spacing w:after="100" w:afterAutospacing="1" w:line="360" w:lineRule="auto"/>
        <w:rPr>
          <w:rFonts w:eastAsia="MS Mincho"/>
          <w:szCs w:val="24"/>
          <w:lang w:eastAsia="en-US"/>
        </w:rPr>
      </w:pPr>
      <w:r w:rsidRPr="00005D58">
        <w:rPr>
          <w:rFonts w:eastAsia="MS Mincho"/>
          <w:szCs w:val="24"/>
          <w:lang w:eastAsia="en-US"/>
        </w:rPr>
        <w:t>El monto preliminar acumulado de las recaudaciones por concepto de la Contribución al Desarrollo de las Telecomunicaciones (CDT) en el periodo enero-noviembre de 2021 fue por la suma de Mil Cuatrocientos Noventa y Cinco Millones Ochocientos Cuarenta y Tres Mil Ciento Veintidós Pesos Dominicanos con 76/100 (</w:t>
      </w:r>
      <w:r w:rsidR="00537AD3">
        <w:rPr>
          <w:rFonts w:eastAsia="MS Mincho"/>
          <w:szCs w:val="24"/>
          <w:lang w:eastAsia="en-US"/>
        </w:rPr>
        <w:t>RD$</w:t>
      </w:r>
      <w:r w:rsidRPr="00005D58">
        <w:rPr>
          <w:rFonts w:eastAsia="MS Mincho"/>
          <w:szCs w:val="24"/>
          <w:lang w:eastAsia="en-US"/>
        </w:rPr>
        <w:t>1,495,843,122.76). En el periodo comprendido entre enero-noviembre</w:t>
      </w:r>
      <w:r w:rsidR="00537AD3">
        <w:rPr>
          <w:rFonts w:eastAsia="MS Mincho"/>
          <w:szCs w:val="24"/>
          <w:lang w:eastAsia="en-US"/>
        </w:rPr>
        <w:t xml:space="preserve"> de</w:t>
      </w:r>
      <w:r w:rsidRPr="00005D58">
        <w:rPr>
          <w:rFonts w:eastAsia="MS Mincho"/>
          <w:szCs w:val="24"/>
          <w:lang w:eastAsia="en-US"/>
        </w:rPr>
        <w:t xml:space="preserve"> 2021 se recibieron 2,200 pagos para un </w:t>
      </w:r>
      <w:proofErr w:type="spellStart"/>
      <w:r w:rsidRPr="00005D58">
        <w:rPr>
          <w:rFonts w:eastAsia="MS Mincho"/>
          <w:szCs w:val="24"/>
          <w:lang w:eastAsia="en-US"/>
        </w:rPr>
        <w:t>average</w:t>
      </w:r>
      <w:proofErr w:type="spellEnd"/>
      <w:r w:rsidRPr="00005D58">
        <w:rPr>
          <w:rFonts w:eastAsia="MS Mincho"/>
          <w:szCs w:val="24"/>
          <w:lang w:eastAsia="en-US"/>
        </w:rPr>
        <w:t xml:space="preserve"> de cumplimiento preliminar del 93%. </w:t>
      </w:r>
    </w:p>
    <w:p w:rsidR="00005D58" w:rsidRDefault="00005D58" w:rsidP="00005D58">
      <w:pPr>
        <w:tabs>
          <w:tab w:val="left" w:pos="0"/>
        </w:tabs>
        <w:spacing w:after="0" w:line="360" w:lineRule="auto"/>
        <w:jc w:val="left"/>
        <w:rPr>
          <w:rFonts w:eastAsia="Times New Roman"/>
          <w:b/>
          <w:szCs w:val="24"/>
          <w:lang w:val="es-MX" w:eastAsia="es-ES"/>
        </w:rPr>
      </w:pPr>
      <w:r w:rsidRPr="00005D58">
        <w:rPr>
          <w:rFonts w:eastAsia="Times New Roman"/>
          <w:b/>
          <w:szCs w:val="24"/>
          <w:lang w:val="es-MX" w:eastAsia="es-ES"/>
        </w:rPr>
        <w:t>Derecho a Uso (</w:t>
      </w:r>
      <w:r w:rsidR="00537AD3">
        <w:rPr>
          <w:rFonts w:eastAsia="Times New Roman"/>
          <w:b/>
          <w:szCs w:val="24"/>
          <w:lang w:val="es-MX" w:eastAsia="es-ES"/>
        </w:rPr>
        <w:t>DU) del Espectro Radioeléctrico</w:t>
      </w:r>
    </w:p>
    <w:p w:rsidR="00005D58" w:rsidRPr="00005D58" w:rsidRDefault="00005D58" w:rsidP="00005D58">
      <w:pPr>
        <w:tabs>
          <w:tab w:val="left" w:pos="0"/>
        </w:tabs>
        <w:spacing w:after="0" w:line="360" w:lineRule="auto"/>
        <w:jc w:val="left"/>
        <w:rPr>
          <w:rFonts w:eastAsia="Times New Roman"/>
          <w:b/>
          <w:szCs w:val="24"/>
          <w:lang w:val="es-MX" w:eastAsia="es-ES"/>
        </w:rPr>
      </w:pPr>
    </w:p>
    <w:p w:rsidR="007735D3" w:rsidRPr="00A954BA" w:rsidRDefault="00005D58" w:rsidP="00A954BA">
      <w:pPr>
        <w:spacing w:after="100" w:afterAutospacing="1" w:line="360" w:lineRule="auto"/>
        <w:rPr>
          <w:rFonts w:eastAsia="MS Mincho"/>
          <w:szCs w:val="24"/>
          <w:lang w:eastAsia="en-US"/>
        </w:rPr>
      </w:pPr>
      <w:r w:rsidRPr="00005D58">
        <w:rPr>
          <w:rFonts w:eastAsia="MS Mincho"/>
          <w:szCs w:val="24"/>
          <w:lang w:eastAsia="en-US"/>
        </w:rPr>
        <w:t>El monto preliminar de las cobranzas del Derecho a Uso (DU) del espectro radioeléctrico, en el periodo enero-noviembre de 2021 fue por la suma de Ciento Noventa y Un Millones Doscientos Trece Mil Ochocientos Nueve Pe</w:t>
      </w:r>
      <w:r w:rsidR="00537AD3">
        <w:rPr>
          <w:rFonts w:eastAsia="MS Mincho"/>
          <w:szCs w:val="24"/>
          <w:lang w:eastAsia="en-US"/>
        </w:rPr>
        <w:t>sos Dominicanos con 75/100 (RD$</w:t>
      </w:r>
      <w:r w:rsidRPr="00005D58">
        <w:rPr>
          <w:rFonts w:eastAsia="MS Mincho"/>
          <w:szCs w:val="24"/>
          <w:lang w:eastAsia="en-US"/>
        </w:rPr>
        <w:t>191,213,809.75), para un 62% del monto total emitido en las órdenes de pago correspondientes al año 2021, el cual asciende a la suma total de Trescientos Diez Millones Doscientos Dieciocho Mil Doscientos Ochenta y Cuatro Pesos Dominicanos con 35/100 (RD$310,218,284.35). Igualmente, se recuperaron montos de DU de los años 2008-2020 por la suma de Setenta y Seis Millones Quinientos Treinta y Dos Mil Trescientos Sesenta Pesos Dominicanos con 45/100 (RD$76</w:t>
      </w:r>
      <w:proofErr w:type="gramStart"/>
      <w:r w:rsidRPr="00005D58">
        <w:rPr>
          <w:rFonts w:eastAsia="MS Mincho"/>
          <w:szCs w:val="24"/>
          <w:lang w:eastAsia="en-US"/>
        </w:rPr>
        <w:t>,532,360.45</w:t>
      </w:r>
      <w:proofErr w:type="gramEnd"/>
      <w:r w:rsidRPr="00005D58">
        <w:rPr>
          <w:rFonts w:eastAsia="MS Mincho"/>
          <w:szCs w:val="24"/>
          <w:lang w:eastAsia="en-US"/>
        </w:rPr>
        <w:t>), para una recaudación total en el periodo enero-noviembre de 2021 de Doscientos Sesenta y Siete Millones Setecientos Cuarenta y Seis Mil Ciento Setenta Pesos Dominicanos con 20/100 (RD$267,746,170.20)</w:t>
      </w:r>
    </w:p>
    <w:p w:rsidR="00005D58" w:rsidRDefault="00005D58" w:rsidP="00005D58">
      <w:pPr>
        <w:tabs>
          <w:tab w:val="left" w:pos="0"/>
        </w:tabs>
        <w:spacing w:after="0" w:line="360" w:lineRule="auto"/>
        <w:jc w:val="left"/>
        <w:rPr>
          <w:rFonts w:eastAsia="Times New Roman"/>
          <w:b/>
          <w:szCs w:val="24"/>
          <w:lang w:val="es-MX" w:eastAsia="es-ES"/>
        </w:rPr>
      </w:pPr>
      <w:r w:rsidRPr="00005D58">
        <w:rPr>
          <w:rFonts w:eastAsia="Times New Roman"/>
          <w:b/>
          <w:szCs w:val="24"/>
          <w:lang w:val="es-MX" w:eastAsia="es-ES"/>
        </w:rPr>
        <w:lastRenderedPageBreak/>
        <w:t>Tasas por Procesamiento o de Servicios</w:t>
      </w:r>
    </w:p>
    <w:p w:rsidR="00005D58" w:rsidRPr="00005D58" w:rsidRDefault="00005D58" w:rsidP="00005D58">
      <w:pPr>
        <w:tabs>
          <w:tab w:val="left" w:pos="0"/>
        </w:tabs>
        <w:spacing w:after="0" w:line="360" w:lineRule="auto"/>
        <w:jc w:val="left"/>
        <w:rPr>
          <w:rFonts w:eastAsia="Times New Roman"/>
          <w:b/>
          <w:szCs w:val="24"/>
          <w:lang w:val="es-MX" w:eastAsia="es-ES"/>
        </w:rPr>
      </w:pPr>
    </w:p>
    <w:p w:rsidR="00005D58" w:rsidRPr="00005D58" w:rsidRDefault="00005D58" w:rsidP="00005D58">
      <w:pPr>
        <w:spacing w:line="360" w:lineRule="auto"/>
        <w:rPr>
          <w:rFonts w:eastAsia="MS Mincho"/>
          <w:szCs w:val="24"/>
          <w:lang w:eastAsia="en-US"/>
        </w:rPr>
      </w:pPr>
      <w:r w:rsidRPr="00005D58">
        <w:rPr>
          <w:rFonts w:eastAsia="MS Mincho"/>
          <w:szCs w:val="24"/>
          <w:lang w:eastAsia="en-US"/>
        </w:rPr>
        <w:t>De acuerdo a las Resoluciones Números: 036-15 y 070-18 que fijan tasas por procesamiento de servicios ante el INDOTEL, en el periodo enero-noviembre de 2021  se recaudó la suma de Diecinueve Millones Doscientos Dieciséis Mil Doscientos Cuarenta y Cuatro Pesos Dominicanos con 40/100 (RD$19,216,244.40)</w:t>
      </w:r>
      <w:r w:rsidR="004166ED">
        <w:rPr>
          <w:rFonts w:eastAsia="MS Mincho"/>
          <w:szCs w:val="24"/>
          <w:lang w:eastAsia="en-US"/>
        </w:rPr>
        <w:t>.</w:t>
      </w:r>
    </w:p>
    <w:p w:rsidR="00AB2CEA" w:rsidRPr="00005D58" w:rsidRDefault="00005D58" w:rsidP="00005D58">
      <w:pPr>
        <w:spacing w:line="360" w:lineRule="auto"/>
        <w:rPr>
          <w:rFonts w:eastAsia="MS Mincho"/>
          <w:szCs w:val="24"/>
          <w:lang w:eastAsia="en-US"/>
        </w:rPr>
      </w:pPr>
      <w:r w:rsidRPr="00005D58">
        <w:rPr>
          <w:rFonts w:eastAsia="MS Mincho"/>
          <w:szCs w:val="24"/>
          <w:lang w:eastAsia="en-US"/>
        </w:rPr>
        <w:t>Las recaudaciones preliminares por concepto de CDT/DU/TASAS x SERVICIOS para el periodo enero-noviembre de 2021 fueron por la suma de Mil Setecientos Ochenta y Dos Millones Ochocientos Cinco Mil Quinientos Treinta y Siete Pesos Dominicanos con 36/100 (</w:t>
      </w:r>
      <w:r w:rsidR="00516859">
        <w:rPr>
          <w:rFonts w:eastAsia="MS Mincho"/>
          <w:szCs w:val="24"/>
          <w:lang w:eastAsia="en-US"/>
        </w:rPr>
        <w:t>RD$</w:t>
      </w:r>
      <w:r w:rsidRPr="00005D58">
        <w:rPr>
          <w:rFonts w:eastAsia="MS Mincho"/>
          <w:szCs w:val="24"/>
          <w:lang w:eastAsia="en-US"/>
        </w:rPr>
        <w:t>1,782,805,537.36)</w:t>
      </w:r>
      <w:r w:rsidR="007907EC">
        <w:rPr>
          <w:rFonts w:eastAsia="MS Mincho"/>
          <w:szCs w:val="24"/>
          <w:lang w:eastAsia="en-US"/>
        </w:rPr>
        <w:t>.</w:t>
      </w:r>
    </w:p>
    <w:p w:rsidR="001F2DDD" w:rsidRPr="00005D58" w:rsidRDefault="001F2DDD" w:rsidP="00005D58">
      <w:pPr>
        <w:spacing w:line="360" w:lineRule="auto"/>
        <w:rPr>
          <w:rFonts w:eastAsia="MS Mincho"/>
          <w:szCs w:val="24"/>
          <w:lang w:eastAsia="en-US"/>
        </w:rPr>
      </w:pPr>
    </w:p>
    <w:p w:rsidR="001F2DDD" w:rsidRPr="00005D58" w:rsidRDefault="001F2DDD" w:rsidP="00005D58">
      <w:pPr>
        <w:spacing w:line="360" w:lineRule="auto"/>
        <w:rPr>
          <w:rFonts w:eastAsia="MS Mincho"/>
          <w:szCs w:val="24"/>
          <w:lang w:eastAsia="en-US"/>
        </w:rPr>
      </w:pPr>
    </w:p>
    <w:p w:rsidR="001F2DDD" w:rsidRDefault="001F2DDD" w:rsidP="00426D0B">
      <w:pPr>
        <w:rPr>
          <w:b/>
          <w:sz w:val="28"/>
        </w:rPr>
      </w:pPr>
    </w:p>
    <w:p w:rsidR="001F2DDD" w:rsidRDefault="001F2DDD" w:rsidP="00426D0B">
      <w:pPr>
        <w:rPr>
          <w:b/>
          <w:sz w:val="28"/>
        </w:rPr>
      </w:pPr>
    </w:p>
    <w:p w:rsidR="001F2DDD" w:rsidRDefault="001F2DDD" w:rsidP="00426D0B">
      <w:pPr>
        <w:rPr>
          <w:b/>
          <w:sz w:val="28"/>
        </w:rPr>
      </w:pPr>
    </w:p>
    <w:p w:rsidR="001F2DDD" w:rsidRDefault="001F2DDD" w:rsidP="00426D0B">
      <w:pPr>
        <w:rPr>
          <w:b/>
          <w:sz w:val="28"/>
        </w:rPr>
      </w:pPr>
    </w:p>
    <w:p w:rsidR="001F2DDD" w:rsidRDefault="001F2DDD" w:rsidP="00462758">
      <w:pPr>
        <w:spacing w:before="240" w:line="360" w:lineRule="auto"/>
        <w:rPr>
          <w:b/>
        </w:rPr>
      </w:pPr>
    </w:p>
    <w:p w:rsidR="001F2DDD" w:rsidRDefault="001F2DDD" w:rsidP="00462758">
      <w:pPr>
        <w:spacing w:before="240" w:line="360" w:lineRule="auto"/>
        <w:rPr>
          <w:b/>
        </w:rPr>
      </w:pPr>
    </w:p>
    <w:p w:rsidR="001F2DDD" w:rsidRDefault="001F2DDD" w:rsidP="00462758">
      <w:pPr>
        <w:spacing w:before="240" w:line="360" w:lineRule="auto"/>
        <w:rPr>
          <w:b/>
        </w:rPr>
      </w:pPr>
    </w:p>
    <w:p w:rsidR="001F2DDD" w:rsidRDefault="001F2DDD" w:rsidP="00462758">
      <w:pPr>
        <w:spacing w:before="240" w:line="360" w:lineRule="auto"/>
        <w:rPr>
          <w:b/>
        </w:rPr>
      </w:pPr>
    </w:p>
    <w:p w:rsidR="00116620" w:rsidRDefault="00116620" w:rsidP="00462758">
      <w:pPr>
        <w:spacing w:before="240" w:line="360" w:lineRule="auto"/>
        <w:rPr>
          <w:b/>
        </w:rPr>
      </w:pPr>
    </w:p>
    <w:p w:rsidR="007735D3" w:rsidRDefault="007735D3" w:rsidP="00462758">
      <w:pPr>
        <w:spacing w:before="240" w:line="360" w:lineRule="auto"/>
        <w:rPr>
          <w:b/>
        </w:rPr>
      </w:pPr>
    </w:p>
    <w:p w:rsidR="007735D3" w:rsidRDefault="007735D3" w:rsidP="00462758">
      <w:pPr>
        <w:spacing w:before="240" w:line="360" w:lineRule="auto"/>
        <w:rPr>
          <w:b/>
        </w:rPr>
      </w:pPr>
    </w:p>
    <w:p w:rsidR="00462758" w:rsidRPr="007E0DBD" w:rsidRDefault="0081124C" w:rsidP="00462758">
      <w:pPr>
        <w:spacing w:before="240" w:line="360" w:lineRule="auto"/>
      </w:pPr>
      <w:r>
        <w:rPr>
          <w:b/>
        </w:rPr>
        <w:t>Estados Financieros</w:t>
      </w:r>
    </w:p>
    <w:p w:rsidR="00462758" w:rsidRDefault="00462758" w:rsidP="00462758">
      <w:pPr>
        <w:spacing w:before="240" w:line="360" w:lineRule="auto"/>
      </w:pPr>
      <w:r w:rsidRPr="007E0DBD">
        <w:t>A continuación una presentación de los Estados Financieros:</w:t>
      </w:r>
    </w:p>
    <w:p w:rsidR="005E7F52" w:rsidRDefault="005E7F52" w:rsidP="005E7F52">
      <w:pPr>
        <w:tabs>
          <w:tab w:val="left" w:pos="6915"/>
        </w:tabs>
        <w:spacing w:before="240" w:line="360" w:lineRule="auto"/>
      </w:pPr>
    </w:p>
    <w:tbl>
      <w:tblPr>
        <w:tblW w:w="8862" w:type="dxa"/>
        <w:tblCellMar>
          <w:left w:w="70" w:type="dxa"/>
          <w:right w:w="70" w:type="dxa"/>
        </w:tblCellMar>
        <w:tblLook w:val="04A0" w:firstRow="1" w:lastRow="0" w:firstColumn="1" w:lastColumn="0" w:noHBand="0" w:noVBand="1"/>
      </w:tblPr>
      <w:tblGrid>
        <w:gridCol w:w="5800"/>
        <w:gridCol w:w="140"/>
        <w:gridCol w:w="1536"/>
        <w:gridCol w:w="524"/>
        <w:gridCol w:w="862"/>
      </w:tblGrid>
      <w:tr w:rsidR="005E7F52" w:rsidRPr="00431E35" w:rsidTr="00234D88">
        <w:trPr>
          <w:trHeight w:val="300"/>
        </w:trPr>
        <w:tc>
          <w:tcPr>
            <w:tcW w:w="5940" w:type="dxa"/>
            <w:gridSpan w:val="2"/>
            <w:shd w:val="clear" w:color="auto" w:fill="auto"/>
            <w:noWrap/>
            <w:vAlign w:val="bottom"/>
            <w:hideMark/>
          </w:tcPr>
          <w:p w:rsidR="005E7F52" w:rsidRPr="00431E35" w:rsidRDefault="005E7F52" w:rsidP="005E7F52">
            <w:pPr>
              <w:rPr>
                <w:rFonts w:ascii="Calibri" w:hAnsi="Calibri" w:cs="Calibri"/>
              </w:rPr>
            </w:pPr>
          </w:p>
          <w:tbl>
            <w:tblPr>
              <w:tblW w:w="0" w:type="auto"/>
              <w:tblCellSpacing w:w="0" w:type="dxa"/>
              <w:tblCellMar>
                <w:left w:w="0" w:type="dxa"/>
                <w:right w:w="0" w:type="dxa"/>
              </w:tblCellMar>
              <w:tblLook w:val="04A0" w:firstRow="1" w:lastRow="0" w:firstColumn="1" w:lastColumn="0" w:noHBand="0" w:noVBand="1"/>
            </w:tblPr>
            <w:tblGrid>
              <w:gridCol w:w="5800"/>
            </w:tblGrid>
            <w:tr w:rsidR="005E7F52" w:rsidRPr="00431E35" w:rsidTr="00234D88">
              <w:trPr>
                <w:trHeight w:val="300"/>
                <w:tblCellSpacing w:w="0" w:type="dxa"/>
              </w:trPr>
              <w:tc>
                <w:tcPr>
                  <w:tcW w:w="5800" w:type="dxa"/>
                  <w:tcBorders>
                    <w:top w:val="nil"/>
                    <w:left w:val="nil"/>
                    <w:bottom w:val="nil"/>
                    <w:right w:val="nil"/>
                  </w:tcBorders>
                  <w:shd w:val="clear" w:color="auto" w:fill="auto"/>
                  <w:noWrap/>
                  <w:hideMark/>
                </w:tcPr>
                <w:p w:rsidR="005E7F52" w:rsidRPr="00431E35" w:rsidRDefault="005E7F52" w:rsidP="005E7F52">
                  <w:pPr>
                    <w:jc w:val="center"/>
                    <w:rPr>
                      <w:rFonts w:ascii="Arial" w:hAnsi="Arial" w:cs="Arial"/>
                      <w:b/>
                      <w:bCs/>
                    </w:rPr>
                  </w:pPr>
                  <w:r w:rsidRPr="00431E35">
                    <w:rPr>
                      <w:rFonts w:ascii="Calibri" w:hAnsi="Calibri" w:cs="Calibri"/>
                      <w:noProof/>
                      <w:lang w:val="en-US" w:eastAsia="en-US"/>
                    </w:rPr>
                    <w:drawing>
                      <wp:anchor distT="0" distB="0" distL="114300" distR="114300" simplePos="0" relativeHeight="251750400" behindDoc="0" locked="0" layoutInCell="1" allowOverlap="1" wp14:anchorId="78D4F9CD" wp14:editId="1D801B78">
                        <wp:simplePos x="0" y="0"/>
                        <wp:positionH relativeFrom="column">
                          <wp:posOffset>-47625</wp:posOffset>
                        </wp:positionH>
                        <wp:positionV relativeFrom="paragraph">
                          <wp:posOffset>-133350</wp:posOffset>
                        </wp:positionV>
                        <wp:extent cx="1323975" cy="600075"/>
                        <wp:effectExtent l="0" t="0" r="9525" b="0"/>
                        <wp:wrapNone/>
                        <wp:docPr id="1" name="Imagen 1"/>
                        <wp:cNvGraphicFramePr/>
                        <a:graphic xmlns:a="http://schemas.openxmlformats.org/drawingml/2006/main">
                          <a:graphicData uri="http://schemas.openxmlformats.org/drawingml/2006/picture">
                            <pic:pic xmlns:pic="http://schemas.openxmlformats.org/drawingml/2006/picture">
                              <pic:nvPicPr>
                                <pic:cNvPr id="2" name="Imagen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23975" cy="6000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31E35">
                    <w:rPr>
                      <w:rFonts w:ascii="Arial" w:hAnsi="Arial" w:cs="Arial"/>
                      <w:b/>
                      <w:bCs/>
                    </w:rPr>
                    <w:t xml:space="preserve">                                                                        </w:t>
                  </w:r>
                </w:p>
                <w:p w:rsidR="005E7F52" w:rsidRPr="00431E35" w:rsidRDefault="005E7F52" w:rsidP="005E7F52">
                  <w:pPr>
                    <w:jc w:val="center"/>
                    <w:rPr>
                      <w:rFonts w:ascii="Arial" w:hAnsi="Arial" w:cs="Arial"/>
                      <w:b/>
                      <w:bCs/>
                    </w:rPr>
                  </w:pPr>
                </w:p>
                <w:p w:rsidR="005E7F52" w:rsidRPr="00431E35" w:rsidRDefault="005E7F52" w:rsidP="005E7F52">
                  <w:pPr>
                    <w:jc w:val="center"/>
                    <w:rPr>
                      <w:b/>
                      <w:bCs/>
                      <w:sz w:val="20"/>
                      <w:szCs w:val="20"/>
                    </w:rPr>
                  </w:pPr>
                  <w:r w:rsidRPr="00431E35">
                    <w:rPr>
                      <w:b/>
                      <w:bCs/>
                      <w:sz w:val="20"/>
                      <w:szCs w:val="20"/>
                    </w:rPr>
                    <w:t xml:space="preserve">                                               ESTADO DE RESULTADOS.</w:t>
                  </w:r>
                </w:p>
                <w:p w:rsidR="005E7F52" w:rsidRPr="00431E35" w:rsidRDefault="005E7F52" w:rsidP="005E7F52">
                  <w:pPr>
                    <w:jc w:val="center"/>
                    <w:rPr>
                      <w:b/>
                      <w:bCs/>
                      <w:sz w:val="20"/>
                      <w:szCs w:val="20"/>
                    </w:rPr>
                  </w:pPr>
                  <w:r w:rsidRPr="00431E35">
                    <w:rPr>
                      <w:b/>
                      <w:bCs/>
                      <w:sz w:val="20"/>
                      <w:szCs w:val="20"/>
                    </w:rPr>
                    <w:t xml:space="preserve">                                                AL 30 DE NOVIEMBRE 2021</w:t>
                  </w:r>
                </w:p>
                <w:p w:rsidR="005E7F52" w:rsidRPr="00431E35" w:rsidRDefault="005E7F52" w:rsidP="005E7F52">
                  <w:pPr>
                    <w:jc w:val="center"/>
                    <w:rPr>
                      <w:rFonts w:ascii="Arial" w:hAnsi="Arial" w:cs="Arial"/>
                      <w:b/>
                      <w:bCs/>
                    </w:rPr>
                  </w:pPr>
                  <w:r w:rsidRPr="00431E35">
                    <w:rPr>
                      <w:b/>
                      <w:bCs/>
                      <w:sz w:val="20"/>
                      <w:szCs w:val="20"/>
                    </w:rPr>
                    <w:t xml:space="preserve">                                                 VALORES EN RD$.</w:t>
                  </w:r>
                </w:p>
              </w:tc>
            </w:tr>
          </w:tbl>
          <w:p w:rsidR="005E7F52" w:rsidRPr="00431E35" w:rsidRDefault="005E7F52" w:rsidP="005E7F52">
            <w:pPr>
              <w:rPr>
                <w:rFonts w:ascii="Calibri" w:hAnsi="Calibri" w:cs="Calibri"/>
              </w:rPr>
            </w:pPr>
          </w:p>
        </w:tc>
        <w:tc>
          <w:tcPr>
            <w:tcW w:w="1536" w:type="dxa"/>
            <w:shd w:val="clear" w:color="auto" w:fill="auto"/>
            <w:noWrap/>
            <w:vAlign w:val="bottom"/>
            <w:hideMark/>
          </w:tcPr>
          <w:p w:rsidR="005E7F52" w:rsidRPr="00431E35" w:rsidRDefault="005E7F52" w:rsidP="005E7F52">
            <w:pPr>
              <w:rPr>
                <w:sz w:val="20"/>
                <w:szCs w:val="20"/>
              </w:rPr>
            </w:pPr>
          </w:p>
        </w:tc>
        <w:tc>
          <w:tcPr>
            <w:tcW w:w="1386" w:type="dxa"/>
            <w:gridSpan w:val="2"/>
            <w:shd w:val="clear" w:color="auto" w:fill="auto"/>
            <w:noWrap/>
            <w:vAlign w:val="bottom"/>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sz w:val="20"/>
                <w:szCs w:val="20"/>
              </w:rPr>
            </w:pPr>
          </w:p>
        </w:tc>
        <w:tc>
          <w:tcPr>
            <w:tcW w:w="1536" w:type="dxa"/>
            <w:shd w:val="clear" w:color="auto" w:fill="auto"/>
            <w:noWrap/>
            <w:vAlign w:val="bottom"/>
            <w:hideMark/>
          </w:tcPr>
          <w:p w:rsidR="005E7F52" w:rsidRPr="00431E35" w:rsidRDefault="005E7F52" w:rsidP="005E7F52">
            <w:pPr>
              <w:jc w:val="center"/>
              <w:rPr>
                <w:sz w:val="20"/>
                <w:szCs w:val="20"/>
              </w:rPr>
            </w:pPr>
          </w:p>
        </w:tc>
        <w:tc>
          <w:tcPr>
            <w:tcW w:w="1386" w:type="dxa"/>
            <w:gridSpan w:val="2"/>
            <w:shd w:val="clear" w:color="auto" w:fill="auto"/>
            <w:noWrap/>
            <w:vAlign w:val="bottom"/>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INGRESOS</w:t>
            </w:r>
          </w:p>
        </w:tc>
        <w:tc>
          <w:tcPr>
            <w:tcW w:w="1536" w:type="dxa"/>
            <w:shd w:val="clear" w:color="auto" w:fill="auto"/>
            <w:noWrap/>
            <w:hideMark/>
          </w:tcPr>
          <w:p w:rsidR="005E7F52" w:rsidRPr="00431E35" w:rsidRDefault="005E7F52" w:rsidP="005E7F52">
            <w:pPr>
              <w:rPr>
                <w:rFonts w:ascii="Arial" w:hAnsi="Arial" w:cs="Arial"/>
                <w:b/>
                <w:bCs/>
                <w:sz w:val="16"/>
                <w:szCs w:val="16"/>
              </w:rPr>
            </w:pPr>
          </w:p>
        </w:tc>
        <w:tc>
          <w:tcPr>
            <w:tcW w:w="1386" w:type="dxa"/>
            <w:gridSpan w:val="2"/>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CONTRIBUCION DESARROLLO DE TELECOMUNICACIONES (ANEXO 1-A)</w:t>
            </w:r>
          </w:p>
        </w:tc>
        <w:tc>
          <w:tcPr>
            <w:tcW w:w="1536" w:type="dxa"/>
            <w:shd w:val="clear" w:color="000000" w:fill="FFFFFF"/>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1,494,656,342.15</w:t>
            </w:r>
          </w:p>
        </w:tc>
        <w:tc>
          <w:tcPr>
            <w:tcW w:w="1386" w:type="dxa"/>
            <w:gridSpan w:val="2"/>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INTERESES GANADOS CERTIFICADOS  (ANEXO 2-A)</w:t>
            </w:r>
          </w:p>
        </w:tc>
        <w:tc>
          <w:tcPr>
            <w:tcW w:w="1536" w:type="dxa"/>
            <w:shd w:val="clear" w:color="000000" w:fill="FFFFFF"/>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11,076,235.40</w:t>
            </w:r>
          </w:p>
        </w:tc>
        <w:tc>
          <w:tcPr>
            <w:tcW w:w="1386" w:type="dxa"/>
            <w:gridSpan w:val="2"/>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OTROS INGRESOS (ANEXO 3-A)</w:t>
            </w:r>
          </w:p>
        </w:tc>
        <w:tc>
          <w:tcPr>
            <w:tcW w:w="1536" w:type="dxa"/>
            <w:tcBorders>
              <w:bottom w:val="single" w:sz="12" w:space="0" w:color="auto"/>
            </w:tcBorders>
            <w:shd w:val="clear" w:color="000000" w:fill="FFFFFF"/>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769,461,890.64</w:t>
            </w:r>
          </w:p>
        </w:tc>
        <w:tc>
          <w:tcPr>
            <w:tcW w:w="1386" w:type="dxa"/>
            <w:gridSpan w:val="2"/>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255"/>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INGRESOS</w:t>
            </w:r>
          </w:p>
        </w:tc>
        <w:tc>
          <w:tcPr>
            <w:tcW w:w="1536" w:type="dxa"/>
            <w:tcBorders>
              <w:top w:val="single" w:sz="12" w:space="0" w:color="auto"/>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386" w:type="dxa"/>
            <w:gridSpan w:val="2"/>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2,275,194,468.19</w:t>
            </w:r>
          </w:p>
        </w:tc>
      </w:tr>
      <w:tr w:rsidR="005E7F52" w:rsidRPr="00431E35" w:rsidTr="00234D88">
        <w:trPr>
          <w:trHeight w:val="255"/>
        </w:trPr>
        <w:tc>
          <w:tcPr>
            <w:tcW w:w="5940" w:type="dxa"/>
            <w:gridSpan w:val="2"/>
            <w:shd w:val="clear" w:color="auto" w:fill="auto"/>
            <w:noWrap/>
            <w:hideMark/>
          </w:tcPr>
          <w:p w:rsidR="005E7F52" w:rsidRPr="00431E35" w:rsidRDefault="005E7F52" w:rsidP="005E7F52">
            <w:pPr>
              <w:jc w:val="right"/>
              <w:rPr>
                <w:rFonts w:ascii="Arial" w:hAnsi="Arial" w:cs="Arial"/>
                <w:b/>
                <w:bCs/>
                <w:sz w:val="16"/>
                <w:szCs w:val="16"/>
              </w:rPr>
            </w:pPr>
          </w:p>
        </w:tc>
        <w:tc>
          <w:tcPr>
            <w:tcW w:w="1536" w:type="dxa"/>
            <w:shd w:val="clear" w:color="auto" w:fill="auto"/>
            <w:noWrap/>
            <w:vAlign w:val="bottom"/>
            <w:hideMark/>
          </w:tcPr>
          <w:p w:rsidR="005E7F52" w:rsidRPr="00431E35" w:rsidRDefault="005E7F52" w:rsidP="005E7F52">
            <w:pPr>
              <w:rPr>
                <w:sz w:val="20"/>
                <w:szCs w:val="20"/>
              </w:rPr>
            </w:pPr>
          </w:p>
        </w:tc>
        <w:tc>
          <w:tcPr>
            <w:tcW w:w="1386" w:type="dxa"/>
            <w:gridSpan w:val="2"/>
            <w:shd w:val="clear" w:color="auto" w:fill="auto"/>
            <w:noWrap/>
            <w:vAlign w:val="bottom"/>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GASTOS GENERALES Y ADMINISTRATIVOS</w:t>
            </w:r>
          </w:p>
        </w:tc>
        <w:tc>
          <w:tcPr>
            <w:tcW w:w="1536" w:type="dxa"/>
            <w:shd w:val="clear" w:color="auto" w:fill="auto"/>
            <w:noWrap/>
            <w:hideMark/>
          </w:tcPr>
          <w:p w:rsidR="005E7F52" w:rsidRPr="00431E35" w:rsidRDefault="005E7F52" w:rsidP="005E7F52">
            <w:pPr>
              <w:rPr>
                <w:rFonts w:ascii="Arial" w:hAnsi="Arial" w:cs="Arial"/>
                <w:b/>
                <w:bCs/>
                <w:sz w:val="16"/>
                <w:szCs w:val="16"/>
              </w:rPr>
            </w:pPr>
          </w:p>
        </w:tc>
        <w:tc>
          <w:tcPr>
            <w:tcW w:w="1386" w:type="dxa"/>
            <w:gridSpan w:val="2"/>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SERVICIOS PERSONALES (ANEXO 4-A)</w:t>
            </w:r>
          </w:p>
        </w:tc>
        <w:tc>
          <w:tcPr>
            <w:tcW w:w="1536" w:type="dxa"/>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1,004,479,743.78</w:t>
            </w:r>
          </w:p>
        </w:tc>
        <w:tc>
          <w:tcPr>
            <w:tcW w:w="1386" w:type="dxa"/>
            <w:gridSpan w:val="2"/>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SERVICIOS NO PERSONALES (ANEXO 5-A)</w:t>
            </w:r>
          </w:p>
        </w:tc>
        <w:tc>
          <w:tcPr>
            <w:tcW w:w="1536" w:type="dxa"/>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277,357,104.55</w:t>
            </w:r>
          </w:p>
        </w:tc>
        <w:tc>
          <w:tcPr>
            <w:tcW w:w="1386" w:type="dxa"/>
            <w:gridSpan w:val="2"/>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 xml:space="preserve">MATERIALES Y SUMINISTROS (ANEXO 6-A) </w:t>
            </w:r>
          </w:p>
        </w:tc>
        <w:tc>
          <w:tcPr>
            <w:tcW w:w="1536" w:type="dxa"/>
            <w:tcBorders>
              <w:bottom w:val="single" w:sz="12" w:space="0" w:color="auto"/>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28,590,683.80</w:t>
            </w:r>
          </w:p>
        </w:tc>
        <w:tc>
          <w:tcPr>
            <w:tcW w:w="1386" w:type="dxa"/>
            <w:gridSpan w:val="2"/>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GASTOS GENERALES Y ADMINISTRATIVOS</w:t>
            </w:r>
          </w:p>
        </w:tc>
        <w:tc>
          <w:tcPr>
            <w:tcW w:w="1536" w:type="dxa"/>
            <w:tcBorders>
              <w:top w:val="single" w:sz="12" w:space="0" w:color="auto"/>
            </w:tcBorders>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1,310,427,532.13</w:t>
            </w:r>
          </w:p>
        </w:tc>
        <w:tc>
          <w:tcPr>
            <w:tcW w:w="1386" w:type="dxa"/>
            <w:gridSpan w:val="2"/>
            <w:shd w:val="clear" w:color="auto" w:fill="auto"/>
            <w:noWrap/>
            <w:vAlign w:val="bottom"/>
            <w:hideMark/>
          </w:tcPr>
          <w:p w:rsidR="005E7F52" w:rsidRPr="00431E35" w:rsidRDefault="005E7F52" w:rsidP="005E7F52">
            <w:pPr>
              <w:jc w:val="right"/>
              <w:rPr>
                <w:rFonts w:ascii="Arial" w:hAnsi="Arial" w:cs="Arial"/>
                <w:b/>
                <w:bCs/>
                <w:sz w:val="16"/>
                <w:szCs w:val="16"/>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sz w:val="20"/>
                <w:szCs w:val="20"/>
              </w:rPr>
            </w:pPr>
          </w:p>
        </w:tc>
        <w:tc>
          <w:tcPr>
            <w:tcW w:w="1536" w:type="dxa"/>
            <w:shd w:val="clear" w:color="auto" w:fill="auto"/>
            <w:noWrap/>
            <w:hideMark/>
          </w:tcPr>
          <w:p w:rsidR="005E7F52" w:rsidRPr="00431E35" w:rsidRDefault="005E7F52" w:rsidP="005E7F52">
            <w:pPr>
              <w:rPr>
                <w:sz w:val="20"/>
                <w:szCs w:val="20"/>
              </w:rPr>
            </w:pPr>
          </w:p>
        </w:tc>
        <w:tc>
          <w:tcPr>
            <w:tcW w:w="1386" w:type="dxa"/>
            <w:gridSpan w:val="2"/>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OTROS GASTOS</w:t>
            </w:r>
          </w:p>
        </w:tc>
        <w:tc>
          <w:tcPr>
            <w:tcW w:w="1536" w:type="dxa"/>
            <w:shd w:val="clear" w:color="auto" w:fill="auto"/>
            <w:noWrap/>
            <w:hideMark/>
          </w:tcPr>
          <w:p w:rsidR="005E7F52" w:rsidRPr="00431E35" w:rsidRDefault="005E7F52" w:rsidP="005E7F52">
            <w:pPr>
              <w:rPr>
                <w:rFonts w:ascii="Arial" w:hAnsi="Arial" w:cs="Arial"/>
                <w:b/>
                <w:bCs/>
                <w:sz w:val="16"/>
                <w:szCs w:val="16"/>
              </w:rPr>
            </w:pPr>
          </w:p>
        </w:tc>
        <w:tc>
          <w:tcPr>
            <w:tcW w:w="1386" w:type="dxa"/>
            <w:gridSpan w:val="2"/>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DEPRECIACION Y AMORTIZACION DEL PERIODO</w:t>
            </w:r>
          </w:p>
        </w:tc>
        <w:tc>
          <w:tcPr>
            <w:tcW w:w="1536" w:type="dxa"/>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43,712,569.73</w:t>
            </w:r>
          </w:p>
        </w:tc>
        <w:tc>
          <w:tcPr>
            <w:tcW w:w="1386" w:type="dxa"/>
            <w:gridSpan w:val="2"/>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5940" w:type="dxa"/>
            <w:gridSpan w:val="2"/>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APORTES CORRIENTES</w:t>
            </w:r>
          </w:p>
        </w:tc>
        <w:tc>
          <w:tcPr>
            <w:tcW w:w="1536" w:type="dxa"/>
            <w:tcBorders>
              <w:bottom w:val="single" w:sz="12" w:space="0" w:color="auto"/>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6,995,440.67</w:t>
            </w:r>
          </w:p>
        </w:tc>
        <w:tc>
          <w:tcPr>
            <w:tcW w:w="1386" w:type="dxa"/>
            <w:gridSpan w:val="2"/>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OTROS GASTOS</w:t>
            </w:r>
          </w:p>
        </w:tc>
        <w:tc>
          <w:tcPr>
            <w:tcW w:w="1536" w:type="dxa"/>
            <w:tcBorders>
              <w:top w:val="single" w:sz="12" w:space="0" w:color="auto"/>
            </w:tcBorders>
            <w:shd w:val="clear" w:color="auto" w:fill="auto"/>
            <w:noWrap/>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50,708,010.40</w:t>
            </w:r>
          </w:p>
        </w:tc>
        <w:tc>
          <w:tcPr>
            <w:tcW w:w="1386" w:type="dxa"/>
            <w:gridSpan w:val="2"/>
            <w:shd w:val="clear" w:color="auto" w:fill="auto"/>
            <w:noWrap/>
          </w:tcPr>
          <w:p w:rsidR="005E7F52" w:rsidRPr="00431E35" w:rsidRDefault="005E7F52" w:rsidP="005E7F52">
            <w:pPr>
              <w:jc w:val="right"/>
              <w:rPr>
                <w:rFonts w:ascii="Arial" w:hAnsi="Arial" w:cs="Arial"/>
                <w:b/>
                <w:bCs/>
                <w:sz w:val="16"/>
                <w:szCs w:val="16"/>
              </w:rPr>
            </w:pPr>
          </w:p>
        </w:tc>
      </w:tr>
      <w:tr w:rsidR="005E7F52" w:rsidRPr="00431E35" w:rsidTr="00EF62F0">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GASTOS</w:t>
            </w:r>
          </w:p>
        </w:tc>
        <w:tc>
          <w:tcPr>
            <w:tcW w:w="1536" w:type="dxa"/>
            <w:shd w:val="clear" w:color="auto" w:fill="auto"/>
            <w:noWrap/>
            <w:vAlign w:val="bottom"/>
            <w:hideMark/>
          </w:tcPr>
          <w:p w:rsidR="005E7F52" w:rsidRPr="00431E35" w:rsidRDefault="005E7F52" w:rsidP="005E7F52">
            <w:pPr>
              <w:rPr>
                <w:rFonts w:ascii="Arial" w:hAnsi="Arial" w:cs="Arial"/>
                <w:b/>
                <w:bCs/>
                <w:sz w:val="16"/>
                <w:szCs w:val="16"/>
              </w:rPr>
            </w:pPr>
          </w:p>
        </w:tc>
        <w:tc>
          <w:tcPr>
            <w:tcW w:w="1386" w:type="dxa"/>
            <w:gridSpan w:val="2"/>
            <w:tcBorders>
              <w:bottom w:val="single" w:sz="12" w:space="0" w:color="auto"/>
            </w:tcBorders>
            <w:shd w:val="clear" w:color="auto" w:fill="auto"/>
            <w:noWrap/>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1,361,135,542.53</w:t>
            </w:r>
          </w:p>
        </w:tc>
      </w:tr>
      <w:tr w:rsidR="00EF62F0" w:rsidRPr="00431E35" w:rsidTr="00EF62F0">
        <w:trPr>
          <w:trHeight w:val="343"/>
        </w:trPr>
        <w:tc>
          <w:tcPr>
            <w:tcW w:w="5940" w:type="dxa"/>
            <w:gridSpan w:val="2"/>
            <w:shd w:val="clear" w:color="auto" w:fill="auto"/>
            <w:noWrap/>
            <w:hideMark/>
          </w:tcPr>
          <w:p w:rsidR="00EF62F0" w:rsidRPr="00431E35" w:rsidRDefault="00EF62F0" w:rsidP="005E7F52">
            <w:pPr>
              <w:rPr>
                <w:rFonts w:ascii="Arial" w:hAnsi="Arial" w:cs="Arial"/>
                <w:b/>
                <w:bCs/>
                <w:sz w:val="16"/>
                <w:szCs w:val="16"/>
              </w:rPr>
            </w:pPr>
            <w:r w:rsidRPr="00431E35">
              <w:rPr>
                <w:rFonts w:ascii="Arial" w:hAnsi="Arial" w:cs="Arial"/>
                <w:b/>
                <w:bCs/>
                <w:sz w:val="16"/>
                <w:szCs w:val="16"/>
              </w:rPr>
              <w:lastRenderedPageBreak/>
              <w:t>SUPERAVIT DEL PERIODO</w:t>
            </w:r>
          </w:p>
        </w:tc>
        <w:tc>
          <w:tcPr>
            <w:tcW w:w="1536" w:type="dxa"/>
            <w:shd w:val="clear" w:color="auto" w:fill="auto"/>
            <w:noWrap/>
            <w:vAlign w:val="bottom"/>
            <w:hideMark/>
          </w:tcPr>
          <w:p w:rsidR="00EF62F0" w:rsidRPr="00431E35" w:rsidRDefault="00EF62F0" w:rsidP="005E7F52">
            <w:pPr>
              <w:rPr>
                <w:rFonts w:ascii="Arial" w:hAnsi="Arial" w:cs="Arial"/>
                <w:b/>
                <w:bCs/>
                <w:sz w:val="16"/>
                <w:szCs w:val="16"/>
              </w:rPr>
            </w:pPr>
          </w:p>
        </w:tc>
        <w:tc>
          <w:tcPr>
            <w:tcW w:w="1386" w:type="dxa"/>
            <w:gridSpan w:val="2"/>
            <w:tcBorders>
              <w:top w:val="single" w:sz="12" w:space="0" w:color="auto"/>
              <w:bottom w:val="single" w:sz="12" w:space="0" w:color="auto"/>
            </w:tcBorders>
            <w:shd w:val="clear" w:color="auto" w:fill="auto"/>
            <w:noWrap/>
            <w:hideMark/>
          </w:tcPr>
          <w:p w:rsidR="00EF62F0" w:rsidRPr="00431E35" w:rsidRDefault="00EF62F0" w:rsidP="005E7F52">
            <w:pPr>
              <w:jc w:val="right"/>
              <w:rPr>
                <w:rFonts w:ascii="Arial" w:hAnsi="Arial" w:cs="Arial"/>
                <w:b/>
                <w:bCs/>
                <w:sz w:val="16"/>
                <w:szCs w:val="16"/>
              </w:rPr>
            </w:pPr>
            <w:r w:rsidRPr="00431E35">
              <w:rPr>
                <w:rFonts w:ascii="Arial" w:hAnsi="Arial" w:cs="Arial"/>
                <w:b/>
                <w:bCs/>
                <w:sz w:val="16"/>
                <w:szCs w:val="16"/>
              </w:rPr>
              <w:t>914,058,925.66</w:t>
            </w:r>
          </w:p>
        </w:tc>
      </w:tr>
      <w:tr w:rsidR="005E7F52" w:rsidRPr="00431E35" w:rsidTr="00234D88">
        <w:trPr>
          <w:trHeight w:val="300"/>
        </w:trPr>
        <w:tc>
          <w:tcPr>
            <w:tcW w:w="5940" w:type="dxa"/>
            <w:gridSpan w:val="2"/>
            <w:shd w:val="clear" w:color="auto" w:fill="auto"/>
            <w:noWrap/>
            <w:hideMark/>
          </w:tcPr>
          <w:p w:rsidR="005E7F52" w:rsidRPr="00431E35" w:rsidRDefault="005E7F52" w:rsidP="005E7F52">
            <w:pPr>
              <w:rPr>
                <w:rFonts w:ascii="Arial" w:hAnsi="Arial" w:cs="Arial"/>
                <w:b/>
                <w:bCs/>
                <w:sz w:val="16"/>
                <w:szCs w:val="16"/>
              </w:rPr>
            </w:pPr>
          </w:p>
        </w:tc>
        <w:tc>
          <w:tcPr>
            <w:tcW w:w="1536" w:type="dxa"/>
            <w:shd w:val="clear" w:color="auto" w:fill="auto"/>
            <w:noWrap/>
            <w:hideMark/>
          </w:tcPr>
          <w:p w:rsidR="005E7F52" w:rsidRPr="00431E35" w:rsidRDefault="005E7F52" w:rsidP="005E7F52">
            <w:pPr>
              <w:rPr>
                <w:rFonts w:ascii="Arial" w:hAnsi="Arial" w:cs="Arial"/>
                <w:b/>
                <w:bCs/>
                <w:sz w:val="16"/>
                <w:szCs w:val="16"/>
              </w:rPr>
            </w:pPr>
          </w:p>
        </w:tc>
        <w:tc>
          <w:tcPr>
            <w:tcW w:w="1386" w:type="dxa"/>
            <w:gridSpan w:val="2"/>
            <w:shd w:val="clear" w:color="auto" w:fill="auto"/>
            <w:noWrap/>
            <w:vAlign w:val="bottom"/>
            <w:hideMark/>
          </w:tcPr>
          <w:p w:rsidR="005E7F52" w:rsidRPr="00431E35" w:rsidRDefault="005E7F52" w:rsidP="005E7F52">
            <w:pPr>
              <w:rPr>
                <w:sz w:val="20"/>
                <w:szCs w:val="20"/>
              </w:rPr>
            </w:pPr>
          </w:p>
        </w:tc>
      </w:tr>
      <w:tr w:rsidR="005E7F52" w:rsidRPr="00431E35" w:rsidTr="00234D88">
        <w:trPr>
          <w:gridAfter w:val="4"/>
          <w:wAfter w:w="3062" w:type="dxa"/>
          <w:trHeight w:val="300"/>
        </w:trPr>
        <w:tc>
          <w:tcPr>
            <w:tcW w:w="5800" w:type="dxa"/>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PROYECTOS FDT</w:t>
            </w:r>
          </w:p>
        </w:tc>
      </w:tr>
      <w:tr w:rsidR="005E7F52" w:rsidRPr="00431E35" w:rsidTr="00234D88">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REDES WI-FI (PB-2019-2020)</w:t>
            </w:r>
          </w:p>
        </w:tc>
        <w:tc>
          <w:tcPr>
            <w:tcW w:w="2200" w:type="dxa"/>
            <w:gridSpan w:val="3"/>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2,416,433.96  </w:t>
            </w:r>
          </w:p>
        </w:tc>
      </w:tr>
      <w:tr w:rsidR="005E7F52" w:rsidRPr="00431E35" w:rsidTr="00234D88">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MUJERES TIC'S-ITLA(PLAN BIENAL 2017/18)</w:t>
            </w:r>
          </w:p>
        </w:tc>
        <w:tc>
          <w:tcPr>
            <w:tcW w:w="0" w:type="auto"/>
            <w:gridSpan w:val="3"/>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983,580.00  </w:t>
            </w:r>
          </w:p>
        </w:tc>
      </w:tr>
      <w:tr w:rsidR="005E7F52" w:rsidRPr="00431E35" w:rsidTr="00234D88">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OBSERVATORIO</w:t>
            </w:r>
          </w:p>
        </w:tc>
        <w:tc>
          <w:tcPr>
            <w:tcW w:w="0" w:type="auto"/>
            <w:gridSpan w:val="3"/>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6,000,000.00  </w:t>
            </w:r>
          </w:p>
        </w:tc>
      </w:tr>
      <w:tr w:rsidR="005E7F52" w:rsidRPr="00431E35" w:rsidTr="00234D88">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MUJERES TIC'S-LOYOLA SAN CRISTOBAL (PLAN BIENAL )</w:t>
            </w:r>
          </w:p>
        </w:tc>
        <w:tc>
          <w:tcPr>
            <w:tcW w:w="0" w:type="auto"/>
            <w:gridSpan w:val="3"/>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688,100.00  </w:t>
            </w:r>
          </w:p>
        </w:tc>
      </w:tr>
      <w:tr w:rsidR="005E7F52" w:rsidRPr="00431E35" w:rsidTr="00234D88">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PUNTO GOB-SANTIAGO</w:t>
            </w:r>
          </w:p>
        </w:tc>
        <w:tc>
          <w:tcPr>
            <w:tcW w:w="0" w:type="auto"/>
            <w:gridSpan w:val="3"/>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4,831,987.66  </w:t>
            </w:r>
          </w:p>
        </w:tc>
      </w:tr>
      <w:tr w:rsidR="005E7F52" w:rsidRPr="00431E35" w:rsidTr="00234D88">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CONECTAR A LOS NO CONECTADOS</w:t>
            </w:r>
          </w:p>
        </w:tc>
        <w:tc>
          <w:tcPr>
            <w:tcW w:w="0" w:type="auto"/>
            <w:gridSpan w:val="3"/>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126,050.00  </w:t>
            </w:r>
          </w:p>
        </w:tc>
      </w:tr>
      <w:tr w:rsidR="005E7F52" w:rsidRPr="00431E35" w:rsidTr="00EF62F0">
        <w:trPr>
          <w:gridAfter w:val="1"/>
          <w:wAfter w:w="862" w:type="dxa"/>
          <w:trHeight w:val="300"/>
        </w:trPr>
        <w:tc>
          <w:tcPr>
            <w:tcW w:w="5800" w:type="dxa"/>
            <w:shd w:val="clear" w:color="000000" w:fill="FFFFFF"/>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PLAN NACIONAL DE BANDA ANCHA (PB 2021-2022)</w:t>
            </w:r>
          </w:p>
        </w:tc>
        <w:tc>
          <w:tcPr>
            <w:tcW w:w="0" w:type="auto"/>
            <w:gridSpan w:val="3"/>
            <w:tcBorders>
              <w:bottom w:val="single" w:sz="12" w:space="0" w:color="auto"/>
            </w:tcBorders>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10,000,000.00  </w:t>
            </w:r>
          </w:p>
        </w:tc>
      </w:tr>
      <w:tr w:rsidR="005E7F52" w:rsidRPr="00431E35" w:rsidTr="00832D6D">
        <w:trPr>
          <w:gridAfter w:val="1"/>
          <w:wAfter w:w="862" w:type="dxa"/>
          <w:trHeight w:val="300"/>
        </w:trPr>
        <w:tc>
          <w:tcPr>
            <w:tcW w:w="5800" w:type="dxa"/>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SERVICIO DE CONECTIVIDAD A INTERNET</w:t>
            </w:r>
          </w:p>
        </w:tc>
        <w:tc>
          <w:tcPr>
            <w:tcW w:w="0" w:type="auto"/>
            <w:gridSpan w:val="3"/>
            <w:tcBorders>
              <w:top w:val="single" w:sz="12" w:space="0" w:color="auto"/>
              <w:bottom w:val="single" w:sz="12" w:space="0" w:color="auto"/>
            </w:tcBorders>
          </w:tcPr>
          <w:p w:rsidR="005E7F52" w:rsidRPr="00431E35" w:rsidRDefault="005E7F52" w:rsidP="005E7F52">
            <w:pPr>
              <w:jc w:val="right"/>
              <w:rPr>
                <w:rFonts w:ascii="Arial" w:hAnsi="Arial" w:cs="Arial"/>
                <w:sz w:val="16"/>
                <w:szCs w:val="16"/>
              </w:rPr>
            </w:pPr>
            <w:r w:rsidRPr="00431E35">
              <w:rPr>
                <w:rFonts w:ascii="Arial" w:hAnsi="Arial" w:cs="Arial"/>
                <w:sz w:val="16"/>
                <w:szCs w:val="16"/>
              </w:rPr>
              <w:t xml:space="preserve">2,565,283.72  </w:t>
            </w:r>
          </w:p>
        </w:tc>
      </w:tr>
      <w:tr w:rsidR="005E7F52" w:rsidRPr="00431E35" w:rsidTr="00832D6D">
        <w:trPr>
          <w:gridAfter w:val="1"/>
          <w:wAfter w:w="862" w:type="dxa"/>
          <w:trHeight w:val="315"/>
        </w:trPr>
        <w:tc>
          <w:tcPr>
            <w:tcW w:w="5800" w:type="dxa"/>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PROYECTOS INDOTEL</w:t>
            </w:r>
          </w:p>
        </w:tc>
        <w:tc>
          <w:tcPr>
            <w:tcW w:w="0" w:type="auto"/>
            <w:gridSpan w:val="3"/>
            <w:tcBorders>
              <w:top w:val="single" w:sz="12" w:space="0" w:color="auto"/>
              <w:bottom w:val="single" w:sz="12" w:space="0" w:color="auto"/>
            </w:tcBorders>
            <w:vAlign w:val="bottom"/>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 xml:space="preserve">27,611,435.34  </w:t>
            </w:r>
          </w:p>
        </w:tc>
      </w:tr>
    </w:tbl>
    <w:p w:rsidR="005E7F52" w:rsidRPr="00431E35" w:rsidRDefault="005E7F52" w:rsidP="005E7F52">
      <w:pPr>
        <w:spacing w:before="240" w:line="360" w:lineRule="auto"/>
      </w:pPr>
    </w:p>
    <w:p w:rsidR="005E7F52" w:rsidRPr="00431E35" w:rsidRDefault="005E7F52"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p w:rsidR="00431E35" w:rsidRPr="00431E35" w:rsidRDefault="00431E35" w:rsidP="005E7F52">
      <w:pPr>
        <w:spacing w:before="240" w:line="360" w:lineRule="auto"/>
      </w:pPr>
    </w:p>
    <w:tbl>
      <w:tblPr>
        <w:tblW w:w="8933" w:type="dxa"/>
        <w:tblCellMar>
          <w:left w:w="70" w:type="dxa"/>
          <w:right w:w="70" w:type="dxa"/>
        </w:tblCellMar>
        <w:tblLook w:val="04A0" w:firstRow="1" w:lastRow="0" w:firstColumn="1" w:lastColumn="0" w:noHBand="0" w:noVBand="1"/>
      </w:tblPr>
      <w:tblGrid>
        <w:gridCol w:w="4880"/>
        <w:gridCol w:w="2484"/>
        <w:gridCol w:w="1569"/>
      </w:tblGrid>
      <w:tr w:rsidR="005E7F52" w:rsidRPr="00431E35" w:rsidTr="00234D88">
        <w:trPr>
          <w:trHeight w:val="300"/>
        </w:trPr>
        <w:tc>
          <w:tcPr>
            <w:tcW w:w="4880" w:type="dxa"/>
            <w:tcBorders>
              <w:top w:val="nil"/>
              <w:left w:val="nil"/>
              <w:bottom w:val="nil"/>
              <w:right w:val="nil"/>
            </w:tcBorders>
            <w:shd w:val="clear" w:color="auto" w:fill="auto"/>
            <w:noWrap/>
            <w:vAlign w:val="bottom"/>
            <w:hideMark/>
          </w:tcPr>
          <w:p w:rsidR="005E7F52" w:rsidRPr="00431E35" w:rsidRDefault="005E7F52" w:rsidP="005E7F52">
            <w:pPr>
              <w:rPr>
                <w:rFonts w:ascii="Calibri" w:hAnsi="Calibri" w:cs="Calibri"/>
              </w:rPr>
            </w:pPr>
          </w:p>
          <w:tbl>
            <w:tblPr>
              <w:tblW w:w="0" w:type="auto"/>
              <w:tblCellSpacing w:w="0" w:type="dxa"/>
              <w:tblCellMar>
                <w:left w:w="0" w:type="dxa"/>
                <w:right w:w="0" w:type="dxa"/>
              </w:tblCellMar>
              <w:tblLook w:val="04A0" w:firstRow="1" w:lastRow="0" w:firstColumn="1" w:lastColumn="0" w:noHBand="0" w:noVBand="1"/>
            </w:tblPr>
            <w:tblGrid>
              <w:gridCol w:w="4740"/>
            </w:tblGrid>
            <w:tr w:rsidR="005E7F52" w:rsidRPr="00431E35" w:rsidTr="005E7F52">
              <w:trPr>
                <w:trHeight w:val="300"/>
                <w:tblCellSpacing w:w="0" w:type="dxa"/>
              </w:trPr>
              <w:tc>
                <w:tcPr>
                  <w:tcW w:w="4740" w:type="dxa"/>
                  <w:tcBorders>
                    <w:top w:val="nil"/>
                    <w:left w:val="nil"/>
                    <w:bottom w:val="nil"/>
                    <w:right w:val="nil"/>
                  </w:tcBorders>
                  <w:shd w:val="clear" w:color="auto" w:fill="auto"/>
                  <w:noWrap/>
                  <w:vAlign w:val="bottom"/>
                  <w:hideMark/>
                </w:tcPr>
                <w:p w:rsidR="005E7F52" w:rsidRPr="00431E35" w:rsidRDefault="00234D88" w:rsidP="005E7F52">
                  <w:pPr>
                    <w:rPr>
                      <w:rFonts w:ascii="Calibri" w:hAnsi="Calibri" w:cs="Calibri"/>
                    </w:rPr>
                  </w:pPr>
                  <w:r w:rsidRPr="00431E35">
                    <w:rPr>
                      <w:rFonts w:ascii="Calibri" w:hAnsi="Calibri" w:cs="Calibri"/>
                      <w:noProof/>
                      <w:lang w:val="en-US" w:eastAsia="en-US"/>
                    </w:rPr>
                    <w:drawing>
                      <wp:anchor distT="0" distB="0" distL="114300" distR="114300" simplePos="0" relativeHeight="251751424" behindDoc="0" locked="0" layoutInCell="1" allowOverlap="1" wp14:anchorId="56AA96F2" wp14:editId="696D9F46">
                        <wp:simplePos x="0" y="0"/>
                        <wp:positionH relativeFrom="column">
                          <wp:posOffset>199390</wp:posOffset>
                        </wp:positionH>
                        <wp:positionV relativeFrom="paragraph">
                          <wp:posOffset>-216535</wp:posOffset>
                        </wp:positionV>
                        <wp:extent cx="1466850" cy="609600"/>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2" name="Imagen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6850" cy="6096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5E7F52" w:rsidRPr="00431E35" w:rsidRDefault="005E7F52" w:rsidP="005E7F52">
            <w:pPr>
              <w:rPr>
                <w:rFonts w:ascii="Calibri" w:hAnsi="Calibri" w:cs="Calibri"/>
              </w:rPr>
            </w:pPr>
          </w:p>
        </w:tc>
        <w:tc>
          <w:tcPr>
            <w:tcW w:w="2484"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234D88">
        <w:trPr>
          <w:trHeight w:val="300"/>
        </w:trPr>
        <w:tc>
          <w:tcPr>
            <w:tcW w:w="488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2484"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5429D6">
        <w:trPr>
          <w:trHeight w:val="300"/>
        </w:trPr>
        <w:tc>
          <w:tcPr>
            <w:tcW w:w="4880" w:type="dxa"/>
            <w:tcBorders>
              <w:top w:val="nil"/>
              <w:left w:val="nil"/>
              <w:bottom w:val="nil"/>
              <w:right w:val="nil"/>
            </w:tcBorders>
            <w:shd w:val="clear" w:color="auto" w:fill="auto"/>
            <w:noWrap/>
            <w:vAlign w:val="center"/>
            <w:hideMark/>
          </w:tcPr>
          <w:p w:rsidR="005429D6" w:rsidRPr="00431E35" w:rsidRDefault="005429D6" w:rsidP="005429D6">
            <w:pPr>
              <w:ind w:left="2340"/>
              <w:jc w:val="center"/>
              <w:rPr>
                <w:b/>
                <w:bCs/>
                <w:sz w:val="20"/>
                <w:szCs w:val="20"/>
              </w:rPr>
            </w:pPr>
            <w:r w:rsidRPr="00431E35">
              <w:rPr>
                <w:b/>
                <w:bCs/>
                <w:sz w:val="20"/>
                <w:szCs w:val="20"/>
              </w:rPr>
              <w:t>BALANCE</w:t>
            </w:r>
          </w:p>
          <w:p w:rsidR="005429D6" w:rsidRPr="00431E35" w:rsidRDefault="005429D6" w:rsidP="005429D6">
            <w:pPr>
              <w:ind w:left="2340"/>
              <w:jc w:val="center"/>
              <w:rPr>
                <w:b/>
                <w:bCs/>
                <w:sz w:val="20"/>
                <w:szCs w:val="20"/>
              </w:rPr>
            </w:pPr>
            <w:r w:rsidRPr="00431E35">
              <w:rPr>
                <w:b/>
                <w:bCs/>
                <w:sz w:val="20"/>
                <w:szCs w:val="20"/>
              </w:rPr>
              <w:t>GENERAL</w:t>
            </w:r>
          </w:p>
          <w:p w:rsidR="005429D6" w:rsidRPr="00431E35" w:rsidRDefault="005429D6" w:rsidP="005429D6">
            <w:pPr>
              <w:ind w:left="2340"/>
              <w:jc w:val="center"/>
              <w:rPr>
                <w:b/>
                <w:bCs/>
                <w:sz w:val="20"/>
                <w:szCs w:val="20"/>
              </w:rPr>
            </w:pPr>
            <w:r w:rsidRPr="00431E35">
              <w:rPr>
                <w:b/>
                <w:bCs/>
                <w:sz w:val="20"/>
                <w:szCs w:val="20"/>
              </w:rPr>
              <w:t>Al  30 NOVIEMBRE 2021</w:t>
            </w:r>
          </w:p>
          <w:p w:rsidR="005E7F52" w:rsidRPr="00431E35" w:rsidRDefault="005429D6" w:rsidP="005429D6">
            <w:pPr>
              <w:ind w:left="2340"/>
              <w:jc w:val="center"/>
              <w:rPr>
                <w:sz w:val="20"/>
                <w:szCs w:val="20"/>
              </w:rPr>
            </w:pPr>
            <w:r w:rsidRPr="00431E35">
              <w:rPr>
                <w:b/>
                <w:bCs/>
                <w:sz w:val="20"/>
                <w:szCs w:val="20"/>
              </w:rPr>
              <w:t>Valores en RD$</w:t>
            </w:r>
          </w:p>
        </w:tc>
        <w:tc>
          <w:tcPr>
            <w:tcW w:w="2484" w:type="dxa"/>
            <w:tcBorders>
              <w:top w:val="nil"/>
              <w:left w:val="nil"/>
              <w:bottom w:val="nil"/>
              <w:right w:val="nil"/>
            </w:tcBorders>
            <w:shd w:val="clear" w:color="auto" w:fill="auto"/>
            <w:noWrap/>
          </w:tcPr>
          <w:p w:rsidR="005E7F52" w:rsidRPr="00431E35" w:rsidRDefault="005E7F52" w:rsidP="005429D6">
            <w:pPr>
              <w:jc w:val="center"/>
              <w:rPr>
                <w:b/>
                <w:bCs/>
                <w:sz w:val="20"/>
                <w:szCs w:val="20"/>
              </w:rPr>
            </w:pPr>
          </w:p>
        </w:tc>
        <w:tc>
          <w:tcPr>
            <w:tcW w:w="1569" w:type="dxa"/>
            <w:tcBorders>
              <w:top w:val="nil"/>
              <w:left w:val="nil"/>
              <w:bottom w:val="nil"/>
              <w:right w:val="nil"/>
            </w:tcBorders>
            <w:shd w:val="clear" w:color="auto" w:fill="auto"/>
            <w:noWrap/>
            <w:hideMark/>
          </w:tcPr>
          <w:p w:rsidR="005E7F52" w:rsidRPr="00431E35" w:rsidRDefault="005E7F52" w:rsidP="005E7F52">
            <w:pPr>
              <w:jc w:val="center"/>
              <w:rPr>
                <w:rFonts w:ascii="Arial" w:hAnsi="Arial" w:cs="Arial"/>
                <w:b/>
                <w:bCs/>
              </w:rPr>
            </w:pPr>
          </w:p>
        </w:tc>
      </w:tr>
      <w:tr w:rsidR="005E7F52" w:rsidRPr="00431E35" w:rsidTr="005429D6">
        <w:trPr>
          <w:trHeight w:val="300"/>
        </w:trPr>
        <w:tc>
          <w:tcPr>
            <w:tcW w:w="488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2484" w:type="dxa"/>
            <w:tcBorders>
              <w:top w:val="nil"/>
              <w:left w:val="nil"/>
              <w:bottom w:val="nil"/>
              <w:right w:val="nil"/>
            </w:tcBorders>
            <w:shd w:val="clear" w:color="auto" w:fill="auto"/>
            <w:noWrap/>
          </w:tcPr>
          <w:p w:rsidR="005E7F52" w:rsidRPr="00431E35" w:rsidRDefault="005E7F52" w:rsidP="005429D6">
            <w:pPr>
              <w:jc w:val="center"/>
              <w:rPr>
                <w:b/>
                <w:bCs/>
                <w:sz w:val="20"/>
                <w:szCs w:val="20"/>
              </w:rPr>
            </w:pPr>
          </w:p>
        </w:tc>
        <w:tc>
          <w:tcPr>
            <w:tcW w:w="1569" w:type="dxa"/>
            <w:tcBorders>
              <w:top w:val="nil"/>
              <w:left w:val="nil"/>
              <w:bottom w:val="nil"/>
              <w:right w:val="nil"/>
            </w:tcBorders>
            <w:shd w:val="clear" w:color="auto" w:fill="auto"/>
            <w:noWrap/>
            <w:hideMark/>
          </w:tcPr>
          <w:p w:rsidR="005E7F52" w:rsidRPr="00431E35" w:rsidRDefault="005E7F52" w:rsidP="005E7F52">
            <w:pPr>
              <w:jc w:val="center"/>
              <w:rPr>
                <w:rFonts w:ascii="Arial" w:hAnsi="Arial" w:cs="Arial"/>
                <w:b/>
                <w:bCs/>
              </w:rPr>
            </w:pPr>
          </w:p>
        </w:tc>
      </w:tr>
      <w:tr w:rsidR="005E7F52" w:rsidRPr="00431E35" w:rsidTr="005429D6">
        <w:trPr>
          <w:trHeight w:val="300"/>
        </w:trPr>
        <w:tc>
          <w:tcPr>
            <w:tcW w:w="488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2484" w:type="dxa"/>
            <w:tcBorders>
              <w:top w:val="nil"/>
              <w:left w:val="nil"/>
              <w:bottom w:val="nil"/>
              <w:right w:val="nil"/>
            </w:tcBorders>
            <w:shd w:val="clear" w:color="auto" w:fill="auto"/>
            <w:noWrap/>
          </w:tcPr>
          <w:p w:rsidR="005E7F52" w:rsidRPr="00431E35" w:rsidRDefault="005E7F52" w:rsidP="005E7F52">
            <w:pPr>
              <w:jc w:val="center"/>
              <w:rPr>
                <w:b/>
                <w:bCs/>
                <w:sz w:val="20"/>
                <w:szCs w:val="20"/>
              </w:rPr>
            </w:pPr>
          </w:p>
        </w:tc>
        <w:tc>
          <w:tcPr>
            <w:tcW w:w="1569" w:type="dxa"/>
            <w:tcBorders>
              <w:top w:val="nil"/>
              <w:left w:val="nil"/>
              <w:bottom w:val="nil"/>
              <w:right w:val="nil"/>
            </w:tcBorders>
            <w:shd w:val="clear" w:color="auto" w:fill="auto"/>
            <w:noWrap/>
            <w:hideMark/>
          </w:tcPr>
          <w:p w:rsidR="005E7F52" w:rsidRPr="00431E35" w:rsidRDefault="005E7F52" w:rsidP="005E7F52">
            <w:pPr>
              <w:jc w:val="center"/>
              <w:rPr>
                <w:rFonts w:ascii="Arial" w:hAnsi="Arial" w:cs="Arial"/>
                <w:b/>
                <w:bCs/>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ACTIVOS</w:t>
            </w:r>
          </w:p>
        </w:tc>
        <w:tc>
          <w:tcPr>
            <w:tcW w:w="2484"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569"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EFECTIVO EN CAJA Y BANCOS (ANEXO 1)</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1,081,608,402.82</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INVERSION CERTIFICADOS FINANCIEROS (ANEXO 2)</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218,545,498.13</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PRESTAMOS FUNCIONARIOS Y EMPLEADOS (ANEXO 3)</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1,148,289.76</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OTRAS CUENTAS POR COBRAR (ANEXO 4)</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521,217,649.21</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 xml:space="preserve">INVENTARIO MATERIALES DE OFICINA </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30,263,576.66</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GASTOS PAGADOS POR ANTICIPADO (ANEXO 6)</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21,662,538.89</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CUENTA POR COBRAR A INSTITUCIONES (ANEXO 7)</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616,226,953.22</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PROVISION CUENTAS POR COBRAR</w:t>
            </w:r>
          </w:p>
        </w:tc>
        <w:tc>
          <w:tcPr>
            <w:tcW w:w="2484"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(168,293,866.56)</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w:t>
            </w:r>
          </w:p>
        </w:tc>
        <w:tc>
          <w:tcPr>
            <w:tcW w:w="2484" w:type="dxa"/>
            <w:tcBorders>
              <w:top w:val="single" w:sz="12" w:space="0" w:color="auto"/>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2,322,379,042.13</w:t>
            </w: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b/>
                <w:bCs/>
                <w:sz w:val="16"/>
                <w:szCs w:val="16"/>
              </w:rPr>
            </w:pPr>
          </w:p>
        </w:tc>
        <w:tc>
          <w:tcPr>
            <w:tcW w:w="2484"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569"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FIJOS</w:t>
            </w:r>
          </w:p>
        </w:tc>
        <w:tc>
          <w:tcPr>
            <w:tcW w:w="2484" w:type="dxa"/>
            <w:tcBorders>
              <w:top w:val="nil"/>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569"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TERRENOS</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114,565,170.00</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EDIFICACIONES</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525,886,628.83</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MOBILIARIO Y EQUIPOS DE OFICINA (ANEXO 8)</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228,296,144.70</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VEHICULOS</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99,392,737.05</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EQUIPO DE MONITOREO</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164,993,790.71</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ACTIVOS CENTRO INDOTEL HUB</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4,866,057.83</w:t>
            </w: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ACTIVOS FIJOS BANCO MUNDIAL</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54,688,365.45</w:t>
            </w: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OTROS ACTIVOS FIJOS (ANEXO 9)</w:t>
            </w:r>
          </w:p>
        </w:tc>
        <w:tc>
          <w:tcPr>
            <w:tcW w:w="2484"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29,900,146.89</w:t>
            </w: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ACTIVOS FIJOS</w:t>
            </w:r>
          </w:p>
        </w:tc>
        <w:tc>
          <w:tcPr>
            <w:tcW w:w="2484" w:type="dxa"/>
            <w:tcBorders>
              <w:top w:val="single" w:sz="12" w:space="0" w:color="auto"/>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1,222,589,041.46</w:t>
            </w: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2484"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DEPRECIACION ACUMULADA (ANEXO 10)</w:t>
            </w:r>
          </w:p>
        </w:tc>
        <w:tc>
          <w:tcPr>
            <w:tcW w:w="2484"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(801,397,353.90)</w:t>
            </w: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ACTIVOS FIJOS NETO</w:t>
            </w:r>
          </w:p>
        </w:tc>
        <w:tc>
          <w:tcPr>
            <w:tcW w:w="2484" w:type="dxa"/>
            <w:tcBorders>
              <w:top w:val="single" w:sz="12" w:space="0" w:color="auto"/>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 xml:space="preserve">         421,191,687.56 </w:t>
            </w:r>
          </w:p>
        </w:tc>
      </w:tr>
      <w:tr w:rsidR="005E7F52" w:rsidRPr="00431E35" w:rsidTr="00234D88">
        <w:trPr>
          <w:trHeight w:val="300"/>
        </w:trPr>
        <w:tc>
          <w:tcPr>
            <w:tcW w:w="4880" w:type="dxa"/>
            <w:tcBorders>
              <w:top w:val="nil"/>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2484"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DIFERIDOS</w:t>
            </w:r>
          </w:p>
        </w:tc>
        <w:tc>
          <w:tcPr>
            <w:tcW w:w="2484"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569"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MEJORAS EN PROPIEDADES ARRENDADAS</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928,590.68</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234D88">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PROGRAMAS DE COMPUTADORAS (ANEXO 11)</w:t>
            </w:r>
          </w:p>
        </w:tc>
        <w:tc>
          <w:tcPr>
            <w:tcW w:w="2484"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156,498,813.49</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MENOS:  AMORTIZACIONES (ANEXO 12)</w:t>
            </w:r>
          </w:p>
        </w:tc>
        <w:tc>
          <w:tcPr>
            <w:tcW w:w="2484"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(150,261,261.00)</w:t>
            </w:r>
          </w:p>
        </w:tc>
        <w:tc>
          <w:tcPr>
            <w:tcW w:w="1569"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8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ACTIVOS DIFERIDOS</w:t>
            </w:r>
          </w:p>
        </w:tc>
        <w:tc>
          <w:tcPr>
            <w:tcW w:w="2484" w:type="dxa"/>
            <w:tcBorders>
              <w:top w:val="single" w:sz="12" w:space="0" w:color="auto"/>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569"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7,166,143.17</w:t>
            </w:r>
          </w:p>
        </w:tc>
      </w:tr>
    </w:tbl>
    <w:p w:rsidR="005E7F52" w:rsidRPr="00431E35" w:rsidRDefault="005E7F52" w:rsidP="005E7F52"/>
    <w:tbl>
      <w:tblPr>
        <w:tblW w:w="7958" w:type="dxa"/>
        <w:tblCellMar>
          <w:left w:w="70" w:type="dxa"/>
          <w:right w:w="70" w:type="dxa"/>
        </w:tblCellMar>
        <w:tblLook w:val="04A0" w:firstRow="1" w:lastRow="0" w:firstColumn="1" w:lastColumn="0" w:noHBand="0" w:noVBand="1"/>
      </w:tblPr>
      <w:tblGrid>
        <w:gridCol w:w="4858"/>
        <w:gridCol w:w="1440"/>
        <w:gridCol w:w="1660"/>
      </w:tblGrid>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OTROS ACTIVOS</w:t>
            </w:r>
          </w:p>
        </w:tc>
        <w:tc>
          <w:tcPr>
            <w:tcW w:w="144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660"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DEPOSITOS Y FIANZAS (ANEXO 13)</w:t>
            </w:r>
          </w:p>
        </w:tc>
        <w:tc>
          <w:tcPr>
            <w:tcW w:w="1440" w:type="dxa"/>
            <w:tcBorders>
              <w:top w:val="nil"/>
              <w:left w:val="nil"/>
              <w:bottom w:val="nil"/>
              <w:right w:val="nil"/>
            </w:tcBorders>
            <w:shd w:val="clear" w:color="auto" w:fill="auto"/>
            <w:noWrap/>
            <w:vAlign w:val="bottom"/>
            <w:hideMark/>
          </w:tcPr>
          <w:p w:rsidR="005E7F52" w:rsidRPr="00431E35" w:rsidRDefault="005E7F52" w:rsidP="005E7F52">
            <w:pPr>
              <w:rPr>
                <w:rFonts w:ascii="Arial" w:hAnsi="Arial" w:cs="Arial"/>
                <w:sz w:val="16"/>
                <w:szCs w:val="16"/>
              </w:rPr>
            </w:pPr>
          </w:p>
        </w:tc>
        <w:tc>
          <w:tcPr>
            <w:tcW w:w="1660"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4,665,200.00</w:t>
            </w:r>
          </w:p>
        </w:tc>
      </w:tr>
      <w:tr w:rsidR="005E7F52" w:rsidRPr="00431E35" w:rsidTr="00EF62F0">
        <w:trPr>
          <w:trHeight w:val="315"/>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DE ACTIVOS</w:t>
            </w:r>
          </w:p>
        </w:tc>
        <w:tc>
          <w:tcPr>
            <w:tcW w:w="144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660" w:type="dxa"/>
            <w:tcBorders>
              <w:top w:val="single" w:sz="12" w:space="0" w:color="auto"/>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2,755,402,072.86</w:t>
            </w:r>
          </w:p>
        </w:tc>
      </w:tr>
      <w:tr w:rsidR="005E7F52" w:rsidRPr="00431E35" w:rsidTr="00EF62F0">
        <w:trPr>
          <w:trHeight w:val="315"/>
        </w:trPr>
        <w:tc>
          <w:tcPr>
            <w:tcW w:w="4858"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b/>
                <w:bCs/>
                <w:sz w:val="16"/>
                <w:szCs w:val="16"/>
              </w:rPr>
            </w:pPr>
          </w:p>
        </w:tc>
        <w:tc>
          <w:tcPr>
            <w:tcW w:w="1440"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1660" w:type="dxa"/>
            <w:tcBorders>
              <w:top w:val="single" w:sz="12" w:space="0" w:color="auto"/>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5E7F52">
        <w:trPr>
          <w:trHeight w:val="300"/>
        </w:trPr>
        <w:tc>
          <w:tcPr>
            <w:tcW w:w="4858" w:type="dxa"/>
            <w:tcBorders>
              <w:top w:val="nil"/>
              <w:left w:val="nil"/>
              <w:bottom w:val="nil"/>
              <w:right w:val="nil"/>
            </w:tcBorders>
            <w:shd w:val="clear" w:color="auto" w:fill="auto"/>
            <w:noWrap/>
            <w:vAlign w:val="bottom"/>
            <w:hideMark/>
          </w:tcPr>
          <w:p w:rsidR="00C75A23" w:rsidRPr="00431E35" w:rsidRDefault="00C75A23" w:rsidP="005E7F52">
            <w:pPr>
              <w:rPr>
                <w:sz w:val="20"/>
                <w:szCs w:val="20"/>
              </w:rPr>
            </w:pPr>
          </w:p>
          <w:p w:rsidR="00C75A23" w:rsidRPr="00431E35" w:rsidRDefault="00C75A23" w:rsidP="005E7F52">
            <w:pPr>
              <w:rPr>
                <w:sz w:val="20"/>
                <w:szCs w:val="20"/>
              </w:rPr>
            </w:pPr>
          </w:p>
        </w:tc>
        <w:tc>
          <w:tcPr>
            <w:tcW w:w="144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66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PASIVOS</w:t>
            </w:r>
          </w:p>
        </w:tc>
        <w:tc>
          <w:tcPr>
            <w:tcW w:w="1440" w:type="dxa"/>
            <w:tcBorders>
              <w:top w:val="nil"/>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66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5E7F52">
        <w:trPr>
          <w:trHeight w:val="300"/>
        </w:trPr>
        <w:tc>
          <w:tcPr>
            <w:tcW w:w="4858" w:type="dxa"/>
            <w:tcBorders>
              <w:top w:val="nil"/>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PASIVOS CORRIENTES</w:t>
            </w:r>
          </w:p>
        </w:tc>
        <w:tc>
          <w:tcPr>
            <w:tcW w:w="1440" w:type="dxa"/>
            <w:tcBorders>
              <w:top w:val="nil"/>
              <w:left w:val="nil"/>
              <w:bottom w:val="nil"/>
              <w:right w:val="nil"/>
            </w:tcBorders>
            <w:shd w:val="clear" w:color="000000" w:fill="FFFFFF"/>
            <w:noWrap/>
            <w:hideMark/>
          </w:tcPr>
          <w:p w:rsidR="005E7F52" w:rsidRPr="00431E35" w:rsidRDefault="005E7F52" w:rsidP="005E7F52">
            <w:pPr>
              <w:rPr>
                <w:rFonts w:ascii="Arial" w:hAnsi="Arial" w:cs="Arial"/>
                <w:sz w:val="16"/>
                <w:szCs w:val="16"/>
              </w:rPr>
            </w:pPr>
            <w:r w:rsidRPr="00431E35">
              <w:rPr>
                <w:rFonts w:ascii="Arial" w:hAnsi="Arial" w:cs="Arial"/>
                <w:sz w:val="16"/>
                <w:szCs w:val="16"/>
              </w:rPr>
              <w:t> </w:t>
            </w:r>
          </w:p>
        </w:tc>
        <w:tc>
          <w:tcPr>
            <w:tcW w:w="1660" w:type="dxa"/>
            <w:tcBorders>
              <w:top w:val="nil"/>
              <w:left w:val="nil"/>
              <w:bottom w:val="nil"/>
              <w:right w:val="nil"/>
            </w:tcBorders>
            <w:shd w:val="clear" w:color="000000" w:fill="FFFFFF"/>
            <w:noWrap/>
            <w:hideMark/>
          </w:tcPr>
          <w:p w:rsidR="005E7F52" w:rsidRPr="00431E35" w:rsidRDefault="005E7F52" w:rsidP="005E7F52">
            <w:pPr>
              <w:rPr>
                <w:rFonts w:ascii="Arial" w:hAnsi="Arial" w:cs="Arial"/>
                <w:sz w:val="16"/>
                <w:szCs w:val="16"/>
              </w:rPr>
            </w:pPr>
            <w:r w:rsidRPr="00431E35">
              <w:rPr>
                <w:rFonts w:ascii="Arial" w:hAnsi="Arial" w:cs="Arial"/>
                <w:sz w:val="16"/>
                <w:szCs w:val="16"/>
              </w:rPr>
              <w:t> </w:t>
            </w: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CUENTAS POR PAGAR PROV. Y ACUMULACIONES (ANEXO 14)</w:t>
            </w:r>
          </w:p>
        </w:tc>
        <w:tc>
          <w:tcPr>
            <w:tcW w:w="1440" w:type="dxa"/>
            <w:tcBorders>
              <w:top w:val="nil"/>
              <w:left w:val="nil"/>
              <w:bottom w:val="nil"/>
              <w:right w:val="nil"/>
            </w:tcBorders>
            <w:shd w:val="clear" w:color="000000" w:fill="FFFFFF"/>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675,647,334.95</w:t>
            </w:r>
          </w:p>
        </w:tc>
        <w:tc>
          <w:tcPr>
            <w:tcW w:w="1660" w:type="dxa"/>
            <w:tcBorders>
              <w:top w:val="nil"/>
              <w:left w:val="nil"/>
              <w:bottom w:val="nil"/>
              <w:right w:val="nil"/>
            </w:tcBorders>
            <w:shd w:val="clear" w:color="000000" w:fill="FFFFFF"/>
            <w:noWrap/>
            <w:hideMark/>
          </w:tcPr>
          <w:p w:rsidR="005E7F52" w:rsidRPr="00431E35" w:rsidRDefault="005E7F52" w:rsidP="005E7F52">
            <w:pPr>
              <w:rPr>
                <w:rFonts w:ascii="Arial" w:hAnsi="Arial" w:cs="Arial"/>
                <w:sz w:val="16"/>
                <w:szCs w:val="16"/>
              </w:rPr>
            </w:pPr>
            <w:r w:rsidRPr="00431E35">
              <w:rPr>
                <w:rFonts w:ascii="Arial" w:hAnsi="Arial" w:cs="Arial"/>
                <w:sz w:val="16"/>
                <w:szCs w:val="16"/>
              </w:rPr>
              <w:t> </w:t>
            </w: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PROVISIONES (ANEXO 15)</w:t>
            </w:r>
          </w:p>
        </w:tc>
        <w:tc>
          <w:tcPr>
            <w:tcW w:w="1440" w:type="dxa"/>
            <w:tcBorders>
              <w:top w:val="nil"/>
              <w:left w:val="nil"/>
              <w:bottom w:val="single" w:sz="12" w:space="0" w:color="auto"/>
              <w:right w:val="nil"/>
            </w:tcBorders>
            <w:shd w:val="clear" w:color="000000" w:fill="FFFFFF"/>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62,813,853.39</w:t>
            </w:r>
          </w:p>
        </w:tc>
        <w:tc>
          <w:tcPr>
            <w:tcW w:w="1660" w:type="dxa"/>
            <w:tcBorders>
              <w:top w:val="nil"/>
              <w:left w:val="nil"/>
              <w:bottom w:val="nil"/>
              <w:right w:val="nil"/>
            </w:tcBorders>
            <w:shd w:val="clear" w:color="000000" w:fill="FFFFFF"/>
            <w:noWrap/>
            <w:hideMark/>
          </w:tcPr>
          <w:p w:rsidR="005E7F52" w:rsidRPr="00431E35" w:rsidRDefault="005E7F52" w:rsidP="005E7F52">
            <w:pPr>
              <w:rPr>
                <w:rFonts w:ascii="Arial" w:hAnsi="Arial" w:cs="Arial"/>
                <w:sz w:val="16"/>
                <w:szCs w:val="16"/>
              </w:rPr>
            </w:pPr>
            <w:r w:rsidRPr="00431E35">
              <w:rPr>
                <w:rFonts w:ascii="Arial" w:hAnsi="Arial" w:cs="Arial"/>
                <w:sz w:val="16"/>
                <w:szCs w:val="16"/>
              </w:rPr>
              <w:t> </w:t>
            </w: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PASIVOS CORRIENTES</w:t>
            </w:r>
          </w:p>
        </w:tc>
        <w:tc>
          <w:tcPr>
            <w:tcW w:w="1440" w:type="dxa"/>
            <w:tcBorders>
              <w:top w:val="single" w:sz="12" w:space="0" w:color="auto"/>
              <w:left w:val="nil"/>
              <w:bottom w:val="nil"/>
              <w:right w:val="nil"/>
            </w:tcBorders>
            <w:shd w:val="clear" w:color="000000" w:fill="FFFFFF"/>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738,461,188.34</w:t>
            </w:r>
          </w:p>
        </w:tc>
        <w:tc>
          <w:tcPr>
            <w:tcW w:w="1660" w:type="dxa"/>
            <w:tcBorders>
              <w:top w:val="nil"/>
              <w:left w:val="nil"/>
              <w:bottom w:val="nil"/>
              <w:right w:val="nil"/>
            </w:tcBorders>
            <w:shd w:val="clear" w:color="000000" w:fill="FFFFFF"/>
            <w:noWrap/>
            <w:vAlign w:val="bottom"/>
            <w:hideMark/>
          </w:tcPr>
          <w:p w:rsidR="005E7F52" w:rsidRPr="00431E35" w:rsidRDefault="005E7F52" w:rsidP="005E7F52">
            <w:pPr>
              <w:rPr>
                <w:rFonts w:ascii="Calibri" w:hAnsi="Calibri" w:cs="Calibri"/>
                <w:sz w:val="16"/>
                <w:szCs w:val="16"/>
              </w:rPr>
            </w:pPr>
            <w:r w:rsidRPr="00431E35">
              <w:rPr>
                <w:rFonts w:ascii="Calibri" w:hAnsi="Calibri" w:cs="Calibri"/>
                <w:sz w:val="16"/>
                <w:szCs w:val="16"/>
              </w:rPr>
              <w:t> </w:t>
            </w: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Calibri" w:hAnsi="Calibri" w:cs="Calibri"/>
                <w:sz w:val="16"/>
                <w:szCs w:val="16"/>
              </w:rPr>
            </w:pPr>
          </w:p>
        </w:tc>
        <w:tc>
          <w:tcPr>
            <w:tcW w:w="1440" w:type="dxa"/>
            <w:tcBorders>
              <w:top w:val="nil"/>
              <w:left w:val="nil"/>
              <w:bottom w:val="nil"/>
              <w:right w:val="nil"/>
            </w:tcBorders>
            <w:shd w:val="clear" w:color="000000" w:fill="FFFFFF"/>
            <w:noWrap/>
            <w:vAlign w:val="bottom"/>
            <w:hideMark/>
          </w:tcPr>
          <w:p w:rsidR="005E7F52" w:rsidRPr="00431E35" w:rsidRDefault="005E7F52" w:rsidP="005E7F52">
            <w:pPr>
              <w:rPr>
                <w:rFonts w:ascii="Arial" w:hAnsi="Arial" w:cs="Arial"/>
                <w:sz w:val="16"/>
                <w:szCs w:val="16"/>
              </w:rPr>
            </w:pPr>
            <w:r w:rsidRPr="00431E35">
              <w:rPr>
                <w:rFonts w:ascii="Arial" w:hAnsi="Arial" w:cs="Arial"/>
                <w:sz w:val="16"/>
                <w:szCs w:val="16"/>
              </w:rPr>
              <w:t> </w:t>
            </w:r>
          </w:p>
        </w:tc>
        <w:tc>
          <w:tcPr>
            <w:tcW w:w="1660" w:type="dxa"/>
            <w:tcBorders>
              <w:top w:val="nil"/>
              <w:left w:val="nil"/>
              <w:bottom w:val="nil"/>
              <w:right w:val="nil"/>
            </w:tcBorders>
            <w:shd w:val="clear" w:color="000000" w:fill="FFFFFF"/>
            <w:noWrap/>
            <w:vAlign w:val="bottom"/>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 </w:t>
            </w: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PASIVOS NO CORRIENTES</w:t>
            </w:r>
          </w:p>
        </w:tc>
        <w:tc>
          <w:tcPr>
            <w:tcW w:w="1440"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0</w:t>
            </w:r>
          </w:p>
        </w:tc>
        <w:tc>
          <w:tcPr>
            <w:tcW w:w="166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PASIVOS</w:t>
            </w:r>
          </w:p>
        </w:tc>
        <w:tc>
          <w:tcPr>
            <w:tcW w:w="1440" w:type="dxa"/>
            <w:tcBorders>
              <w:top w:val="single" w:sz="12" w:space="0" w:color="auto"/>
              <w:left w:val="nil"/>
              <w:bottom w:val="nil"/>
              <w:right w:val="nil"/>
            </w:tcBorders>
            <w:shd w:val="clear" w:color="auto" w:fill="auto"/>
            <w:noWrap/>
            <w:vAlign w:val="bottom"/>
            <w:hideMark/>
          </w:tcPr>
          <w:p w:rsidR="005E7F52" w:rsidRPr="00431E35" w:rsidRDefault="005E7F52" w:rsidP="005E7F52">
            <w:pPr>
              <w:rPr>
                <w:rFonts w:ascii="Arial" w:hAnsi="Arial" w:cs="Arial"/>
                <w:b/>
                <w:bCs/>
                <w:sz w:val="16"/>
                <w:szCs w:val="16"/>
              </w:rPr>
            </w:pPr>
          </w:p>
        </w:tc>
        <w:tc>
          <w:tcPr>
            <w:tcW w:w="166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738,461,188.34</w:t>
            </w: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b/>
                <w:bCs/>
                <w:sz w:val="16"/>
                <w:szCs w:val="16"/>
              </w:rPr>
            </w:pPr>
          </w:p>
        </w:tc>
        <w:tc>
          <w:tcPr>
            <w:tcW w:w="144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c>
          <w:tcPr>
            <w:tcW w:w="1660"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PATRIMONIO INDOTEL</w:t>
            </w:r>
          </w:p>
        </w:tc>
        <w:tc>
          <w:tcPr>
            <w:tcW w:w="144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660"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SUPERAVIT DEL PERIODO</w:t>
            </w:r>
          </w:p>
        </w:tc>
        <w:tc>
          <w:tcPr>
            <w:tcW w:w="144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914,058,925.66</w:t>
            </w:r>
          </w:p>
        </w:tc>
        <w:tc>
          <w:tcPr>
            <w:tcW w:w="166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SUPERAVIT ACUMULADO NETO</w:t>
            </w:r>
          </w:p>
        </w:tc>
        <w:tc>
          <w:tcPr>
            <w:tcW w:w="144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1,090,842.12</w:t>
            </w:r>
          </w:p>
        </w:tc>
        <w:tc>
          <w:tcPr>
            <w:tcW w:w="166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AJUSTES AÑOS ANTERIORES</w:t>
            </w:r>
          </w:p>
        </w:tc>
        <w:tc>
          <w:tcPr>
            <w:tcW w:w="1440"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(8,057,485.21)</w:t>
            </w:r>
          </w:p>
        </w:tc>
        <w:tc>
          <w:tcPr>
            <w:tcW w:w="1660"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PATRIMONIO INDOTEL</w:t>
            </w:r>
          </w:p>
        </w:tc>
        <w:tc>
          <w:tcPr>
            <w:tcW w:w="1440" w:type="dxa"/>
            <w:tcBorders>
              <w:top w:val="single" w:sz="12" w:space="0" w:color="auto"/>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907,092,282.57</w:t>
            </w:r>
          </w:p>
        </w:tc>
        <w:tc>
          <w:tcPr>
            <w:tcW w:w="1660"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1440"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1660" w:type="dxa"/>
            <w:tcBorders>
              <w:top w:val="nil"/>
              <w:left w:val="nil"/>
              <w:bottom w:val="nil"/>
              <w:right w:val="nil"/>
            </w:tcBorders>
            <w:shd w:val="clear" w:color="auto" w:fill="auto"/>
            <w:noWrap/>
            <w:hideMark/>
          </w:tcPr>
          <w:p w:rsidR="005E7F52" w:rsidRPr="00431E35" w:rsidRDefault="005E7F52" w:rsidP="005E7F52">
            <w:pPr>
              <w:rPr>
                <w:sz w:val="20"/>
                <w:szCs w:val="20"/>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PATRIMONIO FDT</w:t>
            </w:r>
          </w:p>
        </w:tc>
        <w:tc>
          <w:tcPr>
            <w:tcW w:w="144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1,137,460,037.29</w:t>
            </w:r>
          </w:p>
        </w:tc>
        <w:tc>
          <w:tcPr>
            <w:tcW w:w="166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sz w:val="16"/>
                <w:szCs w:val="16"/>
              </w:rPr>
            </w:pPr>
            <w:r w:rsidRPr="00431E35">
              <w:rPr>
                <w:rFonts w:ascii="Arial" w:hAnsi="Arial" w:cs="Arial"/>
                <w:sz w:val="16"/>
                <w:szCs w:val="16"/>
              </w:rPr>
              <w:t>MENOS PROYECTOS FDT</w:t>
            </w:r>
          </w:p>
        </w:tc>
        <w:tc>
          <w:tcPr>
            <w:tcW w:w="1440" w:type="dxa"/>
            <w:tcBorders>
              <w:top w:val="nil"/>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sz w:val="16"/>
                <w:szCs w:val="16"/>
              </w:rPr>
            </w:pPr>
            <w:r w:rsidRPr="00431E35">
              <w:rPr>
                <w:rFonts w:ascii="Arial" w:hAnsi="Arial" w:cs="Arial"/>
                <w:sz w:val="16"/>
                <w:szCs w:val="16"/>
              </w:rPr>
              <w:t>(27,611,435.34)</w:t>
            </w:r>
          </w:p>
        </w:tc>
        <w:tc>
          <w:tcPr>
            <w:tcW w:w="1660"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sz w:val="16"/>
                <w:szCs w:val="16"/>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PATRIMONIO FDT</w:t>
            </w:r>
          </w:p>
        </w:tc>
        <w:tc>
          <w:tcPr>
            <w:tcW w:w="1440" w:type="dxa"/>
            <w:tcBorders>
              <w:top w:val="single" w:sz="12" w:space="0" w:color="auto"/>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1,109,848,601.95</w:t>
            </w:r>
          </w:p>
        </w:tc>
        <w:tc>
          <w:tcPr>
            <w:tcW w:w="1660" w:type="dxa"/>
            <w:tcBorders>
              <w:top w:val="nil"/>
              <w:left w:val="nil"/>
              <w:bottom w:val="nil"/>
              <w:right w:val="nil"/>
            </w:tcBorders>
            <w:shd w:val="clear" w:color="auto" w:fill="auto"/>
            <w:noWrap/>
            <w:vAlign w:val="bottom"/>
            <w:hideMark/>
          </w:tcPr>
          <w:p w:rsidR="005E7F52" w:rsidRPr="00431E35" w:rsidRDefault="005E7F52" w:rsidP="005E7F52">
            <w:pPr>
              <w:jc w:val="right"/>
              <w:rPr>
                <w:rFonts w:ascii="Arial" w:hAnsi="Arial" w:cs="Arial"/>
                <w:b/>
                <w:bCs/>
                <w:sz w:val="16"/>
                <w:szCs w:val="16"/>
              </w:rPr>
            </w:pPr>
          </w:p>
        </w:tc>
      </w:tr>
      <w:tr w:rsidR="005E7F52" w:rsidRPr="00431E35" w:rsidTr="005E7F52">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1440"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1660" w:type="dxa"/>
            <w:tcBorders>
              <w:top w:val="nil"/>
              <w:left w:val="nil"/>
              <w:bottom w:val="nil"/>
              <w:right w:val="nil"/>
            </w:tcBorders>
            <w:shd w:val="clear" w:color="auto" w:fill="auto"/>
            <w:noWrap/>
            <w:vAlign w:val="bottom"/>
            <w:hideMark/>
          </w:tcPr>
          <w:p w:rsidR="005E7F52" w:rsidRPr="00431E35" w:rsidRDefault="005E7F52" w:rsidP="005E7F52">
            <w:pPr>
              <w:rPr>
                <w:sz w:val="20"/>
                <w:szCs w:val="20"/>
              </w:rPr>
            </w:pPr>
          </w:p>
        </w:tc>
      </w:tr>
      <w:tr w:rsidR="005E7F52" w:rsidRPr="00431E35" w:rsidTr="00EF62F0">
        <w:trPr>
          <w:trHeight w:val="300"/>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PATRIMONIO</w:t>
            </w:r>
          </w:p>
        </w:tc>
        <w:tc>
          <w:tcPr>
            <w:tcW w:w="144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660" w:type="dxa"/>
            <w:tcBorders>
              <w:top w:val="nil"/>
              <w:left w:val="nil"/>
              <w:bottom w:val="single" w:sz="12" w:space="0" w:color="auto"/>
              <w:right w:val="nil"/>
            </w:tcBorders>
            <w:shd w:val="clear" w:color="auto" w:fill="auto"/>
            <w:noWrap/>
            <w:vAlign w:val="bottom"/>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 xml:space="preserve">      2,016,940,884.52 </w:t>
            </w:r>
          </w:p>
        </w:tc>
      </w:tr>
      <w:tr w:rsidR="005E7F52" w:rsidRPr="00431E35" w:rsidTr="00EF62F0">
        <w:trPr>
          <w:trHeight w:val="315"/>
        </w:trPr>
        <w:tc>
          <w:tcPr>
            <w:tcW w:w="4858"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r w:rsidRPr="00431E35">
              <w:rPr>
                <w:rFonts w:ascii="Arial" w:hAnsi="Arial" w:cs="Arial"/>
                <w:b/>
                <w:bCs/>
                <w:sz w:val="16"/>
                <w:szCs w:val="16"/>
              </w:rPr>
              <w:t>TOTAL PASIVOS Y PATRIMONIO</w:t>
            </w:r>
          </w:p>
        </w:tc>
        <w:tc>
          <w:tcPr>
            <w:tcW w:w="1440" w:type="dxa"/>
            <w:tcBorders>
              <w:top w:val="nil"/>
              <w:left w:val="nil"/>
              <w:bottom w:val="nil"/>
              <w:right w:val="nil"/>
            </w:tcBorders>
            <w:shd w:val="clear" w:color="auto" w:fill="auto"/>
            <w:noWrap/>
            <w:hideMark/>
          </w:tcPr>
          <w:p w:rsidR="005E7F52" w:rsidRPr="00431E35" w:rsidRDefault="005E7F52" w:rsidP="005E7F52">
            <w:pPr>
              <w:rPr>
                <w:rFonts w:ascii="Arial" w:hAnsi="Arial" w:cs="Arial"/>
                <w:b/>
                <w:bCs/>
                <w:sz w:val="16"/>
                <w:szCs w:val="16"/>
              </w:rPr>
            </w:pPr>
          </w:p>
        </w:tc>
        <w:tc>
          <w:tcPr>
            <w:tcW w:w="1660" w:type="dxa"/>
            <w:tcBorders>
              <w:top w:val="single" w:sz="12" w:space="0" w:color="auto"/>
              <w:left w:val="nil"/>
              <w:bottom w:val="single" w:sz="12" w:space="0" w:color="auto"/>
              <w:right w:val="nil"/>
            </w:tcBorders>
            <w:shd w:val="clear" w:color="auto" w:fill="auto"/>
            <w:noWrap/>
            <w:hideMark/>
          </w:tcPr>
          <w:p w:rsidR="005E7F52" w:rsidRPr="00431E35" w:rsidRDefault="005E7F52" w:rsidP="005E7F52">
            <w:pPr>
              <w:jc w:val="right"/>
              <w:rPr>
                <w:rFonts w:ascii="Arial" w:hAnsi="Arial" w:cs="Arial"/>
                <w:b/>
                <w:bCs/>
                <w:sz w:val="16"/>
                <w:szCs w:val="16"/>
              </w:rPr>
            </w:pPr>
            <w:r w:rsidRPr="00431E35">
              <w:rPr>
                <w:rFonts w:ascii="Arial" w:hAnsi="Arial" w:cs="Arial"/>
                <w:b/>
                <w:bCs/>
                <w:sz w:val="16"/>
                <w:szCs w:val="16"/>
              </w:rPr>
              <w:t>2,755,402,072.86</w:t>
            </w:r>
          </w:p>
        </w:tc>
      </w:tr>
      <w:tr w:rsidR="005E7F52" w:rsidRPr="00431E35" w:rsidTr="00EF62F0">
        <w:trPr>
          <w:trHeight w:val="315"/>
        </w:trPr>
        <w:tc>
          <w:tcPr>
            <w:tcW w:w="4858" w:type="dxa"/>
            <w:tcBorders>
              <w:top w:val="nil"/>
              <w:left w:val="nil"/>
              <w:bottom w:val="nil"/>
              <w:right w:val="nil"/>
            </w:tcBorders>
            <w:shd w:val="clear" w:color="auto" w:fill="auto"/>
            <w:noWrap/>
            <w:hideMark/>
          </w:tcPr>
          <w:p w:rsidR="005E7F52" w:rsidRPr="00431E35" w:rsidRDefault="005E7F52" w:rsidP="005E7F52">
            <w:pPr>
              <w:jc w:val="right"/>
              <w:rPr>
                <w:rFonts w:ascii="Arial" w:hAnsi="Arial" w:cs="Arial"/>
                <w:b/>
                <w:bCs/>
                <w:sz w:val="16"/>
                <w:szCs w:val="16"/>
              </w:rPr>
            </w:pPr>
          </w:p>
        </w:tc>
        <w:tc>
          <w:tcPr>
            <w:tcW w:w="1440" w:type="dxa"/>
            <w:tcBorders>
              <w:top w:val="nil"/>
              <w:left w:val="nil"/>
              <w:bottom w:val="nil"/>
              <w:right w:val="nil"/>
            </w:tcBorders>
            <w:shd w:val="clear" w:color="auto" w:fill="auto"/>
            <w:noWrap/>
            <w:hideMark/>
          </w:tcPr>
          <w:p w:rsidR="005E7F52" w:rsidRPr="00431E35" w:rsidRDefault="005E7F52" w:rsidP="005E7F52">
            <w:pPr>
              <w:rPr>
                <w:sz w:val="20"/>
                <w:szCs w:val="20"/>
              </w:rPr>
            </w:pPr>
          </w:p>
        </w:tc>
        <w:tc>
          <w:tcPr>
            <w:tcW w:w="1660" w:type="dxa"/>
            <w:tcBorders>
              <w:top w:val="single" w:sz="12" w:space="0" w:color="auto"/>
              <w:left w:val="nil"/>
              <w:bottom w:val="nil"/>
              <w:right w:val="nil"/>
            </w:tcBorders>
            <w:shd w:val="clear" w:color="auto" w:fill="auto"/>
            <w:noWrap/>
            <w:vAlign w:val="bottom"/>
            <w:hideMark/>
          </w:tcPr>
          <w:p w:rsidR="005E7F52" w:rsidRPr="00431E35" w:rsidRDefault="005E7F52" w:rsidP="005E7F52">
            <w:pPr>
              <w:rPr>
                <w:rFonts w:ascii="Calibri" w:hAnsi="Calibri" w:cs="Calibri"/>
              </w:rPr>
            </w:pPr>
            <w:r w:rsidRPr="00431E35">
              <w:rPr>
                <w:rFonts w:ascii="Calibri" w:hAnsi="Calibri" w:cs="Calibri"/>
              </w:rPr>
              <w:t xml:space="preserve">                              -   </w:t>
            </w:r>
          </w:p>
        </w:tc>
      </w:tr>
    </w:tbl>
    <w:p w:rsidR="005E7F52" w:rsidRDefault="005E7F52" w:rsidP="005E7F52">
      <w:pPr>
        <w:spacing w:before="240" w:line="360" w:lineRule="auto"/>
      </w:pPr>
    </w:p>
    <w:p w:rsidR="00BD4006" w:rsidRDefault="00BD4006" w:rsidP="00324CE8">
      <w:pPr>
        <w:rPr>
          <w:b/>
        </w:rPr>
      </w:pPr>
    </w:p>
    <w:p w:rsidR="00234D88" w:rsidRDefault="00234D88" w:rsidP="00324CE8">
      <w:pPr>
        <w:rPr>
          <w:b/>
        </w:rPr>
      </w:pPr>
    </w:p>
    <w:p w:rsidR="00234D88" w:rsidRDefault="00234D88" w:rsidP="00324CE8">
      <w:pPr>
        <w:rPr>
          <w:b/>
        </w:rPr>
      </w:pPr>
    </w:p>
    <w:p w:rsidR="00234D88" w:rsidRDefault="00234D88" w:rsidP="00324CE8">
      <w:pPr>
        <w:rPr>
          <w:b/>
        </w:rPr>
      </w:pPr>
    </w:p>
    <w:p w:rsidR="00B57425" w:rsidRDefault="00B57425" w:rsidP="00426D0B">
      <w:pPr>
        <w:rPr>
          <w:b/>
        </w:rPr>
      </w:pPr>
      <w:r>
        <w:rPr>
          <w:b/>
          <w:noProof/>
          <w:lang w:val="en-US" w:eastAsia="en-US"/>
        </w:rPr>
        <w:lastRenderedPageBreak/>
        <w:drawing>
          <wp:anchor distT="0" distB="0" distL="114300" distR="114300" simplePos="0" relativeHeight="251752448" behindDoc="0" locked="0" layoutInCell="1" allowOverlap="1" wp14:anchorId="6D1DF88C" wp14:editId="31D51529">
            <wp:simplePos x="0" y="0"/>
            <wp:positionH relativeFrom="margin">
              <wp:posOffset>-21771</wp:posOffset>
            </wp:positionH>
            <wp:positionV relativeFrom="margin">
              <wp:posOffset>630918</wp:posOffset>
            </wp:positionV>
            <wp:extent cx="5023485" cy="5834380"/>
            <wp:effectExtent l="0" t="0" r="571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b="6632"/>
                    <a:stretch/>
                  </pic:blipFill>
                  <pic:spPr bwMode="auto">
                    <a:xfrm>
                      <a:off x="0" y="0"/>
                      <a:ext cx="5023485" cy="5834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4CE8">
        <w:rPr>
          <w:b/>
        </w:rPr>
        <w:t xml:space="preserve">A </w:t>
      </w:r>
      <w:r w:rsidR="0081124C">
        <w:rPr>
          <w:b/>
        </w:rPr>
        <w:t>c</w:t>
      </w:r>
      <w:r w:rsidR="00324CE8">
        <w:rPr>
          <w:b/>
        </w:rPr>
        <w:t xml:space="preserve">ontinuación presentamos un detalle por antigüedad de saldos de las cuentas por pagar al 30 de </w:t>
      </w:r>
      <w:r w:rsidR="00521113">
        <w:rPr>
          <w:b/>
        </w:rPr>
        <w:t>noviembre</w:t>
      </w:r>
      <w:r w:rsidR="00324CE8">
        <w:rPr>
          <w:b/>
        </w:rPr>
        <w:t xml:space="preserve"> de 2021</w:t>
      </w:r>
      <w:r w:rsidR="0081124C">
        <w:rPr>
          <w:b/>
        </w:rPr>
        <w:t>:</w:t>
      </w:r>
    </w:p>
    <w:p w:rsidR="00E17B7E" w:rsidRDefault="00E17B7E" w:rsidP="00426D0B">
      <w:pPr>
        <w:rPr>
          <w:b/>
        </w:rPr>
      </w:pPr>
    </w:p>
    <w:p w:rsidR="0009175E" w:rsidRDefault="0009175E" w:rsidP="00324CE8">
      <w:pPr>
        <w:spacing w:before="240" w:line="480" w:lineRule="auto"/>
        <w:rPr>
          <w:b/>
        </w:rPr>
      </w:pPr>
    </w:p>
    <w:p w:rsidR="00B57425" w:rsidRDefault="00B57425" w:rsidP="00324CE8">
      <w:pPr>
        <w:spacing w:before="240" w:line="480" w:lineRule="auto"/>
        <w:rPr>
          <w:b/>
        </w:rPr>
      </w:pPr>
    </w:p>
    <w:p w:rsidR="00324CE8" w:rsidRPr="007E0DBD" w:rsidRDefault="0081124C" w:rsidP="00324CE8">
      <w:pPr>
        <w:spacing w:before="240" w:line="480" w:lineRule="auto"/>
        <w:rPr>
          <w:b/>
        </w:rPr>
      </w:pPr>
      <w:r>
        <w:rPr>
          <w:b/>
        </w:rPr>
        <w:lastRenderedPageBreak/>
        <w:t>Ejecución Presupuestaria</w:t>
      </w:r>
    </w:p>
    <w:p w:rsidR="004C21E3" w:rsidRDefault="004C21E3" w:rsidP="004C21E3">
      <w:pPr>
        <w:spacing w:before="240" w:after="0" w:line="360" w:lineRule="auto"/>
        <w:rPr>
          <w:rFonts w:eastAsia="Times New Roman"/>
          <w:szCs w:val="24"/>
          <w:lang w:val="es-ES" w:eastAsia="es-ES"/>
        </w:rPr>
      </w:pPr>
      <w:r w:rsidRPr="004C21E3">
        <w:rPr>
          <w:rFonts w:eastAsia="Times New Roman"/>
          <w:szCs w:val="24"/>
          <w:lang w:val="es-ES" w:eastAsia="es-ES"/>
        </w:rPr>
        <w:t xml:space="preserve">El presupuesto proyectado para el año 2021 fue de Mil Ochocientos </w:t>
      </w:r>
      <w:r w:rsidR="00C14CFE">
        <w:rPr>
          <w:rFonts w:eastAsia="Times New Roman"/>
          <w:szCs w:val="24"/>
          <w:lang w:val="es-ES" w:eastAsia="es-ES"/>
        </w:rPr>
        <w:t>V</w:t>
      </w:r>
      <w:r w:rsidRPr="004C21E3">
        <w:rPr>
          <w:rFonts w:eastAsia="Times New Roman"/>
          <w:szCs w:val="24"/>
          <w:lang w:val="es-ES" w:eastAsia="es-ES"/>
        </w:rPr>
        <w:t>einte</w:t>
      </w:r>
      <w:r w:rsidR="00C14CFE">
        <w:rPr>
          <w:rFonts w:eastAsia="Times New Roman"/>
          <w:szCs w:val="24"/>
          <w:lang w:val="es-ES" w:eastAsia="es-ES"/>
        </w:rPr>
        <w:t xml:space="preserve"> y</w:t>
      </w:r>
      <w:r w:rsidRPr="004C21E3">
        <w:rPr>
          <w:rFonts w:eastAsia="Times New Roman"/>
          <w:szCs w:val="24"/>
          <w:lang w:val="es-ES" w:eastAsia="es-ES"/>
        </w:rPr>
        <w:t xml:space="preserve"> </w:t>
      </w:r>
      <w:r w:rsidR="00C14CFE">
        <w:rPr>
          <w:rFonts w:eastAsia="Times New Roman"/>
          <w:szCs w:val="24"/>
          <w:lang w:val="es-ES" w:eastAsia="es-ES"/>
        </w:rPr>
        <w:t>Sei</w:t>
      </w:r>
      <w:r w:rsidRPr="004C21E3">
        <w:rPr>
          <w:rFonts w:eastAsia="Times New Roman"/>
          <w:szCs w:val="24"/>
          <w:lang w:val="es-ES" w:eastAsia="es-ES"/>
        </w:rPr>
        <w:t xml:space="preserve">s Millones Novecientos </w:t>
      </w:r>
      <w:r w:rsidR="00C14CFE">
        <w:rPr>
          <w:rFonts w:eastAsia="Times New Roman"/>
          <w:szCs w:val="24"/>
          <w:lang w:val="es-ES" w:eastAsia="es-ES"/>
        </w:rPr>
        <w:t>C</w:t>
      </w:r>
      <w:r w:rsidRPr="004C21E3">
        <w:rPr>
          <w:rFonts w:eastAsia="Times New Roman"/>
          <w:szCs w:val="24"/>
          <w:lang w:val="es-ES" w:eastAsia="es-ES"/>
        </w:rPr>
        <w:t xml:space="preserve">incuenta y </w:t>
      </w:r>
      <w:r w:rsidR="00C14CFE">
        <w:rPr>
          <w:rFonts w:eastAsia="Times New Roman"/>
          <w:szCs w:val="24"/>
          <w:lang w:val="es-ES" w:eastAsia="es-ES"/>
        </w:rPr>
        <w:t>D</w:t>
      </w:r>
      <w:r w:rsidRPr="004C21E3">
        <w:rPr>
          <w:rFonts w:eastAsia="Times New Roman"/>
          <w:szCs w:val="24"/>
          <w:lang w:val="es-ES" w:eastAsia="es-ES"/>
        </w:rPr>
        <w:t xml:space="preserve">os </w:t>
      </w:r>
      <w:r w:rsidR="00C14CFE">
        <w:rPr>
          <w:rFonts w:eastAsia="Times New Roman"/>
          <w:szCs w:val="24"/>
          <w:lang w:val="es-ES" w:eastAsia="es-ES"/>
        </w:rPr>
        <w:t>M</w:t>
      </w:r>
      <w:r w:rsidRPr="004C21E3">
        <w:rPr>
          <w:rFonts w:eastAsia="Times New Roman"/>
          <w:szCs w:val="24"/>
          <w:lang w:val="es-ES" w:eastAsia="es-ES"/>
        </w:rPr>
        <w:t xml:space="preserve">il </w:t>
      </w:r>
      <w:r w:rsidR="00C14CFE">
        <w:rPr>
          <w:rFonts w:eastAsia="Times New Roman"/>
          <w:szCs w:val="24"/>
          <w:lang w:val="es-ES" w:eastAsia="es-ES"/>
        </w:rPr>
        <w:t>T</w:t>
      </w:r>
      <w:r w:rsidRPr="004C21E3">
        <w:rPr>
          <w:rFonts w:eastAsia="Times New Roman"/>
          <w:szCs w:val="24"/>
          <w:lang w:val="es-ES" w:eastAsia="es-ES"/>
        </w:rPr>
        <w:t xml:space="preserve">rescientos </w:t>
      </w:r>
      <w:r w:rsidR="00C14CFE">
        <w:rPr>
          <w:rFonts w:eastAsia="Times New Roman"/>
          <w:szCs w:val="24"/>
          <w:lang w:val="es-ES" w:eastAsia="es-ES"/>
        </w:rPr>
        <w:t>T</w:t>
      </w:r>
      <w:r w:rsidRPr="004C21E3">
        <w:rPr>
          <w:rFonts w:eastAsia="Times New Roman"/>
          <w:szCs w:val="24"/>
          <w:lang w:val="es-ES" w:eastAsia="es-ES"/>
        </w:rPr>
        <w:t xml:space="preserve">reinta y </w:t>
      </w:r>
      <w:r w:rsidR="00C14CFE">
        <w:rPr>
          <w:rFonts w:eastAsia="Times New Roman"/>
          <w:szCs w:val="24"/>
          <w:lang w:val="es-ES" w:eastAsia="es-ES"/>
        </w:rPr>
        <w:t>S</w:t>
      </w:r>
      <w:r w:rsidRPr="004C21E3">
        <w:rPr>
          <w:rFonts w:eastAsia="Times New Roman"/>
          <w:szCs w:val="24"/>
          <w:lang w:val="es-ES" w:eastAsia="es-ES"/>
        </w:rPr>
        <w:t xml:space="preserve">eis </w:t>
      </w:r>
      <w:r w:rsidR="007907EC">
        <w:rPr>
          <w:rFonts w:eastAsia="Times New Roman"/>
          <w:szCs w:val="24"/>
          <w:lang w:val="es-ES" w:eastAsia="es-ES"/>
        </w:rPr>
        <w:t>P</w:t>
      </w:r>
      <w:r w:rsidRPr="004C21E3">
        <w:rPr>
          <w:rFonts w:eastAsia="Times New Roman"/>
          <w:szCs w:val="24"/>
          <w:lang w:val="es-ES" w:eastAsia="es-ES"/>
        </w:rPr>
        <w:t>esos</w:t>
      </w:r>
      <w:r w:rsidR="007907EC">
        <w:rPr>
          <w:rFonts w:eastAsia="Times New Roman"/>
          <w:szCs w:val="24"/>
          <w:lang w:val="es-ES" w:eastAsia="es-ES"/>
        </w:rPr>
        <w:t xml:space="preserve"> Dominicanos</w:t>
      </w:r>
      <w:r w:rsidRPr="004C21E3">
        <w:rPr>
          <w:rFonts w:eastAsia="Times New Roman"/>
          <w:szCs w:val="24"/>
          <w:lang w:val="es-ES" w:eastAsia="es-ES"/>
        </w:rPr>
        <w:t xml:space="preserve"> con 90/100 (RD$1,826,952,336.90), de los cuales se ha ejecutado un monto ascendente a Mil </w:t>
      </w:r>
      <w:r w:rsidR="00C14CFE">
        <w:rPr>
          <w:rFonts w:eastAsia="Times New Roman"/>
          <w:szCs w:val="24"/>
          <w:lang w:val="es-ES" w:eastAsia="es-ES"/>
        </w:rPr>
        <w:t>C</w:t>
      </w:r>
      <w:r w:rsidRPr="004C21E3">
        <w:rPr>
          <w:rFonts w:eastAsia="Times New Roman"/>
          <w:szCs w:val="24"/>
          <w:lang w:val="es-ES" w:eastAsia="es-ES"/>
        </w:rPr>
        <w:t xml:space="preserve">incuenta y </w:t>
      </w:r>
      <w:r w:rsidR="00C14CFE">
        <w:rPr>
          <w:rFonts w:eastAsia="Times New Roman"/>
          <w:szCs w:val="24"/>
          <w:lang w:val="es-ES" w:eastAsia="es-ES"/>
        </w:rPr>
        <w:t>C</w:t>
      </w:r>
      <w:r w:rsidRPr="004C21E3">
        <w:rPr>
          <w:rFonts w:eastAsia="Times New Roman"/>
          <w:szCs w:val="24"/>
          <w:lang w:val="es-ES" w:eastAsia="es-ES"/>
        </w:rPr>
        <w:t xml:space="preserve">inco </w:t>
      </w:r>
      <w:r w:rsidR="00C14CFE">
        <w:rPr>
          <w:rFonts w:eastAsia="Times New Roman"/>
          <w:szCs w:val="24"/>
          <w:lang w:val="es-ES" w:eastAsia="es-ES"/>
        </w:rPr>
        <w:t>M</w:t>
      </w:r>
      <w:r w:rsidRPr="004C21E3">
        <w:rPr>
          <w:rFonts w:eastAsia="Times New Roman"/>
          <w:szCs w:val="24"/>
          <w:lang w:val="es-ES" w:eastAsia="es-ES"/>
        </w:rPr>
        <w:t xml:space="preserve">illones </w:t>
      </w:r>
      <w:r w:rsidR="00952DF4">
        <w:rPr>
          <w:rFonts w:eastAsia="Times New Roman"/>
          <w:szCs w:val="24"/>
          <w:lang w:val="es-ES" w:eastAsia="es-ES"/>
        </w:rPr>
        <w:t>D</w:t>
      </w:r>
      <w:r w:rsidRPr="004C21E3">
        <w:rPr>
          <w:rFonts w:eastAsia="Times New Roman"/>
          <w:szCs w:val="24"/>
          <w:lang w:val="es-ES" w:eastAsia="es-ES"/>
        </w:rPr>
        <w:t xml:space="preserve">oscientos </w:t>
      </w:r>
      <w:r w:rsidR="00952DF4">
        <w:rPr>
          <w:rFonts w:eastAsia="Times New Roman"/>
          <w:szCs w:val="24"/>
          <w:lang w:val="es-ES" w:eastAsia="es-ES"/>
        </w:rPr>
        <w:t>C</w:t>
      </w:r>
      <w:r w:rsidRPr="004C21E3">
        <w:rPr>
          <w:rFonts w:eastAsia="Times New Roman"/>
          <w:szCs w:val="24"/>
          <w:lang w:val="es-ES" w:eastAsia="es-ES"/>
        </w:rPr>
        <w:t xml:space="preserve">incuenta </w:t>
      </w:r>
      <w:r w:rsidR="00952DF4">
        <w:rPr>
          <w:rFonts w:eastAsia="Times New Roman"/>
          <w:szCs w:val="24"/>
          <w:lang w:val="es-ES" w:eastAsia="es-ES"/>
        </w:rPr>
        <w:t>M</w:t>
      </w:r>
      <w:r w:rsidR="00DA57CA">
        <w:rPr>
          <w:rFonts w:eastAsia="Times New Roman"/>
          <w:szCs w:val="24"/>
          <w:lang w:val="es-ES" w:eastAsia="es-ES"/>
        </w:rPr>
        <w:t xml:space="preserve">il </w:t>
      </w:r>
      <w:r w:rsidR="00952DF4">
        <w:rPr>
          <w:rFonts w:eastAsia="Times New Roman"/>
          <w:szCs w:val="24"/>
          <w:lang w:val="es-ES" w:eastAsia="es-ES"/>
        </w:rPr>
        <w:t>C</w:t>
      </w:r>
      <w:r w:rsidR="00DA57CA">
        <w:rPr>
          <w:rFonts w:eastAsia="Times New Roman"/>
          <w:szCs w:val="24"/>
          <w:lang w:val="es-ES" w:eastAsia="es-ES"/>
        </w:rPr>
        <w:t xml:space="preserve">uatrocientos </w:t>
      </w:r>
      <w:r w:rsidR="00952DF4">
        <w:rPr>
          <w:rFonts w:eastAsia="Times New Roman"/>
          <w:szCs w:val="24"/>
          <w:lang w:val="es-ES" w:eastAsia="es-ES"/>
        </w:rPr>
        <w:t>V</w:t>
      </w:r>
      <w:r w:rsidRPr="004C21E3">
        <w:rPr>
          <w:rFonts w:eastAsia="Times New Roman"/>
          <w:szCs w:val="24"/>
          <w:lang w:val="es-ES" w:eastAsia="es-ES"/>
        </w:rPr>
        <w:t xml:space="preserve">einte </w:t>
      </w:r>
      <w:r w:rsidR="00952DF4">
        <w:rPr>
          <w:rFonts w:eastAsia="Times New Roman"/>
          <w:szCs w:val="24"/>
          <w:lang w:val="es-ES" w:eastAsia="es-ES"/>
        </w:rPr>
        <w:t>S</w:t>
      </w:r>
      <w:r w:rsidRPr="004C21E3">
        <w:rPr>
          <w:rFonts w:eastAsia="Times New Roman"/>
          <w:szCs w:val="24"/>
          <w:lang w:val="es-ES" w:eastAsia="es-ES"/>
        </w:rPr>
        <w:t xml:space="preserve">iete </w:t>
      </w:r>
      <w:r w:rsidR="00952DF4">
        <w:rPr>
          <w:rFonts w:eastAsia="Times New Roman"/>
          <w:szCs w:val="24"/>
          <w:lang w:val="es-ES" w:eastAsia="es-ES"/>
        </w:rPr>
        <w:t>P</w:t>
      </w:r>
      <w:r w:rsidRPr="004C21E3">
        <w:rPr>
          <w:rFonts w:eastAsia="Times New Roman"/>
          <w:szCs w:val="24"/>
          <w:lang w:val="es-ES" w:eastAsia="es-ES"/>
        </w:rPr>
        <w:t>esos</w:t>
      </w:r>
      <w:r w:rsidR="00DA57CA">
        <w:rPr>
          <w:rFonts w:eastAsia="Times New Roman"/>
          <w:szCs w:val="24"/>
          <w:lang w:val="es-ES" w:eastAsia="es-ES"/>
        </w:rPr>
        <w:t xml:space="preserve"> Dominicanos</w:t>
      </w:r>
      <w:r w:rsidRPr="004C21E3">
        <w:rPr>
          <w:rFonts w:eastAsia="Times New Roman"/>
          <w:szCs w:val="24"/>
          <w:lang w:val="es-ES" w:eastAsia="es-ES"/>
        </w:rPr>
        <w:t xml:space="preserve"> co</w:t>
      </w:r>
      <w:r w:rsidR="00DA57CA">
        <w:rPr>
          <w:rFonts w:eastAsia="Times New Roman"/>
          <w:szCs w:val="24"/>
          <w:lang w:val="es-ES" w:eastAsia="es-ES"/>
        </w:rPr>
        <w:t xml:space="preserve">n 14/100 (RD$1,055,250,427.14), </w:t>
      </w:r>
      <w:r w:rsidRPr="004C21E3">
        <w:rPr>
          <w:rFonts w:eastAsia="Times New Roman"/>
          <w:szCs w:val="24"/>
          <w:lang w:val="es-ES" w:eastAsia="es-ES"/>
        </w:rPr>
        <w:t xml:space="preserve">lo </w:t>
      </w:r>
      <w:r w:rsidR="00DA57CA">
        <w:rPr>
          <w:rFonts w:eastAsia="Times New Roman"/>
          <w:szCs w:val="24"/>
          <w:lang w:val="es-ES" w:eastAsia="es-ES"/>
        </w:rPr>
        <w:t>que</w:t>
      </w:r>
      <w:r w:rsidRPr="004C21E3">
        <w:rPr>
          <w:rFonts w:eastAsia="Times New Roman"/>
          <w:szCs w:val="24"/>
          <w:lang w:val="es-ES" w:eastAsia="es-ES"/>
        </w:rPr>
        <w:t xml:space="preserve"> re</w:t>
      </w:r>
      <w:r w:rsidR="00A71B1E">
        <w:rPr>
          <w:rFonts w:eastAsia="Times New Roman"/>
          <w:szCs w:val="24"/>
          <w:lang w:val="es-ES" w:eastAsia="es-ES"/>
        </w:rPr>
        <w:t xml:space="preserve">presenta un 58% del monto total y </w:t>
      </w:r>
      <w:r w:rsidRPr="004C21E3">
        <w:rPr>
          <w:rFonts w:eastAsia="Times New Roman"/>
          <w:szCs w:val="24"/>
          <w:lang w:val="es-ES" w:eastAsia="es-ES"/>
        </w:rPr>
        <w:t>del presupuesto estimado.</w:t>
      </w:r>
    </w:p>
    <w:p w:rsidR="00DA4FB5" w:rsidRPr="004C21E3" w:rsidRDefault="00DA4FB5" w:rsidP="00DA4FB5">
      <w:pPr>
        <w:pStyle w:val="Sinespaciado"/>
        <w:rPr>
          <w:lang w:val="es-ES" w:eastAsia="es-ES"/>
        </w:rPr>
      </w:pPr>
    </w:p>
    <w:p w:rsidR="004C21E3" w:rsidRDefault="004C21E3" w:rsidP="004C21E3">
      <w:pPr>
        <w:spacing w:before="240" w:after="0" w:line="360" w:lineRule="auto"/>
        <w:rPr>
          <w:rFonts w:eastAsia="Times New Roman"/>
          <w:szCs w:val="24"/>
          <w:lang w:val="es-ES" w:eastAsia="es-ES"/>
        </w:rPr>
      </w:pPr>
      <w:r w:rsidRPr="004C21E3">
        <w:rPr>
          <w:rFonts w:eastAsia="Times New Roman"/>
          <w:szCs w:val="24"/>
          <w:lang w:val="es-ES" w:eastAsia="es-ES"/>
        </w:rPr>
        <w:t xml:space="preserve">El principal desvío durante el período, lo tuvo el renglón Servicios Personales, debido al incremento en las partidas de Prestaciones Laborales, Regalía Pascual y Bonos Salariales, por concepto de desvinculación de empleados de la Institución. Cabe destacar, que el presupuesto casi en la totalidad de los renglones está ejecutándose atendiendo a las metas programadas en el </w:t>
      </w:r>
      <w:r w:rsidR="00A71B1E">
        <w:rPr>
          <w:rFonts w:eastAsia="Times New Roman"/>
          <w:szCs w:val="24"/>
          <w:lang w:val="es-ES" w:eastAsia="es-ES"/>
        </w:rPr>
        <w:t>Plan Operativo Anual (</w:t>
      </w:r>
      <w:r w:rsidRPr="004C21E3">
        <w:rPr>
          <w:rFonts w:eastAsia="Times New Roman"/>
          <w:szCs w:val="24"/>
          <w:lang w:val="es-ES" w:eastAsia="es-ES"/>
        </w:rPr>
        <w:t>POA</w:t>
      </w:r>
      <w:r w:rsidR="00A71B1E">
        <w:rPr>
          <w:rFonts w:eastAsia="Times New Roman"/>
          <w:szCs w:val="24"/>
          <w:lang w:val="es-ES" w:eastAsia="es-ES"/>
        </w:rPr>
        <w:t>)</w:t>
      </w:r>
      <w:r w:rsidR="00DA57CA">
        <w:rPr>
          <w:rFonts w:eastAsia="Times New Roman"/>
          <w:szCs w:val="24"/>
          <w:lang w:val="es-ES" w:eastAsia="es-ES"/>
        </w:rPr>
        <w:t xml:space="preserve"> 2021</w:t>
      </w:r>
      <w:r w:rsidRPr="004C21E3">
        <w:rPr>
          <w:rFonts w:eastAsia="Times New Roman"/>
          <w:szCs w:val="24"/>
          <w:lang w:val="es-ES" w:eastAsia="es-ES"/>
        </w:rPr>
        <w:t>.</w:t>
      </w:r>
    </w:p>
    <w:p w:rsidR="00DA4FB5" w:rsidRDefault="00DA4FB5" w:rsidP="004C21E3">
      <w:pPr>
        <w:spacing w:before="240" w:after="0" w:line="360" w:lineRule="auto"/>
        <w:rPr>
          <w:rFonts w:eastAsia="Times New Roman"/>
          <w:szCs w:val="24"/>
          <w:lang w:val="es-ES" w:eastAsia="es-ES"/>
        </w:rPr>
      </w:pPr>
    </w:p>
    <w:p w:rsidR="00DA4FB5" w:rsidRDefault="00DA4FB5" w:rsidP="004C21E3">
      <w:pPr>
        <w:spacing w:before="240" w:after="0" w:line="360" w:lineRule="auto"/>
        <w:rPr>
          <w:rFonts w:eastAsia="Times New Roman"/>
          <w:szCs w:val="24"/>
          <w:lang w:val="es-ES" w:eastAsia="es-ES"/>
        </w:rPr>
      </w:pPr>
    </w:p>
    <w:p w:rsidR="00DA4FB5" w:rsidRDefault="00DA4FB5" w:rsidP="004C21E3">
      <w:pPr>
        <w:spacing w:before="240" w:after="0" w:line="360" w:lineRule="auto"/>
        <w:rPr>
          <w:rFonts w:eastAsia="Times New Roman"/>
          <w:szCs w:val="24"/>
          <w:lang w:val="es-ES" w:eastAsia="es-ES"/>
        </w:rPr>
      </w:pPr>
    </w:p>
    <w:p w:rsidR="00DA4FB5" w:rsidRDefault="00DA4FB5" w:rsidP="004C21E3">
      <w:pPr>
        <w:spacing w:before="240" w:after="0" w:line="360" w:lineRule="auto"/>
        <w:rPr>
          <w:rFonts w:eastAsia="Times New Roman"/>
          <w:szCs w:val="24"/>
          <w:lang w:val="es-ES" w:eastAsia="es-ES"/>
        </w:rPr>
      </w:pPr>
    </w:p>
    <w:p w:rsidR="00DA4FB5" w:rsidRDefault="00DA4FB5" w:rsidP="004C21E3">
      <w:pPr>
        <w:spacing w:before="240" w:after="0" w:line="360" w:lineRule="auto"/>
        <w:rPr>
          <w:rFonts w:eastAsia="Times New Roman"/>
          <w:szCs w:val="24"/>
          <w:lang w:val="es-ES" w:eastAsia="es-ES"/>
        </w:rPr>
      </w:pPr>
    </w:p>
    <w:p w:rsidR="00DA4FB5" w:rsidRDefault="00DA4FB5" w:rsidP="004C21E3">
      <w:pPr>
        <w:spacing w:before="240" w:after="0" w:line="360" w:lineRule="auto"/>
        <w:rPr>
          <w:rFonts w:eastAsia="Times New Roman"/>
          <w:szCs w:val="24"/>
          <w:lang w:val="es-ES" w:eastAsia="es-ES"/>
        </w:rPr>
      </w:pPr>
    </w:p>
    <w:p w:rsidR="00DA4FB5" w:rsidRDefault="00DA4FB5" w:rsidP="004C21E3">
      <w:pPr>
        <w:spacing w:before="240" w:after="0" w:line="360" w:lineRule="auto"/>
        <w:rPr>
          <w:rFonts w:eastAsia="Times New Roman"/>
          <w:szCs w:val="24"/>
          <w:lang w:val="es-ES" w:eastAsia="es-ES"/>
        </w:rPr>
      </w:pPr>
    </w:p>
    <w:p w:rsidR="00DA4FB5" w:rsidRPr="004C21E3" w:rsidRDefault="00DA4FB5" w:rsidP="004C21E3">
      <w:pPr>
        <w:spacing w:before="240" w:after="0" w:line="360" w:lineRule="auto"/>
        <w:rPr>
          <w:rFonts w:eastAsia="Times New Roman"/>
          <w:szCs w:val="24"/>
          <w:lang w:val="es-ES" w:eastAsia="es-ES"/>
        </w:rPr>
      </w:pPr>
    </w:p>
    <w:p w:rsidR="004C21E3" w:rsidRDefault="004C21E3" w:rsidP="004C21E3">
      <w:pPr>
        <w:spacing w:before="240" w:after="0" w:line="360" w:lineRule="auto"/>
        <w:rPr>
          <w:rFonts w:eastAsia="Times New Roman"/>
          <w:szCs w:val="24"/>
          <w:lang w:val="es-ES" w:eastAsia="es-ES"/>
        </w:rPr>
      </w:pPr>
      <w:r w:rsidRPr="004C21E3">
        <w:rPr>
          <w:rFonts w:eastAsia="Times New Roman"/>
          <w:szCs w:val="24"/>
          <w:lang w:val="es-ES" w:eastAsia="es-ES"/>
        </w:rPr>
        <w:lastRenderedPageBreak/>
        <w:t xml:space="preserve"> A </w:t>
      </w:r>
      <w:r w:rsidR="00A71B1E">
        <w:rPr>
          <w:rFonts w:eastAsia="Times New Roman"/>
          <w:szCs w:val="24"/>
          <w:lang w:val="es-ES" w:eastAsia="es-ES"/>
        </w:rPr>
        <w:t>c</w:t>
      </w:r>
      <w:r w:rsidRPr="004C21E3">
        <w:rPr>
          <w:rFonts w:eastAsia="Times New Roman"/>
          <w:szCs w:val="24"/>
          <w:lang w:val="es-ES" w:eastAsia="es-ES"/>
        </w:rPr>
        <w:t>ontinuación presentamos un detalle de las principales partidas presupuestarias:</w:t>
      </w:r>
    </w:p>
    <w:p w:rsidR="00DA57CA" w:rsidRPr="004C21E3" w:rsidRDefault="00DA57CA" w:rsidP="004C21E3">
      <w:pPr>
        <w:spacing w:before="240" w:after="0" w:line="360" w:lineRule="auto"/>
        <w:rPr>
          <w:rFonts w:eastAsia="Times New Roman"/>
          <w:szCs w:val="24"/>
          <w:lang w:val="es-ES" w:eastAsia="es-ES"/>
        </w:rPr>
      </w:pPr>
    </w:p>
    <w:tbl>
      <w:tblPr>
        <w:tblW w:w="9553" w:type="dxa"/>
        <w:tblCellMar>
          <w:left w:w="70" w:type="dxa"/>
          <w:right w:w="70" w:type="dxa"/>
        </w:tblCellMar>
        <w:tblLook w:val="04A0" w:firstRow="1" w:lastRow="0" w:firstColumn="1" w:lastColumn="0" w:noHBand="0" w:noVBand="1"/>
      </w:tblPr>
      <w:tblGrid>
        <w:gridCol w:w="3892"/>
        <w:gridCol w:w="1520"/>
        <w:gridCol w:w="1520"/>
        <w:gridCol w:w="1154"/>
        <w:gridCol w:w="1467"/>
      </w:tblGrid>
      <w:tr w:rsidR="004C21E3" w:rsidRPr="004C21E3" w:rsidTr="00F6196C">
        <w:trPr>
          <w:trHeight w:val="688"/>
        </w:trPr>
        <w:tc>
          <w:tcPr>
            <w:tcW w:w="9553" w:type="dxa"/>
            <w:gridSpan w:val="5"/>
            <w:tcBorders>
              <w:top w:val="single" w:sz="4" w:space="0" w:color="auto"/>
              <w:left w:val="single" w:sz="4" w:space="0" w:color="auto"/>
              <w:bottom w:val="single" w:sz="4" w:space="0" w:color="auto"/>
              <w:right w:val="single" w:sz="4" w:space="0" w:color="auto"/>
            </w:tcBorders>
            <w:shd w:val="clear" w:color="auto" w:fill="003876"/>
            <w:noWrap/>
            <w:vAlign w:val="center"/>
            <w:hideMark/>
          </w:tcPr>
          <w:p w:rsid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Ejecución Presupuestaria</w:t>
            </w:r>
          </w:p>
          <w:p w:rsidR="00425312" w:rsidRPr="004C21E3" w:rsidRDefault="00425312" w:rsidP="00DA57CA">
            <w:pPr>
              <w:spacing w:after="0" w:line="240" w:lineRule="auto"/>
              <w:jc w:val="center"/>
              <w:rPr>
                <w:rFonts w:eastAsia="Times New Roman"/>
                <w:b/>
                <w:bCs/>
                <w:color w:val="FFFFFF"/>
                <w:szCs w:val="24"/>
              </w:rPr>
            </w:pPr>
            <w:r w:rsidRPr="004C21E3">
              <w:rPr>
                <w:rFonts w:eastAsia="Times New Roman"/>
                <w:b/>
                <w:bCs/>
                <w:color w:val="FFFFFF"/>
                <w:szCs w:val="24"/>
              </w:rPr>
              <w:t xml:space="preserve">Al 30 de </w:t>
            </w:r>
            <w:r w:rsidR="00DA57CA">
              <w:rPr>
                <w:rFonts w:eastAsia="Times New Roman"/>
                <w:b/>
                <w:bCs/>
                <w:color w:val="FFFFFF"/>
                <w:szCs w:val="24"/>
              </w:rPr>
              <w:t>N</w:t>
            </w:r>
            <w:r w:rsidRPr="004C21E3">
              <w:rPr>
                <w:rFonts w:eastAsia="Times New Roman"/>
                <w:b/>
                <w:bCs/>
                <w:color w:val="FFFFFF"/>
                <w:szCs w:val="24"/>
              </w:rPr>
              <w:t>oviembre de 2021</w:t>
            </w:r>
          </w:p>
        </w:tc>
      </w:tr>
      <w:tr w:rsidR="004C21E3" w:rsidRPr="004C21E3" w:rsidTr="00F6196C">
        <w:trPr>
          <w:trHeight w:val="576"/>
        </w:trPr>
        <w:tc>
          <w:tcPr>
            <w:tcW w:w="3892" w:type="dxa"/>
            <w:tcBorders>
              <w:top w:val="single" w:sz="4" w:space="0" w:color="auto"/>
              <w:left w:val="single" w:sz="4" w:space="0" w:color="auto"/>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Objeto</w:t>
            </w:r>
          </w:p>
        </w:tc>
        <w:tc>
          <w:tcPr>
            <w:tcW w:w="1520" w:type="dxa"/>
            <w:tcBorders>
              <w:top w:val="single" w:sz="4" w:space="0" w:color="auto"/>
              <w:left w:val="nil"/>
              <w:bottom w:val="single" w:sz="4" w:space="0" w:color="auto"/>
              <w:right w:val="single" w:sz="4" w:space="0" w:color="auto"/>
            </w:tcBorders>
            <w:shd w:val="clear" w:color="auto" w:fill="003876"/>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Presupuesto Aprobado      (A)</w:t>
            </w:r>
          </w:p>
        </w:tc>
        <w:tc>
          <w:tcPr>
            <w:tcW w:w="1520" w:type="dxa"/>
            <w:tcBorders>
              <w:top w:val="single" w:sz="4" w:space="0" w:color="auto"/>
              <w:left w:val="nil"/>
              <w:bottom w:val="single" w:sz="4" w:space="0" w:color="auto"/>
              <w:right w:val="single" w:sz="4" w:space="0" w:color="auto"/>
            </w:tcBorders>
            <w:shd w:val="clear" w:color="auto" w:fill="003876"/>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Presupuesto Ejecutado      (B)</w:t>
            </w:r>
          </w:p>
        </w:tc>
        <w:tc>
          <w:tcPr>
            <w:tcW w:w="1154" w:type="dxa"/>
            <w:tcBorders>
              <w:top w:val="single" w:sz="4" w:space="0" w:color="auto"/>
              <w:left w:val="nil"/>
              <w:bottom w:val="single" w:sz="4" w:space="0" w:color="auto"/>
              <w:right w:val="single" w:sz="4" w:space="0" w:color="auto"/>
            </w:tcBorders>
            <w:shd w:val="clear" w:color="auto" w:fill="003876"/>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de Ejecución (C=B/A)</w:t>
            </w:r>
          </w:p>
        </w:tc>
        <w:tc>
          <w:tcPr>
            <w:tcW w:w="1467" w:type="dxa"/>
            <w:tcBorders>
              <w:top w:val="single" w:sz="4" w:space="0" w:color="auto"/>
              <w:left w:val="nil"/>
              <w:bottom w:val="single" w:sz="4" w:space="0" w:color="auto"/>
              <w:right w:val="single" w:sz="4" w:space="0" w:color="auto"/>
            </w:tcBorders>
            <w:shd w:val="clear" w:color="auto" w:fill="003876"/>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Variación        (D=A-B)</w:t>
            </w:r>
          </w:p>
        </w:tc>
      </w:tr>
      <w:tr w:rsidR="004C21E3" w:rsidRPr="004C21E3" w:rsidTr="00F6196C">
        <w:trPr>
          <w:trHeight w:val="56"/>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w:t>
            </w:r>
          </w:p>
        </w:tc>
        <w:tc>
          <w:tcPr>
            <w:tcW w:w="1520" w:type="dxa"/>
            <w:tcBorders>
              <w:top w:val="nil"/>
              <w:left w:val="nil"/>
              <w:bottom w:val="single" w:sz="4" w:space="0" w:color="auto"/>
              <w:right w:val="single" w:sz="4" w:space="0" w:color="auto"/>
            </w:tcBorders>
            <w:shd w:val="clear" w:color="auto" w:fill="auto"/>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w:t>
            </w:r>
          </w:p>
        </w:tc>
        <w:tc>
          <w:tcPr>
            <w:tcW w:w="1520" w:type="dxa"/>
            <w:tcBorders>
              <w:top w:val="nil"/>
              <w:left w:val="nil"/>
              <w:bottom w:val="single" w:sz="4" w:space="0" w:color="auto"/>
              <w:right w:val="single" w:sz="4" w:space="0" w:color="auto"/>
            </w:tcBorders>
            <w:shd w:val="clear" w:color="auto" w:fill="auto"/>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w:t>
            </w:r>
          </w:p>
        </w:tc>
        <w:tc>
          <w:tcPr>
            <w:tcW w:w="1154" w:type="dxa"/>
            <w:tcBorders>
              <w:top w:val="nil"/>
              <w:left w:val="nil"/>
              <w:bottom w:val="single" w:sz="4" w:space="0" w:color="auto"/>
              <w:right w:val="single" w:sz="4" w:space="0" w:color="auto"/>
            </w:tcBorders>
            <w:shd w:val="clear" w:color="auto" w:fill="auto"/>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w:t>
            </w:r>
          </w:p>
        </w:tc>
        <w:tc>
          <w:tcPr>
            <w:tcW w:w="1467" w:type="dxa"/>
            <w:tcBorders>
              <w:top w:val="nil"/>
              <w:left w:val="nil"/>
              <w:bottom w:val="single" w:sz="4" w:space="0" w:color="auto"/>
              <w:right w:val="single" w:sz="4" w:space="0" w:color="auto"/>
            </w:tcBorders>
            <w:shd w:val="clear" w:color="auto" w:fill="auto"/>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left"/>
              <w:rPr>
                <w:rFonts w:eastAsia="Times New Roman"/>
                <w:b/>
                <w:bCs/>
                <w:color w:val="FFFFFF"/>
                <w:szCs w:val="24"/>
              </w:rPr>
            </w:pPr>
            <w:r w:rsidRPr="004C21E3">
              <w:rPr>
                <w:rFonts w:eastAsia="Times New Roman"/>
                <w:b/>
                <w:bCs/>
                <w:color w:val="FFFFFF"/>
                <w:szCs w:val="24"/>
              </w:rPr>
              <w:t>Ingresos Totales</w:t>
            </w:r>
          </w:p>
        </w:tc>
        <w:tc>
          <w:tcPr>
            <w:tcW w:w="1520"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1,826,952,336</w:t>
            </w:r>
          </w:p>
        </w:tc>
        <w:tc>
          <w:tcPr>
            <w:tcW w:w="1520"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2,275,194,468</w:t>
            </w:r>
          </w:p>
        </w:tc>
        <w:tc>
          <w:tcPr>
            <w:tcW w:w="1154"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125%</w:t>
            </w:r>
          </w:p>
        </w:tc>
        <w:tc>
          <w:tcPr>
            <w:tcW w:w="1467"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-448,242,132</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 xml:space="preserve">1.1 - Impuestos </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1,807,570,276</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1,494,656,342</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83%</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312,913,934</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1.6 - Otros Ingresos</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19,382,060</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780,538,126</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4027%</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-761,156,066</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left"/>
              <w:rPr>
                <w:rFonts w:eastAsia="Times New Roman"/>
                <w:b/>
                <w:bCs/>
                <w:color w:val="FFFFFF"/>
                <w:szCs w:val="24"/>
              </w:rPr>
            </w:pPr>
            <w:r w:rsidRPr="004C21E3">
              <w:rPr>
                <w:rFonts w:eastAsia="Times New Roman"/>
                <w:b/>
                <w:bCs/>
                <w:color w:val="FFFFFF"/>
                <w:szCs w:val="24"/>
              </w:rPr>
              <w:t>Gastos Totales</w:t>
            </w:r>
          </w:p>
        </w:tc>
        <w:tc>
          <w:tcPr>
            <w:tcW w:w="1520"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1,826,952,336</w:t>
            </w:r>
          </w:p>
        </w:tc>
        <w:tc>
          <w:tcPr>
            <w:tcW w:w="1520"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1,383,853,171</w:t>
            </w:r>
          </w:p>
        </w:tc>
        <w:tc>
          <w:tcPr>
            <w:tcW w:w="1154"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76%</w:t>
            </w:r>
          </w:p>
        </w:tc>
        <w:tc>
          <w:tcPr>
            <w:tcW w:w="1467"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443,099,165</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2.1 - Remuneraciones y Contribuciones</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1,089,518,676</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1,004,479,744</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92%</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85,038,932</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 xml:space="preserve">2.2 - Contratación De Servicios </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468,296,295</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277,357,105</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59%</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190,939,190</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2.3 - Materiales y Suministros</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61,828,336</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28,590,684</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46%</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33,237,652</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2.4 - Transferencias Corrientes</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32,496,130</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6,995,441</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22%</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25,500,689</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 xml:space="preserve">2.5 - Transferencias de Capital </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76,619,301</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27,611,435</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36%</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49,007,866</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 xml:space="preserve">2.6 - Bienes Muebles, Inmuebles E Intangibles </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85,903,598</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38,818,763</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45%</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47,084,835</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auto"/>
            <w:vAlign w:val="center"/>
            <w:hideMark/>
          </w:tcPr>
          <w:p w:rsidR="004C21E3" w:rsidRPr="004C21E3" w:rsidRDefault="004C21E3" w:rsidP="004C21E3">
            <w:pPr>
              <w:spacing w:after="0" w:line="240" w:lineRule="auto"/>
              <w:jc w:val="left"/>
              <w:rPr>
                <w:rFonts w:eastAsia="Times New Roman"/>
                <w:color w:val="000000"/>
                <w:szCs w:val="24"/>
              </w:rPr>
            </w:pPr>
            <w:r w:rsidRPr="004C21E3">
              <w:rPr>
                <w:rFonts w:eastAsia="Times New Roman"/>
                <w:color w:val="000000"/>
                <w:szCs w:val="24"/>
              </w:rPr>
              <w:t>2.7 – Obras</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12,290,000</w:t>
            </w:r>
          </w:p>
        </w:tc>
        <w:tc>
          <w:tcPr>
            <w:tcW w:w="1520"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right"/>
              <w:rPr>
                <w:rFonts w:eastAsia="Times New Roman"/>
                <w:color w:val="000000"/>
                <w:szCs w:val="24"/>
              </w:rPr>
            </w:pPr>
            <w:r w:rsidRPr="004C21E3">
              <w:rPr>
                <w:rFonts w:eastAsia="Times New Roman"/>
                <w:color w:val="000000"/>
                <w:szCs w:val="24"/>
              </w:rPr>
              <w:t>0</w:t>
            </w:r>
          </w:p>
        </w:tc>
        <w:tc>
          <w:tcPr>
            <w:tcW w:w="1154" w:type="dxa"/>
            <w:tcBorders>
              <w:top w:val="nil"/>
              <w:left w:val="nil"/>
              <w:bottom w:val="single" w:sz="4" w:space="0" w:color="auto"/>
              <w:right w:val="single" w:sz="4" w:space="0" w:color="auto"/>
            </w:tcBorders>
            <w:shd w:val="clear" w:color="auto" w:fill="auto"/>
            <w:noWrap/>
            <w:vAlign w:val="center"/>
            <w:hideMark/>
          </w:tcPr>
          <w:p w:rsidR="004C21E3" w:rsidRPr="004C21E3" w:rsidRDefault="004C21E3" w:rsidP="004C21E3">
            <w:pPr>
              <w:spacing w:after="0" w:line="240" w:lineRule="auto"/>
              <w:jc w:val="center"/>
              <w:rPr>
                <w:rFonts w:eastAsia="Times New Roman"/>
                <w:color w:val="000000"/>
                <w:szCs w:val="24"/>
              </w:rPr>
            </w:pPr>
            <w:r w:rsidRPr="004C21E3">
              <w:rPr>
                <w:rFonts w:eastAsia="Times New Roman"/>
                <w:color w:val="000000"/>
                <w:szCs w:val="24"/>
              </w:rPr>
              <w:t>0%</w:t>
            </w:r>
          </w:p>
        </w:tc>
        <w:tc>
          <w:tcPr>
            <w:tcW w:w="1467" w:type="dxa"/>
            <w:tcBorders>
              <w:top w:val="nil"/>
              <w:left w:val="nil"/>
              <w:bottom w:val="single" w:sz="4" w:space="0" w:color="auto"/>
              <w:right w:val="single" w:sz="4" w:space="0" w:color="auto"/>
            </w:tcBorders>
            <w:shd w:val="clear" w:color="000000" w:fill="FFFFFF"/>
            <w:noWrap/>
            <w:vAlign w:val="center"/>
            <w:hideMark/>
          </w:tcPr>
          <w:p w:rsidR="004C21E3" w:rsidRPr="004C21E3" w:rsidRDefault="004C21E3" w:rsidP="004C21E3">
            <w:pPr>
              <w:spacing w:after="0" w:line="240" w:lineRule="auto"/>
              <w:jc w:val="right"/>
              <w:rPr>
                <w:rFonts w:eastAsia="Times New Roman"/>
                <w:b/>
                <w:bCs/>
                <w:color w:val="auto"/>
                <w:szCs w:val="24"/>
              </w:rPr>
            </w:pPr>
            <w:r w:rsidRPr="004C21E3">
              <w:rPr>
                <w:rFonts w:eastAsia="Times New Roman"/>
                <w:b/>
                <w:bCs/>
                <w:color w:val="auto"/>
                <w:szCs w:val="24"/>
              </w:rPr>
              <w:t>12,290,000</w:t>
            </w:r>
          </w:p>
        </w:tc>
      </w:tr>
      <w:tr w:rsidR="004C21E3" w:rsidRPr="004C21E3" w:rsidTr="00F6196C">
        <w:trPr>
          <w:trHeight w:val="271"/>
        </w:trPr>
        <w:tc>
          <w:tcPr>
            <w:tcW w:w="3892" w:type="dxa"/>
            <w:tcBorders>
              <w:top w:val="nil"/>
              <w:left w:val="single" w:sz="4" w:space="0" w:color="auto"/>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left"/>
              <w:rPr>
                <w:rFonts w:eastAsia="Times New Roman"/>
                <w:b/>
                <w:bCs/>
                <w:color w:val="FFFFFF"/>
                <w:szCs w:val="24"/>
              </w:rPr>
            </w:pPr>
            <w:r w:rsidRPr="004C21E3">
              <w:rPr>
                <w:rFonts w:eastAsia="Times New Roman"/>
                <w:b/>
                <w:bCs/>
                <w:color w:val="FFFFFF"/>
                <w:szCs w:val="24"/>
              </w:rPr>
              <w:t>Resultado Financiero (1-2)</w:t>
            </w:r>
          </w:p>
        </w:tc>
        <w:tc>
          <w:tcPr>
            <w:tcW w:w="1520"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0</w:t>
            </w:r>
          </w:p>
        </w:tc>
        <w:tc>
          <w:tcPr>
            <w:tcW w:w="1520"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891,341,297</w:t>
            </w:r>
          </w:p>
        </w:tc>
        <w:tc>
          <w:tcPr>
            <w:tcW w:w="1154" w:type="dxa"/>
            <w:tcBorders>
              <w:top w:val="nil"/>
              <w:left w:val="nil"/>
              <w:bottom w:val="single" w:sz="4" w:space="0" w:color="auto"/>
              <w:right w:val="single" w:sz="4" w:space="0" w:color="auto"/>
            </w:tcBorders>
            <w:shd w:val="clear" w:color="auto" w:fill="003876"/>
            <w:noWrap/>
            <w:vAlign w:val="center"/>
            <w:hideMark/>
          </w:tcPr>
          <w:p w:rsidR="004C21E3" w:rsidRPr="004C21E3" w:rsidRDefault="004C21E3" w:rsidP="004C21E3">
            <w:pPr>
              <w:spacing w:after="0" w:line="240" w:lineRule="auto"/>
              <w:jc w:val="center"/>
              <w:rPr>
                <w:rFonts w:eastAsia="Times New Roman"/>
                <w:b/>
                <w:bCs/>
                <w:color w:val="FFFFFF"/>
                <w:szCs w:val="24"/>
              </w:rPr>
            </w:pPr>
            <w:r w:rsidRPr="004C21E3">
              <w:rPr>
                <w:rFonts w:eastAsia="Times New Roman"/>
                <w:b/>
                <w:bCs/>
                <w:color w:val="FFFFFF"/>
                <w:szCs w:val="24"/>
              </w:rPr>
              <w:t> </w:t>
            </w:r>
          </w:p>
        </w:tc>
        <w:tc>
          <w:tcPr>
            <w:tcW w:w="1467" w:type="dxa"/>
            <w:tcBorders>
              <w:top w:val="nil"/>
              <w:left w:val="nil"/>
              <w:bottom w:val="single" w:sz="4" w:space="0" w:color="auto"/>
              <w:right w:val="single" w:sz="4" w:space="0" w:color="auto"/>
            </w:tcBorders>
            <w:shd w:val="clear" w:color="auto" w:fill="003876"/>
            <w:noWrap/>
            <w:vAlign w:val="center"/>
            <w:hideMark/>
          </w:tcPr>
          <w:p w:rsidR="0009175E"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-891,34</w:t>
            </w:r>
          </w:p>
          <w:p w:rsidR="004C21E3" w:rsidRPr="004C21E3" w:rsidRDefault="004C21E3" w:rsidP="004C21E3">
            <w:pPr>
              <w:spacing w:after="0" w:line="240" w:lineRule="auto"/>
              <w:jc w:val="right"/>
              <w:rPr>
                <w:rFonts w:eastAsia="Times New Roman"/>
                <w:b/>
                <w:bCs/>
                <w:color w:val="FFFFFF"/>
                <w:szCs w:val="24"/>
              </w:rPr>
            </w:pPr>
            <w:r w:rsidRPr="004C21E3">
              <w:rPr>
                <w:rFonts w:eastAsia="Times New Roman"/>
                <w:b/>
                <w:bCs/>
                <w:color w:val="FFFFFF"/>
                <w:szCs w:val="24"/>
              </w:rPr>
              <w:t>1,297</w:t>
            </w:r>
          </w:p>
        </w:tc>
      </w:tr>
    </w:tbl>
    <w:p w:rsidR="00F6196C" w:rsidRPr="00ED781A" w:rsidRDefault="00F6196C" w:rsidP="00F6196C">
      <w:pPr>
        <w:spacing w:after="0" w:line="240" w:lineRule="auto"/>
        <w:jc w:val="left"/>
        <w:rPr>
          <w:rFonts w:eastAsia="Times New Roman"/>
          <w:sz w:val="18"/>
        </w:rPr>
      </w:pPr>
      <w:r w:rsidRPr="00ED781A">
        <w:rPr>
          <w:rFonts w:eastAsia="Times New Roman"/>
          <w:b/>
          <w:sz w:val="18"/>
        </w:rPr>
        <w:t>Fuente:</w:t>
      </w:r>
      <w:r w:rsidRPr="00ED781A">
        <w:rPr>
          <w:rFonts w:eastAsia="Times New Roman"/>
          <w:sz w:val="18"/>
        </w:rPr>
        <w:t xml:space="preserve"> </w:t>
      </w:r>
      <w:r>
        <w:rPr>
          <w:rFonts w:eastAsia="Times New Roman"/>
          <w:sz w:val="18"/>
        </w:rPr>
        <w:t>Dirección Financiera, Departamento de Presupuesto</w:t>
      </w:r>
    </w:p>
    <w:p w:rsidR="0009175E" w:rsidRDefault="0009175E" w:rsidP="0009175E"/>
    <w:p w:rsidR="0009175E" w:rsidRDefault="0009175E" w:rsidP="0009175E"/>
    <w:p w:rsidR="0009175E" w:rsidRDefault="0009175E" w:rsidP="0009175E"/>
    <w:p w:rsidR="0009175E" w:rsidRDefault="0009175E" w:rsidP="0009175E"/>
    <w:p w:rsidR="0009175E" w:rsidRDefault="0009175E" w:rsidP="0009175E"/>
    <w:p w:rsidR="0009175E" w:rsidRDefault="0009175E" w:rsidP="0009175E"/>
    <w:p w:rsidR="0009175E" w:rsidRDefault="0009175E" w:rsidP="0009175E"/>
    <w:p w:rsidR="0009175E" w:rsidRDefault="0009175E" w:rsidP="0009175E"/>
    <w:p w:rsidR="0009175E" w:rsidRDefault="0009175E" w:rsidP="0009175E"/>
    <w:p w:rsidR="00426D0B" w:rsidRDefault="00426D0B" w:rsidP="00426D0B">
      <w:pPr>
        <w:pStyle w:val="Ttulo3"/>
        <w:rPr>
          <w:szCs w:val="28"/>
        </w:rPr>
      </w:pPr>
      <w:bookmarkStart w:id="67" w:name="_Toc90936653"/>
      <w:r w:rsidRPr="001E6E21">
        <w:rPr>
          <w:szCs w:val="28"/>
        </w:rPr>
        <w:lastRenderedPageBreak/>
        <w:t xml:space="preserve">Desempeño </w:t>
      </w:r>
      <w:r w:rsidR="00ED2901" w:rsidRPr="001E6E21">
        <w:rPr>
          <w:szCs w:val="28"/>
        </w:rPr>
        <w:t>de los Recursos Humanos</w:t>
      </w:r>
      <w:bookmarkEnd w:id="67"/>
    </w:p>
    <w:p w:rsidR="00D3090E" w:rsidRDefault="00D3090E" w:rsidP="00D3090E"/>
    <w:p w:rsidR="008F2154" w:rsidRPr="008F2154" w:rsidRDefault="008F2154" w:rsidP="008F2154">
      <w:pPr>
        <w:spacing w:line="360" w:lineRule="auto"/>
        <w:rPr>
          <w:rFonts w:eastAsiaTheme="minorHAnsi"/>
          <w:b/>
          <w:color w:val="717176"/>
          <w:szCs w:val="24"/>
          <w:lang w:eastAsia="en-US"/>
        </w:rPr>
      </w:pPr>
      <w:r w:rsidRPr="008F2154">
        <w:rPr>
          <w:rFonts w:eastAsiaTheme="minorHAnsi"/>
          <w:b/>
          <w:color w:val="717176"/>
          <w:szCs w:val="24"/>
          <w:lang w:eastAsia="en-US"/>
        </w:rPr>
        <w:t>Voluntariado, Responsabilidad Social y Clima Laboral</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El INDOTEL tiene como compromiso gestionar los valores de los colaboradores de forma estratégica, con el objetivo de lograr la identificación de los mismos con la misión de la institución. Es por esta razón que se han desarrollado las actividades que se detallan a continuación:</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En el mes de enero, fue coordinada la actividad denominada "El Árbol de la Esperanza", la cual tuvo por objeto incentivar a los colaboradores ante  las  causas sociales y motivar el sentido de la colaboración con los más necesitados. Este año se apadrinaron dos fundaciones: Hogar Caridad Misionera y Nuestros Pequeños Hermanos, en la cual se realizó la entrega de 460 regalos a los niños y niñas que pertenecen a cada fundación;</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14 de febrero, celebramos el Día del Amor y la Amistad;</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 xml:space="preserve">El 27 de febrero, con motivo de la conmemoración del Día de la Independencia Nacional, fue enviado a todo el personal un arte resaltando el compromiso de honrar la memoria de nuestros padres de la Patria. Se realizó una ofrenda floral en el Altar de la Patria, presidida por el señor Nelson Arroyo, presidente del Consejo Directivo del INDOTEL y la señora Julissa Cruz Abreu, directora ejecutiva; </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Felicitación a cada colaborador por motivo de su cumpleaños por medio de tarjeta y correo electrónico;</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En el mes de marzo, se inició con el envío semanal de frases motivadoras vía correo electrónico a todo el personal de la institución;</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8 de marzo, conmemoramos el Día Internacional de la Mujer;</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 xml:space="preserve">El 21 de marzo, fue enviado a todos los colaboradores un arte para crear conciencia sobre el Síndrome de Down; </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lastRenderedPageBreak/>
        <w:t>En el mes de marzo, el INDOTEL consciente de que el talento humano es un recurso fundamental para el éxito de cualquier institución, realizó la Encuesta de Clima Laboral, con el objetivo de conocer el sentir de sus colaboradores sobre las diferentes variables que conforman la cultura organizacional. Para esto se tomó una muestra de 241 colaboradores que cumplían con los requisitos y lineamentos establecidos por el Ministerio de Administración Pública (MAP). Cabe destacar que el INDOTEL fue felicitado por el Ministerio de Administración Pública (MAP), por realizar la aplicación del instrumento en tiempo record;</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26 de abril, celebramos el Día de las Secretarias;</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1 de mayo, se felicitó a los colaboradores por el Día del Trabajador y se les agradeció por el empeño en su labor diaria;</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27 de mayo, celebramos el 23 Aniversario de la Ley General de Telecomunicaciones, Núm. 153-98;</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28 de mayo, celebramos el Día de las Madres;</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En el mes de junio, se elaboró el Plan de Mejora de Clima Laboral 2021, el cual tiene como objetivo principal contribuir al cambio del clima organizacional y el fortalecimiento de una nueva cultura institucional que permita contar con colaboradores satisfechos y comprometidos lo cual redunde en la satisfacción de los usuarios.</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En fecha 25 de julio fue celebrado el Día de los Padres;</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INDOTEL, est</w:t>
      </w:r>
      <w:r w:rsidR="00E472FB">
        <w:rPr>
          <w:rFonts w:eastAsiaTheme="minorHAnsi"/>
          <w:color w:val="717176"/>
          <w:szCs w:val="24"/>
          <w:lang w:eastAsia="en-US"/>
        </w:rPr>
        <w:t>á</w:t>
      </w:r>
      <w:r w:rsidRPr="008F2154">
        <w:rPr>
          <w:rFonts w:eastAsiaTheme="minorHAnsi"/>
          <w:color w:val="717176"/>
          <w:szCs w:val="24"/>
          <w:lang w:eastAsia="en-US"/>
        </w:rPr>
        <w:t xml:space="preserve"> fomentado el compromiso para la preservación del medio ambiente. En el mes de septiembre el señor Nelson Arroyo, presidente del Consejo Directivo del INDOTEL, junto a un grupo de colaboradores y colaboradoras y como parte de la Campaña “INDOTEL Verde”, celebró el Día Internacional de Limpiezas de Costas. Para esto se realizó una jornada de limpieza de playas y riberas de los ríos, coordinada por la Dirección de Gestión Humana y su Departamento de Voluntariado y Responsabilidad Social. La misma se llevó a cabo el sábado 18 de </w:t>
      </w:r>
      <w:r w:rsidRPr="008F2154">
        <w:rPr>
          <w:rFonts w:eastAsiaTheme="minorHAnsi"/>
          <w:color w:val="717176"/>
          <w:szCs w:val="24"/>
          <w:lang w:eastAsia="en-US"/>
        </w:rPr>
        <w:lastRenderedPageBreak/>
        <w:t xml:space="preserve">septiembre, en San Pedro de Macorís y los puntos visitados para los fines fueron, </w:t>
      </w:r>
      <w:proofErr w:type="spellStart"/>
      <w:r w:rsidRPr="008F2154">
        <w:rPr>
          <w:rFonts w:eastAsiaTheme="minorHAnsi"/>
          <w:color w:val="717176"/>
          <w:szCs w:val="24"/>
          <w:lang w:eastAsia="en-US"/>
        </w:rPr>
        <w:t>Cumayasa</w:t>
      </w:r>
      <w:proofErr w:type="spellEnd"/>
      <w:r w:rsidRPr="008F2154">
        <w:rPr>
          <w:rFonts w:eastAsiaTheme="minorHAnsi"/>
          <w:color w:val="717176"/>
          <w:szCs w:val="24"/>
          <w:lang w:eastAsia="en-US"/>
        </w:rPr>
        <w:t xml:space="preserve">, la desembocadura Rio Soco y Refugio Vida Silvestre (RVS) Rio </w:t>
      </w:r>
      <w:proofErr w:type="spellStart"/>
      <w:r w:rsidRPr="008F2154">
        <w:rPr>
          <w:rFonts w:eastAsiaTheme="minorHAnsi"/>
          <w:color w:val="717176"/>
          <w:szCs w:val="24"/>
          <w:lang w:eastAsia="en-US"/>
        </w:rPr>
        <w:t>Higuamo</w:t>
      </w:r>
      <w:proofErr w:type="spellEnd"/>
      <w:r w:rsidRPr="008F2154">
        <w:rPr>
          <w:rFonts w:eastAsiaTheme="minorHAnsi"/>
          <w:color w:val="717176"/>
          <w:szCs w:val="24"/>
          <w:lang w:eastAsia="en-US"/>
        </w:rPr>
        <w:t xml:space="preserve"> (Fuente de Oro).</w:t>
      </w:r>
    </w:p>
    <w:p w:rsidR="008F2154" w:rsidRPr="008F2154" w:rsidRDefault="008F2154" w:rsidP="008F2154">
      <w:pPr>
        <w:spacing w:line="360" w:lineRule="auto"/>
        <w:ind w:left="720"/>
        <w:contextualSpacing/>
        <w:rPr>
          <w:rFonts w:eastAsiaTheme="minorHAnsi"/>
          <w:color w:val="717176"/>
          <w:szCs w:val="24"/>
          <w:lang w:eastAsia="en-US"/>
        </w:rPr>
      </w:pPr>
    </w:p>
    <w:p w:rsidR="008F2154" w:rsidRPr="008F2154" w:rsidRDefault="008F2154" w:rsidP="008F2154">
      <w:pPr>
        <w:spacing w:line="360" w:lineRule="auto"/>
        <w:contextualSpacing/>
        <w:rPr>
          <w:rFonts w:eastAsiaTheme="minorHAnsi"/>
          <w:color w:val="717176"/>
          <w:szCs w:val="24"/>
          <w:lang w:eastAsia="en-US"/>
        </w:rPr>
      </w:pPr>
      <w:r w:rsidRPr="008F2154">
        <w:rPr>
          <w:rFonts w:eastAsiaTheme="minorHAnsi"/>
          <w:color w:val="717176"/>
          <w:szCs w:val="24"/>
          <w:lang w:eastAsia="en-US"/>
        </w:rPr>
        <w:t>La cantidad de desechos obtenidos en esta jornada fue la siguiente:</w:t>
      </w:r>
    </w:p>
    <w:tbl>
      <w:tblPr>
        <w:tblStyle w:val="Tablaconcuadrcula7"/>
        <w:tblW w:w="9469" w:type="dxa"/>
        <w:tblInd w:w="137" w:type="dxa"/>
        <w:tblLayout w:type="fixed"/>
        <w:tblLook w:val="04A0" w:firstRow="1" w:lastRow="0" w:firstColumn="1" w:lastColumn="0" w:noHBand="0" w:noVBand="1"/>
      </w:tblPr>
      <w:tblGrid>
        <w:gridCol w:w="1843"/>
        <w:gridCol w:w="1417"/>
        <w:gridCol w:w="1473"/>
        <w:gridCol w:w="1254"/>
        <w:gridCol w:w="1532"/>
        <w:gridCol w:w="1950"/>
      </w:tblGrid>
      <w:tr w:rsidR="008F2154" w:rsidRPr="008F2154" w:rsidTr="0063671D">
        <w:trPr>
          <w:trHeight w:val="534"/>
        </w:trPr>
        <w:tc>
          <w:tcPr>
            <w:tcW w:w="9469" w:type="dxa"/>
            <w:gridSpan w:val="6"/>
            <w:shd w:val="clear" w:color="auto" w:fill="003876"/>
            <w:vAlign w:val="center"/>
          </w:tcPr>
          <w:p w:rsidR="008F2154" w:rsidRPr="008F2154" w:rsidRDefault="008F2154" w:rsidP="008F2154">
            <w:pPr>
              <w:spacing w:after="0" w:line="240" w:lineRule="auto"/>
              <w:jc w:val="center"/>
              <w:rPr>
                <w:rFonts w:ascii="Times New Roman" w:eastAsia="Times New Roman" w:hAnsi="Times New Roman" w:cs="Times New Roman"/>
                <w:b/>
                <w:color w:val="auto"/>
              </w:rPr>
            </w:pPr>
            <w:proofErr w:type="spellStart"/>
            <w:r w:rsidRPr="008F2154">
              <w:rPr>
                <w:rFonts w:ascii="Times New Roman" w:eastAsia="Times New Roman" w:hAnsi="Times New Roman" w:cs="Times New Roman"/>
                <w:b/>
                <w:color w:val="auto"/>
              </w:rPr>
              <w:t>Desechos</w:t>
            </w:r>
            <w:proofErr w:type="spellEnd"/>
            <w:r w:rsidRPr="008F2154">
              <w:rPr>
                <w:rFonts w:ascii="Times New Roman" w:eastAsia="Times New Roman" w:hAnsi="Times New Roman" w:cs="Times New Roman"/>
                <w:b/>
                <w:color w:val="auto"/>
              </w:rPr>
              <w:t xml:space="preserve"> </w:t>
            </w:r>
            <w:proofErr w:type="spellStart"/>
            <w:r w:rsidRPr="008F2154">
              <w:rPr>
                <w:rFonts w:ascii="Times New Roman" w:eastAsia="Times New Roman" w:hAnsi="Times New Roman" w:cs="Times New Roman"/>
                <w:b/>
                <w:color w:val="auto"/>
              </w:rPr>
              <w:t>Obtenidos</w:t>
            </w:r>
            <w:proofErr w:type="spellEnd"/>
          </w:p>
        </w:tc>
      </w:tr>
      <w:tr w:rsidR="008F2154" w:rsidRPr="008F2154" w:rsidTr="0063671D">
        <w:trPr>
          <w:trHeight w:val="534"/>
        </w:trPr>
        <w:tc>
          <w:tcPr>
            <w:tcW w:w="1843" w:type="dxa"/>
            <w:shd w:val="clear" w:color="auto" w:fill="003876"/>
          </w:tcPr>
          <w:p w:rsidR="008F2154" w:rsidRPr="008F2154" w:rsidRDefault="008F2154" w:rsidP="008F2154">
            <w:pPr>
              <w:spacing w:after="0" w:line="240" w:lineRule="auto"/>
              <w:jc w:val="center"/>
              <w:rPr>
                <w:rFonts w:ascii="Times New Roman" w:eastAsia="Times New Roman" w:hAnsi="Times New Roman" w:cs="Times New Roman"/>
                <w:b/>
                <w:color w:val="auto"/>
              </w:rPr>
            </w:pPr>
            <w:r w:rsidRPr="008F2154">
              <w:rPr>
                <w:rFonts w:ascii="Times New Roman" w:eastAsia="Times New Roman" w:hAnsi="Times New Roman" w:cs="Times New Roman"/>
                <w:b/>
                <w:color w:val="auto"/>
              </w:rPr>
              <w:t>Lugar</w:t>
            </w:r>
          </w:p>
        </w:tc>
        <w:tc>
          <w:tcPr>
            <w:tcW w:w="1417" w:type="dxa"/>
            <w:shd w:val="clear" w:color="auto" w:fill="003876"/>
          </w:tcPr>
          <w:p w:rsidR="008F2154" w:rsidRPr="008F2154" w:rsidRDefault="008F2154" w:rsidP="008F2154">
            <w:pPr>
              <w:spacing w:after="0" w:line="240" w:lineRule="auto"/>
              <w:jc w:val="center"/>
              <w:rPr>
                <w:rFonts w:ascii="Times New Roman" w:eastAsia="Times New Roman" w:hAnsi="Times New Roman" w:cs="Times New Roman"/>
                <w:b/>
                <w:color w:val="auto"/>
              </w:rPr>
            </w:pPr>
            <w:proofErr w:type="spellStart"/>
            <w:r w:rsidRPr="008F2154">
              <w:rPr>
                <w:rFonts w:ascii="Times New Roman" w:eastAsia="Times New Roman" w:hAnsi="Times New Roman" w:cs="Times New Roman"/>
                <w:b/>
                <w:color w:val="auto"/>
              </w:rPr>
              <w:t>Plásticos</w:t>
            </w:r>
            <w:proofErr w:type="spellEnd"/>
            <w:r w:rsidRPr="008F2154">
              <w:rPr>
                <w:rFonts w:ascii="Times New Roman" w:eastAsia="Times New Roman" w:hAnsi="Times New Roman" w:cs="Times New Roman"/>
                <w:b/>
                <w:color w:val="auto"/>
              </w:rPr>
              <w:t xml:space="preserve"> </w:t>
            </w:r>
            <w:proofErr w:type="spellStart"/>
            <w:r w:rsidRPr="008F2154">
              <w:rPr>
                <w:rFonts w:ascii="Times New Roman" w:eastAsia="Times New Roman" w:hAnsi="Times New Roman" w:cs="Times New Roman"/>
                <w:b/>
                <w:color w:val="auto"/>
              </w:rPr>
              <w:t>Reciclables</w:t>
            </w:r>
            <w:proofErr w:type="spellEnd"/>
          </w:p>
        </w:tc>
        <w:tc>
          <w:tcPr>
            <w:tcW w:w="1473" w:type="dxa"/>
            <w:shd w:val="clear" w:color="auto" w:fill="003876"/>
          </w:tcPr>
          <w:p w:rsidR="008F2154" w:rsidRPr="008F2154" w:rsidRDefault="008F2154" w:rsidP="008F2154">
            <w:pPr>
              <w:spacing w:after="0" w:line="240" w:lineRule="auto"/>
              <w:jc w:val="center"/>
              <w:rPr>
                <w:rFonts w:ascii="Times New Roman" w:eastAsia="Times New Roman" w:hAnsi="Times New Roman" w:cs="Times New Roman"/>
                <w:b/>
                <w:color w:val="auto"/>
              </w:rPr>
            </w:pPr>
            <w:proofErr w:type="spellStart"/>
            <w:r w:rsidRPr="008F2154">
              <w:rPr>
                <w:rFonts w:ascii="Times New Roman" w:eastAsia="Times New Roman" w:hAnsi="Times New Roman" w:cs="Times New Roman"/>
                <w:b/>
                <w:color w:val="auto"/>
              </w:rPr>
              <w:t>Desechos</w:t>
            </w:r>
            <w:proofErr w:type="spellEnd"/>
            <w:r w:rsidRPr="008F2154">
              <w:rPr>
                <w:rFonts w:ascii="Times New Roman" w:eastAsia="Times New Roman" w:hAnsi="Times New Roman" w:cs="Times New Roman"/>
                <w:b/>
                <w:color w:val="auto"/>
              </w:rPr>
              <w:t xml:space="preserve"> no </w:t>
            </w:r>
            <w:proofErr w:type="spellStart"/>
            <w:r w:rsidRPr="008F2154">
              <w:rPr>
                <w:rFonts w:ascii="Times New Roman" w:eastAsia="Times New Roman" w:hAnsi="Times New Roman" w:cs="Times New Roman"/>
                <w:b/>
                <w:color w:val="auto"/>
              </w:rPr>
              <w:t>Reciclables</w:t>
            </w:r>
            <w:proofErr w:type="spellEnd"/>
          </w:p>
        </w:tc>
        <w:tc>
          <w:tcPr>
            <w:tcW w:w="1254" w:type="dxa"/>
            <w:shd w:val="clear" w:color="auto" w:fill="003876"/>
          </w:tcPr>
          <w:p w:rsidR="008F2154" w:rsidRPr="008F2154" w:rsidRDefault="008F2154" w:rsidP="008F2154">
            <w:pPr>
              <w:spacing w:after="0" w:line="240" w:lineRule="auto"/>
              <w:jc w:val="center"/>
              <w:rPr>
                <w:rFonts w:ascii="Times New Roman" w:eastAsia="Times New Roman" w:hAnsi="Times New Roman" w:cs="Times New Roman"/>
                <w:b/>
                <w:color w:val="auto"/>
              </w:rPr>
            </w:pPr>
            <w:proofErr w:type="spellStart"/>
            <w:r w:rsidRPr="008F2154">
              <w:rPr>
                <w:rFonts w:ascii="Times New Roman" w:eastAsia="Times New Roman" w:hAnsi="Times New Roman" w:cs="Times New Roman"/>
                <w:b/>
                <w:color w:val="auto"/>
              </w:rPr>
              <w:t>Metales</w:t>
            </w:r>
            <w:proofErr w:type="spellEnd"/>
          </w:p>
        </w:tc>
        <w:tc>
          <w:tcPr>
            <w:tcW w:w="1532" w:type="dxa"/>
            <w:shd w:val="clear" w:color="auto" w:fill="003876"/>
          </w:tcPr>
          <w:p w:rsidR="008F2154" w:rsidRPr="008F2154" w:rsidRDefault="008F2154" w:rsidP="008F2154">
            <w:pPr>
              <w:spacing w:after="0" w:line="240" w:lineRule="auto"/>
              <w:jc w:val="center"/>
              <w:rPr>
                <w:rFonts w:ascii="Times New Roman" w:eastAsia="Times New Roman" w:hAnsi="Times New Roman" w:cs="Times New Roman"/>
                <w:b/>
                <w:color w:val="auto"/>
              </w:rPr>
            </w:pPr>
            <w:proofErr w:type="spellStart"/>
            <w:r w:rsidRPr="008F2154">
              <w:rPr>
                <w:rFonts w:ascii="Times New Roman" w:eastAsia="Times New Roman" w:hAnsi="Times New Roman" w:cs="Times New Roman"/>
                <w:b/>
                <w:color w:val="auto"/>
              </w:rPr>
              <w:t>Vidrios</w:t>
            </w:r>
            <w:proofErr w:type="spellEnd"/>
          </w:p>
        </w:tc>
        <w:tc>
          <w:tcPr>
            <w:tcW w:w="1950" w:type="dxa"/>
            <w:shd w:val="clear" w:color="auto" w:fill="003876"/>
          </w:tcPr>
          <w:p w:rsidR="008F2154" w:rsidRPr="008F2154" w:rsidRDefault="008F2154" w:rsidP="008F2154">
            <w:pPr>
              <w:spacing w:after="0" w:line="240" w:lineRule="auto"/>
              <w:jc w:val="center"/>
              <w:rPr>
                <w:rFonts w:ascii="Times New Roman" w:eastAsia="Times New Roman" w:hAnsi="Times New Roman" w:cs="Times New Roman"/>
                <w:b/>
                <w:color w:val="auto"/>
              </w:rPr>
            </w:pPr>
            <w:proofErr w:type="spellStart"/>
            <w:r w:rsidRPr="008F2154">
              <w:rPr>
                <w:rFonts w:ascii="Times New Roman" w:eastAsia="Times New Roman" w:hAnsi="Times New Roman" w:cs="Times New Roman"/>
                <w:b/>
                <w:color w:val="auto"/>
              </w:rPr>
              <w:t>Materia</w:t>
            </w:r>
            <w:proofErr w:type="spellEnd"/>
            <w:r w:rsidRPr="008F2154">
              <w:rPr>
                <w:rFonts w:ascii="Times New Roman" w:eastAsia="Times New Roman" w:hAnsi="Times New Roman" w:cs="Times New Roman"/>
                <w:b/>
                <w:color w:val="auto"/>
              </w:rPr>
              <w:t xml:space="preserve"> </w:t>
            </w:r>
            <w:proofErr w:type="spellStart"/>
            <w:r w:rsidRPr="008F2154">
              <w:rPr>
                <w:rFonts w:ascii="Times New Roman" w:eastAsia="Times New Roman" w:hAnsi="Times New Roman" w:cs="Times New Roman"/>
                <w:b/>
                <w:color w:val="auto"/>
              </w:rPr>
              <w:t>Orgánica</w:t>
            </w:r>
            <w:proofErr w:type="spellEnd"/>
          </w:p>
        </w:tc>
      </w:tr>
      <w:tr w:rsidR="008F2154" w:rsidRPr="008F2154" w:rsidTr="005E7F52">
        <w:trPr>
          <w:trHeight w:val="788"/>
        </w:trPr>
        <w:tc>
          <w:tcPr>
            <w:tcW w:w="1843" w:type="dxa"/>
          </w:tcPr>
          <w:p w:rsidR="008F2154" w:rsidRPr="008F2154" w:rsidRDefault="008F2154" w:rsidP="008F2154">
            <w:pPr>
              <w:spacing w:after="0" w:line="360" w:lineRule="auto"/>
              <w:rPr>
                <w:rFonts w:ascii="Times New Roman" w:eastAsia="Times New Roman" w:hAnsi="Times New Roman" w:cs="Times New Roman"/>
                <w:color w:val="717176"/>
                <w:szCs w:val="24"/>
              </w:rPr>
            </w:pPr>
            <w:proofErr w:type="spellStart"/>
            <w:r w:rsidRPr="008F2154">
              <w:rPr>
                <w:rFonts w:ascii="Times New Roman" w:eastAsia="Times New Roman" w:hAnsi="Times New Roman" w:cs="Times New Roman"/>
                <w:color w:val="717176"/>
                <w:szCs w:val="24"/>
              </w:rPr>
              <w:t>Cumayasa</w:t>
            </w:r>
            <w:proofErr w:type="spellEnd"/>
          </w:p>
        </w:tc>
        <w:tc>
          <w:tcPr>
            <w:tcW w:w="1417"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36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792 </w:t>
            </w:r>
            <w:proofErr w:type="spellStart"/>
            <w:r w:rsidRPr="008F2154">
              <w:rPr>
                <w:rFonts w:ascii="Times New Roman" w:eastAsia="Times New Roman" w:hAnsi="Times New Roman" w:cs="Times New Roman"/>
                <w:color w:val="717176"/>
                <w:szCs w:val="24"/>
              </w:rPr>
              <w:t>Lbs</w:t>
            </w:r>
            <w:proofErr w:type="spellEnd"/>
          </w:p>
        </w:tc>
        <w:tc>
          <w:tcPr>
            <w:tcW w:w="1473"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60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1,200 </w:t>
            </w:r>
            <w:proofErr w:type="spellStart"/>
            <w:r w:rsidRPr="008F2154">
              <w:rPr>
                <w:rFonts w:ascii="Times New Roman" w:eastAsia="Times New Roman" w:hAnsi="Times New Roman" w:cs="Times New Roman"/>
                <w:color w:val="717176"/>
                <w:szCs w:val="24"/>
              </w:rPr>
              <w:t>Lbs</w:t>
            </w:r>
            <w:proofErr w:type="spellEnd"/>
          </w:p>
        </w:tc>
        <w:tc>
          <w:tcPr>
            <w:tcW w:w="1254"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3 </w:t>
            </w:r>
            <w:proofErr w:type="spellStart"/>
            <w:r w:rsidRPr="008F2154">
              <w:rPr>
                <w:rFonts w:ascii="Times New Roman" w:eastAsia="Times New Roman" w:hAnsi="Times New Roman" w:cs="Times New Roman"/>
                <w:color w:val="717176"/>
                <w:szCs w:val="24"/>
              </w:rPr>
              <w:t>Sacos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105 </w:t>
            </w:r>
            <w:proofErr w:type="spellStart"/>
            <w:r w:rsidRPr="008F2154">
              <w:rPr>
                <w:rFonts w:ascii="Times New Roman" w:eastAsia="Times New Roman" w:hAnsi="Times New Roman" w:cs="Times New Roman"/>
                <w:color w:val="717176"/>
                <w:szCs w:val="24"/>
              </w:rPr>
              <w:t>Lbs</w:t>
            </w:r>
            <w:proofErr w:type="spellEnd"/>
          </w:p>
        </w:tc>
        <w:tc>
          <w:tcPr>
            <w:tcW w:w="1532"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9 </w:t>
            </w:r>
            <w:proofErr w:type="spellStart"/>
            <w:r w:rsidRPr="008F2154">
              <w:rPr>
                <w:rFonts w:ascii="Times New Roman" w:eastAsia="Times New Roman" w:hAnsi="Times New Roman" w:cs="Times New Roman"/>
                <w:color w:val="717176"/>
                <w:szCs w:val="24"/>
              </w:rPr>
              <w:t>Sacos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15l </w:t>
            </w:r>
            <w:proofErr w:type="spellStart"/>
            <w:r w:rsidRPr="008F2154">
              <w:rPr>
                <w:rFonts w:ascii="Times New Roman" w:eastAsia="Times New Roman" w:hAnsi="Times New Roman" w:cs="Times New Roman"/>
                <w:color w:val="717176"/>
                <w:szCs w:val="24"/>
              </w:rPr>
              <w:t>Lbs</w:t>
            </w:r>
            <w:proofErr w:type="spellEnd"/>
          </w:p>
        </w:tc>
        <w:tc>
          <w:tcPr>
            <w:tcW w:w="1950"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7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140 </w:t>
            </w:r>
            <w:proofErr w:type="spellStart"/>
            <w:r w:rsidRPr="008F2154">
              <w:rPr>
                <w:rFonts w:ascii="Times New Roman" w:eastAsia="Times New Roman" w:hAnsi="Times New Roman" w:cs="Times New Roman"/>
                <w:color w:val="717176"/>
                <w:szCs w:val="24"/>
              </w:rPr>
              <w:t>Lbs</w:t>
            </w:r>
            <w:proofErr w:type="spellEnd"/>
          </w:p>
        </w:tc>
      </w:tr>
      <w:tr w:rsidR="008F2154" w:rsidRPr="008F2154" w:rsidTr="005E7F52">
        <w:trPr>
          <w:trHeight w:val="1194"/>
        </w:trPr>
        <w:tc>
          <w:tcPr>
            <w:tcW w:w="1843" w:type="dxa"/>
          </w:tcPr>
          <w:p w:rsidR="008F2154" w:rsidRPr="008F2154" w:rsidRDefault="008F2154" w:rsidP="008F2154">
            <w:pPr>
              <w:spacing w:after="0" w:line="360" w:lineRule="auto"/>
              <w:rPr>
                <w:rFonts w:ascii="Times New Roman" w:eastAsia="Times New Roman" w:hAnsi="Times New Roman" w:cs="Times New Roman"/>
                <w:color w:val="717176"/>
                <w:szCs w:val="24"/>
              </w:rPr>
            </w:pPr>
            <w:proofErr w:type="spellStart"/>
            <w:r w:rsidRPr="008F2154">
              <w:rPr>
                <w:rFonts w:ascii="Times New Roman" w:eastAsia="Times New Roman" w:hAnsi="Times New Roman" w:cs="Times New Roman"/>
                <w:color w:val="717176"/>
                <w:szCs w:val="24"/>
              </w:rPr>
              <w:t>Desembocadura</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Rio </w:t>
            </w:r>
            <w:proofErr w:type="spellStart"/>
            <w:r w:rsidRPr="008F2154">
              <w:rPr>
                <w:rFonts w:ascii="Times New Roman" w:eastAsia="Times New Roman" w:hAnsi="Times New Roman" w:cs="Times New Roman"/>
                <w:color w:val="717176"/>
                <w:szCs w:val="24"/>
              </w:rPr>
              <w:t>Soco</w:t>
            </w:r>
            <w:proofErr w:type="spellEnd"/>
          </w:p>
          <w:p w:rsidR="008F2154" w:rsidRPr="008F2154" w:rsidRDefault="008F2154" w:rsidP="008F2154">
            <w:pPr>
              <w:spacing w:after="0" w:line="360" w:lineRule="auto"/>
              <w:rPr>
                <w:rFonts w:ascii="Times New Roman" w:eastAsia="Times New Roman" w:hAnsi="Times New Roman" w:cs="Times New Roman"/>
                <w:color w:val="717176"/>
                <w:szCs w:val="24"/>
              </w:rPr>
            </w:pPr>
          </w:p>
        </w:tc>
        <w:tc>
          <w:tcPr>
            <w:tcW w:w="1417"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18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 396 </w:t>
            </w:r>
            <w:proofErr w:type="spellStart"/>
            <w:r w:rsidRPr="008F2154">
              <w:rPr>
                <w:rFonts w:ascii="Times New Roman" w:eastAsia="Times New Roman" w:hAnsi="Times New Roman" w:cs="Times New Roman"/>
                <w:color w:val="717176"/>
                <w:szCs w:val="24"/>
              </w:rPr>
              <w:t>Lbs</w:t>
            </w:r>
            <w:proofErr w:type="spellEnd"/>
          </w:p>
        </w:tc>
        <w:tc>
          <w:tcPr>
            <w:tcW w:w="1473"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45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900 </w:t>
            </w:r>
            <w:proofErr w:type="spellStart"/>
            <w:r w:rsidRPr="008F2154">
              <w:rPr>
                <w:rFonts w:ascii="Times New Roman" w:eastAsia="Times New Roman" w:hAnsi="Times New Roman" w:cs="Times New Roman"/>
                <w:color w:val="717176"/>
                <w:szCs w:val="24"/>
              </w:rPr>
              <w:t>Lbs</w:t>
            </w:r>
            <w:proofErr w:type="spellEnd"/>
          </w:p>
        </w:tc>
        <w:tc>
          <w:tcPr>
            <w:tcW w:w="1254"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7 </w:t>
            </w:r>
            <w:proofErr w:type="spellStart"/>
            <w:r w:rsidRPr="008F2154">
              <w:rPr>
                <w:rFonts w:ascii="Times New Roman" w:eastAsia="Times New Roman" w:hAnsi="Times New Roman" w:cs="Times New Roman"/>
                <w:color w:val="717176"/>
                <w:szCs w:val="24"/>
              </w:rPr>
              <w:t>Sacos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245 </w:t>
            </w:r>
            <w:proofErr w:type="spellStart"/>
            <w:r w:rsidRPr="008F2154">
              <w:rPr>
                <w:rFonts w:ascii="Times New Roman" w:eastAsia="Times New Roman" w:hAnsi="Times New Roman" w:cs="Times New Roman"/>
                <w:color w:val="717176"/>
                <w:szCs w:val="24"/>
              </w:rPr>
              <w:t>Lbs</w:t>
            </w:r>
            <w:proofErr w:type="spellEnd"/>
          </w:p>
        </w:tc>
        <w:tc>
          <w:tcPr>
            <w:tcW w:w="1532"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5 </w:t>
            </w:r>
            <w:proofErr w:type="spellStart"/>
            <w:r w:rsidRPr="008F2154">
              <w:rPr>
                <w:rFonts w:ascii="Times New Roman" w:eastAsia="Times New Roman" w:hAnsi="Times New Roman" w:cs="Times New Roman"/>
                <w:color w:val="717176"/>
                <w:szCs w:val="24"/>
              </w:rPr>
              <w:t>Sacos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175 </w:t>
            </w:r>
            <w:proofErr w:type="spellStart"/>
            <w:r w:rsidRPr="008F2154">
              <w:rPr>
                <w:rFonts w:ascii="Times New Roman" w:eastAsia="Times New Roman" w:hAnsi="Times New Roman" w:cs="Times New Roman"/>
                <w:color w:val="717176"/>
                <w:szCs w:val="24"/>
              </w:rPr>
              <w:t>Lbs</w:t>
            </w:r>
            <w:proofErr w:type="spellEnd"/>
          </w:p>
        </w:tc>
        <w:tc>
          <w:tcPr>
            <w:tcW w:w="1950"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23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460 </w:t>
            </w:r>
            <w:proofErr w:type="spellStart"/>
            <w:r w:rsidRPr="008F2154">
              <w:rPr>
                <w:rFonts w:ascii="Times New Roman" w:eastAsia="Times New Roman" w:hAnsi="Times New Roman" w:cs="Times New Roman"/>
                <w:color w:val="717176"/>
                <w:szCs w:val="24"/>
              </w:rPr>
              <w:t>Lbs</w:t>
            </w:r>
            <w:proofErr w:type="spellEnd"/>
          </w:p>
        </w:tc>
      </w:tr>
      <w:tr w:rsidR="008F2154" w:rsidRPr="008F2154" w:rsidTr="005E7F52">
        <w:trPr>
          <w:trHeight w:val="1635"/>
        </w:trPr>
        <w:tc>
          <w:tcPr>
            <w:tcW w:w="1843" w:type="dxa"/>
          </w:tcPr>
          <w:p w:rsidR="008F2154" w:rsidRPr="008F2154" w:rsidRDefault="008F2154" w:rsidP="008F2154">
            <w:pPr>
              <w:spacing w:after="0" w:line="360" w:lineRule="auto"/>
              <w:rPr>
                <w:rFonts w:ascii="Times New Roman" w:eastAsia="Times New Roman" w:hAnsi="Times New Roman" w:cs="Times New Roman"/>
                <w:color w:val="717176"/>
                <w:szCs w:val="24"/>
                <w:lang w:val="es-DO"/>
              </w:rPr>
            </w:pPr>
            <w:r w:rsidRPr="008F2154">
              <w:rPr>
                <w:rFonts w:ascii="Times New Roman" w:eastAsia="Times New Roman" w:hAnsi="Times New Roman" w:cs="Times New Roman"/>
                <w:color w:val="717176"/>
                <w:szCs w:val="24"/>
                <w:lang w:val="es-DO"/>
              </w:rPr>
              <w:t xml:space="preserve">Refugio Vida Silvestre (RVS) Rio </w:t>
            </w:r>
            <w:proofErr w:type="spellStart"/>
            <w:r w:rsidRPr="008F2154">
              <w:rPr>
                <w:rFonts w:ascii="Times New Roman" w:eastAsia="Times New Roman" w:hAnsi="Times New Roman" w:cs="Times New Roman"/>
                <w:color w:val="717176"/>
                <w:szCs w:val="24"/>
                <w:lang w:val="es-DO"/>
              </w:rPr>
              <w:t>Higuamo</w:t>
            </w:r>
            <w:proofErr w:type="spellEnd"/>
            <w:r w:rsidRPr="008F2154">
              <w:rPr>
                <w:rFonts w:ascii="Times New Roman" w:eastAsia="Times New Roman" w:hAnsi="Times New Roman" w:cs="Times New Roman"/>
                <w:color w:val="717176"/>
                <w:szCs w:val="24"/>
                <w:lang w:val="es-DO"/>
              </w:rPr>
              <w:t xml:space="preserve">- </w:t>
            </w:r>
            <w:r w:rsidRPr="008F2154">
              <w:rPr>
                <w:rFonts w:ascii="Times New Roman" w:eastAsia="Times New Roman" w:hAnsi="Times New Roman" w:cs="Times New Roman"/>
                <w:b/>
                <w:color w:val="717176"/>
                <w:szCs w:val="24"/>
                <w:lang w:val="es-DO"/>
              </w:rPr>
              <w:t>F</w:t>
            </w:r>
            <w:r w:rsidRPr="008F2154">
              <w:rPr>
                <w:rFonts w:ascii="Times New Roman" w:eastAsia="Times New Roman" w:hAnsi="Times New Roman" w:cs="Times New Roman"/>
                <w:color w:val="717176"/>
                <w:szCs w:val="24"/>
                <w:lang w:val="es-DO"/>
              </w:rPr>
              <w:t>uente de Oro</w:t>
            </w:r>
          </w:p>
          <w:p w:rsidR="008F2154" w:rsidRPr="008F2154" w:rsidRDefault="008F2154" w:rsidP="008F2154">
            <w:pPr>
              <w:spacing w:after="0" w:line="360" w:lineRule="auto"/>
              <w:rPr>
                <w:rFonts w:ascii="Times New Roman" w:eastAsia="Times New Roman" w:hAnsi="Times New Roman" w:cs="Times New Roman"/>
                <w:color w:val="717176"/>
                <w:szCs w:val="24"/>
                <w:lang w:val="es-DO"/>
              </w:rPr>
            </w:pPr>
          </w:p>
        </w:tc>
        <w:tc>
          <w:tcPr>
            <w:tcW w:w="1417"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23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 xml:space="preserve">: 506 </w:t>
            </w:r>
            <w:proofErr w:type="spellStart"/>
            <w:r w:rsidRPr="008F2154">
              <w:rPr>
                <w:rFonts w:ascii="Times New Roman" w:eastAsia="Times New Roman" w:hAnsi="Times New Roman" w:cs="Times New Roman"/>
                <w:color w:val="717176"/>
                <w:szCs w:val="24"/>
              </w:rPr>
              <w:t>Lbs</w:t>
            </w:r>
            <w:proofErr w:type="spellEnd"/>
          </w:p>
        </w:tc>
        <w:tc>
          <w:tcPr>
            <w:tcW w:w="1473"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23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460 </w:t>
            </w:r>
            <w:proofErr w:type="spellStart"/>
            <w:r w:rsidRPr="008F2154">
              <w:rPr>
                <w:rFonts w:ascii="Times New Roman" w:eastAsia="Times New Roman" w:hAnsi="Times New Roman" w:cs="Times New Roman"/>
                <w:color w:val="717176"/>
                <w:szCs w:val="24"/>
              </w:rPr>
              <w:t>Lbs</w:t>
            </w:r>
            <w:proofErr w:type="spellEnd"/>
          </w:p>
        </w:tc>
        <w:tc>
          <w:tcPr>
            <w:tcW w:w="1254"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13 </w:t>
            </w:r>
            <w:proofErr w:type="spellStart"/>
            <w:r w:rsidRPr="008F2154">
              <w:rPr>
                <w:rFonts w:ascii="Times New Roman" w:eastAsia="Times New Roman" w:hAnsi="Times New Roman" w:cs="Times New Roman"/>
                <w:color w:val="717176"/>
                <w:szCs w:val="24"/>
              </w:rPr>
              <w:t>Sacos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455 </w:t>
            </w:r>
            <w:proofErr w:type="spellStart"/>
            <w:r w:rsidRPr="008F2154">
              <w:rPr>
                <w:rFonts w:ascii="Times New Roman" w:eastAsia="Times New Roman" w:hAnsi="Times New Roman" w:cs="Times New Roman"/>
                <w:color w:val="717176"/>
                <w:szCs w:val="24"/>
              </w:rPr>
              <w:t>Lbs</w:t>
            </w:r>
            <w:proofErr w:type="spellEnd"/>
          </w:p>
        </w:tc>
        <w:tc>
          <w:tcPr>
            <w:tcW w:w="1532"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13 </w:t>
            </w:r>
            <w:proofErr w:type="spellStart"/>
            <w:r w:rsidRPr="008F2154">
              <w:rPr>
                <w:rFonts w:ascii="Times New Roman" w:eastAsia="Times New Roman" w:hAnsi="Times New Roman" w:cs="Times New Roman"/>
                <w:color w:val="717176"/>
                <w:szCs w:val="24"/>
              </w:rPr>
              <w:t>Sacos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455 </w:t>
            </w:r>
            <w:proofErr w:type="spellStart"/>
            <w:r w:rsidRPr="008F2154">
              <w:rPr>
                <w:rFonts w:ascii="Times New Roman" w:eastAsia="Times New Roman" w:hAnsi="Times New Roman" w:cs="Times New Roman"/>
                <w:color w:val="717176"/>
                <w:szCs w:val="24"/>
              </w:rPr>
              <w:t>Lbs</w:t>
            </w:r>
            <w:proofErr w:type="spellEnd"/>
          </w:p>
        </w:tc>
        <w:tc>
          <w:tcPr>
            <w:tcW w:w="1950" w:type="dxa"/>
          </w:tcPr>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15 </w:t>
            </w:r>
            <w:proofErr w:type="spellStart"/>
            <w:r w:rsidRPr="008F2154">
              <w:rPr>
                <w:rFonts w:ascii="Times New Roman" w:eastAsia="Times New Roman" w:hAnsi="Times New Roman" w:cs="Times New Roman"/>
                <w:color w:val="717176"/>
                <w:szCs w:val="24"/>
              </w:rPr>
              <w:t>Fundas</w:t>
            </w:r>
            <w:proofErr w:type="spellEnd"/>
            <w:r w:rsidRPr="008F2154">
              <w:rPr>
                <w:rFonts w:ascii="Times New Roman" w:eastAsia="Times New Roman" w:hAnsi="Times New Roman" w:cs="Times New Roman"/>
                <w:color w:val="717176"/>
                <w:szCs w:val="24"/>
              </w:rPr>
              <w:t xml:space="preserve">: </w:t>
            </w:r>
          </w:p>
          <w:p w:rsidR="008F2154" w:rsidRPr="008F2154" w:rsidRDefault="008F2154" w:rsidP="008F2154">
            <w:pPr>
              <w:spacing w:after="0" w:line="360" w:lineRule="auto"/>
              <w:rPr>
                <w:rFonts w:ascii="Times New Roman" w:eastAsia="Times New Roman" w:hAnsi="Times New Roman" w:cs="Times New Roman"/>
                <w:color w:val="717176"/>
                <w:szCs w:val="24"/>
              </w:rPr>
            </w:pPr>
            <w:r w:rsidRPr="008F2154">
              <w:rPr>
                <w:rFonts w:ascii="Times New Roman" w:eastAsia="Times New Roman" w:hAnsi="Times New Roman" w:cs="Times New Roman"/>
                <w:color w:val="717176"/>
                <w:szCs w:val="24"/>
              </w:rPr>
              <w:t xml:space="preserve">300 </w:t>
            </w:r>
            <w:proofErr w:type="spellStart"/>
            <w:r w:rsidRPr="008F2154">
              <w:rPr>
                <w:rFonts w:ascii="Times New Roman" w:eastAsia="Times New Roman" w:hAnsi="Times New Roman" w:cs="Times New Roman"/>
                <w:color w:val="717176"/>
                <w:szCs w:val="24"/>
              </w:rPr>
              <w:t>Lbs</w:t>
            </w:r>
            <w:proofErr w:type="spellEnd"/>
          </w:p>
        </w:tc>
      </w:tr>
    </w:tbl>
    <w:p w:rsidR="008F2154" w:rsidRPr="008F2154" w:rsidRDefault="008F2154" w:rsidP="008F2154">
      <w:pPr>
        <w:spacing w:after="0" w:line="240" w:lineRule="auto"/>
        <w:jc w:val="left"/>
        <w:rPr>
          <w:rFonts w:eastAsiaTheme="minorHAnsi"/>
          <w:b/>
          <w:sz w:val="18"/>
          <w:lang w:eastAsia="en-US"/>
        </w:rPr>
      </w:pPr>
      <w:r>
        <w:rPr>
          <w:rFonts w:eastAsiaTheme="minorHAnsi"/>
          <w:b/>
          <w:sz w:val="18"/>
          <w:lang w:eastAsia="en-US"/>
        </w:rPr>
        <w:t xml:space="preserve">   F</w:t>
      </w:r>
      <w:r w:rsidRPr="008F2154">
        <w:rPr>
          <w:rFonts w:eastAsiaTheme="minorHAnsi"/>
          <w:b/>
          <w:sz w:val="18"/>
          <w:lang w:eastAsia="en-US"/>
        </w:rPr>
        <w:t xml:space="preserve">uente: </w:t>
      </w:r>
      <w:r w:rsidRPr="008F2154">
        <w:rPr>
          <w:rFonts w:eastAsiaTheme="minorHAnsi"/>
          <w:sz w:val="18"/>
          <w:lang w:eastAsia="en-US"/>
        </w:rPr>
        <w:t>Dirección de Gestión Humana</w:t>
      </w:r>
    </w:p>
    <w:p w:rsidR="008F2154" w:rsidRPr="008F2154" w:rsidRDefault="008F2154" w:rsidP="008F2154">
      <w:pPr>
        <w:spacing w:after="0" w:line="240" w:lineRule="auto"/>
        <w:ind w:firstLine="180"/>
        <w:jc w:val="left"/>
        <w:rPr>
          <w:rFonts w:eastAsiaTheme="minorHAnsi"/>
          <w:b/>
          <w:sz w:val="18"/>
          <w:lang w:eastAsia="en-US"/>
        </w:rPr>
      </w:pP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 xml:space="preserve">En el mes de octubre, por motivo de la conmemoración del Día Internacional del Cáncer de Mama, fueron impartidas dos (2) charlas de prevención y concientización sobre esta enfermedad. Las mismas, fueron dirigidas por las doctoras Reina Martínez de ARS HUMANO y  Katia Martínez del Centro Ginecología y Obstetricia, respectivamente. En las mismas se contó con la asistencia de más de setenta (70) personas. Con esta iniciativa el INDOTEL, se une al esfuerzo de la Primera Dama, la señora Raquel </w:t>
      </w:r>
      <w:proofErr w:type="spellStart"/>
      <w:r w:rsidRPr="008F2154">
        <w:rPr>
          <w:rFonts w:eastAsiaTheme="minorHAnsi"/>
          <w:color w:val="717176"/>
          <w:szCs w:val="24"/>
          <w:lang w:eastAsia="en-US"/>
        </w:rPr>
        <w:t>Arbaje</w:t>
      </w:r>
      <w:proofErr w:type="spellEnd"/>
      <w:r w:rsidRPr="008F2154">
        <w:rPr>
          <w:rFonts w:eastAsiaTheme="minorHAnsi"/>
          <w:color w:val="717176"/>
          <w:szCs w:val="24"/>
          <w:lang w:eastAsia="en-US"/>
        </w:rPr>
        <w:t xml:space="preserve">, quien realizó un operativo de prevención del Cáncer, poniendo a disposición los hospitales que realizarían estos estudios de forma gratuita. En este mismo orden y gracias a la Dra. Katia Martínez y la </w:t>
      </w:r>
      <w:r w:rsidRPr="008F2154">
        <w:rPr>
          <w:rFonts w:eastAsiaTheme="minorHAnsi"/>
          <w:color w:val="717176"/>
          <w:szCs w:val="24"/>
          <w:lang w:eastAsia="en-US"/>
        </w:rPr>
        <w:lastRenderedPageBreak/>
        <w:t xml:space="preserve">empresa </w:t>
      </w:r>
      <w:proofErr w:type="spellStart"/>
      <w:r w:rsidRPr="008F2154">
        <w:rPr>
          <w:rFonts w:eastAsiaTheme="minorHAnsi"/>
          <w:color w:val="717176"/>
          <w:szCs w:val="24"/>
          <w:lang w:eastAsia="en-US"/>
        </w:rPr>
        <w:t>Celbrea</w:t>
      </w:r>
      <w:proofErr w:type="spellEnd"/>
      <w:r w:rsidRPr="008F2154">
        <w:rPr>
          <w:rFonts w:eastAsiaTheme="minorHAnsi"/>
          <w:color w:val="717176"/>
          <w:szCs w:val="24"/>
          <w:lang w:eastAsia="en-US"/>
        </w:rPr>
        <w:t>,  fueron examinadas veintiún  (21) colaboradoras con una nueva tecnología. La misma consiste en un parche autoadhesivo que permite la detección temprana de enfermedades de las mamas, controlando proactivamente la salud de los senos de manera rápida y sin dolor. Igualmente, durante el mes de octubre fue enviado a todo el personal informaciones relevantes sobre la prevención del cáncer de mama e invitando al personal a que todos los viernes vistieran una prenda de color rosa en apoyo a la prevención de esta enfermedad.</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29 de octubre, le dimos la bienvenida a la temporada Pelota Invernal e invitamos a todos los colaboradores y colaboradoras a venir vestidos del color de su equipo favorito.</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 xml:space="preserve">El sábado 13 de noviembre, el presidente del Consejo Directivo del INDOTEL, señor Nelson Arroyo, dando continuidad a la campaña de “INDOTEL Verde”, conjuntamente con el Ministerio de Medio Ambiente, encabezó una Jornada de Reforestación en el municipio de Guerra, distrito municipal Hato Viejo (Comunidad de </w:t>
      </w:r>
      <w:proofErr w:type="spellStart"/>
      <w:r w:rsidRPr="008F2154">
        <w:rPr>
          <w:rFonts w:eastAsiaTheme="minorHAnsi"/>
          <w:color w:val="717176"/>
          <w:szCs w:val="24"/>
          <w:lang w:eastAsia="en-US"/>
        </w:rPr>
        <w:t>Estorga</w:t>
      </w:r>
      <w:proofErr w:type="spellEnd"/>
      <w:r w:rsidRPr="008F2154">
        <w:rPr>
          <w:rFonts w:eastAsiaTheme="minorHAnsi"/>
          <w:color w:val="717176"/>
          <w:szCs w:val="24"/>
          <w:lang w:eastAsia="en-US"/>
        </w:rPr>
        <w:t>). La misma, contó con la asistencia de más ciento setenta (170) colaboradores y colaboradoras, así como las principales autoridades de Guerra. A esta actividad, en donde se plantaron más de dos mil quinientos (2,500) árboles de diferentes especies, también se sumaron colaboradores de Medio Ambiente, Defensa civil, Ministerio de Energía y Minas con su programa “Cultivando Agua Buena”, el movimiento Ambientalista Comunidad Sana, el diputado del Parlasen</w:t>
      </w:r>
      <w:r w:rsidR="00C821BD">
        <w:rPr>
          <w:rFonts w:eastAsiaTheme="minorHAnsi"/>
          <w:color w:val="717176"/>
          <w:szCs w:val="24"/>
          <w:lang w:eastAsia="en-US"/>
        </w:rPr>
        <w:t>,</w:t>
      </w:r>
      <w:r w:rsidRPr="008F2154">
        <w:rPr>
          <w:rFonts w:eastAsiaTheme="minorHAnsi"/>
          <w:color w:val="717176"/>
          <w:szCs w:val="24"/>
          <w:lang w:eastAsia="en-US"/>
        </w:rPr>
        <w:t xml:space="preserve"> señor Carlos Sánchez y la Mesa del Agua del municipio de Guerra.   </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 xml:space="preserve">En el mes de noviembre, el INDOTEL se unió a la campaña de Tapitas x Quimio, invitando a todos los colaboradores a ser solidarios con la recolección y reciclaje de tapas de botellas, con las cuales podemos cooperar con los costos del tratamiento integral de niños con cáncer. Además, con esta iniciativa fomentamos el sentido de solidaridad del personal y al mismo tiempo ayudamos a reducir el impacto de la huella </w:t>
      </w:r>
      <w:r w:rsidRPr="008F2154">
        <w:rPr>
          <w:rFonts w:eastAsiaTheme="minorHAnsi"/>
          <w:color w:val="717176"/>
          <w:szCs w:val="24"/>
          <w:lang w:eastAsia="en-US"/>
        </w:rPr>
        <w:lastRenderedPageBreak/>
        <w:t xml:space="preserve">ecológica del plástico en el planeta. Para estos fines, fueron colocados en los diferentes pisos del INDOTEL, contenedores debidamente identificados para que sean depositadas las tapitas, las cuales serán enviadas a los coordinadores de esta iniciativa para posteriormente venderlas a empresas que reutilizan el plástico para hacer nuevos productos. </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El 25 de noviembre, con motivo de la conmemoración del “Día Internacional de la Eliminación de la Violencia contra la Mujer”, el INDOTEL en colaboración con ARS Humano, impartió una charla sobre “Prevención y Sensibilización de la Violencia contra la Mujer”. Las palabras de bienvenida a esta actividad estuvieron a cargo del presidente del Consejo Directivo del INDOTEL, señor Nelson Arroyo, y la misma fue impartida por  la Dra. Angélica Vicente. En esta actividad participaron más  sesenta y ocho (68) personas. En solidaridad con esta causa, le fue solicitado al personal de la institución vestirse de color naranja.</w:t>
      </w:r>
    </w:p>
    <w:p w:rsidR="008F2154" w:rsidRPr="008F2154" w:rsidRDefault="008F2154" w:rsidP="00A17C7C">
      <w:pPr>
        <w:numPr>
          <w:ilvl w:val="0"/>
          <w:numId w:val="16"/>
        </w:numPr>
        <w:spacing w:line="360" w:lineRule="auto"/>
        <w:contextualSpacing/>
        <w:rPr>
          <w:rFonts w:eastAsiaTheme="minorHAnsi"/>
          <w:color w:val="717176"/>
          <w:szCs w:val="24"/>
          <w:lang w:eastAsia="en-US"/>
        </w:rPr>
      </w:pPr>
      <w:r w:rsidRPr="008F2154">
        <w:rPr>
          <w:rFonts w:eastAsiaTheme="minorHAnsi"/>
          <w:color w:val="717176"/>
          <w:szCs w:val="24"/>
          <w:lang w:eastAsia="en-US"/>
        </w:rPr>
        <w:t xml:space="preserve">En fecha 30 de noviembre, se coordinó una charla con la señora </w:t>
      </w:r>
      <w:proofErr w:type="spellStart"/>
      <w:r w:rsidRPr="008F2154">
        <w:rPr>
          <w:rFonts w:eastAsiaTheme="minorHAnsi"/>
          <w:color w:val="717176"/>
          <w:szCs w:val="24"/>
          <w:lang w:eastAsia="en-US"/>
        </w:rPr>
        <w:t>Yania</w:t>
      </w:r>
      <w:proofErr w:type="spellEnd"/>
      <w:r w:rsidRPr="008F2154">
        <w:rPr>
          <w:rFonts w:eastAsiaTheme="minorHAnsi"/>
          <w:color w:val="717176"/>
          <w:szCs w:val="24"/>
          <w:lang w:eastAsia="en-US"/>
        </w:rPr>
        <w:t xml:space="preserve"> Almonte de Natera, quien es la presidenta de la Fundación “Colaboro con mi Sangre” y a la cual asistieron más de cuarenta y ocho (48) colaboradores y colaboradoras. Las palabras de clausura estuvieron cargo del presidente del Consejo Directivo, señor Nelson Arroyo, quien exhortó a todos los presentes a ser sensibles con la donación espontánea de sangre y a convertirnos en entes multiplicadores de las informaciones recibidas. </w:t>
      </w:r>
    </w:p>
    <w:p w:rsidR="008F2154" w:rsidRPr="008F2154" w:rsidRDefault="008F2154" w:rsidP="008F2154">
      <w:pPr>
        <w:spacing w:line="360" w:lineRule="auto"/>
        <w:ind w:left="360"/>
        <w:contextualSpacing/>
        <w:rPr>
          <w:rFonts w:eastAsiaTheme="minorHAnsi"/>
          <w:color w:val="717176"/>
          <w:szCs w:val="24"/>
          <w:lang w:eastAsia="en-US"/>
        </w:rPr>
      </w:pPr>
    </w:p>
    <w:p w:rsidR="008F2154" w:rsidRPr="008F2154" w:rsidRDefault="008F2154" w:rsidP="008F2154">
      <w:pPr>
        <w:spacing w:line="360" w:lineRule="auto"/>
        <w:rPr>
          <w:rFonts w:eastAsiaTheme="minorHAnsi"/>
          <w:b/>
          <w:color w:val="717176"/>
          <w:szCs w:val="24"/>
          <w:lang w:eastAsia="en-US"/>
        </w:rPr>
      </w:pPr>
    </w:p>
    <w:p w:rsidR="008F2154" w:rsidRDefault="008F2154" w:rsidP="008F2154">
      <w:pPr>
        <w:spacing w:line="360" w:lineRule="auto"/>
        <w:rPr>
          <w:rFonts w:eastAsiaTheme="minorHAnsi"/>
          <w:b/>
          <w:color w:val="717176"/>
          <w:szCs w:val="24"/>
          <w:lang w:eastAsia="en-US"/>
        </w:rPr>
      </w:pPr>
    </w:p>
    <w:p w:rsidR="008F2154" w:rsidRDefault="008F2154" w:rsidP="008F2154">
      <w:pPr>
        <w:spacing w:line="360" w:lineRule="auto"/>
        <w:rPr>
          <w:rFonts w:eastAsiaTheme="minorHAnsi"/>
          <w:b/>
          <w:color w:val="717176"/>
          <w:szCs w:val="24"/>
          <w:lang w:eastAsia="en-US"/>
        </w:rPr>
      </w:pPr>
    </w:p>
    <w:p w:rsidR="008F2154" w:rsidRDefault="008F2154" w:rsidP="008F2154">
      <w:pPr>
        <w:spacing w:line="360" w:lineRule="auto"/>
        <w:rPr>
          <w:rFonts w:eastAsiaTheme="minorHAnsi"/>
          <w:b/>
          <w:color w:val="717176"/>
          <w:szCs w:val="24"/>
          <w:lang w:eastAsia="en-US"/>
        </w:rPr>
      </w:pPr>
    </w:p>
    <w:p w:rsidR="008F2154" w:rsidRPr="008F2154" w:rsidRDefault="008F2154" w:rsidP="008F2154">
      <w:pPr>
        <w:spacing w:line="360" w:lineRule="auto"/>
        <w:rPr>
          <w:rFonts w:eastAsiaTheme="minorHAnsi"/>
          <w:b/>
          <w:color w:val="717176"/>
          <w:szCs w:val="24"/>
          <w:lang w:eastAsia="en-US"/>
        </w:rPr>
      </w:pPr>
    </w:p>
    <w:p w:rsidR="008F2154" w:rsidRPr="008F2154" w:rsidRDefault="008F2154" w:rsidP="008F2154">
      <w:pPr>
        <w:spacing w:line="360" w:lineRule="auto"/>
        <w:rPr>
          <w:rFonts w:eastAsiaTheme="minorHAnsi"/>
          <w:b/>
          <w:color w:val="717176"/>
          <w:szCs w:val="24"/>
          <w:lang w:eastAsia="en-US"/>
        </w:rPr>
      </w:pPr>
      <w:r w:rsidRPr="008F2154">
        <w:rPr>
          <w:rFonts w:eastAsiaTheme="minorHAnsi"/>
          <w:b/>
          <w:color w:val="717176"/>
          <w:szCs w:val="24"/>
          <w:lang w:eastAsia="en-US"/>
        </w:rPr>
        <w:lastRenderedPageBreak/>
        <w:t>Formación y Desarrollo</w:t>
      </w:r>
    </w:p>
    <w:p w:rsidR="008F2154" w:rsidRPr="008F2154" w:rsidRDefault="008F2154" w:rsidP="008F2154">
      <w:pPr>
        <w:spacing w:line="360" w:lineRule="auto"/>
        <w:rPr>
          <w:rFonts w:eastAsiaTheme="minorHAnsi"/>
          <w:color w:val="717176"/>
          <w:szCs w:val="24"/>
          <w:lang w:val="es-419" w:eastAsia="en-US"/>
        </w:rPr>
      </w:pPr>
      <w:r w:rsidRPr="008F2154">
        <w:rPr>
          <w:rFonts w:eastAsiaTheme="minorHAnsi"/>
          <w:color w:val="717176"/>
          <w:szCs w:val="24"/>
          <w:lang w:eastAsia="en-US"/>
        </w:rPr>
        <w:t xml:space="preserve">Dentro de las acciones tomadas para impulsar las mejoras en las capacidades y competencias de nuestros colaboradores, hemos establecido acuerdos institucionales con </w:t>
      </w:r>
      <w:r w:rsidRPr="008F2154">
        <w:rPr>
          <w:rFonts w:eastAsiaTheme="minorHAnsi"/>
          <w:color w:val="717176"/>
          <w:szCs w:val="24"/>
          <w:lang w:val="es-419" w:eastAsia="en-US"/>
        </w:rPr>
        <w:t>INFOTEP, CEABAD, UIT, INAP, entre otros.</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A través de estas y otras instituciones se han otorgado las siguientes capacitaciones:</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shd w:val="clear" w:color="auto" w:fill="FFFFFF"/>
          <w:lang w:eastAsia="en-US"/>
        </w:rPr>
        <w:t>Inteligencia Artificial (11/01/2021);</w:t>
      </w:r>
    </w:p>
    <w:p w:rsidR="008F2154" w:rsidRPr="008F2154" w:rsidRDefault="008F2154" w:rsidP="008F2154">
      <w:pPr>
        <w:numPr>
          <w:ilvl w:val="0"/>
          <w:numId w:val="3"/>
        </w:numPr>
        <w:spacing w:line="360" w:lineRule="auto"/>
        <w:ind w:left="644"/>
        <w:contextualSpacing/>
        <w:jc w:val="left"/>
        <w:rPr>
          <w:rFonts w:eastAsiaTheme="minorHAnsi"/>
          <w:color w:val="717176"/>
          <w:szCs w:val="24"/>
          <w:shd w:val="clear" w:color="auto" w:fill="FFFFFF"/>
          <w:lang w:eastAsia="en-US"/>
        </w:rPr>
      </w:pPr>
      <w:r w:rsidRPr="008F2154">
        <w:rPr>
          <w:rFonts w:eastAsiaTheme="minorHAnsi"/>
          <w:color w:val="717176"/>
          <w:szCs w:val="24"/>
          <w:shd w:val="clear" w:color="auto" w:fill="FFFFFF"/>
          <w:lang w:eastAsia="en-US"/>
        </w:rPr>
        <w:t xml:space="preserve">Uso de los Fondos de Acceso y Servicios Universal en </w:t>
      </w:r>
      <w:proofErr w:type="spellStart"/>
      <w:r w:rsidRPr="008F2154">
        <w:rPr>
          <w:rFonts w:eastAsiaTheme="minorHAnsi"/>
          <w:color w:val="717176"/>
          <w:szCs w:val="24"/>
          <w:shd w:val="clear" w:color="auto" w:fill="FFFFFF"/>
          <w:lang w:eastAsia="en-US"/>
        </w:rPr>
        <w:t>Amlat</w:t>
      </w:r>
      <w:proofErr w:type="spellEnd"/>
      <w:r w:rsidRPr="008F2154">
        <w:rPr>
          <w:rFonts w:eastAsiaTheme="minorHAnsi"/>
          <w:color w:val="717176"/>
          <w:szCs w:val="24"/>
          <w:shd w:val="clear" w:color="auto" w:fill="FFFFFF"/>
          <w:lang w:eastAsia="en-US"/>
        </w:rPr>
        <w:t xml:space="preserve"> y el Caribe en la Era Post Covid19 (11/01/2021);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Nueva Gestión del Espectro Radioeléctrico 5G </w:t>
      </w:r>
      <w:r w:rsidRPr="008F2154">
        <w:rPr>
          <w:rFonts w:eastAsiaTheme="minorHAnsi"/>
          <w:color w:val="717176"/>
          <w:szCs w:val="24"/>
          <w:shd w:val="clear" w:color="auto" w:fill="FFFFFF"/>
          <w:lang w:eastAsia="en-US"/>
        </w:rPr>
        <w:t>(11/01/2021);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Massive</w:t>
      </w:r>
      <w:proofErr w:type="spellEnd"/>
      <w:r w:rsidRPr="008F2154">
        <w:rPr>
          <w:rFonts w:eastAsiaTheme="minorHAnsi"/>
          <w:color w:val="717176"/>
          <w:szCs w:val="24"/>
          <w:lang w:eastAsia="en-US"/>
        </w:rPr>
        <w:t xml:space="preserve"> Open Online </w:t>
      </w:r>
      <w:proofErr w:type="spellStart"/>
      <w:r w:rsidRPr="008F2154">
        <w:rPr>
          <w:rFonts w:eastAsiaTheme="minorHAnsi"/>
          <w:color w:val="717176"/>
          <w:szCs w:val="24"/>
          <w:lang w:eastAsia="en-US"/>
        </w:rPr>
        <w:t>Course</w:t>
      </w:r>
      <w:proofErr w:type="spellEnd"/>
      <w:r w:rsidRPr="008F2154">
        <w:rPr>
          <w:rFonts w:eastAsiaTheme="minorHAnsi"/>
          <w:color w:val="717176"/>
          <w:szCs w:val="24"/>
          <w:lang w:eastAsia="en-US"/>
        </w:rPr>
        <w:t xml:space="preserve"> (MOOC): "</w:t>
      </w:r>
      <w:proofErr w:type="spellStart"/>
      <w:r w:rsidRPr="008F2154">
        <w:rPr>
          <w:rFonts w:eastAsiaTheme="minorHAnsi"/>
          <w:color w:val="717176"/>
          <w:szCs w:val="24"/>
          <w:lang w:eastAsia="en-US"/>
        </w:rPr>
        <w:t>Ciberseguridad</w:t>
      </w:r>
      <w:proofErr w:type="spellEnd"/>
      <w:r w:rsidRPr="008F2154">
        <w:rPr>
          <w:rFonts w:eastAsiaTheme="minorHAnsi"/>
          <w:color w:val="717176"/>
          <w:szCs w:val="24"/>
          <w:lang w:eastAsia="en-US"/>
        </w:rPr>
        <w:t xml:space="preserve"> como Estrategia Nacional" (11/01/2021);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Massive</w:t>
      </w:r>
      <w:proofErr w:type="spellEnd"/>
      <w:r w:rsidRPr="008F2154">
        <w:rPr>
          <w:rFonts w:eastAsiaTheme="minorHAnsi"/>
          <w:color w:val="717176"/>
          <w:szCs w:val="24"/>
          <w:lang w:eastAsia="en-US"/>
        </w:rPr>
        <w:t xml:space="preserve"> Open Online </w:t>
      </w:r>
      <w:proofErr w:type="spellStart"/>
      <w:r w:rsidRPr="008F2154">
        <w:rPr>
          <w:rFonts w:eastAsiaTheme="minorHAnsi"/>
          <w:color w:val="717176"/>
          <w:szCs w:val="24"/>
          <w:lang w:eastAsia="en-US"/>
        </w:rPr>
        <w:t>Course</w:t>
      </w:r>
      <w:proofErr w:type="spellEnd"/>
      <w:r w:rsidRPr="008F2154">
        <w:rPr>
          <w:rFonts w:eastAsiaTheme="minorHAnsi"/>
          <w:color w:val="717176"/>
          <w:szCs w:val="24"/>
          <w:lang w:eastAsia="en-US"/>
        </w:rPr>
        <w:t xml:space="preserve"> (MOOC): "Ciudades 5G, Hacia un Modelo de Innovación" (11/01/2021);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Inducción a la Administración Pública (26/01/2021);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Seminario Taller Internacional: "La Revisión de Actos Favorables y Contratos por la Administración Pública" (01/02/2021); </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"Seguridad Tecnológica para Teléfonos Inteligentes" (04/02/2021);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Introducción al SANDBOX Regulatorio (08/02/2021);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Massive</w:t>
      </w:r>
      <w:proofErr w:type="spellEnd"/>
      <w:r w:rsidRPr="008F2154">
        <w:rPr>
          <w:rFonts w:eastAsiaTheme="minorHAnsi"/>
          <w:color w:val="717176"/>
          <w:szCs w:val="24"/>
          <w:lang w:eastAsia="en-US"/>
        </w:rPr>
        <w:t xml:space="preserve"> Open Online </w:t>
      </w:r>
      <w:proofErr w:type="spellStart"/>
      <w:r w:rsidRPr="008F2154">
        <w:rPr>
          <w:rFonts w:eastAsiaTheme="minorHAnsi"/>
          <w:color w:val="717176"/>
          <w:szCs w:val="24"/>
          <w:lang w:eastAsia="en-US"/>
        </w:rPr>
        <w:t>Course</w:t>
      </w:r>
      <w:proofErr w:type="spellEnd"/>
      <w:r w:rsidRPr="008F2154">
        <w:rPr>
          <w:rFonts w:eastAsiaTheme="minorHAnsi"/>
          <w:color w:val="717176"/>
          <w:szCs w:val="24"/>
          <w:lang w:eastAsia="en-US"/>
        </w:rPr>
        <w:t xml:space="preserve"> (MOOC): "Computación en las Nubes" (08/02/2021);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Massive</w:t>
      </w:r>
      <w:proofErr w:type="spellEnd"/>
      <w:r w:rsidRPr="008F2154">
        <w:rPr>
          <w:rFonts w:eastAsiaTheme="minorHAnsi"/>
          <w:color w:val="717176"/>
          <w:szCs w:val="24"/>
          <w:lang w:eastAsia="en-US"/>
        </w:rPr>
        <w:t xml:space="preserve"> Open Online </w:t>
      </w:r>
      <w:proofErr w:type="spellStart"/>
      <w:r w:rsidRPr="008F2154">
        <w:rPr>
          <w:rFonts w:eastAsiaTheme="minorHAnsi"/>
          <w:color w:val="717176"/>
          <w:szCs w:val="24"/>
          <w:lang w:eastAsia="en-US"/>
        </w:rPr>
        <w:t>Course</w:t>
      </w:r>
      <w:proofErr w:type="spellEnd"/>
      <w:r w:rsidRPr="008F2154">
        <w:rPr>
          <w:rFonts w:eastAsiaTheme="minorHAnsi"/>
          <w:color w:val="717176"/>
          <w:szCs w:val="24"/>
          <w:lang w:eastAsia="en-US"/>
        </w:rPr>
        <w:t xml:space="preserve"> (MOOC): "Compartición de Infraestructura y Derecho de Paso" (08/02/2021); </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El Impacto en la Infraestructura Digital en los ODS (08/02/2021);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val="en-GB" w:eastAsia="en-US"/>
        </w:rPr>
      </w:pPr>
      <w:r w:rsidRPr="008F2154">
        <w:rPr>
          <w:rFonts w:eastAsiaTheme="minorHAnsi"/>
          <w:color w:val="717176"/>
          <w:szCs w:val="24"/>
          <w:lang w:val="en-GB" w:eastAsia="en-US"/>
        </w:rPr>
        <w:t xml:space="preserve">Massive Open Online Course (MOOC): "Internet de </w:t>
      </w:r>
      <w:proofErr w:type="spellStart"/>
      <w:r w:rsidRPr="008F2154">
        <w:rPr>
          <w:rFonts w:eastAsiaTheme="minorHAnsi"/>
          <w:color w:val="717176"/>
          <w:szCs w:val="24"/>
          <w:lang w:val="en-GB" w:eastAsia="en-US"/>
        </w:rPr>
        <w:t>las</w:t>
      </w:r>
      <w:proofErr w:type="spellEnd"/>
      <w:r w:rsidRPr="008F2154">
        <w:rPr>
          <w:rFonts w:eastAsiaTheme="minorHAnsi"/>
          <w:color w:val="717176"/>
          <w:szCs w:val="24"/>
          <w:lang w:val="en-GB" w:eastAsia="en-US"/>
        </w:rPr>
        <w:t xml:space="preserve"> </w:t>
      </w:r>
      <w:proofErr w:type="spellStart"/>
      <w:r w:rsidRPr="008F2154">
        <w:rPr>
          <w:rFonts w:eastAsiaTheme="minorHAnsi"/>
          <w:color w:val="717176"/>
          <w:szCs w:val="24"/>
          <w:lang w:val="en-GB" w:eastAsia="en-US"/>
        </w:rPr>
        <w:t>Cosas</w:t>
      </w:r>
      <w:proofErr w:type="spellEnd"/>
      <w:r w:rsidRPr="008F2154">
        <w:rPr>
          <w:rFonts w:eastAsiaTheme="minorHAnsi"/>
          <w:color w:val="717176"/>
          <w:szCs w:val="24"/>
          <w:lang w:val="en-GB" w:eastAsia="en-US"/>
        </w:rPr>
        <w:t xml:space="preserve"> IOT" (08/02/2021);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"1er. Encuentro con Gestores de Recursos Humanos (Gestión Eficaz del Teletrabajo)" (10/02/2021);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lastRenderedPageBreak/>
        <w:t>Diplomado: "Teoría y Práctica de la Contratación Pública" (10/02/2021);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Diplomado: "Derecho Procesal Administrativo" (16/02/2021);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xml:space="preserve">: "CCATLAT/CITEL - La importancia del </w:t>
      </w:r>
      <w:proofErr w:type="spellStart"/>
      <w:r w:rsidRPr="008F2154">
        <w:rPr>
          <w:rFonts w:eastAsiaTheme="minorHAnsi"/>
          <w:color w:val="717176"/>
          <w:szCs w:val="24"/>
          <w:lang w:eastAsia="en-US"/>
        </w:rPr>
        <w:t>IoT</w:t>
      </w:r>
      <w:proofErr w:type="spellEnd"/>
      <w:r w:rsidRPr="008F2154">
        <w:rPr>
          <w:rFonts w:eastAsiaTheme="minorHAnsi"/>
          <w:color w:val="717176"/>
          <w:szCs w:val="24"/>
          <w:lang w:eastAsia="en-US"/>
        </w:rPr>
        <w:t xml:space="preserve"> en el Desarrollo Económico Regional" (18/02/2021);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Virtual: "Servicio al Cliente, Representación y Apariencia Personal del Colaborador en una Empresa" (22/02/2021);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Virtual: "Cómo Usar las Redes Sociales como Empleado de una Institución de Servicio" (22/02/2021);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"Liderazgo Femenino en el Sector de las Telecomunicaciones y las TIC: Del Básico a las Tendencias del Sector" (26/02/2021) ;</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xml:space="preserve">: "Internacional sobre </w:t>
      </w:r>
      <w:proofErr w:type="spellStart"/>
      <w:r w:rsidRPr="008F2154">
        <w:rPr>
          <w:rFonts w:eastAsiaTheme="minorHAnsi"/>
          <w:color w:val="717176"/>
          <w:szCs w:val="24"/>
          <w:lang w:eastAsia="en-US"/>
        </w:rPr>
        <w:t>Mentoring</w:t>
      </w:r>
      <w:proofErr w:type="spellEnd"/>
      <w:r w:rsidRPr="008F2154">
        <w:rPr>
          <w:rFonts w:eastAsiaTheme="minorHAnsi"/>
          <w:color w:val="717176"/>
          <w:szCs w:val="24"/>
          <w:lang w:eastAsia="en-US"/>
        </w:rPr>
        <w:t>" (16/03/2021);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Virtual: "Esfuerzo Hemisférico para Combatir el Uso de Equipos Terminales, Móviles Hurtados, Extraviados o Adulterados" (23/03/2021);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"Master Clase, Gente Comprometida, Gente INDOTEL" (24/03/2021);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Ortografía y Redacción (25/03/2021);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"Creatividad e Innovación" (25/03/2021);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"Conectividad Digital Rural: Un desafío Clave para el Desarrollo de América Latina y el Caribe" (25/03/2021);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Ortografía y Redacción (25/03/2021);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Web: "</w:t>
      </w:r>
      <w:proofErr w:type="spellStart"/>
      <w:r w:rsidRPr="008F2154">
        <w:rPr>
          <w:rFonts w:eastAsiaTheme="minorHAnsi"/>
          <w:color w:val="717176"/>
          <w:szCs w:val="24"/>
          <w:lang w:eastAsia="en-US"/>
        </w:rPr>
        <w:t>Generation</w:t>
      </w:r>
      <w:proofErr w:type="spellEnd"/>
      <w:r w:rsidRPr="008F2154">
        <w:rPr>
          <w:rFonts w:eastAsiaTheme="minorHAnsi"/>
          <w:color w:val="717176"/>
          <w:szCs w:val="24"/>
          <w:lang w:eastAsia="en-US"/>
        </w:rPr>
        <w:t xml:space="preserve"> </w:t>
      </w:r>
      <w:proofErr w:type="spellStart"/>
      <w:r w:rsidRPr="008F2154">
        <w:rPr>
          <w:rFonts w:eastAsiaTheme="minorHAnsi"/>
          <w:color w:val="717176"/>
          <w:szCs w:val="24"/>
          <w:lang w:eastAsia="en-US"/>
        </w:rPr>
        <w:t>Connect</w:t>
      </w:r>
      <w:proofErr w:type="spellEnd"/>
      <w:r w:rsidRPr="008F2154">
        <w:rPr>
          <w:rFonts w:eastAsiaTheme="minorHAnsi"/>
          <w:color w:val="717176"/>
          <w:szCs w:val="24"/>
          <w:lang w:eastAsia="en-US"/>
        </w:rPr>
        <w:t>" Jóvenes dando Forma a la Agenda Digital dentro del Foro de la Juventud ECOSOC 2021" (06/04/2021);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Capacitación Interna de </w:t>
      </w:r>
      <w:proofErr w:type="spellStart"/>
      <w:r w:rsidRPr="008F2154">
        <w:rPr>
          <w:rFonts w:eastAsiaTheme="minorHAnsi"/>
          <w:color w:val="717176"/>
          <w:szCs w:val="24"/>
          <w:lang w:eastAsia="en-US"/>
        </w:rPr>
        <w:t>Ciberseguridad</w:t>
      </w:r>
      <w:proofErr w:type="spellEnd"/>
      <w:r w:rsidRPr="008F2154">
        <w:rPr>
          <w:rFonts w:eastAsiaTheme="minorHAnsi"/>
          <w:color w:val="717176"/>
          <w:szCs w:val="24"/>
          <w:lang w:eastAsia="en-US"/>
        </w:rPr>
        <w:t xml:space="preserve"> (15/04/2021); </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Blockchain</w:t>
      </w:r>
      <w:proofErr w:type="spellEnd"/>
      <w:r w:rsidRPr="008F2154">
        <w:rPr>
          <w:rFonts w:eastAsiaTheme="minorHAnsi"/>
          <w:color w:val="717176"/>
          <w:szCs w:val="24"/>
          <w:lang w:eastAsia="en-US"/>
        </w:rPr>
        <w:t xml:space="preserve"> y su Futuro en América Latina y el Caribe (16/04/2021);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Servicios Sociales para Ciudadanos Digitales (16/04/2021);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Nueva Gestión del Espectro Radioeléctrico 5G (16/04/2021);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Introducción al </w:t>
      </w:r>
      <w:proofErr w:type="spellStart"/>
      <w:r w:rsidRPr="008F2154">
        <w:rPr>
          <w:rFonts w:eastAsiaTheme="minorHAnsi"/>
          <w:color w:val="717176"/>
          <w:szCs w:val="24"/>
          <w:lang w:eastAsia="en-US"/>
        </w:rPr>
        <w:t>Sandbox</w:t>
      </w:r>
      <w:proofErr w:type="spellEnd"/>
      <w:r w:rsidRPr="008F2154">
        <w:rPr>
          <w:rFonts w:eastAsiaTheme="minorHAnsi"/>
          <w:color w:val="717176"/>
          <w:szCs w:val="24"/>
          <w:lang w:eastAsia="en-US"/>
        </w:rPr>
        <w:t xml:space="preserve"> Regulatorio (16/04/2021);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lastRenderedPageBreak/>
        <w:t>Uso de los Fondos de Acceso y Servicio Universal Era Post Covid-19 (16/04/2021);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Gestión del Espectro Radioeléctrico (19/04/2021);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Regional de Radiocomunicaciones de la UIT para la Región de las Américas (26/04/2021);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Conflictos de Intereses en la Administración Pública (27/04/2021);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Capacitación de Especialidad en la Diplomacia Comercial (3/05/2021);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de Aceptación Universal (04/05/2021);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Ciudades 5G:  "Hacia un Modelo de Innovación" (10/05/2021);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Redes 5G (10/05/2021);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Extensiones de Seguridad para el Sistema de Nombres de Dominio DNSSE (10/05/2021);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Investigación Digital y el Fenómeno del </w:t>
      </w:r>
      <w:proofErr w:type="spellStart"/>
      <w:r w:rsidRPr="008F2154">
        <w:rPr>
          <w:rFonts w:eastAsiaTheme="minorHAnsi"/>
          <w:color w:val="717176"/>
          <w:szCs w:val="24"/>
          <w:lang w:eastAsia="en-US"/>
        </w:rPr>
        <w:t>Cibercrimen</w:t>
      </w:r>
      <w:proofErr w:type="spellEnd"/>
      <w:r w:rsidRPr="008F2154">
        <w:rPr>
          <w:rFonts w:eastAsiaTheme="minorHAnsi"/>
          <w:color w:val="717176"/>
          <w:szCs w:val="24"/>
          <w:lang w:eastAsia="en-US"/>
        </w:rPr>
        <w:t xml:space="preserve"> (10/05/2021);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Despliegue 5G en la Región (11/05/2021);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Excel Básico (13/05/2021);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Eficiencia Energética para Mejorar la Productividad Empresarial (14/05/2021);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Segundo Grupo del Curso de Excel Básico (24/05/2021);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Derecho de la Competencia en la Contratación Pública (25/05/2021);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Maestría en Derecho Administrativo (28/05/2021);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Formación Integral Sobre </w:t>
      </w:r>
      <w:proofErr w:type="spellStart"/>
      <w:r w:rsidRPr="008F2154">
        <w:rPr>
          <w:rFonts w:eastAsiaTheme="minorHAnsi"/>
          <w:color w:val="717176"/>
          <w:szCs w:val="24"/>
          <w:lang w:eastAsia="en-US"/>
        </w:rPr>
        <w:t>Ciberseguridad</w:t>
      </w:r>
      <w:proofErr w:type="spellEnd"/>
      <w:r w:rsidRPr="008F2154">
        <w:rPr>
          <w:rFonts w:eastAsiaTheme="minorHAnsi"/>
          <w:color w:val="717176"/>
          <w:szCs w:val="24"/>
          <w:lang w:eastAsia="en-US"/>
        </w:rPr>
        <w:t xml:space="preserve"> (11/06/2021);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Capacitación Creciendo en Transparencia (23/06/2021);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Capacitación de Inglés (24/06/2021);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Diplomado en Derecho Inmobiliario y Registral (24/06/2021);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Básico en Lengua de Señas (29/06/2021);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Uso de los Fondos de Accesos y Servicios Universal en AMLAT y El Caribe en la era Post Covid-19. (05/07/2021);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Fintech</w:t>
      </w:r>
      <w:proofErr w:type="spellEnd"/>
      <w:r w:rsidRPr="008F2154">
        <w:rPr>
          <w:rFonts w:eastAsiaTheme="minorHAnsi"/>
          <w:color w:val="717176"/>
          <w:szCs w:val="24"/>
          <w:lang w:eastAsia="en-US"/>
        </w:rPr>
        <w:t xml:space="preserve"> en América Latina y el Caribe (05/07/2021);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Internet de las Cosas IOT (05/07/2021);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lastRenderedPageBreak/>
        <w:t>Habilidades Digitales (05/07/2021);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Redes 5G (05/07/2021);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Trato Digno a las Personas con Discapacidad (07/07/2021);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5G y el Camino a la Industria 4.0 (08/07/2021);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Inducción a la Administración Pública (08/07/2021);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Taller de Inducción Virtual (20/07/2021);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Ericsson "Banda Ancha para Todos" 2021 (21/07/2021);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Diplomado Derecho Empresarial (21/07/2021);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Introducción a Género y Seguridad Digital (21/07/2021);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Desarrollo de Competencias Digitales  y de TIC en jóvenes (22/07/2021);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Introducción a </w:t>
      </w:r>
      <w:proofErr w:type="spellStart"/>
      <w:r w:rsidRPr="008F2154">
        <w:rPr>
          <w:rFonts w:eastAsiaTheme="minorHAnsi"/>
          <w:color w:val="717176"/>
          <w:szCs w:val="24"/>
          <w:lang w:eastAsia="en-US"/>
        </w:rPr>
        <w:t>Wi</w:t>
      </w:r>
      <w:proofErr w:type="spellEnd"/>
      <w:r w:rsidRPr="008F2154">
        <w:rPr>
          <w:rFonts w:eastAsiaTheme="minorHAnsi"/>
          <w:color w:val="717176"/>
          <w:szCs w:val="24"/>
          <w:lang w:eastAsia="en-US"/>
        </w:rPr>
        <w:t xml:space="preserve">-Fi 6E y </w:t>
      </w:r>
      <w:proofErr w:type="spellStart"/>
      <w:r w:rsidRPr="008F2154">
        <w:rPr>
          <w:rFonts w:eastAsiaTheme="minorHAnsi"/>
          <w:color w:val="717176"/>
          <w:szCs w:val="24"/>
          <w:lang w:eastAsia="en-US"/>
        </w:rPr>
        <w:t>Wi</w:t>
      </w:r>
      <w:proofErr w:type="spellEnd"/>
      <w:r w:rsidRPr="008F2154">
        <w:rPr>
          <w:rFonts w:eastAsiaTheme="minorHAnsi"/>
          <w:color w:val="717176"/>
          <w:szCs w:val="24"/>
          <w:lang w:eastAsia="en-US"/>
        </w:rPr>
        <w:t>-Fi 7 (29/07/2021);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El Impacto de la Infraestructura Digital en los ODS (02/08/2021);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Computación en la Nube (02/08/2021);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e-PYMES (02/08/2021);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Género y Seguridad Digital (02/08/2021);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Ciencia de DATOS una Disciplina Emergente (02/08/2021);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Programa de Capacitación sobre INTERNET (04/08/2021);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Convocatoria para participar en el Curso/Beca para la  "13 Edición Consecutiva de la South </w:t>
      </w:r>
      <w:proofErr w:type="spellStart"/>
      <w:r w:rsidRPr="008F2154">
        <w:rPr>
          <w:rFonts w:eastAsiaTheme="minorHAnsi"/>
          <w:color w:val="717176"/>
          <w:szCs w:val="24"/>
          <w:lang w:eastAsia="en-US"/>
        </w:rPr>
        <w:t>School</w:t>
      </w:r>
      <w:proofErr w:type="spellEnd"/>
      <w:r w:rsidRPr="008F2154">
        <w:rPr>
          <w:rFonts w:eastAsiaTheme="minorHAnsi"/>
          <w:color w:val="717176"/>
          <w:szCs w:val="24"/>
          <w:lang w:eastAsia="en-US"/>
        </w:rPr>
        <w:t xml:space="preserve"> </w:t>
      </w:r>
      <w:proofErr w:type="spellStart"/>
      <w:r w:rsidRPr="008F2154">
        <w:rPr>
          <w:rFonts w:eastAsiaTheme="minorHAnsi"/>
          <w:color w:val="717176"/>
          <w:szCs w:val="24"/>
          <w:lang w:eastAsia="en-US"/>
        </w:rPr>
        <w:t>on</w:t>
      </w:r>
      <w:proofErr w:type="spellEnd"/>
      <w:r w:rsidRPr="008F2154">
        <w:rPr>
          <w:rFonts w:eastAsiaTheme="minorHAnsi"/>
          <w:color w:val="717176"/>
          <w:szCs w:val="24"/>
          <w:lang w:eastAsia="en-US"/>
        </w:rPr>
        <w:t xml:space="preserve"> Internet </w:t>
      </w:r>
      <w:proofErr w:type="spellStart"/>
      <w:r w:rsidRPr="008F2154">
        <w:rPr>
          <w:rFonts w:eastAsiaTheme="minorHAnsi"/>
          <w:color w:val="717176"/>
          <w:szCs w:val="24"/>
          <w:lang w:eastAsia="en-US"/>
        </w:rPr>
        <w:t>Governance</w:t>
      </w:r>
      <w:proofErr w:type="spellEnd"/>
      <w:r w:rsidRPr="008F2154">
        <w:rPr>
          <w:rFonts w:eastAsiaTheme="minorHAnsi"/>
          <w:color w:val="717176"/>
          <w:szCs w:val="24"/>
          <w:lang w:eastAsia="en-US"/>
        </w:rPr>
        <w:t xml:space="preserve"> 2021 Virtual" (04/08/2021);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El Viaje de las 5 Maletas (05/08/2021);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Nuevas Formas de Emprender Basado en Transformación Digital  (06/08/2021);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Curso de Ortografía y Redacción (09/08/2021);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Taller de Manejo Defensivo (12/08/2021);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La Nube como Habilitador en la Transformación Digital (19/08/2021);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Maestría en Lingüística Aplicada a la Enseñanza del Idioma Inglés como Segunda Lengua (25/08/2021);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La Ética y la Función Pública (27/08/2021);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lastRenderedPageBreak/>
        <w:t>Taller Firma Digital (27/08/2021);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Aceptación Universal (30/08/2021);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Desbloqueando la Cobertura Móvil Rural (01/09/2021);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Diplomado en Internet de las Cosas de CCATLAT (6) becas (01/09/2021);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Webinar</w:t>
      </w:r>
      <w:proofErr w:type="spellEnd"/>
      <w:r w:rsidRPr="008F2154">
        <w:rPr>
          <w:rFonts w:eastAsiaTheme="minorHAnsi"/>
          <w:color w:val="717176"/>
          <w:szCs w:val="24"/>
          <w:lang w:eastAsia="en-US"/>
        </w:rPr>
        <w:t xml:space="preserve"> "BLOCKCHAIN" su Tecnología y Aplicaciones" (01/09/2021);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Desbloqueando la Cobertura Móvil Rural (06/09/2021);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Habilidades 4.0 (06/09/2021);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Inteligencia Artificial la Revolución que Apenas Comienza (06/09/2021);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Extensiones de Seguridad para el Sistema de Nombre de Dominio DNSSEC (06/09/2021);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Comercio </w:t>
      </w:r>
      <w:proofErr w:type="spellStart"/>
      <w:r w:rsidRPr="008F2154">
        <w:rPr>
          <w:rFonts w:eastAsiaTheme="minorHAnsi"/>
          <w:color w:val="717176"/>
          <w:szCs w:val="24"/>
          <w:lang w:eastAsia="en-US"/>
        </w:rPr>
        <w:t>Mococ</w:t>
      </w:r>
      <w:proofErr w:type="spellEnd"/>
      <w:r w:rsidRPr="008F2154">
        <w:rPr>
          <w:rFonts w:eastAsiaTheme="minorHAnsi"/>
          <w:color w:val="717176"/>
          <w:szCs w:val="24"/>
          <w:lang w:eastAsia="en-US"/>
        </w:rPr>
        <w:t xml:space="preserve">, </w:t>
      </w:r>
      <w:proofErr w:type="spellStart"/>
      <w:r w:rsidRPr="008F2154">
        <w:rPr>
          <w:rFonts w:eastAsiaTheme="minorHAnsi"/>
          <w:color w:val="717176"/>
          <w:szCs w:val="24"/>
          <w:lang w:eastAsia="en-US"/>
        </w:rPr>
        <w:t>Ceabad</w:t>
      </w:r>
      <w:proofErr w:type="spellEnd"/>
      <w:r w:rsidRPr="008F2154">
        <w:rPr>
          <w:rFonts w:eastAsiaTheme="minorHAnsi"/>
          <w:color w:val="717176"/>
          <w:szCs w:val="24"/>
          <w:lang w:eastAsia="en-US"/>
        </w:rPr>
        <w:t xml:space="preserve"> (06/09/2021);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Regulación Avanzada TIC 2da. Edición 2021 (06/09/2021);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Desafíos de la Regulación Audiovisual en el Mundo Digital (13/09/2021);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Construyendo Redes Comunitarias Inalámbricas (13/09/2021);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Charla Donación de Sangre (13/09/2021);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Diplomado en Internet de las Cosas (14/09/2021);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Ortografía y Redacción (16/09/2021);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Es el Acceso Fijo Inalámbrico en 5G la Solución para Reducción de la Brecha Digital (21/09/2021);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Imagen, Etiqueta y Protocolo (22/09/2021);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Congreso Internacional sobre Violencia de Género Digital (22/09/2021);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Inteligencia Artificial (23/09/2021);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XIX Congreso Regional de Auditoría Interna (23/09/2021);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Introducción a la Gobernanza de Internet en LAC (Latinoamérica y el Caribe) (27/09/2021);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IPv6 Básico de LACNIC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Firma Electrónica, Aspecto Técnico, Legales y Panorama Mundial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Género y Seguridad Digital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lastRenderedPageBreak/>
        <w:t>Ortografía y Redacción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Ciencia de Datos, una Disciplina Emergente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Introducción al </w:t>
      </w:r>
      <w:proofErr w:type="spellStart"/>
      <w:r w:rsidRPr="008F2154">
        <w:rPr>
          <w:rFonts w:eastAsiaTheme="minorHAnsi"/>
          <w:color w:val="717176"/>
          <w:szCs w:val="24"/>
          <w:lang w:eastAsia="en-US"/>
        </w:rPr>
        <w:t>Sandbox</w:t>
      </w:r>
      <w:proofErr w:type="spellEnd"/>
      <w:r w:rsidRPr="008F2154">
        <w:rPr>
          <w:rFonts w:eastAsiaTheme="minorHAnsi"/>
          <w:color w:val="717176"/>
          <w:szCs w:val="24"/>
          <w:lang w:eastAsia="en-US"/>
        </w:rPr>
        <w:t xml:space="preserve"> Regulatorio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Blockchain</w:t>
      </w:r>
      <w:proofErr w:type="spellEnd"/>
      <w:r w:rsidRPr="008F2154">
        <w:rPr>
          <w:rFonts w:eastAsiaTheme="minorHAnsi"/>
          <w:color w:val="717176"/>
          <w:szCs w:val="24"/>
          <w:lang w:eastAsia="en-US"/>
        </w:rPr>
        <w:t xml:space="preserve"> y su Futuro en América Latina y el Caribe  (04/10/2021);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Curso Edición de Video de Adobe </w:t>
      </w:r>
      <w:proofErr w:type="spellStart"/>
      <w:r w:rsidRPr="008F2154">
        <w:rPr>
          <w:rFonts w:eastAsiaTheme="minorHAnsi"/>
          <w:color w:val="717176"/>
          <w:szCs w:val="24"/>
          <w:lang w:eastAsia="en-US"/>
        </w:rPr>
        <w:t>Premiere</w:t>
      </w:r>
      <w:proofErr w:type="spellEnd"/>
      <w:r w:rsidRPr="008F2154">
        <w:rPr>
          <w:rFonts w:eastAsiaTheme="minorHAnsi"/>
          <w:color w:val="717176"/>
          <w:szCs w:val="24"/>
          <w:lang w:eastAsia="en-US"/>
        </w:rPr>
        <w:t xml:space="preserve"> (07/10/2021);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Sociedad y Medio Ambiente (08/10/2021);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Oficinas Verdes (14/10/2021);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Regional de Accesibilidad TIC (20/10/2021);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Administración  4.0, Contribuyendo el Nuevo Perfil del Servidor Público (20/10/2021);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val="en-GB" w:eastAsia="en-US"/>
        </w:rPr>
      </w:pPr>
      <w:r w:rsidRPr="008F2154">
        <w:rPr>
          <w:rFonts w:eastAsiaTheme="minorHAnsi"/>
          <w:color w:val="717176"/>
          <w:szCs w:val="24"/>
          <w:lang w:val="en-GB" w:eastAsia="en-US"/>
        </w:rPr>
        <w:t>Animation y Motion Graphics After Effects (20/10/2021);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Taller Igualdad de Género Efectivo (20/10/2021);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val="en-GB" w:eastAsia="en-US"/>
        </w:rPr>
        <w:t xml:space="preserve">Promoting Competition and Regulating New Entrants in the Telecoms and Media Sectors. </w:t>
      </w:r>
      <w:r w:rsidRPr="008F2154">
        <w:rPr>
          <w:rFonts w:eastAsiaTheme="minorHAnsi"/>
          <w:color w:val="717176"/>
          <w:szCs w:val="24"/>
          <w:lang w:eastAsia="en-US"/>
        </w:rPr>
        <w:t>(22/10/2021);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Accesibilidad Universal (25/10/2021);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Redacción de Informes (26/10/2021);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Sociedad y Medio Ambiente (27/10/2021);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Road Show México y Centroamérica (28/10/2021);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V Congreso de Informática Forense y </w:t>
      </w:r>
      <w:proofErr w:type="spellStart"/>
      <w:r w:rsidRPr="008F2154">
        <w:rPr>
          <w:rFonts w:eastAsiaTheme="minorHAnsi"/>
          <w:color w:val="717176"/>
          <w:szCs w:val="24"/>
          <w:lang w:eastAsia="en-US"/>
        </w:rPr>
        <w:t>Ciberseguridad</w:t>
      </w:r>
      <w:proofErr w:type="spellEnd"/>
      <w:r w:rsidRPr="008F2154">
        <w:rPr>
          <w:rFonts w:eastAsiaTheme="minorHAnsi"/>
          <w:color w:val="717176"/>
          <w:szCs w:val="24"/>
          <w:lang w:eastAsia="en-US"/>
        </w:rPr>
        <w:t xml:space="preserve"> (28/10/2021);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Reforzamiento de Inglés Academia Europea (29/10/2021);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Sociedad y Medio Ambiente (02/11/2021);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El Sistema de Nombres de Dominio en Internet (DNS) y el CANN.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Wi</w:t>
      </w:r>
      <w:proofErr w:type="spellEnd"/>
      <w:r w:rsidRPr="008F2154">
        <w:rPr>
          <w:rFonts w:eastAsiaTheme="minorHAnsi"/>
          <w:color w:val="717176"/>
          <w:szCs w:val="24"/>
          <w:lang w:eastAsia="en-US"/>
        </w:rPr>
        <w:t xml:space="preserve">-Fi y su Evaluación hasta </w:t>
      </w:r>
      <w:proofErr w:type="spellStart"/>
      <w:r w:rsidRPr="008F2154">
        <w:rPr>
          <w:rFonts w:eastAsiaTheme="minorHAnsi"/>
          <w:color w:val="717176"/>
          <w:szCs w:val="24"/>
          <w:lang w:eastAsia="en-US"/>
        </w:rPr>
        <w:t>Wi</w:t>
      </w:r>
      <w:proofErr w:type="spellEnd"/>
      <w:r w:rsidRPr="008F2154">
        <w:rPr>
          <w:rFonts w:eastAsiaTheme="minorHAnsi"/>
          <w:color w:val="717176"/>
          <w:szCs w:val="24"/>
          <w:lang w:eastAsia="en-US"/>
        </w:rPr>
        <w:t>-Fi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Desbloqueo la Cobertura Móvil Rural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Redes 5G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Ciudades 5G hacia un Modelo Innovación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Oficinas Verdes (09/11/2021);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Sociedad y Medio Ambiente (12/10/2021);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lastRenderedPageBreak/>
        <w:t>Cumbre "REGULATEL-COMTELCA" (03/11/2021);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proofErr w:type="spellStart"/>
      <w:r w:rsidRPr="008F2154">
        <w:rPr>
          <w:rFonts w:eastAsiaTheme="minorHAnsi"/>
          <w:color w:val="717176"/>
          <w:szCs w:val="24"/>
          <w:lang w:eastAsia="en-US"/>
        </w:rPr>
        <w:t>Wi</w:t>
      </w:r>
      <w:proofErr w:type="spellEnd"/>
      <w:r w:rsidRPr="008F2154">
        <w:rPr>
          <w:rFonts w:eastAsiaTheme="minorHAnsi"/>
          <w:color w:val="717176"/>
          <w:szCs w:val="24"/>
          <w:lang w:eastAsia="en-US"/>
        </w:rPr>
        <w:t xml:space="preserve">-Fi 6 y su Evolución hasta </w:t>
      </w:r>
      <w:proofErr w:type="spellStart"/>
      <w:r w:rsidRPr="008F2154">
        <w:rPr>
          <w:rFonts w:eastAsiaTheme="minorHAnsi"/>
          <w:color w:val="717176"/>
          <w:szCs w:val="24"/>
          <w:lang w:eastAsia="en-US"/>
        </w:rPr>
        <w:t>Wi</w:t>
      </w:r>
      <w:proofErr w:type="spellEnd"/>
      <w:r w:rsidRPr="008F2154">
        <w:rPr>
          <w:rFonts w:eastAsiaTheme="minorHAnsi"/>
          <w:color w:val="717176"/>
          <w:szCs w:val="24"/>
          <w:lang w:eastAsia="en-US"/>
        </w:rPr>
        <w:t>-Fi 6E (03/11/2021);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Excel Básico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Servicio al cliente (08/11/2021);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5G en américa Latina Avances y Desafíos 2025 (09/11/2021);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Infraestructura Crítica (11/11/2021);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Redacción de informe (11/11/2021);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 xml:space="preserve">Conecta </w:t>
      </w:r>
      <w:proofErr w:type="spellStart"/>
      <w:r w:rsidRPr="008F2154">
        <w:rPr>
          <w:rFonts w:eastAsiaTheme="minorHAnsi"/>
          <w:color w:val="717176"/>
          <w:szCs w:val="24"/>
          <w:lang w:eastAsia="en-US"/>
        </w:rPr>
        <w:t>Latam</w:t>
      </w:r>
      <w:proofErr w:type="spellEnd"/>
      <w:r w:rsidRPr="008F2154">
        <w:rPr>
          <w:rFonts w:eastAsiaTheme="minorHAnsi"/>
          <w:color w:val="717176"/>
          <w:szCs w:val="24"/>
          <w:lang w:eastAsia="en-US"/>
        </w:rPr>
        <w:t xml:space="preserve"> Digital Summit (16/11/2021);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Seminario de Investigación en la Administración Pública (17/11/2021);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Congreso Internacional sobre Desinformación Y Derechos Digitales en la Labor Periodística (17/11/2021);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Redacción de Informes (22/11/2021);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Ciudadanía Digital en Tiempos de COVID-19 (23/11/2021);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Nuevas Tecnologías en Investigaciones Criminales (25/11/2021);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16ª. Reunión Anual Foro de Gobernanza de Internet (06/12/2021);</w:t>
      </w:r>
    </w:p>
    <w:p w:rsidR="008F2154" w:rsidRPr="008F2154" w:rsidRDefault="008F2154" w:rsidP="008F2154">
      <w:pPr>
        <w:numPr>
          <w:ilvl w:val="0"/>
          <w:numId w:val="3"/>
        </w:numPr>
        <w:spacing w:line="360" w:lineRule="auto"/>
        <w:ind w:left="644"/>
        <w:contextualSpacing/>
        <w:jc w:val="left"/>
        <w:rPr>
          <w:rFonts w:eastAsiaTheme="minorHAnsi"/>
          <w:color w:val="717176"/>
          <w:szCs w:val="24"/>
          <w:lang w:eastAsia="en-US"/>
        </w:rPr>
      </w:pPr>
      <w:r w:rsidRPr="008F2154">
        <w:rPr>
          <w:rFonts w:eastAsiaTheme="minorHAnsi"/>
          <w:color w:val="717176"/>
          <w:szCs w:val="24"/>
          <w:lang w:eastAsia="en-US"/>
        </w:rPr>
        <w:t>Comunicaciones Satelitales de Nueva Generación (06/12/2021).</w:t>
      </w:r>
    </w:p>
    <w:p w:rsidR="008F2154" w:rsidRPr="008F2154" w:rsidRDefault="008F2154" w:rsidP="008F2154">
      <w:pPr>
        <w:spacing w:line="360" w:lineRule="auto"/>
        <w:ind w:left="720"/>
        <w:contextualSpacing/>
        <w:jc w:val="left"/>
        <w:rPr>
          <w:rFonts w:eastAsiaTheme="minorHAnsi"/>
          <w:color w:val="717176"/>
          <w:szCs w:val="24"/>
          <w:lang w:eastAsia="en-US"/>
        </w:rPr>
      </w:pPr>
    </w:p>
    <w:p w:rsidR="008F2154" w:rsidRPr="008F2154" w:rsidRDefault="008F2154" w:rsidP="008F2154">
      <w:pPr>
        <w:spacing w:line="360" w:lineRule="auto"/>
        <w:rPr>
          <w:rFonts w:eastAsiaTheme="minorHAnsi"/>
          <w:b/>
          <w:color w:val="717176"/>
          <w:szCs w:val="24"/>
          <w:lang w:eastAsia="en-US"/>
        </w:rPr>
      </w:pPr>
      <w:r w:rsidRPr="008F2154">
        <w:rPr>
          <w:rFonts w:eastAsiaTheme="minorHAnsi"/>
          <w:b/>
          <w:color w:val="717176"/>
          <w:szCs w:val="24"/>
          <w:lang w:eastAsia="en-US"/>
        </w:rPr>
        <w:t>Administración del Talento Humano</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 xml:space="preserve">Dentro de las acciones que han sido tomadas para impulsar las mejoras en los resultados de nuestros objetivos, detallamos las siguientes: </w:t>
      </w:r>
    </w:p>
    <w:p w:rsidR="008F2154" w:rsidRPr="008F2154" w:rsidRDefault="008F2154" w:rsidP="00A17C7C">
      <w:pPr>
        <w:numPr>
          <w:ilvl w:val="0"/>
          <w:numId w:val="17"/>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 xml:space="preserve">Inicio del proceso de actualización de la estructura organizativa; </w:t>
      </w:r>
    </w:p>
    <w:p w:rsidR="008F2154" w:rsidRPr="008F2154" w:rsidRDefault="008F2154" w:rsidP="00A17C7C">
      <w:pPr>
        <w:numPr>
          <w:ilvl w:val="0"/>
          <w:numId w:val="17"/>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Actualización de datos de los colaboradores en el sistema de nómina;</w:t>
      </w:r>
    </w:p>
    <w:p w:rsidR="008F2154" w:rsidRPr="008F2154" w:rsidRDefault="008F2154" w:rsidP="00A17C7C">
      <w:pPr>
        <w:numPr>
          <w:ilvl w:val="0"/>
          <w:numId w:val="17"/>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 xml:space="preserve">Solicitud de certificación de buena conducta a los colaboradores de nuevo ingreso; </w:t>
      </w:r>
    </w:p>
    <w:p w:rsidR="008F2154" w:rsidRPr="008F2154" w:rsidRDefault="008F2154" w:rsidP="00A17C7C">
      <w:pPr>
        <w:numPr>
          <w:ilvl w:val="0"/>
          <w:numId w:val="17"/>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Elaboración de Acuerdos de Desempeño de los colaboradores bajo los lineamientos establecidos por el Ministerio de Administración Pública (MAP);</w:t>
      </w:r>
    </w:p>
    <w:p w:rsidR="008F2154" w:rsidRPr="008F2154" w:rsidRDefault="008F2154" w:rsidP="008F2154">
      <w:pPr>
        <w:spacing w:line="360" w:lineRule="auto"/>
        <w:ind w:left="1080"/>
        <w:contextualSpacing/>
        <w:rPr>
          <w:rFonts w:eastAsiaTheme="minorHAnsi"/>
          <w:color w:val="717176"/>
          <w:szCs w:val="24"/>
          <w:lang w:eastAsia="en-US"/>
        </w:rPr>
      </w:pPr>
    </w:p>
    <w:p w:rsidR="008F2154" w:rsidRPr="008F2154" w:rsidRDefault="008F2154" w:rsidP="008F2154">
      <w:pPr>
        <w:spacing w:line="360" w:lineRule="auto"/>
        <w:ind w:left="1080"/>
        <w:contextualSpacing/>
        <w:rPr>
          <w:rFonts w:eastAsiaTheme="minorHAnsi"/>
          <w:color w:val="717176"/>
          <w:szCs w:val="24"/>
          <w:lang w:eastAsia="en-US"/>
        </w:rPr>
      </w:pPr>
      <w:r w:rsidRPr="008F2154">
        <w:rPr>
          <w:rFonts w:eastAsiaTheme="minorHAnsi"/>
          <w:color w:val="717176"/>
          <w:szCs w:val="24"/>
          <w:lang w:eastAsia="en-US"/>
        </w:rPr>
        <w:lastRenderedPageBreak/>
        <w:t>Levantamiento de estadísticas  de colaboradores por grupo ocupacional y sexo:</w:t>
      </w:r>
    </w:p>
    <w:tbl>
      <w:tblPr>
        <w:tblpPr w:leftFromText="141" w:rightFromText="141" w:vertAnchor="text" w:horzAnchor="margin" w:tblpXSpec="center" w:tblpY="294"/>
        <w:tblW w:w="6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2"/>
        <w:gridCol w:w="1097"/>
        <w:gridCol w:w="1203"/>
        <w:gridCol w:w="1203"/>
      </w:tblGrid>
      <w:tr w:rsidR="008F2154" w:rsidRPr="008F2154" w:rsidTr="0063671D">
        <w:trPr>
          <w:trHeight w:val="826"/>
        </w:trPr>
        <w:tc>
          <w:tcPr>
            <w:tcW w:w="6845" w:type="dxa"/>
            <w:gridSpan w:val="4"/>
            <w:shd w:val="clear" w:color="auto" w:fill="003876"/>
            <w:vAlign w:val="center"/>
          </w:tcPr>
          <w:p w:rsidR="008F2154" w:rsidRPr="008F2154" w:rsidRDefault="008F2154" w:rsidP="008F2154">
            <w:pPr>
              <w:spacing w:after="0" w:line="240" w:lineRule="auto"/>
              <w:jc w:val="center"/>
              <w:rPr>
                <w:rFonts w:eastAsia="Times New Roman"/>
                <w:b/>
                <w:color w:val="FFFFFF" w:themeColor="background1"/>
              </w:rPr>
            </w:pPr>
            <w:r w:rsidRPr="008F2154">
              <w:rPr>
                <w:rFonts w:eastAsia="Times New Roman"/>
                <w:b/>
                <w:color w:val="FFFFFF" w:themeColor="background1"/>
              </w:rPr>
              <w:t>Colaboradores por Grupo Ocupacional</w:t>
            </w:r>
          </w:p>
          <w:p w:rsidR="008F2154" w:rsidRPr="008F2154" w:rsidRDefault="008F2154" w:rsidP="008F2154">
            <w:pPr>
              <w:spacing w:after="0" w:line="240" w:lineRule="auto"/>
              <w:jc w:val="center"/>
              <w:rPr>
                <w:rFonts w:eastAsia="Times New Roman"/>
                <w:b/>
                <w:color w:val="FFFFFF" w:themeColor="background1"/>
              </w:rPr>
            </w:pPr>
            <w:r w:rsidRPr="008F2154">
              <w:rPr>
                <w:rFonts w:eastAsia="Times New Roman"/>
                <w:b/>
                <w:color w:val="FFFFFF" w:themeColor="background1"/>
              </w:rPr>
              <w:t>Noviembre de 2021</w:t>
            </w:r>
          </w:p>
        </w:tc>
      </w:tr>
      <w:tr w:rsidR="008F2154" w:rsidRPr="008F2154" w:rsidTr="0063671D">
        <w:trPr>
          <w:trHeight w:val="345"/>
        </w:trPr>
        <w:tc>
          <w:tcPr>
            <w:tcW w:w="3342" w:type="dxa"/>
            <w:shd w:val="clear" w:color="auto" w:fill="003876"/>
            <w:vAlign w:val="center"/>
            <w:hideMark/>
          </w:tcPr>
          <w:p w:rsidR="008F2154" w:rsidRPr="008F2154" w:rsidRDefault="008F2154" w:rsidP="008F2154">
            <w:pPr>
              <w:spacing w:after="0" w:line="360" w:lineRule="auto"/>
              <w:jc w:val="center"/>
              <w:rPr>
                <w:rFonts w:eastAsia="Times New Roman"/>
                <w:b/>
                <w:bCs/>
                <w:color w:val="FFFFFF" w:themeColor="background1"/>
                <w:szCs w:val="24"/>
              </w:rPr>
            </w:pPr>
            <w:r w:rsidRPr="008F2154">
              <w:rPr>
                <w:rFonts w:eastAsia="Times New Roman"/>
                <w:b/>
                <w:bCs/>
                <w:color w:val="FFFFFF" w:themeColor="background1"/>
                <w:szCs w:val="24"/>
              </w:rPr>
              <w:t>Grupos Ocupacionales</w:t>
            </w:r>
          </w:p>
        </w:tc>
        <w:tc>
          <w:tcPr>
            <w:tcW w:w="1097" w:type="dxa"/>
            <w:shd w:val="clear" w:color="auto" w:fill="003876"/>
            <w:vAlign w:val="center"/>
            <w:hideMark/>
          </w:tcPr>
          <w:p w:rsidR="008F2154" w:rsidRPr="008F2154" w:rsidRDefault="008F2154" w:rsidP="008F2154">
            <w:pPr>
              <w:spacing w:after="0" w:line="360" w:lineRule="auto"/>
              <w:jc w:val="center"/>
              <w:rPr>
                <w:rFonts w:eastAsia="Times New Roman"/>
                <w:b/>
                <w:bCs/>
                <w:color w:val="FFFFFF" w:themeColor="background1"/>
                <w:szCs w:val="24"/>
              </w:rPr>
            </w:pPr>
            <w:r w:rsidRPr="008F2154">
              <w:rPr>
                <w:rFonts w:eastAsia="Times New Roman"/>
                <w:b/>
                <w:bCs/>
                <w:color w:val="FFFFFF" w:themeColor="background1"/>
                <w:szCs w:val="24"/>
              </w:rPr>
              <w:t>Femenino</w:t>
            </w:r>
          </w:p>
        </w:tc>
        <w:tc>
          <w:tcPr>
            <w:tcW w:w="1203" w:type="dxa"/>
            <w:shd w:val="clear" w:color="auto" w:fill="003876"/>
            <w:vAlign w:val="center"/>
            <w:hideMark/>
          </w:tcPr>
          <w:p w:rsidR="008F2154" w:rsidRPr="008F2154" w:rsidRDefault="008F2154" w:rsidP="008F2154">
            <w:pPr>
              <w:spacing w:after="0" w:line="360" w:lineRule="auto"/>
              <w:jc w:val="center"/>
              <w:rPr>
                <w:rFonts w:eastAsia="Times New Roman"/>
                <w:b/>
                <w:bCs/>
                <w:color w:val="FFFFFF" w:themeColor="background1"/>
                <w:szCs w:val="24"/>
              </w:rPr>
            </w:pPr>
            <w:r w:rsidRPr="008F2154">
              <w:rPr>
                <w:rFonts w:eastAsia="Times New Roman"/>
                <w:b/>
                <w:bCs/>
                <w:color w:val="FFFFFF" w:themeColor="background1"/>
                <w:szCs w:val="24"/>
              </w:rPr>
              <w:t>Masculino</w:t>
            </w:r>
          </w:p>
        </w:tc>
        <w:tc>
          <w:tcPr>
            <w:tcW w:w="1203" w:type="dxa"/>
            <w:shd w:val="clear" w:color="auto" w:fill="003876"/>
            <w:vAlign w:val="center"/>
            <w:hideMark/>
          </w:tcPr>
          <w:p w:rsidR="008F2154" w:rsidRPr="008F2154" w:rsidRDefault="008F2154" w:rsidP="008F2154">
            <w:pPr>
              <w:spacing w:after="0" w:line="360" w:lineRule="auto"/>
              <w:jc w:val="center"/>
              <w:rPr>
                <w:rFonts w:eastAsia="Times New Roman"/>
                <w:b/>
                <w:bCs/>
                <w:color w:val="FFFFFF" w:themeColor="background1"/>
                <w:szCs w:val="24"/>
              </w:rPr>
            </w:pPr>
            <w:r w:rsidRPr="008F2154">
              <w:rPr>
                <w:rFonts w:eastAsia="Times New Roman"/>
                <w:b/>
                <w:bCs/>
                <w:color w:val="FFFFFF" w:themeColor="background1"/>
                <w:szCs w:val="24"/>
              </w:rPr>
              <w:t>Total</w:t>
            </w:r>
          </w:p>
        </w:tc>
      </w:tr>
      <w:tr w:rsidR="008F2154" w:rsidRPr="008F2154" w:rsidTr="005E7F52">
        <w:trPr>
          <w:trHeight w:val="345"/>
        </w:trPr>
        <w:tc>
          <w:tcPr>
            <w:tcW w:w="3342" w:type="dxa"/>
            <w:shd w:val="clear" w:color="auto" w:fill="FFFFFF"/>
            <w:vAlign w:val="bottom"/>
            <w:hideMark/>
          </w:tcPr>
          <w:p w:rsidR="008F2154" w:rsidRPr="008F2154" w:rsidRDefault="008F2154" w:rsidP="008F2154">
            <w:pPr>
              <w:spacing w:after="0" w:line="360" w:lineRule="auto"/>
              <w:rPr>
                <w:rFonts w:eastAsia="Times New Roman"/>
                <w:color w:val="717176"/>
                <w:szCs w:val="24"/>
              </w:rPr>
            </w:pPr>
            <w:r w:rsidRPr="008F2154">
              <w:rPr>
                <w:rFonts w:eastAsia="Times New Roman"/>
                <w:color w:val="717176"/>
                <w:szCs w:val="24"/>
              </w:rPr>
              <w:t>Profesionales</w:t>
            </w:r>
          </w:p>
        </w:tc>
        <w:tc>
          <w:tcPr>
            <w:tcW w:w="1097"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165</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155</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320</w:t>
            </w:r>
          </w:p>
        </w:tc>
      </w:tr>
      <w:tr w:rsidR="008F2154" w:rsidRPr="008F2154" w:rsidTr="005E7F52">
        <w:trPr>
          <w:trHeight w:val="345"/>
        </w:trPr>
        <w:tc>
          <w:tcPr>
            <w:tcW w:w="3342" w:type="dxa"/>
            <w:shd w:val="clear" w:color="auto" w:fill="FFFFFF"/>
            <w:vAlign w:val="bottom"/>
            <w:hideMark/>
          </w:tcPr>
          <w:p w:rsidR="008F2154" w:rsidRPr="008F2154" w:rsidRDefault="008F2154" w:rsidP="008F2154">
            <w:pPr>
              <w:spacing w:after="0" w:line="360" w:lineRule="auto"/>
              <w:rPr>
                <w:rFonts w:eastAsia="Times New Roman"/>
                <w:color w:val="717176"/>
                <w:szCs w:val="24"/>
              </w:rPr>
            </w:pPr>
            <w:r w:rsidRPr="008F2154">
              <w:rPr>
                <w:rFonts w:eastAsia="Times New Roman"/>
                <w:color w:val="717176"/>
                <w:szCs w:val="24"/>
              </w:rPr>
              <w:t>Apoyo Administrativo</w:t>
            </w:r>
          </w:p>
        </w:tc>
        <w:tc>
          <w:tcPr>
            <w:tcW w:w="1097"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84</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58</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142</w:t>
            </w:r>
          </w:p>
        </w:tc>
      </w:tr>
      <w:tr w:rsidR="008F2154" w:rsidRPr="008F2154" w:rsidTr="005E7F52">
        <w:trPr>
          <w:trHeight w:val="345"/>
        </w:trPr>
        <w:tc>
          <w:tcPr>
            <w:tcW w:w="3342" w:type="dxa"/>
            <w:shd w:val="clear" w:color="auto" w:fill="FFFFFF"/>
            <w:vAlign w:val="bottom"/>
            <w:hideMark/>
          </w:tcPr>
          <w:p w:rsidR="008F2154" w:rsidRPr="008F2154" w:rsidRDefault="008F2154" w:rsidP="008F2154">
            <w:pPr>
              <w:spacing w:after="0" w:line="360" w:lineRule="auto"/>
              <w:rPr>
                <w:rFonts w:eastAsia="Times New Roman"/>
                <w:color w:val="717176"/>
                <w:szCs w:val="24"/>
              </w:rPr>
            </w:pPr>
            <w:r w:rsidRPr="008F2154">
              <w:rPr>
                <w:rFonts w:eastAsia="Times New Roman"/>
                <w:color w:val="717176"/>
                <w:szCs w:val="24"/>
              </w:rPr>
              <w:t>Servicios Generales</w:t>
            </w:r>
          </w:p>
        </w:tc>
        <w:tc>
          <w:tcPr>
            <w:tcW w:w="1097"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33</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52</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85</w:t>
            </w:r>
          </w:p>
        </w:tc>
      </w:tr>
      <w:tr w:rsidR="008F2154" w:rsidRPr="008F2154" w:rsidTr="005E7F52">
        <w:trPr>
          <w:trHeight w:val="345"/>
        </w:trPr>
        <w:tc>
          <w:tcPr>
            <w:tcW w:w="3342" w:type="dxa"/>
            <w:shd w:val="clear" w:color="auto" w:fill="FFFFFF"/>
            <w:vAlign w:val="bottom"/>
          </w:tcPr>
          <w:p w:rsidR="008F2154" w:rsidRPr="008F2154" w:rsidRDefault="008F2154" w:rsidP="008F2154">
            <w:pPr>
              <w:spacing w:after="0" w:line="360" w:lineRule="auto"/>
              <w:rPr>
                <w:rFonts w:eastAsia="Times New Roman"/>
                <w:color w:val="717176"/>
                <w:szCs w:val="24"/>
              </w:rPr>
            </w:pPr>
            <w:r w:rsidRPr="008F2154">
              <w:rPr>
                <w:rFonts w:eastAsia="Times New Roman"/>
                <w:color w:val="717176"/>
                <w:szCs w:val="24"/>
              </w:rPr>
              <w:t>Dirección</w:t>
            </w:r>
          </w:p>
        </w:tc>
        <w:tc>
          <w:tcPr>
            <w:tcW w:w="1097" w:type="dxa"/>
            <w:shd w:val="clear" w:color="auto" w:fill="FFFFFF"/>
            <w:vAlign w:val="bottom"/>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34</w:t>
            </w:r>
          </w:p>
        </w:tc>
        <w:tc>
          <w:tcPr>
            <w:tcW w:w="1203" w:type="dxa"/>
            <w:shd w:val="clear" w:color="auto" w:fill="FFFFFF"/>
            <w:vAlign w:val="bottom"/>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37</w:t>
            </w:r>
          </w:p>
        </w:tc>
        <w:tc>
          <w:tcPr>
            <w:tcW w:w="1203" w:type="dxa"/>
            <w:shd w:val="clear" w:color="auto" w:fill="FFFFFF"/>
            <w:vAlign w:val="bottom"/>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71</w:t>
            </w:r>
          </w:p>
        </w:tc>
      </w:tr>
      <w:tr w:rsidR="008F2154" w:rsidRPr="008F2154" w:rsidTr="005E7F52">
        <w:trPr>
          <w:trHeight w:val="345"/>
        </w:trPr>
        <w:tc>
          <w:tcPr>
            <w:tcW w:w="3342" w:type="dxa"/>
            <w:shd w:val="clear" w:color="auto" w:fill="FFFFFF"/>
            <w:vAlign w:val="bottom"/>
          </w:tcPr>
          <w:p w:rsidR="008F2154" w:rsidRPr="008F2154" w:rsidRDefault="008F2154" w:rsidP="008F2154">
            <w:pPr>
              <w:spacing w:after="0" w:line="360" w:lineRule="auto"/>
              <w:rPr>
                <w:rFonts w:eastAsia="Times New Roman"/>
                <w:color w:val="717176"/>
                <w:szCs w:val="24"/>
              </w:rPr>
            </w:pPr>
            <w:r w:rsidRPr="008F2154">
              <w:rPr>
                <w:rFonts w:eastAsia="Times New Roman"/>
                <w:color w:val="717176"/>
                <w:szCs w:val="24"/>
              </w:rPr>
              <w:t>Técnico</w:t>
            </w:r>
          </w:p>
        </w:tc>
        <w:tc>
          <w:tcPr>
            <w:tcW w:w="1097" w:type="dxa"/>
            <w:shd w:val="clear" w:color="auto" w:fill="FFFFFF"/>
            <w:vAlign w:val="bottom"/>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3</w:t>
            </w:r>
          </w:p>
        </w:tc>
        <w:tc>
          <w:tcPr>
            <w:tcW w:w="1203" w:type="dxa"/>
            <w:shd w:val="clear" w:color="auto" w:fill="FFFFFF"/>
            <w:vAlign w:val="bottom"/>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27</w:t>
            </w:r>
          </w:p>
        </w:tc>
        <w:tc>
          <w:tcPr>
            <w:tcW w:w="1203" w:type="dxa"/>
            <w:shd w:val="clear" w:color="auto" w:fill="FFFFFF"/>
            <w:vAlign w:val="bottom"/>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30</w:t>
            </w:r>
          </w:p>
        </w:tc>
      </w:tr>
      <w:tr w:rsidR="008F2154" w:rsidRPr="008F2154" w:rsidTr="005E7F52">
        <w:trPr>
          <w:trHeight w:val="345"/>
        </w:trPr>
        <w:tc>
          <w:tcPr>
            <w:tcW w:w="3342" w:type="dxa"/>
            <w:shd w:val="clear" w:color="auto" w:fill="FFFFFF"/>
            <w:vAlign w:val="bottom"/>
            <w:hideMark/>
          </w:tcPr>
          <w:p w:rsidR="008F2154" w:rsidRPr="008F2154" w:rsidRDefault="008F2154" w:rsidP="008F2154">
            <w:pPr>
              <w:spacing w:after="0" w:line="360" w:lineRule="auto"/>
              <w:rPr>
                <w:rFonts w:eastAsia="Times New Roman"/>
                <w:color w:val="717176"/>
                <w:szCs w:val="24"/>
              </w:rPr>
            </w:pPr>
            <w:r w:rsidRPr="008F2154">
              <w:rPr>
                <w:rFonts w:eastAsia="Times New Roman"/>
                <w:color w:val="717176"/>
                <w:szCs w:val="24"/>
              </w:rPr>
              <w:t>Grupo Ocupacional No Asignado</w:t>
            </w:r>
          </w:p>
        </w:tc>
        <w:tc>
          <w:tcPr>
            <w:tcW w:w="1097"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1</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7</w:t>
            </w:r>
          </w:p>
        </w:tc>
        <w:tc>
          <w:tcPr>
            <w:tcW w:w="1203" w:type="dxa"/>
            <w:shd w:val="clear" w:color="auto" w:fill="FFFFFF"/>
            <w:vAlign w:val="bottom"/>
            <w:hideMark/>
          </w:tcPr>
          <w:p w:rsidR="008F2154" w:rsidRPr="008F2154" w:rsidRDefault="008F2154" w:rsidP="008F2154">
            <w:pPr>
              <w:spacing w:after="0" w:line="360" w:lineRule="auto"/>
              <w:jc w:val="center"/>
              <w:rPr>
                <w:rFonts w:eastAsia="Times New Roman"/>
                <w:color w:val="717176"/>
                <w:szCs w:val="24"/>
              </w:rPr>
            </w:pPr>
            <w:r w:rsidRPr="008F2154">
              <w:rPr>
                <w:rFonts w:eastAsia="Times New Roman"/>
                <w:color w:val="717176"/>
                <w:szCs w:val="24"/>
              </w:rPr>
              <w:t>8</w:t>
            </w:r>
          </w:p>
        </w:tc>
      </w:tr>
      <w:tr w:rsidR="008F2154" w:rsidRPr="008F2154" w:rsidTr="005E7F52">
        <w:trPr>
          <w:trHeight w:val="345"/>
        </w:trPr>
        <w:tc>
          <w:tcPr>
            <w:tcW w:w="3342" w:type="dxa"/>
            <w:shd w:val="clear" w:color="auto" w:fill="FFFFFF"/>
            <w:vAlign w:val="bottom"/>
          </w:tcPr>
          <w:p w:rsidR="008F2154" w:rsidRPr="008F2154" w:rsidRDefault="008F2154" w:rsidP="008F2154">
            <w:pPr>
              <w:spacing w:after="0" w:line="360" w:lineRule="auto"/>
              <w:rPr>
                <w:rFonts w:eastAsia="Times New Roman"/>
                <w:b/>
                <w:color w:val="717176"/>
                <w:szCs w:val="24"/>
              </w:rPr>
            </w:pPr>
            <w:r w:rsidRPr="008F2154">
              <w:rPr>
                <w:rFonts w:eastAsia="Times New Roman"/>
                <w:b/>
                <w:color w:val="717176"/>
                <w:szCs w:val="24"/>
              </w:rPr>
              <w:t>Total</w:t>
            </w:r>
          </w:p>
        </w:tc>
        <w:tc>
          <w:tcPr>
            <w:tcW w:w="1097" w:type="dxa"/>
            <w:shd w:val="clear" w:color="auto" w:fill="FFFFFF"/>
            <w:vAlign w:val="bottom"/>
          </w:tcPr>
          <w:p w:rsidR="008F2154" w:rsidRPr="008F2154" w:rsidRDefault="008F2154" w:rsidP="008F2154">
            <w:pPr>
              <w:spacing w:after="0" w:line="360" w:lineRule="auto"/>
              <w:jc w:val="center"/>
              <w:rPr>
                <w:rFonts w:eastAsia="Times New Roman"/>
                <w:b/>
                <w:color w:val="717176"/>
                <w:szCs w:val="24"/>
              </w:rPr>
            </w:pPr>
            <w:r w:rsidRPr="008F2154">
              <w:rPr>
                <w:rFonts w:eastAsia="Times New Roman"/>
                <w:b/>
                <w:color w:val="717176"/>
                <w:szCs w:val="24"/>
              </w:rPr>
              <w:t>320</w:t>
            </w:r>
          </w:p>
        </w:tc>
        <w:tc>
          <w:tcPr>
            <w:tcW w:w="1203" w:type="dxa"/>
            <w:shd w:val="clear" w:color="auto" w:fill="FFFFFF"/>
            <w:vAlign w:val="bottom"/>
          </w:tcPr>
          <w:p w:rsidR="008F2154" w:rsidRPr="008F2154" w:rsidRDefault="008F2154" w:rsidP="008F2154">
            <w:pPr>
              <w:spacing w:after="0" w:line="360" w:lineRule="auto"/>
              <w:jc w:val="center"/>
              <w:rPr>
                <w:rFonts w:eastAsia="Times New Roman"/>
                <w:b/>
                <w:color w:val="717176"/>
                <w:szCs w:val="24"/>
              </w:rPr>
            </w:pPr>
            <w:r w:rsidRPr="008F2154">
              <w:rPr>
                <w:rFonts w:eastAsia="Times New Roman"/>
                <w:b/>
                <w:color w:val="717176"/>
                <w:szCs w:val="24"/>
              </w:rPr>
              <w:t>336</w:t>
            </w:r>
          </w:p>
        </w:tc>
        <w:tc>
          <w:tcPr>
            <w:tcW w:w="1203" w:type="dxa"/>
            <w:shd w:val="clear" w:color="auto" w:fill="FFFFFF"/>
            <w:vAlign w:val="bottom"/>
          </w:tcPr>
          <w:p w:rsidR="008F2154" w:rsidRPr="008F2154" w:rsidRDefault="008F2154" w:rsidP="008F2154">
            <w:pPr>
              <w:spacing w:after="0" w:line="360" w:lineRule="auto"/>
              <w:jc w:val="center"/>
              <w:rPr>
                <w:rFonts w:eastAsia="Times New Roman"/>
                <w:b/>
                <w:color w:val="717176"/>
                <w:szCs w:val="24"/>
              </w:rPr>
            </w:pPr>
            <w:r w:rsidRPr="008F2154">
              <w:rPr>
                <w:rFonts w:eastAsia="Times New Roman"/>
                <w:b/>
                <w:color w:val="717176"/>
                <w:szCs w:val="24"/>
              </w:rPr>
              <w:t>656</w:t>
            </w:r>
          </w:p>
        </w:tc>
      </w:tr>
    </w:tbl>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imes New Roman"/>
          <w:color w:val="717176"/>
          <w:szCs w:val="24"/>
        </w:rPr>
      </w:pPr>
    </w:p>
    <w:p w:rsidR="008F2154" w:rsidRPr="008F2154" w:rsidRDefault="008F2154" w:rsidP="008F2154">
      <w:pPr>
        <w:spacing w:after="0" w:line="240" w:lineRule="auto"/>
        <w:ind w:left="540"/>
        <w:jc w:val="left"/>
        <w:rPr>
          <w:rFonts w:eastAsiaTheme="minorHAnsi"/>
          <w:b/>
          <w:sz w:val="18"/>
          <w:lang w:eastAsia="en-US"/>
        </w:rPr>
      </w:pPr>
    </w:p>
    <w:p w:rsidR="008F2154" w:rsidRPr="008F2154" w:rsidRDefault="008F2154" w:rsidP="008F2154">
      <w:pPr>
        <w:spacing w:after="0" w:line="240" w:lineRule="auto"/>
        <w:ind w:left="540"/>
        <w:jc w:val="left"/>
        <w:rPr>
          <w:rFonts w:eastAsiaTheme="minorHAnsi"/>
          <w:b/>
          <w:sz w:val="18"/>
          <w:lang w:eastAsia="en-US"/>
        </w:rPr>
      </w:pPr>
    </w:p>
    <w:p w:rsidR="008F2154" w:rsidRPr="008F2154" w:rsidRDefault="008F2154" w:rsidP="008F2154">
      <w:pPr>
        <w:spacing w:after="0" w:line="240" w:lineRule="auto"/>
        <w:ind w:left="540"/>
        <w:jc w:val="left"/>
        <w:rPr>
          <w:rFonts w:eastAsiaTheme="minorHAnsi"/>
          <w:b/>
          <w:sz w:val="18"/>
          <w:lang w:eastAsia="en-US"/>
        </w:rPr>
      </w:pPr>
    </w:p>
    <w:p w:rsidR="008F2154" w:rsidRPr="008F2154" w:rsidRDefault="008F2154" w:rsidP="008F2154">
      <w:pPr>
        <w:spacing w:after="0" w:line="240" w:lineRule="auto"/>
        <w:ind w:left="540"/>
        <w:jc w:val="left"/>
        <w:rPr>
          <w:rFonts w:eastAsiaTheme="minorHAnsi"/>
          <w:b/>
          <w:sz w:val="18"/>
          <w:lang w:eastAsia="en-US"/>
        </w:rPr>
      </w:pPr>
    </w:p>
    <w:p w:rsidR="008F2154" w:rsidRPr="008F2154" w:rsidRDefault="008F2154" w:rsidP="008F2154">
      <w:pPr>
        <w:spacing w:after="0" w:line="240" w:lineRule="auto"/>
        <w:ind w:left="540"/>
        <w:jc w:val="left"/>
        <w:rPr>
          <w:rFonts w:eastAsiaTheme="minorHAnsi"/>
          <w:b/>
          <w:sz w:val="18"/>
          <w:lang w:eastAsia="en-US"/>
        </w:rPr>
      </w:pPr>
    </w:p>
    <w:p w:rsidR="008F2154" w:rsidRPr="008F2154" w:rsidRDefault="008F2154" w:rsidP="008F2154">
      <w:pPr>
        <w:spacing w:after="0" w:line="240" w:lineRule="auto"/>
        <w:ind w:left="540"/>
        <w:jc w:val="left"/>
        <w:rPr>
          <w:rFonts w:eastAsiaTheme="minorHAnsi"/>
          <w:sz w:val="18"/>
          <w:lang w:eastAsia="en-US"/>
        </w:rPr>
      </w:pPr>
    </w:p>
    <w:p w:rsidR="008F2154" w:rsidRPr="008F2154" w:rsidRDefault="008F2154" w:rsidP="008F2154">
      <w:pPr>
        <w:spacing w:after="0" w:line="240" w:lineRule="auto"/>
        <w:ind w:left="540"/>
        <w:jc w:val="left"/>
        <w:rPr>
          <w:rFonts w:eastAsiaTheme="minorHAnsi"/>
          <w:sz w:val="18"/>
          <w:lang w:eastAsia="en-US"/>
        </w:rPr>
      </w:pPr>
    </w:p>
    <w:p w:rsidR="008F2154" w:rsidRPr="008F2154" w:rsidRDefault="008F2154" w:rsidP="008F2154">
      <w:pPr>
        <w:spacing w:after="0" w:line="240" w:lineRule="auto"/>
        <w:ind w:left="540"/>
        <w:jc w:val="left"/>
        <w:rPr>
          <w:rFonts w:eastAsiaTheme="minorHAnsi"/>
          <w:sz w:val="18"/>
          <w:lang w:eastAsia="en-US"/>
        </w:rPr>
      </w:pPr>
    </w:p>
    <w:p w:rsidR="008F2154" w:rsidRPr="008F2154" w:rsidRDefault="008F2154" w:rsidP="008F2154">
      <w:pPr>
        <w:spacing w:after="0" w:line="240" w:lineRule="auto"/>
        <w:ind w:left="540" w:firstLine="180"/>
        <w:jc w:val="left"/>
        <w:rPr>
          <w:rFonts w:eastAsiaTheme="minorHAnsi"/>
          <w:b/>
          <w:sz w:val="18"/>
          <w:lang w:eastAsia="en-US"/>
        </w:rPr>
      </w:pPr>
      <w:r w:rsidRPr="008F2154">
        <w:rPr>
          <w:rFonts w:eastAsiaTheme="minorHAnsi"/>
          <w:b/>
          <w:sz w:val="18"/>
          <w:lang w:eastAsia="en-US"/>
        </w:rPr>
        <w:t xml:space="preserve">            </w:t>
      </w:r>
    </w:p>
    <w:p w:rsidR="008F2154" w:rsidRPr="008F2154" w:rsidRDefault="008F2154" w:rsidP="008F2154">
      <w:pPr>
        <w:spacing w:after="0" w:line="240" w:lineRule="auto"/>
        <w:ind w:left="540" w:firstLine="180"/>
        <w:jc w:val="left"/>
        <w:rPr>
          <w:rFonts w:eastAsiaTheme="minorHAnsi"/>
          <w:b/>
          <w:sz w:val="18"/>
          <w:lang w:eastAsia="en-US"/>
        </w:rPr>
      </w:pPr>
    </w:p>
    <w:p w:rsidR="008F2154" w:rsidRPr="008F2154" w:rsidRDefault="008F2154" w:rsidP="008F2154">
      <w:pPr>
        <w:spacing w:after="0" w:line="240" w:lineRule="auto"/>
        <w:ind w:left="426"/>
        <w:jc w:val="left"/>
        <w:rPr>
          <w:rFonts w:eastAsiaTheme="minorHAnsi"/>
          <w:sz w:val="18"/>
          <w:lang w:eastAsia="en-US"/>
        </w:rPr>
      </w:pPr>
      <w:r>
        <w:rPr>
          <w:rFonts w:eastAsiaTheme="minorHAnsi"/>
          <w:b/>
          <w:sz w:val="18"/>
          <w:lang w:eastAsia="en-US"/>
        </w:rPr>
        <w:t xml:space="preserve">  </w:t>
      </w:r>
      <w:r w:rsidRPr="008F2154">
        <w:rPr>
          <w:rFonts w:eastAsiaTheme="minorHAnsi"/>
          <w:b/>
          <w:sz w:val="18"/>
          <w:lang w:eastAsia="en-US"/>
        </w:rPr>
        <w:t>Fuente:</w:t>
      </w:r>
      <w:r w:rsidRPr="008F2154">
        <w:rPr>
          <w:rFonts w:eastAsiaTheme="minorHAnsi"/>
          <w:sz w:val="18"/>
          <w:lang w:eastAsia="en-US"/>
        </w:rPr>
        <w:t xml:space="preserve"> Sistema </w:t>
      </w:r>
      <w:proofErr w:type="spellStart"/>
      <w:r w:rsidRPr="008F2154">
        <w:rPr>
          <w:rFonts w:eastAsiaTheme="minorHAnsi"/>
          <w:sz w:val="18"/>
          <w:lang w:eastAsia="en-US"/>
        </w:rPr>
        <w:t>Gazella</w:t>
      </w:r>
      <w:proofErr w:type="spellEnd"/>
    </w:p>
    <w:p w:rsidR="008F2154" w:rsidRPr="008F2154" w:rsidRDefault="008F2154" w:rsidP="008F2154">
      <w:pPr>
        <w:spacing w:after="0" w:line="240" w:lineRule="auto"/>
        <w:ind w:left="540"/>
        <w:jc w:val="left"/>
        <w:rPr>
          <w:rFonts w:eastAsiaTheme="minorHAnsi"/>
          <w:lang w:eastAsia="en-US"/>
        </w:rPr>
      </w:pP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 xml:space="preserve">Dentro de los avances que se han logrado, es preciso destacar la actualización de las  siguientes políticas y procedimientos: </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Política Admisión y/o Selección;</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Política Evaluación del Desempeño;</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 xml:space="preserve">Política Incentivo por Desempeño; </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 xml:space="preserve">Política Terminación Relación Laboral; </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 xml:space="preserve">Procedimiento Entorno y Clima Organizacional; </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 xml:space="preserve">Procedimiento Afiliación de los Colaboradores a los Seguros; </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 xml:space="preserve">Procedimiento Certificaciones Laborales; </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Procedimiento Solicitud y Aprobación de Vacaciones;</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Procedimiento Pasantía;</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Procedimiento Inducción;</w:t>
      </w:r>
    </w:p>
    <w:p w:rsidR="008F2154" w:rsidRPr="008F2154" w:rsidRDefault="008F2154" w:rsidP="008F2154">
      <w:pPr>
        <w:numPr>
          <w:ilvl w:val="0"/>
          <w:numId w:val="2"/>
        </w:numPr>
        <w:spacing w:after="0"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Procedimiento Admisión y/o Selección.</w:t>
      </w:r>
    </w:p>
    <w:p w:rsidR="008F2154" w:rsidRPr="008F2154" w:rsidRDefault="008F2154" w:rsidP="008F2154">
      <w:pPr>
        <w:spacing w:after="0" w:line="240" w:lineRule="auto"/>
        <w:jc w:val="left"/>
        <w:rPr>
          <w:rFonts w:eastAsiaTheme="minorHAnsi"/>
          <w:color w:val="auto"/>
          <w:lang w:eastAsia="en-US"/>
        </w:rPr>
      </w:pP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lastRenderedPageBreak/>
        <w:t>Además, podemos resaltar el seguimiento continuo a:</w:t>
      </w:r>
    </w:p>
    <w:p w:rsidR="008F2154" w:rsidRPr="008F2154" w:rsidRDefault="008F2154" w:rsidP="00A17C7C">
      <w:pPr>
        <w:numPr>
          <w:ilvl w:val="0"/>
          <w:numId w:val="4"/>
        </w:numPr>
        <w:spacing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 xml:space="preserve">Indicadores del Sistema de Monitoreo de la Administración Pública (SISMAP); </w:t>
      </w:r>
    </w:p>
    <w:p w:rsidR="008F2154" w:rsidRPr="008F2154" w:rsidRDefault="008F2154" w:rsidP="00A17C7C">
      <w:pPr>
        <w:numPr>
          <w:ilvl w:val="0"/>
          <w:numId w:val="4"/>
        </w:numPr>
        <w:spacing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Registro y control de la TSS y actualización de las solicitudes en el portal SIURPLUS;</w:t>
      </w:r>
    </w:p>
    <w:p w:rsidR="008F2154" w:rsidRPr="008F2154" w:rsidRDefault="008F2154" w:rsidP="00A17C7C">
      <w:pPr>
        <w:numPr>
          <w:ilvl w:val="0"/>
          <w:numId w:val="4"/>
        </w:numPr>
        <w:spacing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Licencias médicas de más 4 días cargadas en el portal SIURPLUS;</w:t>
      </w:r>
    </w:p>
    <w:p w:rsidR="008F2154" w:rsidRPr="008F2154" w:rsidRDefault="008F2154" w:rsidP="00A17C7C">
      <w:pPr>
        <w:numPr>
          <w:ilvl w:val="0"/>
          <w:numId w:val="4"/>
        </w:numPr>
        <w:spacing w:line="360" w:lineRule="auto"/>
        <w:ind w:left="360"/>
        <w:contextualSpacing/>
        <w:jc w:val="left"/>
        <w:rPr>
          <w:rFonts w:eastAsiaTheme="minorHAnsi"/>
          <w:color w:val="717176"/>
          <w:szCs w:val="24"/>
          <w:lang w:eastAsia="en-US"/>
        </w:rPr>
      </w:pPr>
      <w:r w:rsidRPr="008F2154">
        <w:rPr>
          <w:rFonts w:eastAsiaTheme="minorHAnsi"/>
          <w:color w:val="717176"/>
          <w:szCs w:val="24"/>
          <w:lang w:eastAsia="en-US"/>
        </w:rPr>
        <w:t>Todas las solicitudes realizadas por los colaboradores están siendo respondidas en tiempo record.</w:t>
      </w:r>
      <w:r w:rsidR="00C821BD">
        <w:rPr>
          <w:rFonts w:eastAsiaTheme="minorHAnsi"/>
          <w:color w:val="717176"/>
          <w:szCs w:val="24"/>
          <w:lang w:eastAsia="en-US"/>
        </w:rPr>
        <w:br/>
      </w:r>
    </w:p>
    <w:p w:rsidR="008F2154" w:rsidRPr="008F2154" w:rsidRDefault="008F2154" w:rsidP="008F2154">
      <w:pPr>
        <w:spacing w:line="360" w:lineRule="auto"/>
        <w:rPr>
          <w:rFonts w:eastAsiaTheme="minorHAnsi"/>
          <w:b/>
          <w:color w:val="717176"/>
          <w:szCs w:val="24"/>
          <w:lang w:eastAsia="en-US"/>
        </w:rPr>
      </w:pPr>
      <w:r w:rsidRPr="008F2154">
        <w:rPr>
          <w:rFonts w:eastAsiaTheme="minorHAnsi"/>
          <w:b/>
          <w:color w:val="717176"/>
          <w:szCs w:val="24"/>
          <w:lang w:eastAsia="en-US"/>
        </w:rPr>
        <w:t>Riesgos Laborales</w:t>
      </w:r>
    </w:p>
    <w:p w:rsidR="008F2154" w:rsidRPr="008F2154" w:rsidRDefault="008F2154" w:rsidP="008F2154">
      <w:pPr>
        <w:spacing w:line="360" w:lineRule="auto"/>
        <w:rPr>
          <w:rFonts w:eastAsiaTheme="minorHAnsi"/>
          <w:b/>
          <w:color w:val="717176"/>
          <w:szCs w:val="24"/>
          <w:lang w:eastAsia="en-US"/>
        </w:rPr>
      </w:pPr>
      <w:r w:rsidRPr="008F2154">
        <w:rPr>
          <w:rFonts w:eastAsiaTheme="minorHAnsi"/>
          <w:color w:val="717176"/>
          <w:szCs w:val="24"/>
          <w:lang w:eastAsia="en-US"/>
        </w:rPr>
        <w:t>La institución se ha mantenido alerta desde el primer día de la inminente llegada del COVID-19 al país, dándole apoyo y seguimiento a cada uno de los colaboradores que han sido afectados por esta enfermedad.</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Se implementó una estrategia basada en las instrucciones dadas por el gobierno dominicano y el protocolo de salud establecido por el Ministerio de Salud Pública.</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Desde el inicio de la pandemia hasta la fecha, el INDOTEL se ha preocupado por todos los colaboradores y familiares afectados por el virus, ha dado seguimiento al personal con síntomas gripales, garantizando que los colaboradores tengan un resultado “No Detectado” para su posterior retorno a sus labores.</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Dado el impacto a la salud que ha representado en nuestro país el Coronavirus, ha sido de gran interés mantener las acciones de promoción y vigilancia de la salud de nuestros colaboradores. En ese sentido, se activó el Comité Mixto de Seguridad y Salud en el Trabajo, tanto en la sede principal, Centro INDOTEL, Club Recreativo y Deportivo del INDOTEL y Almacén V Centenario, quienes desde el primer momento han estado atentos a:</w:t>
      </w:r>
    </w:p>
    <w:p w:rsidR="008F2154" w:rsidRPr="008F2154" w:rsidRDefault="008F2154" w:rsidP="00A17C7C">
      <w:pPr>
        <w:numPr>
          <w:ilvl w:val="0"/>
          <w:numId w:val="18"/>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Canalizar cualquier riesgo de salud de los colaboradores;</w:t>
      </w:r>
    </w:p>
    <w:p w:rsidR="008F2154" w:rsidRPr="008F2154" w:rsidRDefault="008F2154" w:rsidP="00A17C7C">
      <w:pPr>
        <w:numPr>
          <w:ilvl w:val="0"/>
          <w:numId w:val="18"/>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lastRenderedPageBreak/>
        <w:t>Fomentar las medidas de higiene establecidas y motivar a los colaboradores que pudieran presentar algún síntoma gripal a recibir asistencia médica y seguir las indicaciones;</w:t>
      </w:r>
    </w:p>
    <w:p w:rsidR="008F2154" w:rsidRPr="008F2154" w:rsidRDefault="008F2154" w:rsidP="00A17C7C">
      <w:pPr>
        <w:numPr>
          <w:ilvl w:val="0"/>
          <w:numId w:val="18"/>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Dar seguimiento y apoyo al colaborador y familiares del mismo que han sido afectados por el virus;</w:t>
      </w:r>
    </w:p>
    <w:p w:rsidR="008F2154" w:rsidRPr="008F2154" w:rsidRDefault="008F2154" w:rsidP="00A17C7C">
      <w:pPr>
        <w:numPr>
          <w:ilvl w:val="0"/>
          <w:numId w:val="18"/>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Informar de manera periódica el protocolo establecido por la institución de acuerdo a lo instruido por los organismos oficiales en relación al manejo y control del Coronavirus.</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Es preciso destacar que también se han tomado las siguientes acciones:</w:t>
      </w:r>
    </w:p>
    <w:p w:rsidR="008F2154" w:rsidRPr="008F2154" w:rsidRDefault="008F2154" w:rsidP="00A17C7C">
      <w:pPr>
        <w:numPr>
          <w:ilvl w:val="0"/>
          <w:numId w:val="19"/>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Higienización de la institución de manera regular;</w:t>
      </w:r>
    </w:p>
    <w:p w:rsidR="008F2154" w:rsidRPr="008F2154" w:rsidRDefault="008F2154" w:rsidP="00A17C7C">
      <w:pPr>
        <w:numPr>
          <w:ilvl w:val="0"/>
          <w:numId w:val="19"/>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Toma de temperatura a cada  persona que ingresa a las instalaciones;</w:t>
      </w:r>
    </w:p>
    <w:p w:rsidR="008F2154" w:rsidRPr="008F2154" w:rsidRDefault="008F2154" w:rsidP="00A17C7C">
      <w:pPr>
        <w:numPr>
          <w:ilvl w:val="0"/>
          <w:numId w:val="19"/>
        </w:numPr>
        <w:spacing w:line="360" w:lineRule="auto"/>
        <w:contextualSpacing/>
        <w:jc w:val="left"/>
        <w:rPr>
          <w:rFonts w:eastAsiaTheme="minorHAnsi"/>
          <w:color w:val="717176"/>
          <w:szCs w:val="24"/>
          <w:lang w:eastAsia="en-US"/>
        </w:rPr>
      </w:pPr>
      <w:r w:rsidRPr="008F2154">
        <w:rPr>
          <w:rFonts w:eastAsiaTheme="minorHAnsi"/>
          <w:color w:val="717176"/>
          <w:szCs w:val="24"/>
          <w:lang w:eastAsia="en-US"/>
        </w:rPr>
        <w:t>Cantidad limitada de colaboradores por área (con la finalidad de garantizar el distanciamiento requerido para la prevención del virus);</w:t>
      </w:r>
    </w:p>
    <w:p w:rsidR="008F2154" w:rsidRPr="00C821BD" w:rsidRDefault="008F2154" w:rsidP="00A17C7C">
      <w:pPr>
        <w:numPr>
          <w:ilvl w:val="0"/>
          <w:numId w:val="19"/>
        </w:numPr>
        <w:spacing w:after="0" w:line="240" w:lineRule="auto"/>
        <w:contextualSpacing/>
        <w:jc w:val="left"/>
        <w:rPr>
          <w:rFonts w:eastAsiaTheme="minorHAnsi"/>
          <w:lang w:eastAsia="en-US"/>
        </w:rPr>
      </w:pPr>
      <w:r w:rsidRPr="00C821BD">
        <w:rPr>
          <w:rFonts w:eastAsiaTheme="minorHAnsi"/>
          <w:szCs w:val="24"/>
          <w:lang w:eastAsia="en-US"/>
        </w:rPr>
        <w:t>Limitación de cantidad de personas en el ascensor.</w:t>
      </w:r>
    </w:p>
    <w:p w:rsidR="008F2154" w:rsidRPr="008F2154" w:rsidRDefault="008F2154" w:rsidP="008F2154">
      <w:pPr>
        <w:spacing w:after="0" w:line="240" w:lineRule="auto"/>
        <w:ind w:left="1080"/>
        <w:contextualSpacing/>
        <w:rPr>
          <w:rFonts w:eastAsiaTheme="minorHAnsi"/>
          <w:color w:val="auto"/>
          <w:lang w:eastAsia="en-US"/>
        </w:rPr>
      </w:pPr>
    </w:p>
    <w:p w:rsidR="008F2154" w:rsidRPr="008F2154" w:rsidRDefault="008F2154" w:rsidP="008F2154">
      <w:pPr>
        <w:spacing w:line="360" w:lineRule="auto"/>
        <w:ind w:left="720"/>
        <w:rPr>
          <w:rFonts w:eastAsiaTheme="minorHAnsi"/>
          <w:color w:val="717176"/>
          <w:szCs w:val="24"/>
          <w:lang w:eastAsia="en-US"/>
        </w:rPr>
      </w:pPr>
      <w:r w:rsidRPr="008F2154">
        <w:rPr>
          <w:rFonts w:eastAsiaTheme="minorHAnsi"/>
          <w:color w:val="717176"/>
          <w:szCs w:val="24"/>
          <w:lang w:eastAsia="en-US"/>
        </w:rPr>
        <w:t>Uno de los mayores logros de la institución para contrarrestar el COVID-19 es haber logrado en las jornadas de vacunación realizadas un 99% de personal vacun</w:t>
      </w:r>
      <w:r w:rsidR="00C821BD">
        <w:rPr>
          <w:rFonts w:eastAsiaTheme="minorHAnsi"/>
          <w:color w:val="717176"/>
          <w:szCs w:val="24"/>
          <w:lang w:eastAsia="en-US"/>
        </w:rPr>
        <w:t>ado con la primera dosis, un 98</w:t>
      </w:r>
      <w:r w:rsidRPr="008F2154">
        <w:rPr>
          <w:rFonts w:eastAsiaTheme="minorHAnsi"/>
          <w:color w:val="717176"/>
          <w:szCs w:val="24"/>
          <w:lang w:eastAsia="en-US"/>
        </w:rPr>
        <w:t>% con segunda dosis (</w:t>
      </w:r>
      <w:proofErr w:type="spellStart"/>
      <w:r w:rsidRPr="008F2154">
        <w:rPr>
          <w:rFonts w:eastAsiaTheme="minorHAnsi"/>
          <w:color w:val="717176"/>
          <w:szCs w:val="24"/>
          <w:lang w:eastAsia="en-US"/>
        </w:rPr>
        <w:t>Sinovac</w:t>
      </w:r>
      <w:proofErr w:type="spellEnd"/>
      <w:r w:rsidRPr="008F2154">
        <w:rPr>
          <w:rFonts w:eastAsiaTheme="minorHAnsi"/>
          <w:color w:val="717176"/>
          <w:szCs w:val="24"/>
          <w:lang w:eastAsia="en-US"/>
        </w:rPr>
        <w:t>) y un 79% con la dosis de refuerzo (Pfizer).</w:t>
      </w:r>
    </w:p>
    <w:p w:rsidR="008F2154" w:rsidRPr="008F2154" w:rsidRDefault="008F2154" w:rsidP="008F2154">
      <w:pPr>
        <w:spacing w:line="360" w:lineRule="auto"/>
        <w:rPr>
          <w:rFonts w:eastAsiaTheme="minorHAnsi"/>
          <w:b/>
          <w:color w:val="717176"/>
          <w:szCs w:val="24"/>
          <w:lang w:eastAsia="en-US"/>
        </w:rPr>
      </w:pPr>
      <w:r w:rsidRPr="008F2154">
        <w:rPr>
          <w:rFonts w:eastAsiaTheme="minorHAnsi"/>
          <w:b/>
          <w:color w:val="717176"/>
          <w:szCs w:val="24"/>
          <w:lang w:eastAsia="en-US"/>
        </w:rPr>
        <w:t>Compensación y Beneficios</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Una de las medidas administrativas tomadas por la institución para impulsar las mejoras de los</w:t>
      </w:r>
      <w:r w:rsidRPr="008F2154">
        <w:rPr>
          <w:rFonts w:eastAsiaTheme="minorHAnsi"/>
          <w:b/>
          <w:color w:val="717176"/>
          <w:szCs w:val="24"/>
          <w:lang w:eastAsia="en-US"/>
        </w:rPr>
        <w:t xml:space="preserve"> </w:t>
      </w:r>
      <w:r w:rsidRPr="008F2154">
        <w:rPr>
          <w:rFonts w:eastAsiaTheme="minorHAnsi"/>
          <w:color w:val="717176"/>
          <w:szCs w:val="24"/>
          <w:lang w:eastAsia="en-US"/>
        </w:rPr>
        <w:t>resultados y la ejecución de las políticas públicas, ha sido el saneamiento de la nómina, cuyo objetivo fue desvincular colaboradores que no desempeñaban ningún tipo de función dentro de la institución. Igualmente, todas las pólizas de seguros de salud han pasado por un  proceso de revisión para evitar la permanencia de personas que no están laborando en el INDOTEL.</w:t>
      </w:r>
    </w:p>
    <w:p w:rsidR="008F2154" w:rsidRPr="008F2154" w:rsidRDefault="008F2154" w:rsidP="008F2154">
      <w:pPr>
        <w:spacing w:line="360" w:lineRule="auto"/>
        <w:rPr>
          <w:rFonts w:eastAsiaTheme="minorHAnsi"/>
          <w:color w:val="717176"/>
          <w:szCs w:val="24"/>
          <w:lang w:eastAsia="en-US"/>
        </w:rPr>
      </w:pPr>
      <w:r w:rsidRPr="008F2154">
        <w:rPr>
          <w:rFonts w:eastAsiaTheme="minorHAnsi"/>
          <w:color w:val="717176"/>
          <w:szCs w:val="24"/>
          <w:lang w:eastAsia="en-US"/>
        </w:rPr>
        <w:t xml:space="preserve">Otras de las acciones que como institución hemos tomado velando por el bienestar de nuestros colaboradores, ha sido la inclusión del 97% del personal de nuevo </w:t>
      </w:r>
      <w:r w:rsidRPr="008F2154">
        <w:rPr>
          <w:rFonts w:eastAsiaTheme="minorHAnsi"/>
          <w:color w:val="717176"/>
          <w:szCs w:val="24"/>
          <w:lang w:eastAsia="en-US"/>
        </w:rPr>
        <w:lastRenderedPageBreak/>
        <w:t>ingreso en el Seguro de Salud Complementario. El restante 3% está en proceso de inclusión en la póliza de salud.</w:t>
      </w:r>
    </w:p>
    <w:p w:rsidR="008F2154" w:rsidRPr="008F2154" w:rsidRDefault="008F2154" w:rsidP="008F2154">
      <w:pPr>
        <w:spacing w:after="0" w:line="240" w:lineRule="auto"/>
        <w:jc w:val="left"/>
        <w:rPr>
          <w:rFonts w:eastAsiaTheme="minorHAnsi"/>
          <w:color w:val="auto"/>
          <w:lang w:eastAsia="en-US"/>
        </w:rPr>
      </w:pPr>
    </w:p>
    <w:p w:rsidR="008F2154" w:rsidRPr="008F2154" w:rsidRDefault="008F2154" w:rsidP="008F2154">
      <w:pPr>
        <w:spacing w:line="360" w:lineRule="auto"/>
        <w:rPr>
          <w:rFonts w:eastAsiaTheme="minorHAnsi"/>
          <w:b/>
          <w:szCs w:val="24"/>
          <w:lang w:eastAsia="en-US"/>
        </w:rPr>
      </w:pPr>
      <w:r w:rsidRPr="008F2154">
        <w:rPr>
          <w:rFonts w:eastAsiaTheme="minorHAnsi"/>
          <w:b/>
          <w:szCs w:val="24"/>
          <w:lang w:eastAsia="en-US"/>
        </w:rPr>
        <w:t>Sistema de Monitoreo de la Administración Pública (SISMAP)</w:t>
      </w:r>
    </w:p>
    <w:p w:rsidR="008F2154" w:rsidRPr="008F2154" w:rsidRDefault="008F2154" w:rsidP="008F2154">
      <w:pPr>
        <w:spacing w:line="360" w:lineRule="auto"/>
        <w:rPr>
          <w:rFonts w:eastAsiaTheme="minorHAnsi"/>
          <w:szCs w:val="24"/>
          <w:lang w:eastAsia="en-US"/>
        </w:rPr>
      </w:pPr>
      <w:r w:rsidRPr="008F2154">
        <w:rPr>
          <w:rFonts w:eastAsiaTheme="minorHAnsi"/>
          <w:szCs w:val="24"/>
          <w:lang w:eastAsia="en-US"/>
        </w:rPr>
        <w:t>La puntuación del INDOTEL en este indicador es de 58.71 %</w:t>
      </w:r>
      <w:r w:rsidR="00C821BD">
        <w:rPr>
          <w:rFonts w:eastAsiaTheme="minorHAnsi"/>
          <w:szCs w:val="24"/>
          <w:lang w:eastAsia="en-US"/>
        </w:rPr>
        <w:t>.</w:t>
      </w:r>
      <w:r w:rsidRPr="008F2154">
        <w:rPr>
          <w:rFonts w:eastAsiaTheme="minorHAnsi"/>
          <w:szCs w:val="24"/>
          <w:lang w:eastAsia="en-US"/>
        </w:rPr>
        <w:t xml:space="preserve"> </w:t>
      </w:r>
      <w:r w:rsidR="00C821BD" w:rsidRPr="008F2154">
        <w:rPr>
          <w:rFonts w:eastAsiaTheme="minorHAnsi"/>
          <w:szCs w:val="24"/>
          <w:lang w:eastAsia="en-US"/>
        </w:rPr>
        <w:t>Nos</w:t>
      </w:r>
      <w:r w:rsidRPr="008F2154">
        <w:rPr>
          <w:rFonts w:eastAsiaTheme="minorHAnsi"/>
          <w:szCs w:val="24"/>
          <w:lang w:eastAsia="en-US"/>
        </w:rPr>
        <w:t xml:space="preserve"> encontramos realizando mejoras con el objetivo de posicionar la institución dentro de los estándares más elev</w:t>
      </w:r>
      <w:r w:rsidR="00C821BD">
        <w:rPr>
          <w:rFonts w:eastAsiaTheme="minorHAnsi"/>
          <w:szCs w:val="24"/>
          <w:lang w:eastAsia="en-US"/>
        </w:rPr>
        <w:t xml:space="preserve">ados de cumplimiento. Se está </w:t>
      </w:r>
      <w:r w:rsidRPr="008F2154">
        <w:rPr>
          <w:rFonts w:eastAsiaTheme="minorHAnsi"/>
          <w:szCs w:val="24"/>
          <w:lang w:eastAsia="en-US"/>
        </w:rPr>
        <w:t xml:space="preserve">adecuando la Estructura Organizacional de acuerdo con los lineamientos establecidos por el Ministerio de Administración Pública (MAP), para así  incrementar los indicadores que guardan relación con la misma como son el Manual de Organización y Funciones y el Manual de Cargos. </w:t>
      </w:r>
    </w:p>
    <w:p w:rsidR="008F2154" w:rsidRPr="008F2154" w:rsidRDefault="008F2154" w:rsidP="008F2154">
      <w:pPr>
        <w:spacing w:line="360" w:lineRule="auto"/>
        <w:rPr>
          <w:rFonts w:eastAsiaTheme="minorHAnsi"/>
          <w:szCs w:val="24"/>
          <w:lang w:eastAsia="en-US"/>
        </w:rPr>
      </w:pPr>
      <w:r w:rsidRPr="008F2154">
        <w:rPr>
          <w:rFonts w:eastAsiaTheme="minorHAnsi"/>
          <w:szCs w:val="24"/>
          <w:lang w:eastAsia="en-US"/>
        </w:rPr>
        <w:t>A continuación detallamos las acciones tomadas por el INDOTEL:</w:t>
      </w:r>
    </w:p>
    <w:tbl>
      <w:tblPr>
        <w:tblStyle w:val="Tablaconcuadrcula21"/>
        <w:tblpPr w:leftFromText="141" w:rightFromText="141" w:vertAnchor="text" w:tblpXSpec="center" w:tblpY="1"/>
        <w:tblOverlap w:val="never"/>
        <w:tblW w:w="9067" w:type="dxa"/>
        <w:jc w:val="center"/>
        <w:tblLayout w:type="fixed"/>
        <w:tblLook w:val="04A0" w:firstRow="1" w:lastRow="0" w:firstColumn="1" w:lastColumn="0" w:noHBand="0" w:noVBand="1"/>
      </w:tblPr>
      <w:tblGrid>
        <w:gridCol w:w="2316"/>
        <w:gridCol w:w="6751"/>
      </w:tblGrid>
      <w:tr w:rsidR="008F2154" w:rsidRPr="008F2154" w:rsidTr="00B5157A">
        <w:trPr>
          <w:trHeight w:val="1128"/>
          <w:tblHeader/>
          <w:jc w:val="center"/>
        </w:trPr>
        <w:tc>
          <w:tcPr>
            <w:tcW w:w="9067" w:type="dxa"/>
            <w:gridSpan w:val="2"/>
            <w:shd w:val="clear" w:color="auto" w:fill="003876"/>
            <w:noWrap/>
            <w:vAlign w:val="center"/>
            <w:hideMark/>
          </w:tcPr>
          <w:p w:rsidR="008F2154" w:rsidRPr="008F2154" w:rsidRDefault="008F2154" w:rsidP="008F2154">
            <w:pPr>
              <w:spacing w:after="0" w:line="360" w:lineRule="auto"/>
              <w:jc w:val="center"/>
              <w:rPr>
                <w:rFonts w:ascii="Times New Roman" w:hAnsi="Times New Roman" w:cs="Times New Roman"/>
                <w:b/>
                <w:color w:val="FFFFFF" w:themeColor="background1"/>
                <w:szCs w:val="24"/>
              </w:rPr>
            </w:pPr>
            <w:r w:rsidRPr="008F2154">
              <w:rPr>
                <w:rFonts w:ascii="Times New Roman" w:hAnsi="Times New Roman" w:cs="Times New Roman"/>
                <w:b/>
                <w:color w:val="FFFFFF" w:themeColor="background1"/>
                <w:szCs w:val="24"/>
              </w:rPr>
              <w:t>Sistema de Monitoreo de la Administración Pública (SISMAP)</w:t>
            </w:r>
          </w:p>
          <w:p w:rsidR="008F2154" w:rsidRPr="008F2154" w:rsidRDefault="008F2154" w:rsidP="008F2154">
            <w:pPr>
              <w:spacing w:after="0" w:line="360" w:lineRule="auto"/>
              <w:jc w:val="center"/>
              <w:rPr>
                <w:rFonts w:ascii="Times New Roman" w:hAnsi="Times New Roman" w:cs="Times New Roman"/>
                <w:b/>
                <w:color w:val="FFFFFF" w:themeColor="background1"/>
                <w:szCs w:val="24"/>
              </w:rPr>
            </w:pPr>
            <w:r w:rsidRPr="008F2154">
              <w:rPr>
                <w:rFonts w:ascii="Times New Roman" w:hAnsi="Times New Roman" w:cs="Times New Roman"/>
                <w:b/>
                <w:color w:val="FFFFFF" w:themeColor="background1"/>
                <w:szCs w:val="24"/>
              </w:rPr>
              <w:t>Enero - Noviembre de 2021</w:t>
            </w:r>
          </w:p>
        </w:tc>
      </w:tr>
      <w:tr w:rsidR="008F2154" w:rsidRPr="008F2154" w:rsidTr="00B5157A">
        <w:trPr>
          <w:trHeight w:val="562"/>
          <w:tblHeader/>
          <w:jc w:val="center"/>
        </w:trPr>
        <w:tc>
          <w:tcPr>
            <w:tcW w:w="2316" w:type="dxa"/>
            <w:shd w:val="clear" w:color="auto" w:fill="003876"/>
            <w:noWrap/>
            <w:vAlign w:val="center"/>
            <w:hideMark/>
          </w:tcPr>
          <w:p w:rsidR="008F2154" w:rsidRPr="008F2154" w:rsidRDefault="008F2154" w:rsidP="008F2154">
            <w:pPr>
              <w:spacing w:after="0" w:line="360" w:lineRule="auto"/>
              <w:jc w:val="center"/>
              <w:rPr>
                <w:rFonts w:ascii="Times New Roman" w:hAnsi="Times New Roman" w:cs="Times New Roman"/>
                <w:b/>
                <w:color w:val="FFFFFF" w:themeColor="background1"/>
                <w:szCs w:val="24"/>
              </w:rPr>
            </w:pPr>
            <w:r w:rsidRPr="008F2154">
              <w:rPr>
                <w:rFonts w:ascii="Times New Roman" w:hAnsi="Times New Roman" w:cs="Times New Roman"/>
                <w:b/>
                <w:color w:val="FFFFFF" w:themeColor="background1"/>
                <w:szCs w:val="24"/>
              </w:rPr>
              <w:t>Indicadores</w:t>
            </w:r>
          </w:p>
        </w:tc>
        <w:tc>
          <w:tcPr>
            <w:tcW w:w="6751" w:type="dxa"/>
            <w:shd w:val="clear" w:color="auto" w:fill="003876"/>
            <w:noWrap/>
            <w:vAlign w:val="center"/>
            <w:hideMark/>
          </w:tcPr>
          <w:p w:rsidR="008F2154" w:rsidRPr="008F2154" w:rsidRDefault="008F2154" w:rsidP="008F2154">
            <w:pPr>
              <w:spacing w:after="0" w:line="360" w:lineRule="auto"/>
              <w:jc w:val="center"/>
              <w:rPr>
                <w:rFonts w:ascii="Times New Roman" w:hAnsi="Times New Roman" w:cs="Times New Roman"/>
                <w:b/>
                <w:color w:val="FFFFFF" w:themeColor="background1"/>
                <w:szCs w:val="24"/>
              </w:rPr>
            </w:pPr>
            <w:r w:rsidRPr="008F2154">
              <w:rPr>
                <w:rFonts w:ascii="Times New Roman" w:hAnsi="Times New Roman" w:cs="Times New Roman"/>
                <w:b/>
                <w:color w:val="FFFFFF" w:themeColor="background1"/>
                <w:szCs w:val="24"/>
              </w:rPr>
              <w:t>Estatus</w:t>
            </w:r>
          </w:p>
        </w:tc>
      </w:tr>
      <w:tr w:rsidR="008F2154" w:rsidRPr="008F2154" w:rsidTr="005E7F52">
        <w:trPr>
          <w:trHeight w:val="315"/>
          <w:jc w:val="center"/>
        </w:trPr>
        <w:tc>
          <w:tcPr>
            <w:tcW w:w="2316"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Autodiagnóstico CAF</w:t>
            </w:r>
          </w:p>
        </w:tc>
        <w:tc>
          <w:tcPr>
            <w:tcW w:w="6751"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Nos encontramos en la fase final de elaboración del Autodiagnóstico CAF correspondiente al año 2021 para remitir al MAP.</w:t>
            </w:r>
          </w:p>
        </w:tc>
      </w:tr>
      <w:tr w:rsidR="008F2154" w:rsidRPr="008F2154" w:rsidTr="005E7F52">
        <w:trPr>
          <w:trHeight w:val="315"/>
          <w:jc w:val="center"/>
        </w:trPr>
        <w:tc>
          <w:tcPr>
            <w:tcW w:w="2316" w:type="dxa"/>
            <w:noWrap/>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Plan de Mejora Modelo CAF</w:t>
            </w:r>
          </w:p>
        </w:tc>
        <w:tc>
          <w:tcPr>
            <w:tcW w:w="6751"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Luego de remitido y aprobado el Autodiagnóstico CAF por el MAP, procederemos a realizar el Plan de Mejora.</w:t>
            </w:r>
          </w:p>
        </w:tc>
      </w:tr>
      <w:tr w:rsidR="008F2154" w:rsidRPr="008F2154" w:rsidTr="005E7F52">
        <w:trPr>
          <w:trHeight w:val="315"/>
          <w:jc w:val="center"/>
        </w:trPr>
        <w:tc>
          <w:tcPr>
            <w:tcW w:w="2316" w:type="dxa"/>
            <w:noWrap/>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Estandarización de Procesos</w:t>
            </w:r>
          </w:p>
        </w:tc>
        <w:tc>
          <w:tcPr>
            <w:tcW w:w="6751"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El INDOTEL se encuentra dando cumplimiento a lo que establece el MAP con la aplicación de un Manual de Procesos Misionales y los indicadores que miden los mismos.</w:t>
            </w:r>
          </w:p>
        </w:tc>
      </w:tr>
      <w:tr w:rsidR="008F2154" w:rsidRPr="008F2154" w:rsidTr="005E7F52">
        <w:trPr>
          <w:trHeight w:val="315"/>
          <w:jc w:val="center"/>
        </w:trPr>
        <w:tc>
          <w:tcPr>
            <w:tcW w:w="2316" w:type="dxa"/>
            <w:noWrap/>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Carta Compromiso al Ciudadano</w:t>
            </w:r>
          </w:p>
        </w:tc>
        <w:tc>
          <w:tcPr>
            <w:tcW w:w="6751"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El</w:t>
            </w:r>
            <w:r w:rsidRPr="008F2154">
              <w:rPr>
                <w:rFonts w:ascii="Times New Roman" w:hAnsi="Times New Roman" w:cs="Times New Roman"/>
                <w:color w:val="000000"/>
                <w:sz w:val="22"/>
                <w:shd w:val="clear" w:color="auto" w:fill="FFFFFF"/>
              </w:rPr>
              <w:t xml:space="preserve"> </w:t>
            </w:r>
            <w:r w:rsidRPr="008F2154">
              <w:rPr>
                <w:rFonts w:ascii="Times New Roman" w:hAnsi="Times New Roman" w:cs="Times New Roman"/>
                <w:szCs w:val="24"/>
              </w:rPr>
              <w:t>INDOTEL elaboró su primera Carta Compromiso al Ciudadano, la cual fue aprobada mediante Resolución Núm. 046-20 por el MAP el 9 de marzo de 2020. En el mes de marzo de 2021 se llevó a cabo la auditoria anual correspondiente.</w:t>
            </w:r>
            <w:r w:rsidRPr="008F2154">
              <w:rPr>
                <w:rFonts w:ascii="Times New Roman" w:hAnsi="Times New Roman" w:cs="Times New Roman"/>
                <w:color w:val="000000"/>
                <w:sz w:val="22"/>
                <w:shd w:val="clear" w:color="auto" w:fill="FFFFFF"/>
              </w:rPr>
              <w:t xml:space="preserve">  </w:t>
            </w:r>
          </w:p>
        </w:tc>
      </w:tr>
      <w:tr w:rsidR="008F2154" w:rsidRPr="008F2154" w:rsidTr="005E7F52">
        <w:trPr>
          <w:trHeight w:val="315"/>
          <w:jc w:val="center"/>
        </w:trPr>
        <w:tc>
          <w:tcPr>
            <w:tcW w:w="2316" w:type="dxa"/>
            <w:noWrap/>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lastRenderedPageBreak/>
              <w:t>Transparencia en las Informaciones de Servicios y Funcionarios</w:t>
            </w:r>
          </w:p>
        </w:tc>
        <w:tc>
          <w:tcPr>
            <w:tcW w:w="6751"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El INDOTEL cuenta con un listado de funcionarios y ficha de los servicios que ofrece.</w:t>
            </w:r>
          </w:p>
        </w:tc>
      </w:tr>
      <w:tr w:rsidR="008F2154" w:rsidRPr="008F2154" w:rsidTr="005E7F52">
        <w:trPr>
          <w:trHeight w:val="315"/>
          <w:jc w:val="center"/>
        </w:trPr>
        <w:tc>
          <w:tcPr>
            <w:tcW w:w="2316"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Planificación de RRHH</w:t>
            </w:r>
          </w:p>
        </w:tc>
        <w:tc>
          <w:tcPr>
            <w:tcW w:w="6751" w:type="dxa"/>
            <w:noWrap/>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El INDOTEL ha alcanzado el total de la meta tras el enfoque en lograr los resultados, conformando un equipo altamente calificado y capacitado en cuanto a la Planificación de RRHH.</w:t>
            </w:r>
          </w:p>
        </w:tc>
      </w:tr>
      <w:tr w:rsidR="008F2154" w:rsidRPr="008F2154" w:rsidTr="005E7F52">
        <w:trPr>
          <w:trHeight w:val="315"/>
          <w:jc w:val="center"/>
        </w:trPr>
        <w:tc>
          <w:tcPr>
            <w:tcW w:w="2316"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Estructura Organizativa</w:t>
            </w:r>
          </w:p>
        </w:tc>
        <w:tc>
          <w:tcPr>
            <w:tcW w:w="6751" w:type="dxa"/>
            <w:noWrap/>
            <w:hideMark/>
          </w:tcPr>
          <w:p w:rsidR="008F2154" w:rsidRPr="008F2154" w:rsidRDefault="008F2154" w:rsidP="008F2154">
            <w:pPr>
              <w:spacing w:after="0" w:line="360" w:lineRule="auto"/>
              <w:rPr>
                <w:rFonts w:ascii="Times New Roman" w:hAnsi="Times New Roman" w:cs="Times New Roman"/>
              </w:rPr>
            </w:pPr>
            <w:r w:rsidRPr="008F2154">
              <w:rPr>
                <w:rFonts w:ascii="Times New Roman" w:hAnsi="Times New Roman" w:cs="Times New Roman"/>
              </w:rPr>
              <w:t>La institución se encuentra inmersa en un proceso de actualización de la Estructura Organizativa.</w:t>
            </w:r>
          </w:p>
        </w:tc>
      </w:tr>
      <w:tr w:rsidR="008F2154" w:rsidRPr="008F2154" w:rsidTr="005E7F52">
        <w:trPr>
          <w:trHeight w:val="315"/>
          <w:jc w:val="center"/>
        </w:trPr>
        <w:tc>
          <w:tcPr>
            <w:tcW w:w="2316" w:type="dxa"/>
            <w:noWrap/>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Manual Organizaciones y Funciones</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El INDOTEL dará inicio a los trabajos de actualización del Manual de Organización y Funciones, luego de aprobada la estructura por el MAP.</w:t>
            </w:r>
          </w:p>
        </w:tc>
      </w:tr>
      <w:tr w:rsidR="008F2154" w:rsidRPr="008F2154" w:rsidTr="005E7F52">
        <w:trPr>
          <w:trHeight w:val="315"/>
          <w:jc w:val="center"/>
        </w:trPr>
        <w:tc>
          <w:tcPr>
            <w:tcW w:w="2316" w:type="dxa"/>
            <w:noWrap/>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Manual de Cargos Elaborado</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El INDOTEL dará inicio a los trabajos de actualización del Manual de Cargos, luego de aprobada la estructura por el MAP.</w:t>
            </w:r>
          </w:p>
        </w:tc>
      </w:tr>
      <w:tr w:rsidR="008F2154" w:rsidRPr="008F2154" w:rsidTr="005E7F52">
        <w:trPr>
          <w:trHeight w:val="315"/>
          <w:jc w:val="center"/>
        </w:trPr>
        <w:tc>
          <w:tcPr>
            <w:tcW w:w="2316" w:type="dxa"/>
            <w:noWrap/>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Gestión Acuerdos de Desempeño</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La institución concluyó con la etapa de elaboración, firma y remisión de los Acuerdos de Desempeño al MAP.</w:t>
            </w:r>
          </w:p>
        </w:tc>
      </w:tr>
      <w:tr w:rsidR="008F2154" w:rsidRPr="008F2154" w:rsidTr="005E7F52">
        <w:trPr>
          <w:trHeight w:val="315"/>
          <w:jc w:val="center"/>
        </w:trPr>
        <w:tc>
          <w:tcPr>
            <w:tcW w:w="2316" w:type="dxa"/>
            <w:noWrap/>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Evaluación de Desempeño</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La Evaluación de Desempeño de los colaboradores fue realizada.</w:t>
            </w:r>
          </w:p>
        </w:tc>
      </w:tr>
      <w:tr w:rsidR="008F2154" w:rsidRPr="008F2154" w:rsidTr="005E7F52">
        <w:trPr>
          <w:trHeight w:val="315"/>
          <w:jc w:val="center"/>
        </w:trPr>
        <w:tc>
          <w:tcPr>
            <w:tcW w:w="2316" w:type="dxa"/>
            <w:noWrap/>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Plan de Capacitación</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En el INDOTEL cumplimos con la planificación de nuestro levantamiento de necesidades de capacitación del año, lo que nos brinda la oportunidad de enfocarnos en las necesidades específicas para el desarrollo del talento humano.</w:t>
            </w:r>
          </w:p>
        </w:tc>
      </w:tr>
      <w:tr w:rsidR="008F2154" w:rsidRPr="008F2154" w:rsidTr="005E7F52">
        <w:trPr>
          <w:trHeight w:val="945"/>
          <w:jc w:val="center"/>
        </w:trPr>
        <w:tc>
          <w:tcPr>
            <w:tcW w:w="2316" w:type="dxa"/>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t>Implementación de Sistema de Seguridad y Salud en el Trabajo de la Administración Pública</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Se conformó el Comité de Emergencia.</w:t>
            </w:r>
          </w:p>
          <w:p w:rsidR="008F2154" w:rsidRPr="008F2154" w:rsidRDefault="008F2154" w:rsidP="008F2154">
            <w:pPr>
              <w:spacing w:after="0" w:line="240" w:lineRule="auto"/>
              <w:jc w:val="left"/>
              <w:rPr>
                <w:rFonts w:ascii="Times New Roman" w:hAnsi="Times New Roman" w:cs="Times New Roman"/>
                <w:color w:val="auto"/>
                <w:szCs w:val="24"/>
              </w:rPr>
            </w:pPr>
          </w:p>
        </w:tc>
      </w:tr>
      <w:tr w:rsidR="008F2154" w:rsidRPr="008F2154" w:rsidTr="005E7F52">
        <w:trPr>
          <w:trHeight w:val="908"/>
          <w:jc w:val="center"/>
        </w:trPr>
        <w:tc>
          <w:tcPr>
            <w:tcW w:w="2316" w:type="dxa"/>
            <w:noWrap/>
            <w:hideMark/>
          </w:tcPr>
          <w:p w:rsidR="008F2154" w:rsidRPr="008F2154" w:rsidRDefault="008F2154" w:rsidP="008F2154">
            <w:pPr>
              <w:spacing w:after="0" w:line="360" w:lineRule="auto"/>
              <w:jc w:val="left"/>
              <w:rPr>
                <w:rFonts w:ascii="Times New Roman" w:hAnsi="Times New Roman" w:cs="Times New Roman"/>
                <w:szCs w:val="24"/>
              </w:rPr>
            </w:pPr>
            <w:r w:rsidRPr="008F2154">
              <w:rPr>
                <w:rFonts w:ascii="Times New Roman" w:hAnsi="Times New Roman" w:cs="Times New Roman"/>
                <w:szCs w:val="24"/>
              </w:rPr>
              <w:lastRenderedPageBreak/>
              <w:t>Encuesta de Clima Laboral</w:t>
            </w:r>
          </w:p>
        </w:tc>
        <w:tc>
          <w:tcPr>
            <w:tcW w:w="6751" w:type="dxa"/>
            <w:noWrap/>
            <w:hideMark/>
          </w:tcPr>
          <w:p w:rsidR="008F2154" w:rsidRPr="008F2154" w:rsidRDefault="008F2154" w:rsidP="008F2154">
            <w:pPr>
              <w:spacing w:after="0" w:line="360" w:lineRule="auto"/>
              <w:rPr>
                <w:rFonts w:ascii="Times New Roman" w:hAnsi="Times New Roman" w:cs="Times New Roman"/>
                <w:szCs w:val="24"/>
              </w:rPr>
            </w:pPr>
            <w:r w:rsidRPr="008F2154">
              <w:rPr>
                <w:rFonts w:ascii="Times New Roman" w:hAnsi="Times New Roman" w:cs="Times New Roman"/>
                <w:szCs w:val="24"/>
              </w:rPr>
              <w:t>Se elaboró Plan de Acción de Clima Laboral y estamos en proceso de implementación.</w:t>
            </w:r>
          </w:p>
        </w:tc>
      </w:tr>
    </w:tbl>
    <w:p w:rsidR="008F2154" w:rsidRPr="008F2154" w:rsidRDefault="008F2154" w:rsidP="008F2154">
      <w:pPr>
        <w:spacing w:line="360" w:lineRule="auto"/>
        <w:ind w:left="-180"/>
        <w:rPr>
          <w:rFonts w:asciiTheme="minorHAnsi" w:eastAsiaTheme="minorHAnsi" w:hAnsiTheme="minorHAnsi" w:cstheme="minorBidi"/>
          <w:sz w:val="16"/>
          <w:lang w:eastAsia="en-US"/>
        </w:rPr>
      </w:pPr>
      <w:r w:rsidRPr="008F2154">
        <w:rPr>
          <w:rFonts w:eastAsiaTheme="minorHAnsi"/>
          <w:b/>
          <w:sz w:val="18"/>
          <w:szCs w:val="24"/>
          <w:lang w:eastAsia="en-US"/>
        </w:rPr>
        <w:lastRenderedPageBreak/>
        <w:t xml:space="preserve">       </w:t>
      </w:r>
    </w:p>
    <w:p w:rsidR="008F2154" w:rsidRPr="008F2154" w:rsidRDefault="008F2154" w:rsidP="008F2154">
      <w:pPr>
        <w:spacing w:after="0" w:line="360" w:lineRule="auto"/>
        <w:rPr>
          <w:rFonts w:eastAsiaTheme="minorHAnsi"/>
          <w:color w:val="717176"/>
          <w:szCs w:val="24"/>
          <w:lang w:eastAsia="en-US"/>
        </w:rPr>
      </w:pPr>
    </w:p>
    <w:p w:rsidR="00252348" w:rsidRDefault="00252348" w:rsidP="006D5DD8">
      <w:pPr>
        <w:spacing w:after="0" w:line="360" w:lineRule="auto"/>
        <w:rPr>
          <w:rFonts w:eastAsiaTheme="minorHAnsi"/>
          <w:color w:val="717176"/>
          <w:szCs w:val="24"/>
          <w:lang w:eastAsia="en-US"/>
        </w:rPr>
      </w:pPr>
    </w:p>
    <w:p w:rsidR="008F2154" w:rsidRPr="008F2154" w:rsidRDefault="008F2154" w:rsidP="008F2154">
      <w:pPr>
        <w:spacing w:after="0" w:line="360" w:lineRule="auto"/>
        <w:ind w:left="-567"/>
        <w:rPr>
          <w:rFonts w:eastAsiaTheme="minorHAnsi"/>
          <w:color w:val="717176"/>
          <w:szCs w:val="24"/>
          <w:lang w:eastAsia="en-US"/>
        </w:rPr>
      </w:pPr>
      <w:r w:rsidRPr="008F2154">
        <w:rPr>
          <w:rFonts w:eastAsiaTheme="minorHAnsi"/>
          <w:b/>
          <w:sz w:val="18"/>
          <w:szCs w:val="24"/>
          <w:lang w:eastAsia="en-US"/>
        </w:rPr>
        <w:lastRenderedPageBreak/>
        <w:t>Fuente</w:t>
      </w:r>
      <w:r w:rsidRPr="008F2154">
        <w:rPr>
          <w:rFonts w:eastAsiaTheme="minorHAnsi"/>
          <w:sz w:val="18"/>
          <w:szCs w:val="24"/>
          <w:lang w:eastAsia="en-US"/>
        </w:rPr>
        <w:t>: Dirección de Gestión Humana, Dirección de Planificación Estratégica y el Ministerio de Administración Pública (MAP)</w:t>
      </w:r>
    </w:p>
    <w:p w:rsidR="00252348" w:rsidRDefault="00252348"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8F2154" w:rsidRDefault="008F2154" w:rsidP="006D5DD8">
      <w:pPr>
        <w:spacing w:after="0" w:line="360" w:lineRule="auto"/>
        <w:rPr>
          <w:rFonts w:eastAsia="Times New Roman"/>
          <w:b/>
          <w:sz w:val="28"/>
          <w:szCs w:val="24"/>
        </w:rPr>
      </w:pPr>
    </w:p>
    <w:p w:rsidR="001E6E21" w:rsidRPr="001E6E21" w:rsidRDefault="001E6E21" w:rsidP="001E6E21">
      <w:pPr>
        <w:pStyle w:val="Ttulo3"/>
        <w:rPr>
          <w:szCs w:val="28"/>
        </w:rPr>
      </w:pPr>
      <w:bookmarkStart w:id="68" w:name="_Toc90936654"/>
      <w:r w:rsidRPr="001E6E21">
        <w:rPr>
          <w:szCs w:val="28"/>
        </w:rPr>
        <w:lastRenderedPageBreak/>
        <w:t xml:space="preserve">Desempeño de los </w:t>
      </w:r>
      <w:r w:rsidR="00C96273" w:rsidRPr="001E6E21">
        <w:rPr>
          <w:szCs w:val="28"/>
        </w:rPr>
        <w:t>Procesos Jurídicos</w:t>
      </w:r>
      <w:bookmarkEnd w:id="68"/>
    </w:p>
    <w:p w:rsidR="001E6E21" w:rsidRDefault="001E6E21" w:rsidP="000A2B26">
      <w:pPr>
        <w:pStyle w:val="Sinespaciado"/>
      </w:pPr>
    </w:p>
    <w:p w:rsidR="006D5DD8" w:rsidRPr="006D5DD8" w:rsidRDefault="006D5DD8" w:rsidP="001E6E21">
      <w:pPr>
        <w:pStyle w:val="Ttulo4"/>
      </w:pPr>
      <w:r w:rsidRPr="006D5DD8">
        <w:t>Cumplimiento y Sanciones</w:t>
      </w:r>
    </w:p>
    <w:p w:rsidR="006D5DD8" w:rsidRPr="00230D31" w:rsidRDefault="006D5DD8" w:rsidP="004B17EE">
      <w:pPr>
        <w:pStyle w:val="Sinespaciado"/>
      </w:pPr>
    </w:p>
    <w:p w:rsidR="00663602" w:rsidRPr="00663602" w:rsidRDefault="00663602" w:rsidP="00E53CB1">
      <w:pPr>
        <w:spacing w:after="0" w:line="360" w:lineRule="auto"/>
        <w:ind w:right="-158"/>
        <w:rPr>
          <w:rFonts w:eastAsia="MS Mincho"/>
          <w:szCs w:val="24"/>
          <w:lang w:eastAsia="en-US"/>
        </w:rPr>
      </w:pPr>
      <w:r w:rsidRPr="00663602">
        <w:rPr>
          <w:rFonts w:eastAsia="MS Mincho"/>
          <w:szCs w:val="24"/>
          <w:lang w:eastAsia="en-US"/>
        </w:rPr>
        <w:t xml:space="preserve">La Gerencia de Cumplimiento es el área operativa que le permite al INDOTEL cumplir con los objetivos puestos a su cargo por la Ley General de Telecomunicaciones, Núm. 153-98,  la cual le otorga y reconoce la condición de órgano rector del sector de las telecomunicaciones en la República Dominicana, quien por vía  de su potestad reglamentaria ejerce el rol regulatorio que esta le confiere. </w:t>
      </w:r>
    </w:p>
    <w:p w:rsidR="00663602" w:rsidRPr="00663602" w:rsidRDefault="00663602" w:rsidP="00E53CB1">
      <w:pPr>
        <w:spacing w:after="0" w:line="360" w:lineRule="auto"/>
        <w:ind w:right="-158"/>
        <w:rPr>
          <w:rFonts w:eastAsia="MS Mincho"/>
          <w:szCs w:val="24"/>
          <w:lang w:eastAsia="en-US"/>
        </w:rPr>
      </w:pPr>
    </w:p>
    <w:p w:rsidR="00663602" w:rsidRPr="00663602" w:rsidRDefault="00663602" w:rsidP="00E53CB1">
      <w:pPr>
        <w:spacing w:after="0" w:line="360" w:lineRule="auto"/>
        <w:ind w:right="-158"/>
        <w:rPr>
          <w:rFonts w:eastAsia="MS Mincho"/>
          <w:szCs w:val="24"/>
          <w:lang w:eastAsia="en-US"/>
        </w:rPr>
      </w:pPr>
      <w:r w:rsidRPr="00663602">
        <w:rPr>
          <w:rFonts w:eastAsia="MS Mincho"/>
          <w:szCs w:val="24"/>
          <w:lang w:eastAsia="en-US"/>
        </w:rPr>
        <w:t>En dicho contexto, la Gerencia de Cumplimiento está llamada a controlar la consecución de las obligaciones legales y establecidas de forma reglamentaria en el marco normativo vigente por parte de los agentes regulados, para cuyo propósito promueve acciones de vigilancia acorde al plan de cumplimiento estructurado, la realización de investigaciones de incumplimiento, estudios regulatorios, análisis de denuncias, entre otros, que constituyen instrumentos para identificar la existencia de posibles vulneraciones a la Ley y los reglamentos que la complementan, en cuyo caso requiere la adopción de medidas correctivas pertinentes.</w:t>
      </w:r>
    </w:p>
    <w:p w:rsidR="00663602" w:rsidRPr="00663602" w:rsidRDefault="00663602" w:rsidP="00E53CB1">
      <w:pPr>
        <w:spacing w:after="0" w:line="360" w:lineRule="auto"/>
        <w:ind w:right="-158"/>
        <w:rPr>
          <w:rFonts w:eastAsia="MS Mincho"/>
          <w:szCs w:val="24"/>
          <w:lang w:eastAsia="en-US"/>
        </w:rPr>
      </w:pPr>
    </w:p>
    <w:p w:rsidR="00663602" w:rsidRPr="00663602" w:rsidRDefault="00663602" w:rsidP="00E53CB1">
      <w:pPr>
        <w:spacing w:after="0" w:line="360" w:lineRule="auto"/>
        <w:ind w:right="-158"/>
        <w:rPr>
          <w:rFonts w:eastAsia="MS Mincho"/>
          <w:szCs w:val="24"/>
          <w:lang w:eastAsia="en-US"/>
        </w:rPr>
      </w:pPr>
      <w:r w:rsidRPr="00663602">
        <w:rPr>
          <w:rFonts w:eastAsia="MS Mincho"/>
          <w:szCs w:val="24"/>
          <w:lang w:eastAsia="en-US"/>
        </w:rPr>
        <w:t>Sobre la base de lo anteriormente señalado, INDOTEL, en el ejercicio de las funciones de vigilancia y control del cumplimiento del marco normativo y regulatorio vigente ha procedido a identificar en toda la geografía nacional, mediante labores de supervisión a los operadores y prestadoras de servicios públicos de telecomunicaciones, los agentes que se encuentran prestando servicios al margen del marco normativo y reglamentario,  promoviendo en consecuencia la adopción de las medidas correctivas pertinentes, acordes con los títulos habilitantes emitidos para la prestación de los servicios autorizados y los textos legales y reglamentarios aplicables.</w:t>
      </w:r>
    </w:p>
    <w:p w:rsidR="00663602" w:rsidRPr="00663602" w:rsidRDefault="00663602" w:rsidP="00E53CB1">
      <w:pPr>
        <w:spacing w:after="0" w:line="360" w:lineRule="auto"/>
        <w:ind w:right="-158"/>
        <w:rPr>
          <w:rFonts w:eastAsia="MS Mincho"/>
          <w:szCs w:val="24"/>
          <w:lang w:eastAsia="en-US"/>
        </w:rPr>
      </w:pPr>
    </w:p>
    <w:p w:rsidR="00663602" w:rsidRPr="00663602" w:rsidRDefault="00663602" w:rsidP="00E53CB1">
      <w:pPr>
        <w:spacing w:after="0" w:line="360" w:lineRule="auto"/>
        <w:ind w:right="-158"/>
        <w:rPr>
          <w:rFonts w:eastAsia="MS Mincho"/>
          <w:szCs w:val="24"/>
          <w:lang w:eastAsia="en-US"/>
        </w:rPr>
      </w:pPr>
      <w:r w:rsidRPr="00663602">
        <w:rPr>
          <w:rFonts w:eastAsia="MS Mincho"/>
          <w:szCs w:val="24"/>
          <w:lang w:eastAsia="en-US"/>
        </w:rPr>
        <w:lastRenderedPageBreak/>
        <w:t xml:space="preserve">En dicho sentido, dentro de las labores ejecutadas, a los fines precedidos, vale señalarse las siguientes actuaciones: </w:t>
      </w:r>
    </w:p>
    <w:p w:rsidR="00663602" w:rsidRPr="00663602" w:rsidRDefault="00663602" w:rsidP="00663602">
      <w:pPr>
        <w:spacing w:after="0" w:line="276" w:lineRule="auto"/>
        <w:rPr>
          <w:rFonts w:eastAsia="Times New Roman"/>
          <w:b/>
          <w:bCs/>
          <w:color w:val="auto"/>
          <w:szCs w:val="24"/>
        </w:rPr>
      </w:pPr>
    </w:p>
    <w:tbl>
      <w:tblPr>
        <w:tblStyle w:val="Tablaconcuadrcula6"/>
        <w:tblW w:w="7616" w:type="dxa"/>
        <w:jc w:val="center"/>
        <w:tblLook w:val="04A0" w:firstRow="1" w:lastRow="0" w:firstColumn="1" w:lastColumn="0" w:noHBand="0" w:noVBand="1"/>
      </w:tblPr>
      <w:tblGrid>
        <w:gridCol w:w="2096"/>
        <w:gridCol w:w="16"/>
        <w:gridCol w:w="5504"/>
      </w:tblGrid>
      <w:tr w:rsidR="00663602" w:rsidRPr="00663602" w:rsidTr="0063671D">
        <w:trPr>
          <w:trHeight w:val="890"/>
          <w:tblHeader/>
          <w:jc w:val="center"/>
        </w:trPr>
        <w:tc>
          <w:tcPr>
            <w:tcW w:w="7616" w:type="dxa"/>
            <w:gridSpan w:val="3"/>
            <w:shd w:val="clear" w:color="auto" w:fill="003876"/>
            <w:vAlign w:val="center"/>
          </w:tcPr>
          <w:p w:rsidR="00663602" w:rsidRPr="00663602" w:rsidRDefault="00663602" w:rsidP="00663602">
            <w:pPr>
              <w:spacing w:after="0" w:line="360" w:lineRule="auto"/>
              <w:jc w:val="center"/>
              <w:rPr>
                <w:rFonts w:ascii="Times New Roman" w:hAnsi="Times New Roman" w:cs="Times New Roman"/>
                <w:b/>
                <w:color w:val="FFFFFF" w:themeColor="background1"/>
                <w:szCs w:val="24"/>
              </w:rPr>
            </w:pPr>
            <w:r w:rsidRPr="00663602">
              <w:rPr>
                <w:rFonts w:ascii="Times New Roman" w:hAnsi="Times New Roman" w:cs="Times New Roman"/>
                <w:b/>
                <w:color w:val="FFFFFF" w:themeColor="background1"/>
                <w:szCs w:val="24"/>
              </w:rPr>
              <w:t>Casos Instruidos por Tipo de Incumplimiento</w:t>
            </w:r>
          </w:p>
          <w:p w:rsidR="00663602" w:rsidRPr="00663602" w:rsidRDefault="00663602" w:rsidP="00663602">
            <w:pPr>
              <w:spacing w:after="0" w:line="360" w:lineRule="auto"/>
              <w:jc w:val="center"/>
              <w:rPr>
                <w:rFonts w:ascii="Times New Roman" w:hAnsi="Times New Roman" w:cs="Times New Roman"/>
                <w:b/>
                <w:color w:val="FFFFFF" w:themeColor="background1"/>
                <w:szCs w:val="24"/>
              </w:rPr>
            </w:pPr>
            <w:r w:rsidRPr="00663602">
              <w:rPr>
                <w:rFonts w:ascii="Times New Roman" w:hAnsi="Times New Roman" w:cs="Times New Roman"/>
                <w:b/>
                <w:color w:val="FFFFFF" w:themeColor="background1"/>
                <w:szCs w:val="24"/>
              </w:rPr>
              <w:t>Enero - Noviembre de 2021</w:t>
            </w:r>
          </w:p>
        </w:tc>
      </w:tr>
      <w:tr w:rsidR="00663602" w:rsidRPr="00663602" w:rsidTr="0063671D">
        <w:trPr>
          <w:trHeight w:val="350"/>
          <w:tblHeader/>
          <w:jc w:val="center"/>
        </w:trPr>
        <w:tc>
          <w:tcPr>
            <w:tcW w:w="2096" w:type="dxa"/>
            <w:shd w:val="clear" w:color="auto" w:fill="003876"/>
          </w:tcPr>
          <w:p w:rsidR="00663602" w:rsidRPr="00663602" w:rsidRDefault="00663602" w:rsidP="00663602">
            <w:pPr>
              <w:spacing w:after="0" w:line="240" w:lineRule="auto"/>
              <w:jc w:val="center"/>
              <w:rPr>
                <w:rFonts w:ascii="Times New Roman" w:eastAsia="Times New Roman" w:hAnsi="Times New Roman" w:cs="Times New Roman"/>
                <w:b/>
                <w:color w:val="auto"/>
              </w:rPr>
            </w:pPr>
            <w:r w:rsidRPr="00663602">
              <w:rPr>
                <w:rFonts w:ascii="Times New Roman" w:eastAsia="Times New Roman" w:hAnsi="Times New Roman" w:cs="Times New Roman"/>
                <w:b/>
                <w:color w:val="auto"/>
              </w:rPr>
              <w:t>Cantidad de Casos</w:t>
            </w:r>
          </w:p>
        </w:tc>
        <w:tc>
          <w:tcPr>
            <w:tcW w:w="5520" w:type="dxa"/>
            <w:gridSpan w:val="2"/>
            <w:shd w:val="clear" w:color="auto" w:fill="003876"/>
          </w:tcPr>
          <w:p w:rsidR="00663602" w:rsidRPr="00663602" w:rsidRDefault="00663602" w:rsidP="00663602">
            <w:pPr>
              <w:spacing w:after="0" w:line="240" w:lineRule="auto"/>
              <w:jc w:val="center"/>
              <w:rPr>
                <w:rFonts w:ascii="Times New Roman" w:eastAsia="Times New Roman" w:hAnsi="Times New Roman" w:cs="Times New Roman"/>
                <w:b/>
                <w:color w:val="auto"/>
              </w:rPr>
            </w:pPr>
            <w:r w:rsidRPr="00663602">
              <w:rPr>
                <w:rFonts w:ascii="Times New Roman" w:eastAsia="Times New Roman" w:hAnsi="Times New Roman" w:cs="Times New Roman"/>
                <w:b/>
                <w:color w:val="auto"/>
              </w:rPr>
              <w:t>Tipo de Incumplimiento</w:t>
            </w:r>
          </w:p>
        </w:tc>
      </w:tr>
      <w:tr w:rsidR="00663602" w:rsidRPr="00663602" w:rsidTr="00E53CB1">
        <w:trPr>
          <w:jc w:val="center"/>
        </w:trPr>
        <w:tc>
          <w:tcPr>
            <w:tcW w:w="2112" w:type="dxa"/>
            <w:gridSpan w:val="2"/>
          </w:tcPr>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r w:rsidRPr="00663602">
              <w:rPr>
                <w:rFonts w:ascii="Times New Roman" w:hAnsi="Times New Roman" w:cs="Times New Roman"/>
                <w:szCs w:val="24"/>
              </w:rPr>
              <w:t>1</w:t>
            </w:r>
          </w:p>
        </w:tc>
        <w:tc>
          <w:tcPr>
            <w:tcW w:w="5504" w:type="dxa"/>
          </w:tcPr>
          <w:p w:rsidR="00663602" w:rsidRPr="00663602" w:rsidRDefault="00663602" w:rsidP="00E53CB1">
            <w:pPr>
              <w:spacing w:after="0" w:line="360" w:lineRule="auto"/>
              <w:jc w:val="left"/>
              <w:rPr>
                <w:rFonts w:ascii="Times New Roman" w:hAnsi="Times New Roman" w:cs="Times New Roman"/>
                <w:szCs w:val="24"/>
              </w:rPr>
            </w:pPr>
            <w:r w:rsidRPr="00663602">
              <w:rPr>
                <w:rFonts w:ascii="Times New Roman" w:hAnsi="Times New Roman" w:cs="Times New Roman"/>
                <w:szCs w:val="24"/>
              </w:rPr>
              <w:t>Ausencia de violación al marco legal y reglamentario vigente</w:t>
            </w:r>
          </w:p>
        </w:tc>
      </w:tr>
      <w:tr w:rsidR="00663602" w:rsidRPr="00663602" w:rsidTr="00E53CB1">
        <w:trPr>
          <w:jc w:val="center"/>
        </w:trPr>
        <w:tc>
          <w:tcPr>
            <w:tcW w:w="2112" w:type="dxa"/>
            <w:gridSpan w:val="2"/>
          </w:tcPr>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r w:rsidRPr="00663602">
              <w:rPr>
                <w:rFonts w:ascii="Times New Roman" w:hAnsi="Times New Roman" w:cs="Times New Roman"/>
                <w:szCs w:val="24"/>
              </w:rPr>
              <w:t>13</w:t>
            </w:r>
          </w:p>
        </w:tc>
        <w:tc>
          <w:tcPr>
            <w:tcW w:w="5504" w:type="dxa"/>
          </w:tcPr>
          <w:p w:rsidR="00663602" w:rsidRPr="00663602" w:rsidRDefault="00663602" w:rsidP="00E53CB1">
            <w:pPr>
              <w:spacing w:after="0" w:line="360" w:lineRule="auto"/>
              <w:jc w:val="left"/>
              <w:rPr>
                <w:rFonts w:ascii="Times New Roman" w:hAnsi="Times New Roman" w:cs="Times New Roman"/>
                <w:szCs w:val="24"/>
              </w:rPr>
            </w:pPr>
            <w:r w:rsidRPr="00663602">
              <w:rPr>
                <w:szCs w:val="24"/>
              </w:rPr>
              <w:fldChar w:fldCharType="begin"/>
            </w:r>
            <w:r w:rsidRPr="00663602">
              <w:rPr>
                <w:rFonts w:ascii="Times New Roman" w:hAnsi="Times New Roman" w:cs="Times New Roman"/>
                <w:szCs w:val="24"/>
              </w:rPr>
              <w:instrText xml:space="preserve"> LINK Word.Document.12 "C:\\Users\\calcantara\\Downloads\\gerencia de cumplimiento.docx" "OLE_LINK1" \a \r  \* MERGEFORMAT </w:instrText>
            </w:r>
            <w:r w:rsidRPr="00663602">
              <w:rPr>
                <w:szCs w:val="24"/>
              </w:rPr>
              <w:fldChar w:fldCharType="separate"/>
            </w:r>
            <w:r w:rsidRPr="00663602">
              <w:rPr>
                <w:rFonts w:ascii="Times New Roman" w:hAnsi="Times New Roman" w:cs="Times New Roman"/>
                <w:szCs w:val="24"/>
              </w:rPr>
              <w:t xml:space="preserve">Prestación del servicio autorizado fuera del área de cobertura </w:t>
            </w:r>
            <w:r w:rsidRPr="00663602">
              <w:rPr>
                <w:szCs w:val="24"/>
              </w:rPr>
              <w:fldChar w:fldCharType="end"/>
            </w:r>
          </w:p>
        </w:tc>
      </w:tr>
      <w:tr w:rsidR="00663602" w:rsidRPr="00663602" w:rsidTr="00E53CB1">
        <w:trPr>
          <w:jc w:val="center"/>
        </w:trPr>
        <w:tc>
          <w:tcPr>
            <w:tcW w:w="2112" w:type="dxa"/>
            <w:gridSpan w:val="2"/>
            <w:vAlign w:val="center"/>
          </w:tcPr>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r w:rsidRPr="00663602">
              <w:rPr>
                <w:rFonts w:ascii="Times New Roman" w:hAnsi="Times New Roman" w:cs="Times New Roman"/>
                <w:szCs w:val="24"/>
              </w:rPr>
              <w:t>11</w:t>
            </w:r>
          </w:p>
        </w:tc>
        <w:tc>
          <w:tcPr>
            <w:tcW w:w="5504" w:type="dxa"/>
          </w:tcPr>
          <w:p w:rsidR="00663602" w:rsidRPr="00663602" w:rsidRDefault="00663602" w:rsidP="00E53CB1">
            <w:pPr>
              <w:spacing w:after="0" w:line="360" w:lineRule="auto"/>
              <w:jc w:val="left"/>
              <w:rPr>
                <w:rFonts w:ascii="Times New Roman" w:hAnsi="Times New Roman" w:cs="Times New Roman"/>
                <w:szCs w:val="24"/>
              </w:rPr>
            </w:pPr>
            <w:r w:rsidRPr="00663602">
              <w:rPr>
                <w:rFonts w:ascii="Times New Roman" w:hAnsi="Times New Roman" w:cs="Times New Roman"/>
                <w:szCs w:val="24"/>
              </w:rPr>
              <w:t>Modificación de los parámetros técnicos establecidos en el Certificado de Licencia sin autorización del INDOTEL</w:t>
            </w:r>
          </w:p>
        </w:tc>
      </w:tr>
      <w:tr w:rsidR="00663602" w:rsidRPr="00663602" w:rsidTr="00E53CB1">
        <w:trPr>
          <w:trHeight w:val="680"/>
          <w:jc w:val="center"/>
        </w:trPr>
        <w:tc>
          <w:tcPr>
            <w:tcW w:w="2112" w:type="dxa"/>
            <w:gridSpan w:val="2"/>
            <w:vAlign w:val="center"/>
          </w:tcPr>
          <w:p w:rsidR="00663602" w:rsidRPr="00663602" w:rsidRDefault="00663602" w:rsidP="00663602">
            <w:pPr>
              <w:spacing w:after="0" w:line="276" w:lineRule="auto"/>
              <w:jc w:val="left"/>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highlight w:val="darkBlue"/>
              </w:rPr>
            </w:pPr>
            <w:r w:rsidRPr="00663602">
              <w:rPr>
                <w:rFonts w:ascii="Times New Roman" w:hAnsi="Times New Roman" w:cs="Times New Roman"/>
                <w:szCs w:val="24"/>
              </w:rPr>
              <w:t>8</w:t>
            </w:r>
          </w:p>
        </w:tc>
        <w:tc>
          <w:tcPr>
            <w:tcW w:w="5504" w:type="dxa"/>
          </w:tcPr>
          <w:p w:rsidR="00663602" w:rsidRPr="00663602" w:rsidRDefault="00663602" w:rsidP="00E53CB1">
            <w:pPr>
              <w:spacing w:before="240" w:after="0" w:line="360" w:lineRule="auto"/>
              <w:jc w:val="left"/>
              <w:rPr>
                <w:rFonts w:ascii="Times New Roman" w:hAnsi="Times New Roman" w:cs="Times New Roman"/>
                <w:szCs w:val="24"/>
              </w:rPr>
            </w:pPr>
            <w:r w:rsidRPr="00663602">
              <w:rPr>
                <w:rFonts w:ascii="Times New Roman" w:hAnsi="Times New Roman" w:cs="Times New Roman"/>
                <w:szCs w:val="24"/>
              </w:rPr>
              <w:t>Requerimiento de pago del Derecho de Uso (DU) del espectro radioeléctrico</w:t>
            </w:r>
          </w:p>
        </w:tc>
      </w:tr>
      <w:tr w:rsidR="00663602" w:rsidRPr="00663602" w:rsidTr="00E53CB1">
        <w:trPr>
          <w:trHeight w:val="1231"/>
          <w:jc w:val="center"/>
        </w:trPr>
        <w:tc>
          <w:tcPr>
            <w:tcW w:w="2112" w:type="dxa"/>
            <w:gridSpan w:val="2"/>
            <w:vAlign w:val="center"/>
          </w:tcPr>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r w:rsidRPr="00663602">
              <w:rPr>
                <w:rFonts w:ascii="Times New Roman" w:hAnsi="Times New Roman" w:cs="Times New Roman"/>
                <w:szCs w:val="24"/>
              </w:rPr>
              <w:t>6</w:t>
            </w:r>
          </w:p>
          <w:p w:rsidR="00663602" w:rsidRPr="00663602" w:rsidRDefault="00663602" w:rsidP="00663602">
            <w:pPr>
              <w:spacing w:after="0" w:line="276" w:lineRule="auto"/>
              <w:jc w:val="center"/>
              <w:rPr>
                <w:rFonts w:ascii="Times New Roman" w:hAnsi="Times New Roman" w:cs="Times New Roman"/>
                <w:szCs w:val="24"/>
              </w:rPr>
            </w:pPr>
          </w:p>
        </w:tc>
        <w:tc>
          <w:tcPr>
            <w:tcW w:w="5504" w:type="dxa"/>
          </w:tcPr>
          <w:p w:rsidR="00663602" w:rsidRPr="00663602" w:rsidRDefault="00663602" w:rsidP="00E53CB1">
            <w:pPr>
              <w:spacing w:after="0" w:line="360" w:lineRule="auto"/>
              <w:jc w:val="left"/>
              <w:rPr>
                <w:rFonts w:ascii="Times New Roman" w:hAnsi="Times New Roman" w:cs="Times New Roman"/>
                <w:szCs w:val="24"/>
              </w:rPr>
            </w:pPr>
            <w:r w:rsidRPr="00663602">
              <w:rPr>
                <w:rFonts w:ascii="Times New Roman" w:hAnsi="Times New Roman" w:cs="Times New Roman"/>
                <w:szCs w:val="24"/>
              </w:rPr>
              <w:t>Declaratorias de Caducidad de Procesos Administrativos al haber transcurrido el plazo reglamentario para instrumentación de los procesos</w:t>
            </w:r>
          </w:p>
        </w:tc>
      </w:tr>
      <w:tr w:rsidR="00663602" w:rsidRPr="00663602" w:rsidTr="00E53CB1">
        <w:trPr>
          <w:jc w:val="center"/>
        </w:trPr>
        <w:tc>
          <w:tcPr>
            <w:tcW w:w="2112" w:type="dxa"/>
            <w:gridSpan w:val="2"/>
            <w:vAlign w:val="center"/>
          </w:tcPr>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p>
          <w:p w:rsidR="00663602" w:rsidRPr="00663602" w:rsidRDefault="00663602" w:rsidP="00663602">
            <w:pPr>
              <w:spacing w:after="0" w:line="276" w:lineRule="auto"/>
              <w:jc w:val="center"/>
              <w:rPr>
                <w:rFonts w:ascii="Times New Roman" w:hAnsi="Times New Roman" w:cs="Times New Roman"/>
                <w:szCs w:val="24"/>
              </w:rPr>
            </w:pPr>
            <w:r w:rsidRPr="00663602">
              <w:rPr>
                <w:rFonts w:ascii="Times New Roman" w:hAnsi="Times New Roman" w:cs="Times New Roman"/>
                <w:szCs w:val="24"/>
              </w:rPr>
              <w:t>5</w:t>
            </w:r>
          </w:p>
          <w:p w:rsidR="00663602" w:rsidRPr="00663602" w:rsidRDefault="00663602" w:rsidP="00663602">
            <w:pPr>
              <w:spacing w:after="0" w:line="276" w:lineRule="auto"/>
              <w:jc w:val="center"/>
              <w:rPr>
                <w:rFonts w:ascii="Times New Roman" w:hAnsi="Times New Roman" w:cs="Times New Roman"/>
                <w:szCs w:val="24"/>
              </w:rPr>
            </w:pPr>
          </w:p>
        </w:tc>
        <w:tc>
          <w:tcPr>
            <w:tcW w:w="5504" w:type="dxa"/>
          </w:tcPr>
          <w:p w:rsidR="00663602" w:rsidRPr="00663602" w:rsidRDefault="00663602" w:rsidP="00E53CB1">
            <w:pPr>
              <w:spacing w:after="0" w:line="360" w:lineRule="auto"/>
              <w:jc w:val="left"/>
              <w:rPr>
                <w:rFonts w:ascii="Times New Roman" w:hAnsi="Times New Roman" w:cs="Times New Roman"/>
                <w:szCs w:val="24"/>
              </w:rPr>
            </w:pPr>
            <w:r w:rsidRPr="00663602">
              <w:rPr>
                <w:rFonts w:ascii="Times New Roman" w:hAnsi="Times New Roman" w:cs="Times New Roman"/>
                <w:szCs w:val="24"/>
              </w:rPr>
              <w:t>Revocación de autorizaciones por falta de uso de frecuencias (Banda 800 MHz.)</w:t>
            </w:r>
          </w:p>
        </w:tc>
      </w:tr>
    </w:tbl>
    <w:p w:rsidR="00663602" w:rsidRPr="00663602" w:rsidRDefault="00663602" w:rsidP="00663602">
      <w:pPr>
        <w:rPr>
          <w:b/>
          <w:sz w:val="18"/>
          <w:szCs w:val="24"/>
        </w:rPr>
      </w:pPr>
      <w:r>
        <w:rPr>
          <w:b/>
          <w:sz w:val="18"/>
          <w:szCs w:val="24"/>
        </w:rPr>
        <w:t xml:space="preserve">   </w:t>
      </w:r>
      <w:r w:rsidRPr="00663602">
        <w:rPr>
          <w:b/>
          <w:sz w:val="18"/>
          <w:szCs w:val="24"/>
        </w:rPr>
        <w:t xml:space="preserve">Fuente: </w:t>
      </w:r>
      <w:r w:rsidRPr="00663602">
        <w:rPr>
          <w:sz w:val="18"/>
          <w:szCs w:val="24"/>
        </w:rPr>
        <w:t>Gerencia de Cumplimiento, Dirección de Cumplimiento y Sanciones</w:t>
      </w:r>
    </w:p>
    <w:p w:rsidR="00663602" w:rsidRPr="00663602" w:rsidRDefault="00663602" w:rsidP="00663602">
      <w:pPr>
        <w:rPr>
          <w:b/>
          <w:sz w:val="10"/>
          <w:szCs w:val="24"/>
        </w:rPr>
      </w:pPr>
    </w:p>
    <w:p w:rsidR="00663602" w:rsidRPr="00663602" w:rsidRDefault="00663602" w:rsidP="00663602">
      <w:pPr>
        <w:spacing w:line="276" w:lineRule="auto"/>
        <w:jc w:val="left"/>
        <w:rPr>
          <w:rFonts w:eastAsiaTheme="minorHAnsi"/>
          <w:b/>
          <w:szCs w:val="24"/>
          <w:lang w:eastAsia="en-US"/>
        </w:rPr>
      </w:pPr>
      <w:r w:rsidRPr="00663602">
        <w:rPr>
          <w:rFonts w:eastAsiaTheme="minorHAnsi"/>
          <w:b/>
          <w:szCs w:val="24"/>
          <w:lang w:eastAsia="en-US"/>
        </w:rPr>
        <w:t>Sanciones</w:t>
      </w:r>
    </w:p>
    <w:p w:rsidR="00663602" w:rsidRPr="00663602" w:rsidRDefault="00663602" w:rsidP="00B92861">
      <w:pPr>
        <w:spacing w:after="0" w:line="360" w:lineRule="auto"/>
        <w:ind w:right="-717"/>
        <w:rPr>
          <w:rFonts w:eastAsia="MS Mincho"/>
          <w:szCs w:val="24"/>
          <w:lang w:eastAsia="en-US"/>
        </w:rPr>
      </w:pPr>
      <w:r w:rsidRPr="00663602">
        <w:rPr>
          <w:rFonts w:eastAsia="MS Mincho"/>
          <w:szCs w:val="24"/>
          <w:lang w:eastAsia="en-US"/>
        </w:rPr>
        <w:t xml:space="preserve">El INDOTEL, conforme los términos de la Ley General de Telecomunicaciones, Núm. 153-98, está facultado para aplicar el régimen sancionador ante la comisión de las faltas administrativas previstas en dicho texto de Ley por parte de aquellos administrados que se encuentren realizando actividades reguladas por las disposiciones legales vigentes en </w:t>
      </w:r>
      <w:r w:rsidRPr="00663602">
        <w:rPr>
          <w:rFonts w:eastAsia="MS Mincho"/>
          <w:szCs w:val="24"/>
          <w:lang w:eastAsia="en-US"/>
        </w:rPr>
        <w:lastRenderedPageBreak/>
        <w:t xml:space="preserve">materia de telecomunicaciones sin poseer las autorizaciones requeridas legalmente; contra quien aun contando con la concesión o la licencia realicen actividades contrarias a la Ley; o contra los usuarios de las telecomunicaciones que realicen una mala utilización de los servicios de telecomunicaciones, así como su empleo en perjuicio de terceros.  </w:t>
      </w:r>
    </w:p>
    <w:p w:rsidR="00663602" w:rsidRPr="00663602" w:rsidRDefault="00663602" w:rsidP="00B92861">
      <w:pPr>
        <w:spacing w:after="0" w:line="360" w:lineRule="auto"/>
        <w:ind w:right="-717"/>
        <w:rPr>
          <w:rFonts w:eastAsia="MS Mincho"/>
          <w:szCs w:val="24"/>
          <w:lang w:eastAsia="en-US"/>
        </w:rPr>
      </w:pPr>
    </w:p>
    <w:p w:rsidR="00663602" w:rsidRPr="00663602" w:rsidRDefault="00663602" w:rsidP="00B92861">
      <w:pPr>
        <w:spacing w:after="0" w:line="360" w:lineRule="auto"/>
        <w:ind w:right="-717"/>
        <w:rPr>
          <w:rFonts w:eastAsia="MS Mincho"/>
          <w:szCs w:val="24"/>
          <w:lang w:eastAsia="en-US"/>
        </w:rPr>
      </w:pPr>
      <w:r w:rsidRPr="00663602">
        <w:rPr>
          <w:rFonts w:eastAsia="MS Mincho"/>
          <w:szCs w:val="24"/>
          <w:lang w:eastAsia="en-US"/>
        </w:rPr>
        <w:t>Por todo lo antes mencionado, INDOTEL ha realizado operativos a nivel nacional con el propósito de identificar presuntos infractores del régimen legal y regulatorio de los servicios públicos de telecomunicaciones, confirmando así el incumplimiento por parte de los distintos operadores autorizados y no autorizados de dichos servicios respecto de los cuales  procedemos a destacar lo siguiente:</w:t>
      </w:r>
    </w:p>
    <w:p w:rsidR="00663602" w:rsidRPr="00663602" w:rsidRDefault="00663602" w:rsidP="00663602">
      <w:pPr>
        <w:spacing w:after="0" w:line="276" w:lineRule="auto"/>
        <w:rPr>
          <w:rFonts w:eastAsia="Times New Roman"/>
          <w:szCs w:val="24"/>
        </w:rPr>
      </w:pPr>
    </w:p>
    <w:tbl>
      <w:tblPr>
        <w:tblStyle w:val="Tablaconcuadrcula6"/>
        <w:tblW w:w="8642" w:type="dxa"/>
        <w:tblLook w:val="04A0" w:firstRow="1" w:lastRow="0" w:firstColumn="1" w:lastColumn="0" w:noHBand="0" w:noVBand="1"/>
      </w:tblPr>
      <w:tblGrid>
        <w:gridCol w:w="2831"/>
        <w:gridCol w:w="5811"/>
      </w:tblGrid>
      <w:tr w:rsidR="00663602" w:rsidRPr="00663602" w:rsidTr="0063671D">
        <w:trPr>
          <w:trHeight w:val="890"/>
          <w:tblHeader/>
        </w:trPr>
        <w:tc>
          <w:tcPr>
            <w:tcW w:w="8642" w:type="dxa"/>
            <w:gridSpan w:val="2"/>
            <w:shd w:val="clear" w:color="auto" w:fill="003876"/>
            <w:vAlign w:val="center"/>
          </w:tcPr>
          <w:p w:rsidR="00663602" w:rsidRPr="00663602" w:rsidRDefault="00663602" w:rsidP="00663602">
            <w:pPr>
              <w:spacing w:after="0" w:line="360" w:lineRule="auto"/>
              <w:jc w:val="center"/>
              <w:rPr>
                <w:rFonts w:ascii="Times New Roman" w:hAnsi="Times New Roman" w:cs="Times New Roman"/>
                <w:b/>
                <w:color w:val="FFFFFF" w:themeColor="background1"/>
                <w:szCs w:val="24"/>
              </w:rPr>
            </w:pPr>
            <w:r w:rsidRPr="00663602">
              <w:rPr>
                <w:rFonts w:ascii="Times New Roman" w:hAnsi="Times New Roman" w:cs="Times New Roman"/>
                <w:b/>
                <w:color w:val="FFFFFF" w:themeColor="background1"/>
                <w:szCs w:val="24"/>
              </w:rPr>
              <w:t>Casos Instruidos por Tipo de Infracción</w:t>
            </w:r>
          </w:p>
          <w:p w:rsidR="00663602" w:rsidRPr="00663602" w:rsidRDefault="00663602" w:rsidP="00663602">
            <w:pPr>
              <w:spacing w:after="0" w:line="360" w:lineRule="auto"/>
              <w:jc w:val="center"/>
              <w:rPr>
                <w:b/>
                <w:color w:val="FFFFFF" w:themeColor="background1"/>
                <w:szCs w:val="24"/>
              </w:rPr>
            </w:pPr>
            <w:r w:rsidRPr="00663602">
              <w:rPr>
                <w:rFonts w:ascii="Times New Roman" w:hAnsi="Times New Roman" w:cs="Times New Roman"/>
                <w:b/>
                <w:color w:val="FFFFFF" w:themeColor="background1"/>
                <w:szCs w:val="24"/>
              </w:rPr>
              <w:t>Enero - Noviembre de 2021</w:t>
            </w:r>
          </w:p>
        </w:tc>
      </w:tr>
      <w:tr w:rsidR="00663602" w:rsidRPr="00663602" w:rsidTr="0063671D">
        <w:trPr>
          <w:trHeight w:val="350"/>
          <w:tblHeader/>
        </w:trPr>
        <w:tc>
          <w:tcPr>
            <w:tcW w:w="2831" w:type="dxa"/>
            <w:shd w:val="clear" w:color="auto" w:fill="003876"/>
          </w:tcPr>
          <w:p w:rsidR="00663602" w:rsidRPr="00663602" w:rsidRDefault="00663602" w:rsidP="00663602">
            <w:pPr>
              <w:spacing w:after="0" w:line="240" w:lineRule="auto"/>
              <w:jc w:val="center"/>
              <w:rPr>
                <w:rFonts w:ascii="Times New Roman" w:eastAsia="Times New Roman" w:hAnsi="Times New Roman" w:cs="Times New Roman"/>
                <w:b/>
                <w:color w:val="auto"/>
              </w:rPr>
            </w:pPr>
            <w:r w:rsidRPr="00663602">
              <w:rPr>
                <w:rFonts w:ascii="Times New Roman" w:eastAsia="Times New Roman" w:hAnsi="Times New Roman" w:cs="Times New Roman"/>
                <w:b/>
                <w:color w:val="auto"/>
              </w:rPr>
              <w:t>Cantidad de Casos</w:t>
            </w:r>
          </w:p>
        </w:tc>
        <w:tc>
          <w:tcPr>
            <w:tcW w:w="5811" w:type="dxa"/>
            <w:shd w:val="clear" w:color="auto" w:fill="003876"/>
          </w:tcPr>
          <w:p w:rsidR="00663602" w:rsidRPr="00663602" w:rsidRDefault="00663602" w:rsidP="00663602">
            <w:pPr>
              <w:spacing w:after="0" w:line="240" w:lineRule="auto"/>
              <w:jc w:val="center"/>
              <w:rPr>
                <w:rFonts w:ascii="Times New Roman" w:eastAsia="Times New Roman" w:hAnsi="Times New Roman" w:cs="Times New Roman"/>
                <w:b/>
                <w:color w:val="auto"/>
              </w:rPr>
            </w:pPr>
            <w:r w:rsidRPr="00663602">
              <w:rPr>
                <w:rFonts w:ascii="Times New Roman" w:eastAsia="Times New Roman" w:hAnsi="Times New Roman" w:cs="Times New Roman"/>
                <w:b/>
                <w:color w:val="auto"/>
              </w:rPr>
              <w:t>Tipificación de la Falta</w:t>
            </w:r>
          </w:p>
        </w:tc>
      </w:tr>
      <w:tr w:rsidR="00663602" w:rsidRPr="00663602" w:rsidTr="00816F63">
        <w:tc>
          <w:tcPr>
            <w:tcW w:w="2831" w:type="dxa"/>
          </w:tcPr>
          <w:p w:rsidR="00663602" w:rsidRPr="00663602" w:rsidRDefault="00663602" w:rsidP="00E53CB1">
            <w:pPr>
              <w:spacing w:after="0" w:line="360" w:lineRule="auto"/>
              <w:jc w:val="center"/>
              <w:rPr>
                <w:rFonts w:ascii="Times New Roman" w:hAnsi="Times New Roman" w:cs="Times New Roman"/>
                <w:szCs w:val="24"/>
              </w:rPr>
            </w:pPr>
          </w:p>
          <w:p w:rsidR="00663602" w:rsidRPr="00663602" w:rsidRDefault="00663602" w:rsidP="00E53CB1">
            <w:pPr>
              <w:spacing w:after="0" w:line="360" w:lineRule="auto"/>
              <w:jc w:val="center"/>
              <w:rPr>
                <w:rFonts w:ascii="Times New Roman" w:hAnsi="Times New Roman" w:cs="Times New Roman"/>
                <w:szCs w:val="24"/>
              </w:rPr>
            </w:pPr>
            <w:r w:rsidRPr="00663602">
              <w:rPr>
                <w:rFonts w:ascii="Times New Roman" w:hAnsi="Times New Roman" w:cs="Times New Roman"/>
                <w:szCs w:val="24"/>
              </w:rPr>
              <w:t>22</w:t>
            </w:r>
          </w:p>
        </w:tc>
        <w:tc>
          <w:tcPr>
            <w:tcW w:w="5811" w:type="dxa"/>
          </w:tcPr>
          <w:p w:rsidR="00663602" w:rsidRPr="00E53CB1" w:rsidRDefault="00663602" w:rsidP="00E53CB1">
            <w:pPr>
              <w:spacing w:line="360" w:lineRule="auto"/>
              <w:rPr>
                <w:rFonts w:ascii="Times New Roman" w:hAnsi="Times New Roman" w:cs="Times New Roman"/>
              </w:rPr>
            </w:pPr>
            <w:r w:rsidRPr="00E53CB1">
              <w:rPr>
                <w:rFonts w:ascii="Times New Roman" w:hAnsi="Times New Roman" w:cs="Times New Roman"/>
              </w:rPr>
              <w:t>Falta muy grave y grave por la prestación del servicio de radiodifusión sonora sin la correspondiente concesión y uso indebido del espectro radioeléctrico, violación de los literales d) y b) de los artículos 105 y 106 de la Ley General de Telecomunicaciones, Núm. 153-98</w:t>
            </w:r>
          </w:p>
        </w:tc>
      </w:tr>
    </w:tbl>
    <w:p w:rsidR="00663602" w:rsidRPr="00663602" w:rsidRDefault="00663602" w:rsidP="00663602">
      <w:pPr>
        <w:spacing w:line="360" w:lineRule="auto"/>
        <w:rPr>
          <w:sz w:val="18"/>
          <w:szCs w:val="24"/>
        </w:rPr>
      </w:pPr>
      <w:r w:rsidRPr="00663602">
        <w:rPr>
          <w:b/>
          <w:sz w:val="18"/>
          <w:szCs w:val="24"/>
        </w:rPr>
        <w:t>Fuente</w:t>
      </w:r>
      <w:r w:rsidRPr="00663602">
        <w:rPr>
          <w:sz w:val="18"/>
          <w:szCs w:val="24"/>
        </w:rPr>
        <w:t>: Gerencia de Sanciones, Dirección de Cumplimiento y Sanciones</w:t>
      </w:r>
    </w:p>
    <w:p w:rsidR="00313F70" w:rsidRDefault="00313F70" w:rsidP="00313F70">
      <w:pPr>
        <w:pStyle w:val="Sinespaciado"/>
      </w:pPr>
    </w:p>
    <w:p w:rsidR="0050084A" w:rsidRDefault="0050084A" w:rsidP="00313F70">
      <w:pPr>
        <w:pStyle w:val="Sinespaciado"/>
      </w:pPr>
    </w:p>
    <w:p w:rsidR="0050084A" w:rsidRDefault="0050084A"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Default="00663602" w:rsidP="00313F70">
      <w:pPr>
        <w:pStyle w:val="Sinespaciado"/>
      </w:pPr>
    </w:p>
    <w:p w:rsidR="00663602" w:rsidRPr="00313F70" w:rsidRDefault="00663602" w:rsidP="00313F70">
      <w:pPr>
        <w:pStyle w:val="Sinespaciado"/>
      </w:pPr>
    </w:p>
    <w:p w:rsidR="00CC22C1" w:rsidRPr="004C6C5F" w:rsidRDefault="00445044" w:rsidP="001E6E21">
      <w:pPr>
        <w:pStyle w:val="Ttulo4"/>
      </w:pPr>
      <w:r w:rsidRPr="004C6C5F">
        <w:lastRenderedPageBreak/>
        <w:t>As</w:t>
      </w:r>
      <w:r w:rsidR="00033F3F" w:rsidRPr="004C6C5F">
        <w:t>pectos</w:t>
      </w:r>
      <w:r w:rsidR="00CC22C1" w:rsidRPr="004C6C5F">
        <w:t xml:space="preserve"> Jurídicos</w:t>
      </w:r>
    </w:p>
    <w:p w:rsidR="00D3090E" w:rsidRPr="00D3090E" w:rsidRDefault="00D3090E" w:rsidP="009E6D8E">
      <w:pPr>
        <w:pStyle w:val="Sinespaciado"/>
      </w:pPr>
    </w:p>
    <w:p w:rsidR="002412BA" w:rsidRPr="002412BA" w:rsidRDefault="002412BA" w:rsidP="002412BA">
      <w:pPr>
        <w:spacing w:after="0" w:line="360" w:lineRule="auto"/>
        <w:ind w:right="-717"/>
        <w:rPr>
          <w:rFonts w:eastAsia="Times New Roman"/>
          <w:szCs w:val="24"/>
          <w:bdr w:val="none" w:sz="0" w:space="0" w:color="auto" w:frame="1"/>
          <w:lang w:val="es-ES"/>
        </w:rPr>
      </w:pPr>
      <w:r w:rsidRPr="002412BA">
        <w:rPr>
          <w:rFonts w:eastAsia="MS Mincho"/>
          <w:szCs w:val="24"/>
          <w:lang w:eastAsia="en-US"/>
        </w:rPr>
        <w:t xml:space="preserve">La Dirección Jurídica del INDOTEL </w:t>
      </w:r>
      <w:r w:rsidRPr="002412BA">
        <w:rPr>
          <w:rFonts w:eastAsia="Times New Roman"/>
          <w:szCs w:val="24"/>
          <w:bdr w:val="none" w:sz="0" w:space="0" w:color="auto" w:frame="1"/>
          <w:lang w:val="es-ES"/>
        </w:rPr>
        <w:t xml:space="preserve">tiene como rol principal asesorar a la máxima autoridad y demás áreas de la institución en la elaboración de estudios e interpretación de leyes, decretos, ordenanzas, contratos o cualquier otro aspecto legal. </w:t>
      </w:r>
    </w:p>
    <w:p w:rsidR="002412BA" w:rsidRPr="002412BA" w:rsidRDefault="002412BA" w:rsidP="002412BA">
      <w:pPr>
        <w:spacing w:after="0" w:line="360" w:lineRule="auto"/>
        <w:ind w:right="-717"/>
        <w:rPr>
          <w:rFonts w:eastAsia="Times New Roman"/>
          <w:szCs w:val="24"/>
          <w:bdr w:val="none" w:sz="0" w:space="0" w:color="auto" w:frame="1"/>
          <w:lang w:val="es-ES"/>
        </w:rPr>
      </w:pPr>
    </w:p>
    <w:p w:rsidR="002412BA" w:rsidRPr="002412BA" w:rsidRDefault="002412BA" w:rsidP="002412BA">
      <w:pPr>
        <w:spacing w:after="0" w:line="360" w:lineRule="auto"/>
        <w:ind w:right="-717"/>
        <w:rPr>
          <w:rFonts w:eastAsia="MS Mincho"/>
          <w:szCs w:val="24"/>
          <w:lang w:eastAsia="en-US"/>
        </w:rPr>
      </w:pPr>
      <w:r w:rsidRPr="002412BA">
        <w:rPr>
          <w:rFonts w:eastAsia="MS Mincho"/>
          <w:szCs w:val="24"/>
          <w:lang w:eastAsia="en-US"/>
        </w:rPr>
        <w:t>Asimismo, está a cargo de la gestión de todos los procesos judiciales y administrativos de carácter legal que envuelvan la institución. Además, tiene un papel activo en la instrumentación de normas, reglamentos y resoluciones, tanto de alcance general como de alcance particular, dictadas por sus distintas instancias. Verifica que sean aplicados de forma correcta los mecanismos de selección para las contrataciones en las que participa el INDOTEL, así como en la gestión de sus casos y elaboración de proyectos.</w:t>
      </w:r>
    </w:p>
    <w:p w:rsidR="002412BA" w:rsidRPr="002412BA" w:rsidRDefault="002412BA" w:rsidP="002412BA">
      <w:pPr>
        <w:spacing w:after="0" w:line="360" w:lineRule="auto"/>
        <w:ind w:left="-709" w:right="-717"/>
        <w:rPr>
          <w:rFonts w:eastAsia="MS Mincho"/>
          <w:szCs w:val="24"/>
          <w:lang w:eastAsia="en-US"/>
        </w:rPr>
      </w:pPr>
    </w:p>
    <w:p w:rsidR="002412BA" w:rsidRPr="002412BA" w:rsidRDefault="002412BA" w:rsidP="002412BA">
      <w:pPr>
        <w:spacing w:after="0" w:line="360" w:lineRule="auto"/>
        <w:ind w:right="-717"/>
        <w:rPr>
          <w:rFonts w:eastAsiaTheme="minorHAnsi"/>
          <w:szCs w:val="24"/>
          <w:lang w:val="es-ES" w:eastAsia="es-ES"/>
        </w:rPr>
      </w:pPr>
      <w:r w:rsidRPr="002412BA">
        <w:rPr>
          <w:rFonts w:eastAsiaTheme="minorHAnsi"/>
          <w:szCs w:val="24"/>
          <w:lang w:val="es-ES" w:eastAsia="es-ES"/>
        </w:rPr>
        <w:t>En este período fueron recibidos y atendidos los casos reflejados en el cuadro a continuación:</w:t>
      </w:r>
    </w:p>
    <w:p w:rsidR="002412BA" w:rsidRPr="002412BA" w:rsidRDefault="002412BA" w:rsidP="002412BA">
      <w:pPr>
        <w:spacing w:after="0" w:line="360" w:lineRule="auto"/>
        <w:ind w:left="-709" w:right="-717"/>
        <w:rPr>
          <w:rFonts w:eastAsia="Times New Roman"/>
          <w:color w:val="000000"/>
          <w:szCs w:val="24"/>
          <w:bdr w:val="none" w:sz="0" w:space="0" w:color="auto" w:frame="1"/>
          <w:lang w:val="es-ES"/>
        </w:rPr>
      </w:pPr>
    </w:p>
    <w:tbl>
      <w:tblPr>
        <w:tblW w:w="8647" w:type="dxa"/>
        <w:tblInd w:w="9" w:type="dxa"/>
        <w:tblCellMar>
          <w:left w:w="70" w:type="dxa"/>
          <w:right w:w="70" w:type="dxa"/>
        </w:tblCellMar>
        <w:tblLook w:val="04A0" w:firstRow="1" w:lastRow="0" w:firstColumn="1" w:lastColumn="0" w:noHBand="0" w:noVBand="1"/>
      </w:tblPr>
      <w:tblGrid>
        <w:gridCol w:w="6411"/>
        <w:gridCol w:w="2236"/>
      </w:tblGrid>
      <w:tr w:rsidR="00676AE8" w:rsidRPr="002412BA" w:rsidTr="00652769">
        <w:trPr>
          <w:trHeight w:val="855"/>
        </w:trPr>
        <w:tc>
          <w:tcPr>
            <w:tcW w:w="8647" w:type="dxa"/>
            <w:gridSpan w:val="2"/>
            <w:tcBorders>
              <w:top w:val="single" w:sz="2" w:space="0" w:color="000000"/>
              <w:left w:val="single" w:sz="2" w:space="0" w:color="000000"/>
              <w:bottom w:val="single" w:sz="4" w:space="0" w:color="auto"/>
              <w:right w:val="single" w:sz="2" w:space="0" w:color="000000"/>
            </w:tcBorders>
            <w:shd w:val="clear" w:color="auto" w:fill="003876"/>
            <w:noWrap/>
            <w:vAlign w:val="center"/>
          </w:tcPr>
          <w:p w:rsidR="00676AE8" w:rsidRPr="00676AE8" w:rsidRDefault="00676AE8" w:rsidP="00652769">
            <w:pPr>
              <w:spacing w:after="0" w:line="360" w:lineRule="auto"/>
              <w:jc w:val="center"/>
              <w:rPr>
                <w:rFonts w:eastAsia="Times New Roman"/>
                <w:b/>
                <w:bCs/>
                <w:color w:val="FFFFFF"/>
                <w:szCs w:val="24"/>
              </w:rPr>
            </w:pPr>
            <w:r w:rsidRPr="00676AE8">
              <w:rPr>
                <w:rFonts w:eastAsia="Times New Roman"/>
                <w:b/>
                <w:bCs/>
                <w:color w:val="FFFFFF"/>
                <w:szCs w:val="24"/>
              </w:rPr>
              <w:t>Solicitudes Atendidas</w:t>
            </w:r>
          </w:p>
          <w:p w:rsidR="00676AE8" w:rsidRPr="002412BA" w:rsidRDefault="00676AE8" w:rsidP="00652769">
            <w:pPr>
              <w:spacing w:after="0" w:line="360" w:lineRule="auto"/>
              <w:jc w:val="center"/>
              <w:rPr>
                <w:rFonts w:eastAsia="Times New Roman"/>
                <w:b/>
                <w:bCs/>
                <w:color w:val="FFFFFF"/>
                <w:szCs w:val="24"/>
              </w:rPr>
            </w:pPr>
            <w:r w:rsidRPr="00676AE8">
              <w:rPr>
                <w:rFonts w:eastAsia="Times New Roman"/>
                <w:b/>
                <w:bCs/>
                <w:color w:val="FFFFFF"/>
                <w:szCs w:val="24"/>
              </w:rPr>
              <w:t>Enero - Noviembre de 2021</w:t>
            </w:r>
          </w:p>
        </w:tc>
      </w:tr>
      <w:tr w:rsidR="002412BA" w:rsidRPr="002412BA" w:rsidTr="0063671D">
        <w:trPr>
          <w:trHeight w:val="436"/>
        </w:trPr>
        <w:tc>
          <w:tcPr>
            <w:tcW w:w="6411" w:type="dxa"/>
            <w:tcBorders>
              <w:top w:val="nil"/>
              <w:left w:val="single" w:sz="2" w:space="0" w:color="000000"/>
              <w:bottom w:val="single" w:sz="4" w:space="0" w:color="auto"/>
              <w:right w:val="single" w:sz="2" w:space="0" w:color="000000"/>
            </w:tcBorders>
            <w:shd w:val="clear" w:color="auto" w:fill="003876"/>
            <w:noWrap/>
            <w:vAlign w:val="center"/>
            <w:hideMark/>
          </w:tcPr>
          <w:p w:rsidR="002412BA" w:rsidRPr="002412BA" w:rsidRDefault="002412BA" w:rsidP="002412BA">
            <w:pPr>
              <w:spacing w:after="0" w:line="240" w:lineRule="auto"/>
              <w:jc w:val="center"/>
              <w:rPr>
                <w:rFonts w:eastAsia="Times New Roman"/>
                <w:b/>
                <w:bCs/>
                <w:color w:val="FFFFFF"/>
                <w:szCs w:val="24"/>
              </w:rPr>
            </w:pPr>
            <w:r w:rsidRPr="002412BA">
              <w:rPr>
                <w:rFonts w:eastAsia="Times New Roman"/>
                <w:b/>
                <w:bCs/>
                <w:color w:val="FFFFFF"/>
                <w:szCs w:val="24"/>
              </w:rPr>
              <w:t>Tipos de Solicitudes</w:t>
            </w:r>
          </w:p>
        </w:tc>
        <w:tc>
          <w:tcPr>
            <w:tcW w:w="2236" w:type="dxa"/>
            <w:tcBorders>
              <w:top w:val="nil"/>
              <w:left w:val="single" w:sz="2" w:space="0" w:color="000000"/>
              <w:bottom w:val="single" w:sz="2" w:space="0" w:color="000000"/>
              <w:right w:val="single" w:sz="2" w:space="0" w:color="000000"/>
            </w:tcBorders>
            <w:shd w:val="clear" w:color="auto" w:fill="003876"/>
            <w:noWrap/>
            <w:vAlign w:val="center"/>
            <w:hideMark/>
          </w:tcPr>
          <w:p w:rsidR="002412BA" w:rsidRPr="002412BA" w:rsidRDefault="002412BA" w:rsidP="002412BA">
            <w:pPr>
              <w:spacing w:after="0" w:line="240" w:lineRule="auto"/>
              <w:jc w:val="center"/>
              <w:rPr>
                <w:rFonts w:eastAsia="Times New Roman"/>
                <w:b/>
                <w:bCs/>
                <w:color w:val="FFFFFF"/>
                <w:szCs w:val="24"/>
              </w:rPr>
            </w:pPr>
            <w:r w:rsidRPr="002412BA">
              <w:rPr>
                <w:rFonts w:eastAsia="Times New Roman"/>
                <w:b/>
                <w:bCs/>
                <w:color w:val="FFFFFF"/>
                <w:szCs w:val="24"/>
              </w:rPr>
              <w:t>Concluidas</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2" w:space="0" w:color="000000"/>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Amparada en la Ley de Libre Acceso 200-04</w:t>
            </w:r>
          </w:p>
        </w:tc>
        <w:tc>
          <w:tcPr>
            <w:tcW w:w="2236" w:type="dxa"/>
            <w:tcBorders>
              <w:top w:val="single" w:sz="2" w:space="0" w:color="000000"/>
              <w:left w:val="single" w:sz="2" w:space="0" w:color="000000"/>
              <w:bottom w:val="single" w:sz="2" w:space="0" w:color="000000"/>
              <w:right w:val="single" w:sz="2" w:space="0" w:color="000000"/>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55</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Certificaciones</w:t>
            </w:r>
          </w:p>
        </w:tc>
        <w:tc>
          <w:tcPr>
            <w:tcW w:w="2236" w:type="dxa"/>
            <w:tcBorders>
              <w:top w:val="single" w:sz="2" w:space="0" w:color="000000"/>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75</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Demandas Laborales</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3</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Recurso de Reconsideración</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6</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Recurso Contencioso Administrativo</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6</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Concesión / Medidas Cautelares</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1</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left"/>
              <w:rPr>
                <w:rFonts w:eastAsia="Times New Roman"/>
                <w:szCs w:val="24"/>
              </w:rPr>
            </w:pPr>
            <w:r w:rsidRPr="002412BA">
              <w:rPr>
                <w:rFonts w:eastAsia="Times New Roman"/>
                <w:szCs w:val="24"/>
              </w:rPr>
              <w:t xml:space="preserve">Proceso Sancionador Administrativo ( PSA) </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szCs w:val="24"/>
              </w:rPr>
            </w:pPr>
            <w:r w:rsidRPr="002412BA">
              <w:rPr>
                <w:rFonts w:eastAsia="Times New Roman"/>
                <w:szCs w:val="24"/>
              </w:rPr>
              <w:t>13</w:t>
            </w:r>
          </w:p>
        </w:tc>
      </w:tr>
      <w:tr w:rsidR="002412BA" w:rsidRPr="002412BA" w:rsidTr="00676AE8">
        <w:trPr>
          <w:trHeight w:val="316"/>
        </w:trPr>
        <w:tc>
          <w:tcPr>
            <w:tcW w:w="64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rPr>
                <w:rFonts w:eastAsia="Times New Roman"/>
                <w:szCs w:val="24"/>
              </w:rPr>
            </w:pPr>
            <w:r w:rsidRPr="002412BA">
              <w:rPr>
                <w:rFonts w:eastAsia="Times New Roman"/>
                <w:szCs w:val="24"/>
              </w:rPr>
              <w:t>Total solicitudes</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412BA" w:rsidRPr="002412BA" w:rsidRDefault="002412BA" w:rsidP="002412BA">
            <w:pPr>
              <w:spacing w:after="0" w:line="360" w:lineRule="auto"/>
              <w:jc w:val="center"/>
              <w:rPr>
                <w:rFonts w:eastAsia="Times New Roman"/>
                <w:b/>
                <w:bCs/>
                <w:szCs w:val="24"/>
              </w:rPr>
            </w:pPr>
            <w:r w:rsidRPr="002412BA">
              <w:rPr>
                <w:rFonts w:eastAsia="Times New Roman"/>
                <w:b/>
                <w:bCs/>
                <w:szCs w:val="24"/>
              </w:rPr>
              <w:t>159</w:t>
            </w:r>
          </w:p>
        </w:tc>
      </w:tr>
    </w:tbl>
    <w:p w:rsidR="002412BA" w:rsidRPr="002412BA" w:rsidRDefault="002412BA" w:rsidP="002412BA">
      <w:pPr>
        <w:spacing w:after="0" w:line="240" w:lineRule="auto"/>
        <w:ind w:right="-1"/>
        <w:jc w:val="left"/>
        <w:rPr>
          <w:rFonts w:eastAsiaTheme="minorHAnsi"/>
          <w:sz w:val="20"/>
          <w:szCs w:val="24"/>
          <w:lang w:eastAsia="es-ES"/>
        </w:rPr>
      </w:pPr>
      <w:r w:rsidRPr="002412BA">
        <w:rPr>
          <w:rFonts w:eastAsiaTheme="minorHAnsi"/>
          <w:b/>
          <w:sz w:val="20"/>
          <w:szCs w:val="24"/>
          <w:lang w:eastAsia="es-ES"/>
        </w:rPr>
        <w:t>Fuente:</w:t>
      </w:r>
      <w:r w:rsidRPr="002412BA">
        <w:rPr>
          <w:rFonts w:eastAsiaTheme="minorHAnsi"/>
          <w:b/>
          <w:i/>
          <w:sz w:val="20"/>
          <w:szCs w:val="24"/>
          <w:lang w:eastAsia="es-ES"/>
        </w:rPr>
        <w:t xml:space="preserve"> </w:t>
      </w:r>
      <w:r w:rsidRPr="002412BA">
        <w:rPr>
          <w:rFonts w:eastAsiaTheme="minorHAnsi"/>
          <w:sz w:val="20"/>
          <w:szCs w:val="24"/>
          <w:lang w:eastAsia="es-ES"/>
        </w:rPr>
        <w:t>Matriz</w:t>
      </w:r>
      <w:r w:rsidRPr="002412BA">
        <w:rPr>
          <w:rFonts w:eastAsiaTheme="minorHAnsi"/>
          <w:b/>
          <w:i/>
          <w:sz w:val="20"/>
          <w:szCs w:val="24"/>
          <w:lang w:eastAsia="es-ES"/>
        </w:rPr>
        <w:t xml:space="preserve"> </w:t>
      </w:r>
      <w:r w:rsidRPr="002412BA">
        <w:rPr>
          <w:rFonts w:eastAsiaTheme="minorHAnsi"/>
          <w:sz w:val="20"/>
          <w:szCs w:val="24"/>
          <w:lang w:eastAsia="es-ES"/>
        </w:rPr>
        <w:t>Seguimiento de Casos de la Dirección Jurídica</w:t>
      </w:r>
    </w:p>
    <w:p w:rsidR="002412BA" w:rsidRPr="002412BA" w:rsidRDefault="002412BA" w:rsidP="002412BA">
      <w:pPr>
        <w:spacing w:after="0" w:line="240" w:lineRule="auto"/>
        <w:ind w:right="-1"/>
        <w:jc w:val="left"/>
        <w:rPr>
          <w:rFonts w:eastAsiaTheme="minorHAnsi"/>
          <w:szCs w:val="24"/>
          <w:lang w:eastAsia="es-ES"/>
        </w:rPr>
      </w:pPr>
    </w:p>
    <w:p w:rsidR="002412BA" w:rsidRPr="002412BA" w:rsidRDefault="002412BA" w:rsidP="002412BA">
      <w:pPr>
        <w:spacing w:after="0" w:line="360" w:lineRule="auto"/>
        <w:rPr>
          <w:rFonts w:eastAsiaTheme="minorHAnsi"/>
          <w:szCs w:val="24"/>
          <w:lang w:eastAsia="es-ES"/>
        </w:rPr>
      </w:pPr>
      <w:r w:rsidRPr="002412BA">
        <w:rPr>
          <w:rFonts w:eastAsiaTheme="minorHAnsi"/>
          <w:szCs w:val="24"/>
          <w:lang w:eastAsia="es-ES"/>
        </w:rPr>
        <w:lastRenderedPageBreak/>
        <w:t>En adición a estas acciones, con miras a dar seguimiento y respuestas a los casos y requerimientos asignados, durante el periodo enero a noviembre de 2021 fueron elaborados los siguientes documentos:</w:t>
      </w:r>
    </w:p>
    <w:p w:rsidR="002412BA" w:rsidRPr="002412BA" w:rsidRDefault="002412BA" w:rsidP="002412BA">
      <w:pPr>
        <w:spacing w:after="0" w:line="360" w:lineRule="auto"/>
        <w:rPr>
          <w:rFonts w:eastAsiaTheme="minorHAnsi"/>
          <w:color w:val="auto"/>
          <w:szCs w:val="24"/>
          <w:lang w:eastAsia="es-ES"/>
        </w:rPr>
      </w:pPr>
    </w:p>
    <w:p w:rsidR="002412BA" w:rsidRPr="002412BA" w:rsidRDefault="002412BA" w:rsidP="002412BA">
      <w:pPr>
        <w:spacing w:after="0" w:line="240" w:lineRule="auto"/>
        <w:jc w:val="left"/>
        <w:rPr>
          <w:rFonts w:eastAsiaTheme="minorHAnsi"/>
          <w:color w:val="auto"/>
          <w:szCs w:val="24"/>
          <w:lang w:eastAsia="es-ES"/>
        </w:rPr>
      </w:pPr>
    </w:p>
    <w:tbl>
      <w:tblPr>
        <w:tblStyle w:val="Tablaconcuadrcula5"/>
        <w:tblW w:w="0" w:type="auto"/>
        <w:shd w:val="clear" w:color="auto" w:fill="002060"/>
        <w:tblLook w:val="04A0" w:firstRow="1" w:lastRow="0" w:firstColumn="1" w:lastColumn="0" w:noHBand="0" w:noVBand="1"/>
      </w:tblPr>
      <w:tblGrid>
        <w:gridCol w:w="3936"/>
        <w:gridCol w:w="3976"/>
      </w:tblGrid>
      <w:tr w:rsidR="002412BA" w:rsidRPr="002412BA" w:rsidTr="0063671D">
        <w:tc>
          <w:tcPr>
            <w:tcW w:w="8217" w:type="dxa"/>
            <w:gridSpan w:val="2"/>
            <w:shd w:val="clear" w:color="auto" w:fill="003876"/>
          </w:tcPr>
          <w:p w:rsidR="002412BA" w:rsidRPr="002412BA" w:rsidRDefault="002412BA" w:rsidP="00CE6D1D">
            <w:pPr>
              <w:spacing w:after="0" w:line="360" w:lineRule="auto"/>
              <w:jc w:val="center"/>
              <w:rPr>
                <w:rFonts w:ascii="Times New Roman" w:hAnsi="Times New Roman" w:cs="Times New Roman"/>
                <w:b/>
                <w:color w:val="auto"/>
                <w:szCs w:val="24"/>
                <w:lang w:eastAsia="es-ES"/>
              </w:rPr>
            </w:pPr>
            <w:r w:rsidRPr="002412BA">
              <w:rPr>
                <w:rFonts w:ascii="Times New Roman" w:hAnsi="Times New Roman" w:cs="Times New Roman"/>
                <w:b/>
                <w:color w:val="auto"/>
                <w:szCs w:val="24"/>
                <w:lang w:eastAsia="es-ES"/>
              </w:rPr>
              <w:t>Documentos Elaborados</w:t>
            </w:r>
          </w:p>
          <w:p w:rsidR="002412BA" w:rsidRPr="002412BA" w:rsidRDefault="002412BA" w:rsidP="00CE6D1D">
            <w:pPr>
              <w:spacing w:after="0" w:line="360" w:lineRule="auto"/>
              <w:jc w:val="center"/>
              <w:rPr>
                <w:rFonts w:ascii="Times New Roman" w:hAnsi="Times New Roman" w:cs="Times New Roman"/>
                <w:color w:val="auto"/>
                <w:szCs w:val="24"/>
                <w:lang w:eastAsia="es-ES"/>
              </w:rPr>
            </w:pPr>
            <w:r w:rsidRPr="002412BA">
              <w:rPr>
                <w:rFonts w:ascii="Times New Roman" w:hAnsi="Times New Roman" w:cs="Times New Roman"/>
                <w:b/>
                <w:color w:val="auto"/>
                <w:szCs w:val="24"/>
                <w:lang w:eastAsia="es-ES"/>
              </w:rPr>
              <w:t>Enero – Noviembre de 2021</w:t>
            </w:r>
          </w:p>
        </w:tc>
      </w:tr>
      <w:tr w:rsidR="002412BA" w:rsidRPr="002412BA" w:rsidTr="0063671D">
        <w:tblPrEx>
          <w:jc w:val="center"/>
          <w:shd w:val="clear" w:color="auto" w:fill="auto"/>
        </w:tblPrEx>
        <w:trPr>
          <w:trHeight w:val="418"/>
          <w:jc w:val="center"/>
        </w:trPr>
        <w:tc>
          <w:tcPr>
            <w:tcW w:w="4068" w:type="dxa"/>
            <w:shd w:val="clear" w:color="auto" w:fill="003876"/>
          </w:tcPr>
          <w:p w:rsidR="002412BA" w:rsidRPr="002412BA" w:rsidRDefault="002412BA" w:rsidP="002412BA">
            <w:pPr>
              <w:spacing w:after="0" w:line="240" w:lineRule="auto"/>
              <w:jc w:val="center"/>
              <w:rPr>
                <w:rFonts w:ascii="Times New Roman" w:hAnsi="Times New Roman" w:cs="Times New Roman"/>
                <w:b/>
                <w:color w:val="auto"/>
                <w:szCs w:val="24"/>
                <w:lang w:eastAsia="es-ES"/>
              </w:rPr>
            </w:pPr>
          </w:p>
          <w:p w:rsidR="002412BA" w:rsidRPr="002412BA" w:rsidRDefault="002412BA" w:rsidP="002412BA">
            <w:pPr>
              <w:spacing w:after="0" w:line="240" w:lineRule="auto"/>
              <w:jc w:val="center"/>
              <w:rPr>
                <w:rFonts w:ascii="Times New Roman" w:hAnsi="Times New Roman" w:cs="Times New Roman"/>
                <w:b/>
                <w:color w:val="auto"/>
                <w:szCs w:val="24"/>
                <w:lang w:eastAsia="es-ES"/>
              </w:rPr>
            </w:pPr>
            <w:r w:rsidRPr="002412BA">
              <w:rPr>
                <w:rFonts w:ascii="Times New Roman" w:hAnsi="Times New Roman" w:cs="Times New Roman"/>
                <w:b/>
                <w:color w:val="auto"/>
                <w:szCs w:val="24"/>
                <w:lang w:eastAsia="es-ES"/>
              </w:rPr>
              <w:t>Tipo de Documento</w:t>
            </w:r>
          </w:p>
          <w:p w:rsidR="002412BA" w:rsidRPr="002412BA" w:rsidRDefault="002412BA" w:rsidP="002412BA">
            <w:pPr>
              <w:spacing w:after="0" w:line="240" w:lineRule="auto"/>
              <w:jc w:val="center"/>
              <w:rPr>
                <w:rFonts w:ascii="Times New Roman" w:hAnsi="Times New Roman" w:cs="Times New Roman"/>
                <w:b/>
                <w:color w:val="auto"/>
                <w:szCs w:val="24"/>
                <w:lang w:eastAsia="es-ES"/>
              </w:rPr>
            </w:pPr>
          </w:p>
        </w:tc>
        <w:tc>
          <w:tcPr>
            <w:tcW w:w="4149" w:type="dxa"/>
            <w:shd w:val="clear" w:color="auto" w:fill="003876"/>
          </w:tcPr>
          <w:p w:rsidR="002412BA" w:rsidRPr="002412BA" w:rsidRDefault="002412BA" w:rsidP="002412BA">
            <w:pPr>
              <w:spacing w:after="0" w:line="240" w:lineRule="auto"/>
              <w:jc w:val="center"/>
              <w:rPr>
                <w:rFonts w:ascii="Times New Roman" w:hAnsi="Times New Roman" w:cs="Times New Roman"/>
                <w:b/>
                <w:color w:val="auto"/>
                <w:szCs w:val="24"/>
                <w:lang w:eastAsia="es-ES"/>
              </w:rPr>
            </w:pPr>
          </w:p>
          <w:p w:rsidR="002412BA" w:rsidRPr="002412BA" w:rsidRDefault="002412BA" w:rsidP="002412BA">
            <w:pPr>
              <w:spacing w:after="0" w:line="240" w:lineRule="auto"/>
              <w:jc w:val="center"/>
              <w:rPr>
                <w:rFonts w:ascii="Times New Roman" w:hAnsi="Times New Roman" w:cs="Times New Roman"/>
                <w:b/>
                <w:color w:val="auto"/>
                <w:szCs w:val="24"/>
                <w:lang w:eastAsia="es-ES"/>
              </w:rPr>
            </w:pPr>
            <w:r w:rsidRPr="002412BA">
              <w:rPr>
                <w:rFonts w:ascii="Times New Roman" w:hAnsi="Times New Roman" w:cs="Times New Roman"/>
                <w:b/>
                <w:color w:val="auto"/>
                <w:szCs w:val="24"/>
                <w:lang w:eastAsia="es-ES"/>
              </w:rPr>
              <w:t>Cantidad</w:t>
            </w:r>
          </w:p>
        </w:tc>
      </w:tr>
      <w:tr w:rsidR="002412BA" w:rsidRPr="002412BA" w:rsidTr="00816F63">
        <w:tblPrEx>
          <w:jc w:val="center"/>
          <w:shd w:val="clear" w:color="auto" w:fill="auto"/>
        </w:tblPrEx>
        <w:trPr>
          <w:trHeight w:val="448"/>
          <w:jc w:val="center"/>
        </w:trPr>
        <w:tc>
          <w:tcPr>
            <w:tcW w:w="4068" w:type="dxa"/>
          </w:tcPr>
          <w:p w:rsidR="002412BA" w:rsidRPr="002412BA" w:rsidRDefault="002412BA" w:rsidP="002412BA">
            <w:pPr>
              <w:spacing w:after="0" w:line="240" w:lineRule="auto"/>
              <w:jc w:val="center"/>
              <w:rPr>
                <w:szCs w:val="24"/>
                <w:lang w:eastAsia="es-ES"/>
              </w:rPr>
            </w:pPr>
            <w:r w:rsidRPr="002412BA">
              <w:rPr>
                <w:szCs w:val="24"/>
                <w:lang w:eastAsia="es-ES"/>
              </w:rPr>
              <w:t>Instancias</w:t>
            </w:r>
          </w:p>
          <w:p w:rsidR="002412BA" w:rsidRPr="002412BA" w:rsidRDefault="002412BA" w:rsidP="002412BA">
            <w:pPr>
              <w:spacing w:after="0" w:line="240" w:lineRule="auto"/>
              <w:jc w:val="center"/>
              <w:rPr>
                <w:szCs w:val="24"/>
                <w:lang w:eastAsia="es-ES"/>
              </w:rPr>
            </w:pPr>
          </w:p>
        </w:tc>
        <w:tc>
          <w:tcPr>
            <w:tcW w:w="4149" w:type="dxa"/>
          </w:tcPr>
          <w:p w:rsidR="002412BA" w:rsidRPr="002412BA" w:rsidRDefault="002412BA" w:rsidP="002412BA">
            <w:pPr>
              <w:spacing w:after="0" w:line="240" w:lineRule="auto"/>
              <w:jc w:val="center"/>
              <w:rPr>
                <w:szCs w:val="24"/>
                <w:lang w:eastAsia="es-ES"/>
              </w:rPr>
            </w:pPr>
            <w:r w:rsidRPr="002412BA">
              <w:rPr>
                <w:szCs w:val="24"/>
                <w:lang w:eastAsia="es-ES"/>
              </w:rPr>
              <w:t>71</w:t>
            </w:r>
          </w:p>
        </w:tc>
      </w:tr>
      <w:tr w:rsidR="002412BA" w:rsidRPr="002412BA" w:rsidTr="00816F63">
        <w:tblPrEx>
          <w:jc w:val="center"/>
          <w:shd w:val="clear" w:color="auto" w:fill="auto"/>
        </w:tblPrEx>
        <w:trPr>
          <w:trHeight w:val="412"/>
          <w:jc w:val="center"/>
        </w:trPr>
        <w:tc>
          <w:tcPr>
            <w:tcW w:w="4068" w:type="dxa"/>
          </w:tcPr>
          <w:p w:rsidR="002412BA" w:rsidRPr="002412BA" w:rsidRDefault="002412BA" w:rsidP="002412BA">
            <w:pPr>
              <w:spacing w:after="0" w:line="240" w:lineRule="auto"/>
              <w:jc w:val="center"/>
              <w:rPr>
                <w:szCs w:val="24"/>
                <w:lang w:eastAsia="es-ES"/>
              </w:rPr>
            </w:pPr>
            <w:r w:rsidRPr="002412BA">
              <w:rPr>
                <w:szCs w:val="24"/>
                <w:lang w:eastAsia="es-ES"/>
              </w:rPr>
              <w:t>Informes</w:t>
            </w:r>
          </w:p>
          <w:p w:rsidR="002412BA" w:rsidRPr="002412BA" w:rsidRDefault="002412BA" w:rsidP="002412BA">
            <w:pPr>
              <w:spacing w:after="0" w:line="240" w:lineRule="auto"/>
              <w:jc w:val="center"/>
              <w:rPr>
                <w:szCs w:val="24"/>
                <w:lang w:eastAsia="es-ES"/>
              </w:rPr>
            </w:pPr>
          </w:p>
        </w:tc>
        <w:tc>
          <w:tcPr>
            <w:tcW w:w="4149" w:type="dxa"/>
          </w:tcPr>
          <w:p w:rsidR="002412BA" w:rsidRPr="002412BA" w:rsidRDefault="002412BA" w:rsidP="002412BA">
            <w:pPr>
              <w:spacing w:after="0" w:line="240" w:lineRule="auto"/>
              <w:jc w:val="center"/>
              <w:rPr>
                <w:szCs w:val="24"/>
                <w:lang w:eastAsia="es-ES"/>
              </w:rPr>
            </w:pPr>
            <w:r w:rsidRPr="002412BA">
              <w:rPr>
                <w:szCs w:val="24"/>
                <w:lang w:eastAsia="es-ES"/>
              </w:rPr>
              <w:t>29</w:t>
            </w:r>
          </w:p>
        </w:tc>
      </w:tr>
      <w:tr w:rsidR="002412BA" w:rsidRPr="002412BA" w:rsidTr="00816F63">
        <w:tblPrEx>
          <w:jc w:val="center"/>
          <w:shd w:val="clear" w:color="auto" w:fill="auto"/>
        </w:tblPrEx>
        <w:trPr>
          <w:trHeight w:val="141"/>
          <w:jc w:val="center"/>
        </w:trPr>
        <w:tc>
          <w:tcPr>
            <w:tcW w:w="4068" w:type="dxa"/>
          </w:tcPr>
          <w:p w:rsidR="002412BA" w:rsidRPr="002412BA" w:rsidRDefault="002412BA" w:rsidP="002412BA">
            <w:pPr>
              <w:spacing w:after="0" w:line="240" w:lineRule="auto"/>
              <w:jc w:val="center"/>
              <w:rPr>
                <w:szCs w:val="24"/>
                <w:lang w:eastAsia="es-ES"/>
              </w:rPr>
            </w:pPr>
            <w:r w:rsidRPr="002412BA">
              <w:rPr>
                <w:szCs w:val="24"/>
                <w:lang w:eastAsia="es-ES"/>
              </w:rPr>
              <w:t>Escritos de Defensa</w:t>
            </w:r>
          </w:p>
          <w:p w:rsidR="002412BA" w:rsidRPr="002412BA" w:rsidRDefault="002412BA" w:rsidP="002412BA">
            <w:pPr>
              <w:spacing w:after="0" w:line="240" w:lineRule="auto"/>
              <w:jc w:val="center"/>
              <w:rPr>
                <w:szCs w:val="24"/>
                <w:lang w:eastAsia="es-ES"/>
              </w:rPr>
            </w:pPr>
          </w:p>
        </w:tc>
        <w:tc>
          <w:tcPr>
            <w:tcW w:w="4149" w:type="dxa"/>
          </w:tcPr>
          <w:p w:rsidR="002412BA" w:rsidRPr="002412BA" w:rsidRDefault="002412BA" w:rsidP="002412BA">
            <w:pPr>
              <w:spacing w:after="0" w:line="240" w:lineRule="auto"/>
              <w:jc w:val="center"/>
              <w:rPr>
                <w:szCs w:val="24"/>
                <w:lang w:eastAsia="es-ES"/>
              </w:rPr>
            </w:pPr>
            <w:r w:rsidRPr="002412BA">
              <w:rPr>
                <w:szCs w:val="24"/>
                <w:lang w:eastAsia="es-ES"/>
              </w:rPr>
              <w:t>74</w:t>
            </w:r>
          </w:p>
        </w:tc>
      </w:tr>
      <w:tr w:rsidR="002412BA" w:rsidRPr="002412BA" w:rsidTr="00816F63">
        <w:tblPrEx>
          <w:jc w:val="center"/>
          <w:shd w:val="clear" w:color="auto" w:fill="auto"/>
        </w:tblPrEx>
        <w:trPr>
          <w:trHeight w:val="141"/>
          <w:jc w:val="center"/>
        </w:trPr>
        <w:tc>
          <w:tcPr>
            <w:tcW w:w="4068" w:type="dxa"/>
          </w:tcPr>
          <w:p w:rsidR="002412BA" w:rsidRPr="002412BA" w:rsidRDefault="002412BA" w:rsidP="002412BA">
            <w:pPr>
              <w:spacing w:after="0" w:line="240" w:lineRule="auto"/>
              <w:jc w:val="center"/>
              <w:rPr>
                <w:szCs w:val="24"/>
                <w:lang w:eastAsia="es-ES"/>
              </w:rPr>
            </w:pPr>
            <w:r w:rsidRPr="002412BA">
              <w:rPr>
                <w:szCs w:val="24"/>
                <w:lang w:eastAsia="es-ES"/>
              </w:rPr>
              <w:t>Comunicaciones</w:t>
            </w:r>
          </w:p>
          <w:p w:rsidR="002412BA" w:rsidRPr="002412BA" w:rsidRDefault="002412BA" w:rsidP="002412BA">
            <w:pPr>
              <w:spacing w:after="0" w:line="240" w:lineRule="auto"/>
              <w:jc w:val="center"/>
              <w:rPr>
                <w:szCs w:val="24"/>
                <w:lang w:eastAsia="es-ES"/>
              </w:rPr>
            </w:pPr>
          </w:p>
        </w:tc>
        <w:tc>
          <w:tcPr>
            <w:tcW w:w="4149" w:type="dxa"/>
          </w:tcPr>
          <w:p w:rsidR="002412BA" w:rsidRPr="002412BA" w:rsidRDefault="002412BA" w:rsidP="002412BA">
            <w:pPr>
              <w:spacing w:after="0" w:line="240" w:lineRule="auto"/>
              <w:jc w:val="center"/>
              <w:rPr>
                <w:szCs w:val="24"/>
                <w:lang w:eastAsia="es-ES"/>
              </w:rPr>
            </w:pPr>
            <w:r w:rsidRPr="002412BA">
              <w:rPr>
                <w:szCs w:val="24"/>
                <w:lang w:eastAsia="es-ES"/>
              </w:rPr>
              <w:t>2,628</w:t>
            </w:r>
          </w:p>
        </w:tc>
      </w:tr>
      <w:tr w:rsidR="002412BA" w:rsidRPr="002412BA" w:rsidTr="00816F63">
        <w:tblPrEx>
          <w:jc w:val="center"/>
          <w:shd w:val="clear" w:color="auto" w:fill="auto"/>
        </w:tblPrEx>
        <w:trPr>
          <w:trHeight w:val="141"/>
          <w:jc w:val="center"/>
        </w:trPr>
        <w:tc>
          <w:tcPr>
            <w:tcW w:w="4068" w:type="dxa"/>
          </w:tcPr>
          <w:p w:rsidR="002412BA" w:rsidRPr="002412BA" w:rsidRDefault="002412BA" w:rsidP="002412BA">
            <w:pPr>
              <w:spacing w:after="0" w:line="240" w:lineRule="auto"/>
              <w:jc w:val="center"/>
              <w:rPr>
                <w:szCs w:val="24"/>
                <w:lang w:eastAsia="es-ES"/>
              </w:rPr>
            </w:pPr>
            <w:r w:rsidRPr="002412BA">
              <w:rPr>
                <w:szCs w:val="24"/>
                <w:lang w:eastAsia="es-ES"/>
              </w:rPr>
              <w:t>Memorandos</w:t>
            </w:r>
          </w:p>
          <w:p w:rsidR="002412BA" w:rsidRPr="002412BA" w:rsidRDefault="002412BA" w:rsidP="002412BA">
            <w:pPr>
              <w:spacing w:after="0" w:line="240" w:lineRule="auto"/>
              <w:jc w:val="center"/>
              <w:rPr>
                <w:szCs w:val="24"/>
                <w:lang w:eastAsia="es-ES"/>
              </w:rPr>
            </w:pPr>
          </w:p>
        </w:tc>
        <w:tc>
          <w:tcPr>
            <w:tcW w:w="4149" w:type="dxa"/>
          </w:tcPr>
          <w:p w:rsidR="002412BA" w:rsidRPr="002412BA" w:rsidRDefault="002412BA" w:rsidP="002412BA">
            <w:pPr>
              <w:spacing w:after="0" w:line="240" w:lineRule="auto"/>
              <w:jc w:val="center"/>
              <w:rPr>
                <w:szCs w:val="24"/>
                <w:lang w:eastAsia="es-ES"/>
              </w:rPr>
            </w:pPr>
            <w:r w:rsidRPr="002412BA">
              <w:rPr>
                <w:szCs w:val="24"/>
                <w:lang w:eastAsia="es-ES"/>
              </w:rPr>
              <w:t>426</w:t>
            </w:r>
          </w:p>
        </w:tc>
      </w:tr>
    </w:tbl>
    <w:p w:rsidR="002412BA" w:rsidRPr="002412BA" w:rsidRDefault="002412BA" w:rsidP="002412BA">
      <w:pPr>
        <w:spacing w:after="0" w:line="240" w:lineRule="auto"/>
        <w:jc w:val="left"/>
        <w:rPr>
          <w:rFonts w:eastAsiaTheme="minorHAnsi"/>
          <w:b/>
          <w:i/>
          <w:sz w:val="20"/>
          <w:szCs w:val="24"/>
          <w:lang w:eastAsia="es-ES"/>
        </w:rPr>
      </w:pPr>
      <w:r w:rsidRPr="002412BA">
        <w:rPr>
          <w:rFonts w:eastAsiaTheme="minorHAnsi"/>
          <w:b/>
          <w:sz w:val="20"/>
          <w:szCs w:val="24"/>
          <w:lang w:eastAsia="es-ES"/>
        </w:rPr>
        <w:t>Fuente</w:t>
      </w:r>
      <w:r w:rsidRPr="002412BA">
        <w:rPr>
          <w:rFonts w:eastAsiaTheme="minorHAnsi"/>
          <w:b/>
          <w:i/>
          <w:sz w:val="20"/>
          <w:szCs w:val="24"/>
          <w:lang w:eastAsia="es-ES"/>
        </w:rPr>
        <w:t xml:space="preserve">: </w:t>
      </w:r>
      <w:r w:rsidRPr="002412BA">
        <w:rPr>
          <w:rFonts w:eastAsiaTheme="minorHAnsi"/>
          <w:sz w:val="20"/>
          <w:szCs w:val="24"/>
          <w:lang w:eastAsia="es-ES"/>
        </w:rPr>
        <w:t>Sistema de Gestión Interna y Matriz de Seguimiento de Casos de la Dirección Jurídica</w:t>
      </w:r>
    </w:p>
    <w:p w:rsidR="002412BA" w:rsidRPr="002412BA" w:rsidRDefault="002412BA" w:rsidP="002412BA">
      <w:pPr>
        <w:spacing w:after="0" w:line="240" w:lineRule="auto"/>
        <w:jc w:val="left"/>
        <w:rPr>
          <w:rFonts w:eastAsiaTheme="minorHAnsi"/>
          <w:b/>
          <w:i/>
          <w:szCs w:val="24"/>
          <w:lang w:eastAsia="es-ES"/>
        </w:rPr>
      </w:pPr>
    </w:p>
    <w:p w:rsidR="00897C41" w:rsidRDefault="00897C41" w:rsidP="002412BA">
      <w:pPr>
        <w:spacing w:after="0" w:line="360" w:lineRule="auto"/>
        <w:rPr>
          <w:rFonts w:eastAsia="Times New Roman"/>
          <w:szCs w:val="24"/>
          <w:lang w:eastAsia="en-US"/>
        </w:rPr>
      </w:pPr>
    </w:p>
    <w:p w:rsidR="002412BA" w:rsidRDefault="002412BA" w:rsidP="002412BA">
      <w:pPr>
        <w:spacing w:after="0" w:line="360" w:lineRule="auto"/>
        <w:rPr>
          <w:rFonts w:eastAsia="Times New Roman"/>
          <w:szCs w:val="24"/>
          <w:lang w:eastAsia="en-US"/>
        </w:rPr>
      </w:pPr>
      <w:r w:rsidRPr="002412BA">
        <w:rPr>
          <w:rFonts w:eastAsia="Times New Roman"/>
          <w:szCs w:val="24"/>
          <w:lang w:eastAsia="en-US"/>
        </w:rPr>
        <w:t xml:space="preserve">En lo referente a la elaboración de contratos correspondientes a las diferentes actividades administrativas que realiza el INDOTEL, fueron elaborados 69 contratos en total, detallados a continuación: </w:t>
      </w:r>
    </w:p>
    <w:p w:rsidR="00676AE8" w:rsidRDefault="00676AE8" w:rsidP="002412BA">
      <w:pPr>
        <w:spacing w:after="0" w:line="360" w:lineRule="auto"/>
        <w:rPr>
          <w:rFonts w:eastAsia="Times New Roman"/>
          <w:szCs w:val="24"/>
          <w:lang w:eastAsia="en-US"/>
        </w:rPr>
      </w:pPr>
    </w:p>
    <w:p w:rsidR="00676AE8" w:rsidRDefault="00676AE8" w:rsidP="002412BA">
      <w:pPr>
        <w:spacing w:after="0" w:line="360" w:lineRule="auto"/>
        <w:rPr>
          <w:rFonts w:eastAsia="Times New Roman"/>
          <w:szCs w:val="24"/>
          <w:lang w:eastAsia="en-US"/>
        </w:rPr>
      </w:pPr>
    </w:p>
    <w:p w:rsidR="00676AE8" w:rsidRDefault="00676AE8" w:rsidP="002412BA">
      <w:pPr>
        <w:spacing w:after="0" w:line="360" w:lineRule="auto"/>
        <w:rPr>
          <w:rFonts w:eastAsia="Times New Roman"/>
          <w:szCs w:val="24"/>
          <w:lang w:eastAsia="en-US"/>
        </w:rPr>
      </w:pPr>
    </w:p>
    <w:p w:rsidR="00676AE8" w:rsidRDefault="00676AE8" w:rsidP="002412BA">
      <w:pPr>
        <w:spacing w:after="0" w:line="360" w:lineRule="auto"/>
        <w:rPr>
          <w:rFonts w:eastAsia="Times New Roman"/>
          <w:szCs w:val="24"/>
          <w:lang w:eastAsia="en-US"/>
        </w:rPr>
      </w:pPr>
    </w:p>
    <w:p w:rsidR="00676AE8" w:rsidRDefault="00676AE8" w:rsidP="002412BA">
      <w:pPr>
        <w:spacing w:after="0" w:line="360" w:lineRule="auto"/>
        <w:rPr>
          <w:rFonts w:eastAsia="Times New Roman"/>
          <w:szCs w:val="24"/>
          <w:lang w:eastAsia="en-US"/>
        </w:rPr>
      </w:pPr>
    </w:p>
    <w:p w:rsidR="00676AE8" w:rsidRDefault="00676AE8" w:rsidP="002412BA">
      <w:pPr>
        <w:spacing w:after="0" w:line="360" w:lineRule="auto"/>
        <w:rPr>
          <w:rFonts w:eastAsia="Times New Roman"/>
          <w:szCs w:val="24"/>
          <w:lang w:eastAsia="en-US"/>
        </w:rPr>
      </w:pPr>
    </w:p>
    <w:p w:rsidR="00676AE8" w:rsidRPr="002412BA" w:rsidRDefault="00676AE8" w:rsidP="002412BA">
      <w:pPr>
        <w:spacing w:after="0" w:line="360" w:lineRule="auto"/>
        <w:rPr>
          <w:rFonts w:eastAsia="Times New Roman"/>
          <w:szCs w:val="24"/>
          <w:lang w:eastAsia="en-US"/>
        </w:rPr>
      </w:pPr>
    </w:p>
    <w:p w:rsidR="002412BA" w:rsidRPr="002412BA" w:rsidRDefault="002412BA" w:rsidP="002412BA">
      <w:pPr>
        <w:spacing w:after="0" w:line="360" w:lineRule="auto"/>
        <w:rPr>
          <w:rFonts w:eastAsia="Times New Roman"/>
          <w:color w:val="auto"/>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2679"/>
        <w:gridCol w:w="3762"/>
      </w:tblGrid>
      <w:tr w:rsidR="00676AE8" w:rsidRPr="002412BA" w:rsidTr="0063671D">
        <w:tc>
          <w:tcPr>
            <w:tcW w:w="7912" w:type="dxa"/>
            <w:gridSpan w:val="3"/>
            <w:tcBorders>
              <w:top w:val="single" w:sz="2" w:space="0" w:color="000000"/>
              <w:left w:val="single" w:sz="2" w:space="0" w:color="000000"/>
              <w:bottom w:val="single" w:sz="2" w:space="0" w:color="000000"/>
              <w:right w:val="single" w:sz="2" w:space="0" w:color="000000"/>
            </w:tcBorders>
            <w:shd w:val="clear" w:color="auto" w:fill="003876"/>
            <w:vAlign w:val="center"/>
          </w:tcPr>
          <w:p w:rsidR="00676AE8" w:rsidRPr="00676AE8" w:rsidRDefault="00676AE8" w:rsidP="00CE6D1D">
            <w:pPr>
              <w:spacing w:after="0" w:line="360" w:lineRule="auto"/>
              <w:jc w:val="center"/>
              <w:rPr>
                <w:rFonts w:eastAsia="Times New Roman"/>
                <w:b/>
                <w:color w:val="auto"/>
                <w:szCs w:val="24"/>
                <w:lang w:eastAsia="en-US"/>
              </w:rPr>
            </w:pPr>
            <w:r w:rsidRPr="00676AE8">
              <w:rPr>
                <w:rFonts w:eastAsia="Times New Roman"/>
                <w:b/>
                <w:color w:val="auto"/>
                <w:szCs w:val="24"/>
                <w:lang w:eastAsia="en-US"/>
              </w:rPr>
              <w:lastRenderedPageBreak/>
              <w:t xml:space="preserve">Contratos Elaborados </w:t>
            </w:r>
          </w:p>
          <w:p w:rsidR="00676AE8" w:rsidRPr="002412BA" w:rsidRDefault="00676AE8" w:rsidP="00CE6D1D">
            <w:pPr>
              <w:spacing w:after="0" w:line="360" w:lineRule="auto"/>
              <w:jc w:val="center"/>
              <w:rPr>
                <w:rFonts w:eastAsia="Times New Roman"/>
                <w:b/>
                <w:color w:val="auto"/>
                <w:szCs w:val="24"/>
                <w:lang w:eastAsia="en-US"/>
              </w:rPr>
            </w:pPr>
            <w:r w:rsidRPr="00676AE8">
              <w:rPr>
                <w:rFonts w:eastAsia="Times New Roman"/>
                <w:b/>
                <w:color w:val="auto"/>
                <w:szCs w:val="24"/>
                <w:lang w:eastAsia="en-US"/>
              </w:rPr>
              <w:t>Enero – Noviembre de 2021</w:t>
            </w:r>
          </w:p>
        </w:tc>
      </w:tr>
      <w:tr w:rsidR="002412BA" w:rsidRPr="002412BA" w:rsidTr="0063671D">
        <w:tc>
          <w:tcPr>
            <w:tcW w:w="1471" w:type="dxa"/>
            <w:tcBorders>
              <w:top w:val="single" w:sz="2" w:space="0" w:color="000000"/>
            </w:tcBorders>
            <w:shd w:val="clear" w:color="auto" w:fill="003876"/>
            <w:vAlign w:val="center"/>
          </w:tcPr>
          <w:p w:rsidR="002412BA" w:rsidRPr="002412BA" w:rsidRDefault="002412BA" w:rsidP="002412BA">
            <w:pPr>
              <w:spacing w:after="0" w:line="360" w:lineRule="auto"/>
              <w:jc w:val="center"/>
              <w:rPr>
                <w:rFonts w:eastAsia="Times New Roman"/>
                <w:b/>
                <w:color w:val="auto"/>
                <w:szCs w:val="24"/>
                <w:lang w:eastAsia="en-US"/>
              </w:rPr>
            </w:pPr>
            <w:r w:rsidRPr="002412BA">
              <w:rPr>
                <w:rFonts w:eastAsia="Times New Roman"/>
                <w:b/>
                <w:color w:val="auto"/>
                <w:szCs w:val="24"/>
                <w:lang w:eastAsia="en-US"/>
              </w:rPr>
              <w:t>Cantidad de Contratos</w:t>
            </w:r>
          </w:p>
        </w:tc>
        <w:tc>
          <w:tcPr>
            <w:tcW w:w="2679" w:type="dxa"/>
            <w:tcBorders>
              <w:top w:val="single" w:sz="2" w:space="0" w:color="000000"/>
            </w:tcBorders>
            <w:shd w:val="clear" w:color="auto" w:fill="003876"/>
            <w:vAlign w:val="center"/>
          </w:tcPr>
          <w:p w:rsidR="002412BA" w:rsidRPr="002412BA" w:rsidRDefault="002412BA" w:rsidP="002412BA">
            <w:pPr>
              <w:spacing w:after="0" w:line="360" w:lineRule="auto"/>
              <w:jc w:val="center"/>
              <w:rPr>
                <w:rFonts w:eastAsia="Times New Roman"/>
                <w:b/>
                <w:color w:val="auto"/>
                <w:szCs w:val="24"/>
                <w:lang w:eastAsia="en-US"/>
              </w:rPr>
            </w:pPr>
            <w:r w:rsidRPr="002412BA">
              <w:rPr>
                <w:rFonts w:eastAsia="Times New Roman"/>
                <w:b/>
                <w:color w:val="auto"/>
                <w:szCs w:val="24"/>
                <w:lang w:eastAsia="en-US"/>
              </w:rPr>
              <w:t>Naturaleza del  Contrato</w:t>
            </w:r>
          </w:p>
        </w:tc>
        <w:tc>
          <w:tcPr>
            <w:tcW w:w="3762" w:type="dxa"/>
            <w:tcBorders>
              <w:top w:val="single" w:sz="2" w:space="0" w:color="000000"/>
            </w:tcBorders>
            <w:shd w:val="clear" w:color="auto" w:fill="003876"/>
            <w:vAlign w:val="center"/>
          </w:tcPr>
          <w:p w:rsidR="002412BA" w:rsidRPr="002412BA" w:rsidRDefault="002412BA" w:rsidP="002412BA">
            <w:pPr>
              <w:spacing w:after="0" w:line="360" w:lineRule="auto"/>
              <w:jc w:val="center"/>
              <w:rPr>
                <w:rFonts w:eastAsia="Times New Roman"/>
                <w:b/>
                <w:color w:val="auto"/>
                <w:szCs w:val="24"/>
                <w:lang w:eastAsia="en-US"/>
              </w:rPr>
            </w:pPr>
            <w:r w:rsidRPr="002412BA">
              <w:rPr>
                <w:rFonts w:eastAsia="Times New Roman"/>
                <w:b/>
                <w:color w:val="auto"/>
                <w:szCs w:val="24"/>
                <w:lang w:eastAsia="en-US"/>
              </w:rPr>
              <w:t>Base Legal</w:t>
            </w:r>
          </w:p>
        </w:tc>
      </w:tr>
      <w:tr w:rsidR="002412BA" w:rsidRPr="002412BA" w:rsidTr="00676AE8">
        <w:tc>
          <w:tcPr>
            <w:tcW w:w="1471" w:type="dxa"/>
            <w:shd w:val="clear" w:color="auto" w:fill="auto"/>
          </w:tcPr>
          <w:p w:rsidR="002412BA" w:rsidRPr="002412BA" w:rsidRDefault="002412BA" w:rsidP="002412BA">
            <w:pPr>
              <w:spacing w:after="0" w:line="360" w:lineRule="auto"/>
              <w:jc w:val="center"/>
              <w:rPr>
                <w:rFonts w:eastAsia="Times New Roman"/>
                <w:szCs w:val="24"/>
                <w:lang w:eastAsia="en-US"/>
              </w:rPr>
            </w:pPr>
            <w:r w:rsidRPr="002412BA">
              <w:rPr>
                <w:rFonts w:eastAsia="Times New Roman"/>
                <w:szCs w:val="24"/>
                <w:lang w:eastAsia="en-US"/>
              </w:rPr>
              <w:t>23</w:t>
            </w:r>
          </w:p>
        </w:tc>
        <w:tc>
          <w:tcPr>
            <w:tcW w:w="2679" w:type="dxa"/>
            <w:shd w:val="clear" w:color="auto" w:fill="auto"/>
          </w:tcPr>
          <w:p w:rsidR="002412BA" w:rsidRPr="002412BA" w:rsidRDefault="002412BA" w:rsidP="002412BA">
            <w:pPr>
              <w:spacing w:after="0" w:line="360" w:lineRule="auto"/>
              <w:jc w:val="left"/>
              <w:rPr>
                <w:rFonts w:eastAsia="Times New Roman"/>
                <w:szCs w:val="24"/>
                <w:lang w:eastAsia="en-US"/>
              </w:rPr>
            </w:pPr>
            <w:r w:rsidRPr="002412BA">
              <w:rPr>
                <w:rFonts w:eastAsia="Times New Roman"/>
                <w:szCs w:val="24"/>
                <w:lang w:eastAsia="en-US"/>
              </w:rPr>
              <w:t>Obras, Bienes y Servicios</w:t>
            </w:r>
          </w:p>
        </w:tc>
        <w:tc>
          <w:tcPr>
            <w:tcW w:w="3762"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Ley Núm. 340-06 sobre Compras y Contrataciones de Bienes, Servicios, Obras y Concesiones y su Reglamento de aplicación Decreto Núm. 543-12</w:t>
            </w:r>
          </w:p>
        </w:tc>
      </w:tr>
      <w:tr w:rsidR="002412BA" w:rsidRPr="002412BA" w:rsidTr="00676AE8">
        <w:tc>
          <w:tcPr>
            <w:tcW w:w="1471" w:type="dxa"/>
            <w:shd w:val="clear" w:color="auto" w:fill="auto"/>
          </w:tcPr>
          <w:p w:rsidR="002412BA" w:rsidRPr="002412BA" w:rsidRDefault="002412BA" w:rsidP="002412BA">
            <w:pPr>
              <w:spacing w:after="0" w:line="360" w:lineRule="auto"/>
              <w:jc w:val="center"/>
              <w:rPr>
                <w:rFonts w:eastAsia="Times New Roman"/>
                <w:szCs w:val="24"/>
                <w:lang w:eastAsia="en-US"/>
              </w:rPr>
            </w:pPr>
            <w:r w:rsidRPr="002412BA">
              <w:rPr>
                <w:rFonts w:eastAsia="Times New Roman"/>
                <w:szCs w:val="24"/>
                <w:lang w:eastAsia="en-US"/>
              </w:rPr>
              <w:t>39</w:t>
            </w:r>
          </w:p>
        </w:tc>
        <w:tc>
          <w:tcPr>
            <w:tcW w:w="2679" w:type="dxa"/>
            <w:shd w:val="clear" w:color="auto" w:fill="auto"/>
          </w:tcPr>
          <w:p w:rsidR="002412BA" w:rsidRPr="002412BA" w:rsidRDefault="002412BA" w:rsidP="002412BA">
            <w:pPr>
              <w:spacing w:after="0" w:line="360" w:lineRule="auto"/>
              <w:jc w:val="left"/>
              <w:rPr>
                <w:rFonts w:eastAsia="Times New Roman"/>
                <w:szCs w:val="24"/>
                <w:lang w:eastAsia="en-US"/>
              </w:rPr>
            </w:pPr>
            <w:r w:rsidRPr="002412BA">
              <w:rPr>
                <w:rFonts w:eastAsia="Times New Roman"/>
                <w:szCs w:val="24"/>
                <w:lang w:eastAsia="en-US"/>
              </w:rPr>
              <w:t>Miembros de los Cuerpos Colegiados del INDOTEL</w:t>
            </w:r>
          </w:p>
        </w:tc>
        <w:tc>
          <w:tcPr>
            <w:tcW w:w="3762"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Ley General de las Telecomunicaciones, Núm. 153-98</w:t>
            </w:r>
          </w:p>
        </w:tc>
      </w:tr>
      <w:tr w:rsidR="002412BA" w:rsidRPr="002412BA" w:rsidTr="00676AE8">
        <w:tc>
          <w:tcPr>
            <w:tcW w:w="1471" w:type="dxa"/>
            <w:shd w:val="clear" w:color="auto" w:fill="auto"/>
          </w:tcPr>
          <w:p w:rsidR="002412BA" w:rsidRPr="002412BA" w:rsidRDefault="002412BA" w:rsidP="002412BA">
            <w:pPr>
              <w:spacing w:after="0" w:line="360" w:lineRule="auto"/>
              <w:jc w:val="center"/>
              <w:rPr>
                <w:rFonts w:eastAsia="Times New Roman"/>
                <w:szCs w:val="24"/>
                <w:lang w:eastAsia="en-US"/>
              </w:rPr>
            </w:pPr>
            <w:r w:rsidRPr="002412BA">
              <w:rPr>
                <w:rFonts w:eastAsia="Times New Roman"/>
                <w:szCs w:val="24"/>
                <w:lang w:eastAsia="en-US"/>
              </w:rPr>
              <w:t>4</w:t>
            </w:r>
          </w:p>
        </w:tc>
        <w:tc>
          <w:tcPr>
            <w:tcW w:w="2679" w:type="dxa"/>
            <w:shd w:val="clear" w:color="auto" w:fill="auto"/>
          </w:tcPr>
          <w:p w:rsidR="002412BA" w:rsidRPr="002412BA" w:rsidRDefault="002412BA" w:rsidP="002412BA">
            <w:pPr>
              <w:spacing w:after="0" w:line="360" w:lineRule="auto"/>
              <w:jc w:val="left"/>
              <w:rPr>
                <w:rFonts w:eastAsia="Times New Roman"/>
                <w:szCs w:val="24"/>
                <w:lang w:eastAsia="en-US"/>
              </w:rPr>
            </w:pPr>
            <w:r w:rsidRPr="002412BA">
              <w:rPr>
                <w:rFonts w:eastAsia="Times New Roman"/>
                <w:szCs w:val="24"/>
                <w:lang w:eastAsia="en-US"/>
              </w:rPr>
              <w:t>Contratos de asesoría legal</w:t>
            </w:r>
          </w:p>
        </w:tc>
        <w:tc>
          <w:tcPr>
            <w:tcW w:w="3762"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Ley General de las Telecomunicaciones, Núm. 153-98</w:t>
            </w:r>
          </w:p>
        </w:tc>
      </w:tr>
      <w:tr w:rsidR="002412BA" w:rsidRPr="002412BA" w:rsidTr="00676AE8">
        <w:tc>
          <w:tcPr>
            <w:tcW w:w="1471" w:type="dxa"/>
            <w:shd w:val="clear" w:color="auto" w:fill="auto"/>
          </w:tcPr>
          <w:p w:rsidR="002412BA" w:rsidRPr="002412BA" w:rsidRDefault="002412BA" w:rsidP="002412BA">
            <w:pPr>
              <w:spacing w:after="0" w:line="360" w:lineRule="auto"/>
              <w:jc w:val="center"/>
              <w:rPr>
                <w:rFonts w:eastAsia="Times New Roman"/>
                <w:szCs w:val="24"/>
                <w:lang w:eastAsia="en-US"/>
              </w:rPr>
            </w:pPr>
            <w:r w:rsidRPr="002412BA">
              <w:rPr>
                <w:rFonts w:eastAsia="Times New Roman"/>
                <w:szCs w:val="24"/>
                <w:lang w:eastAsia="en-US"/>
              </w:rPr>
              <w:t>55</w:t>
            </w:r>
          </w:p>
        </w:tc>
        <w:tc>
          <w:tcPr>
            <w:tcW w:w="2679" w:type="dxa"/>
            <w:shd w:val="clear" w:color="auto" w:fill="auto"/>
          </w:tcPr>
          <w:p w:rsidR="002412BA" w:rsidRPr="002412BA" w:rsidRDefault="002412BA" w:rsidP="002412BA">
            <w:pPr>
              <w:spacing w:after="0" w:line="360" w:lineRule="auto"/>
              <w:jc w:val="left"/>
              <w:rPr>
                <w:rFonts w:eastAsia="Times New Roman"/>
                <w:szCs w:val="24"/>
                <w:lang w:eastAsia="en-US"/>
              </w:rPr>
            </w:pPr>
            <w:r w:rsidRPr="002412BA">
              <w:rPr>
                <w:rFonts w:eastAsia="Times New Roman"/>
                <w:szCs w:val="24"/>
                <w:lang w:eastAsia="en-US"/>
              </w:rPr>
              <w:t>Contratos de servicios de publicidad</w:t>
            </w:r>
          </w:p>
        </w:tc>
        <w:tc>
          <w:tcPr>
            <w:tcW w:w="3762"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Ley Núm. 340-06 sobre Compras y Contrataciones de Bienes, Servicios, Obras y Concesiones, y su Reglamento de aplicación Decreto Núm. 543-12</w:t>
            </w:r>
          </w:p>
        </w:tc>
      </w:tr>
    </w:tbl>
    <w:p w:rsidR="002412BA" w:rsidRPr="002412BA" w:rsidRDefault="002412BA" w:rsidP="002412BA">
      <w:pPr>
        <w:spacing w:after="0" w:line="360" w:lineRule="auto"/>
        <w:rPr>
          <w:rFonts w:eastAsia="Times New Roman"/>
          <w:sz w:val="20"/>
          <w:szCs w:val="24"/>
          <w:lang w:eastAsia="en-US"/>
        </w:rPr>
      </w:pPr>
      <w:r w:rsidRPr="002412BA">
        <w:rPr>
          <w:rFonts w:eastAsia="Times New Roman"/>
          <w:b/>
          <w:sz w:val="20"/>
          <w:szCs w:val="24"/>
          <w:lang w:eastAsia="en-US"/>
        </w:rPr>
        <w:t>Fuente:</w:t>
      </w:r>
      <w:r w:rsidRPr="002412BA">
        <w:rPr>
          <w:rFonts w:eastAsia="Times New Roman"/>
          <w:b/>
          <w:i/>
          <w:sz w:val="20"/>
          <w:szCs w:val="24"/>
          <w:lang w:eastAsia="en-US"/>
        </w:rPr>
        <w:t xml:space="preserve"> </w:t>
      </w:r>
      <w:r w:rsidR="004E29BA">
        <w:rPr>
          <w:rFonts w:eastAsia="Times New Roman"/>
          <w:sz w:val="20"/>
          <w:szCs w:val="24"/>
          <w:lang w:eastAsia="en-US"/>
        </w:rPr>
        <w:t>Matriz Seguimiento de Casos de</w:t>
      </w:r>
      <w:r w:rsidRPr="002412BA">
        <w:rPr>
          <w:rFonts w:eastAsia="Times New Roman"/>
          <w:sz w:val="20"/>
          <w:szCs w:val="24"/>
          <w:lang w:eastAsia="en-US"/>
        </w:rPr>
        <w:t xml:space="preserve"> la Gerencia de Contratos </w:t>
      </w:r>
    </w:p>
    <w:p w:rsidR="002412BA" w:rsidRPr="002412BA" w:rsidRDefault="002412BA" w:rsidP="002412BA">
      <w:pPr>
        <w:spacing w:after="0" w:line="360" w:lineRule="auto"/>
        <w:rPr>
          <w:rFonts w:eastAsia="Times New Roman"/>
          <w:b/>
          <w:i/>
          <w:color w:val="auto"/>
          <w:szCs w:val="24"/>
          <w:lang w:eastAsia="en-US"/>
        </w:rPr>
      </w:pPr>
    </w:p>
    <w:p w:rsidR="002412BA" w:rsidRPr="002412BA" w:rsidRDefault="002412BA" w:rsidP="002412BA">
      <w:pPr>
        <w:spacing w:after="0" w:line="360" w:lineRule="auto"/>
        <w:rPr>
          <w:rFonts w:eastAsia="Times New Roman"/>
          <w:b/>
          <w:i/>
          <w:szCs w:val="24"/>
          <w:lang w:eastAsia="en-US"/>
        </w:rPr>
      </w:pPr>
      <w:r w:rsidRPr="002412BA">
        <w:rPr>
          <w:rFonts w:eastAsia="Times New Roman"/>
          <w:szCs w:val="24"/>
          <w:lang w:eastAsia="en-US"/>
        </w:rPr>
        <w:t>De igual forma, sobre los trabajos encaminados a regularizar la titularidad de los inmuebles propiedad del INDOTEL, hemos obtenido en el presente año 3 certificados de título de los inmuebles propiedad de la institución.</w:t>
      </w:r>
    </w:p>
    <w:p w:rsidR="002412BA" w:rsidRPr="002412BA" w:rsidRDefault="002412BA" w:rsidP="002412BA">
      <w:pPr>
        <w:spacing w:after="0" w:line="360" w:lineRule="auto"/>
        <w:rPr>
          <w:rFonts w:eastAsia="Times New Roman"/>
          <w:b/>
          <w:i/>
          <w:szCs w:val="24"/>
          <w:lang w:eastAsia="en-US"/>
        </w:rPr>
      </w:pPr>
    </w:p>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 xml:space="preserve">Como parte de la ejecución de las actividades legales que conllevan los procesos de contratación pública realizados por el INDOTEL, se generan diferentes </w:t>
      </w:r>
      <w:r w:rsidRPr="002412BA">
        <w:rPr>
          <w:rFonts w:eastAsia="Times New Roman"/>
          <w:szCs w:val="24"/>
          <w:lang w:eastAsia="en-US"/>
        </w:rPr>
        <w:lastRenderedPageBreak/>
        <w:t>documentos, tales como Dictámenes Jurídicos, Informes, Resoluciones del Comité de Compras y Contrataciones, entre otros:</w:t>
      </w:r>
    </w:p>
    <w:p w:rsidR="002412BA" w:rsidRPr="002412BA" w:rsidRDefault="002412BA" w:rsidP="002412BA">
      <w:pPr>
        <w:spacing w:after="0" w:line="360" w:lineRule="auto"/>
        <w:rPr>
          <w:rFonts w:eastAsia="Times New Roman"/>
          <w:color w:val="000000"/>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892"/>
        <w:gridCol w:w="3490"/>
      </w:tblGrid>
      <w:tr w:rsidR="00676AE8" w:rsidRPr="002412BA" w:rsidTr="0063671D">
        <w:trPr>
          <w:jc w:val="center"/>
        </w:trPr>
        <w:tc>
          <w:tcPr>
            <w:tcW w:w="7912" w:type="dxa"/>
            <w:gridSpan w:val="3"/>
            <w:tcBorders>
              <w:top w:val="single" w:sz="2" w:space="0" w:color="000000"/>
            </w:tcBorders>
            <w:shd w:val="clear" w:color="auto" w:fill="003876"/>
            <w:vAlign w:val="center"/>
          </w:tcPr>
          <w:p w:rsidR="00676AE8" w:rsidRPr="002412BA" w:rsidRDefault="00676AE8" w:rsidP="00CE6D1D">
            <w:pPr>
              <w:spacing w:after="0" w:line="360" w:lineRule="auto"/>
              <w:jc w:val="center"/>
              <w:rPr>
                <w:rFonts w:eastAsia="Times New Roman"/>
                <w:b/>
                <w:color w:val="auto"/>
                <w:szCs w:val="24"/>
                <w:lang w:eastAsia="en-US"/>
              </w:rPr>
            </w:pPr>
            <w:r w:rsidRPr="002412BA">
              <w:rPr>
                <w:rFonts w:eastAsia="Times New Roman"/>
                <w:b/>
                <w:color w:val="auto"/>
                <w:szCs w:val="24"/>
                <w:lang w:eastAsia="en-US"/>
              </w:rPr>
              <w:t>Procesos de Contratación Pública</w:t>
            </w:r>
          </w:p>
          <w:p w:rsidR="00676AE8" w:rsidRPr="002412BA" w:rsidRDefault="00676AE8" w:rsidP="00CE6D1D">
            <w:pPr>
              <w:spacing w:after="0" w:line="360" w:lineRule="auto"/>
              <w:jc w:val="center"/>
              <w:rPr>
                <w:rFonts w:eastAsia="Times New Roman"/>
                <w:b/>
                <w:color w:val="auto"/>
                <w:szCs w:val="24"/>
                <w:lang w:eastAsia="en-US"/>
              </w:rPr>
            </w:pPr>
            <w:r w:rsidRPr="002412BA">
              <w:rPr>
                <w:rFonts w:eastAsia="Times New Roman"/>
                <w:b/>
                <w:color w:val="auto"/>
                <w:szCs w:val="24"/>
                <w:lang w:eastAsia="en-US"/>
              </w:rPr>
              <w:t>Enero - Noviembre de 2021</w:t>
            </w:r>
          </w:p>
        </w:tc>
      </w:tr>
      <w:tr w:rsidR="002412BA" w:rsidRPr="002412BA" w:rsidTr="0063671D">
        <w:trPr>
          <w:jc w:val="center"/>
        </w:trPr>
        <w:tc>
          <w:tcPr>
            <w:tcW w:w="1530" w:type="dxa"/>
            <w:tcBorders>
              <w:top w:val="single" w:sz="2" w:space="0" w:color="000000"/>
            </w:tcBorders>
            <w:shd w:val="clear" w:color="auto" w:fill="003876"/>
            <w:vAlign w:val="center"/>
          </w:tcPr>
          <w:p w:rsidR="002412BA" w:rsidRPr="002412BA" w:rsidRDefault="002412BA" w:rsidP="00676AE8">
            <w:pPr>
              <w:spacing w:after="0" w:line="360" w:lineRule="auto"/>
              <w:jc w:val="center"/>
              <w:rPr>
                <w:rFonts w:eastAsia="Times New Roman"/>
                <w:b/>
                <w:color w:val="auto"/>
                <w:szCs w:val="24"/>
                <w:lang w:eastAsia="en-US"/>
              </w:rPr>
            </w:pPr>
            <w:r w:rsidRPr="002412BA">
              <w:rPr>
                <w:rFonts w:eastAsia="Times New Roman"/>
                <w:b/>
                <w:color w:val="auto"/>
                <w:szCs w:val="24"/>
                <w:lang w:eastAsia="en-US"/>
              </w:rPr>
              <w:t>Cantidad</w:t>
            </w:r>
          </w:p>
        </w:tc>
        <w:tc>
          <w:tcPr>
            <w:tcW w:w="2892" w:type="dxa"/>
            <w:tcBorders>
              <w:top w:val="single" w:sz="2" w:space="0" w:color="000000"/>
            </w:tcBorders>
            <w:shd w:val="clear" w:color="auto" w:fill="003876"/>
            <w:vAlign w:val="center"/>
          </w:tcPr>
          <w:p w:rsidR="002412BA" w:rsidRPr="002412BA" w:rsidRDefault="002412BA" w:rsidP="00676AE8">
            <w:pPr>
              <w:spacing w:after="0" w:line="360" w:lineRule="auto"/>
              <w:ind w:right="-107"/>
              <w:jc w:val="center"/>
              <w:rPr>
                <w:rFonts w:eastAsia="Times New Roman"/>
                <w:b/>
                <w:color w:val="auto"/>
                <w:szCs w:val="24"/>
                <w:lang w:eastAsia="en-US"/>
              </w:rPr>
            </w:pPr>
            <w:r w:rsidRPr="002412BA">
              <w:rPr>
                <w:rFonts w:eastAsia="Times New Roman"/>
                <w:b/>
                <w:color w:val="auto"/>
                <w:szCs w:val="24"/>
                <w:lang w:eastAsia="en-US"/>
              </w:rPr>
              <w:t>Documento</w:t>
            </w:r>
          </w:p>
        </w:tc>
        <w:tc>
          <w:tcPr>
            <w:tcW w:w="3490" w:type="dxa"/>
            <w:tcBorders>
              <w:top w:val="single" w:sz="2" w:space="0" w:color="000000"/>
            </w:tcBorders>
            <w:shd w:val="clear" w:color="auto" w:fill="003876"/>
            <w:vAlign w:val="center"/>
          </w:tcPr>
          <w:p w:rsidR="002412BA" w:rsidRPr="002412BA" w:rsidRDefault="002412BA" w:rsidP="00676AE8">
            <w:pPr>
              <w:spacing w:after="0" w:line="360" w:lineRule="auto"/>
              <w:jc w:val="center"/>
              <w:rPr>
                <w:rFonts w:eastAsia="Times New Roman"/>
                <w:b/>
                <w:color w:val="auto"/>
                <w:szCs w:val="24"/>
                <w:lang w:eastAsia="en-US"/>
              </w:rPr>
            </w:pPr>
            <w:r w:rsidRPr="002412BA">
              <w:rPr>
                <w:rFonts w:eastAsia="Times New Roman"/>
                <w:b/>
                <w:color w:val="auto"/>
                <w:szCs w:val="24"/>
                <w:lang w:eastAsia="en-US"/>
              </w:rPr>
              <w:t>Base Legal</w:t>
            </w:r>
          </w:p>
        </w:tc>
      </w:tr>
      <w:tr w:rsidR="002412BA" w:rsidRPr="002412BA" w:rsidTr="00676AE8">
        <w:trPr>
          <w:jc w:val="center"/>
        </w:trPr>
        <w:tc>
          <w:tcPr>
            <w:tcW w:w="1530" w:type="dxa"/>
            <w:shd w:val="clear" w:color="auto" w:fill="auto"/>
          </w:tcPr>
          <w:p w:rsidR="002412BA" w:rsidRPr="002412BA" w:rsidRDefault="002412BA" w:rsidP="002412BA">
            <w:pPr>
              <w:spacing w:after="0" w:line="360" w:lineRule="auto"/>
              <w:jc w:val="center"/>
              <w:rPr>
                <w:rFonts w:eastAsia="Times New Roman"/>
                <w:szCs w:val="24"/>
                <w:lang w:eastAsia="en-US"/>
              </w:rPr>
            </w:pPr>
            <w:r w:rsidRPr="002412BA">
              <w:rPr>
                <w:rFonts w:eastAsia="Times New Roman"/>
                <w:szCs w:val="24"/>
                <w:lang w:eastAsia="en-US"/>
              </w:rPr>
              <w:t>10</w:t>
            </w:r>
          </w:p>
        </w:tc>
        <w:tc>
          <w:tcPr>
            <w:tcW w:w="2892" w:type="dxa"/>
            <w:shd w:val="clear" w:color="auto" w:fill="auto"/>
          </w:tcPr>
          <w:p w:rsidR="002412BA" w:rsidRPr="002412BA" w:rsidRDefault="002412BA" w:rsidP="002412BA">
            <w:pPr>
              <w:spacing w:after="0" w:line="360" w:lineRule="auto"/>
              <w:jc w:val="left"/>
              <w:rPr>
                <w:rFonts w:eastAsia="Times New Roman"/>
                <w:szCs w:val="24"/>
                <w:lang w:eastAsia="en-US"/>
              </w:rPr>
            </w:pPr>
            <w:r w:rsidRPr="002412BA">
              <w:rPr>
                <w:rFonts w:eastAsia="Times New Roman"/>
                <w:szCs w:val="24"/>
                <w:lang w:eastAsia="en-US"/>
              </w:rPr>
              <w:t>Dictámenes Jurídicos</w:t>
            </w:r>
          </w:p>
        </w:tc>
        <w:tc>
          <w:tcPr>
            <w:tcW w:w="3490"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Ley Núm. 340-06 sobre Compras y Contrataciones de Bienes, Servicios, Obras y Concesiones, y su Reglamento de aplicación Decreto Núm. 543-12</w:t>
            </w:r>
          </w:p>
        </w:tc>
      </w:tr>
      <w:tr w:rsidR="002412BA" w:rsidRPr="002412BA" w:rsidTr="00676AE8">
        <w:trPr>
          <w:trHeight w:val="1756"/>
          <w:jc w:val="center"/>
        </w:trPr>
        <w:tc>
          <w:tcPr>
            <w:tcW w:w="1530" w:type="dxa"/>
            <w:shd w:val="clear" w:color="auto" w:fill="auto"/>
          </w:tcPr>
          <w:p w:rsidR="002412BA" w:rsidRPr="002412BA" w:rsidRDefault="002412BA" w:rsidP="002412BA">
            <w:pPr>
              <w:spacing w:after="0" w:line="360" w:lineRule="auto"/>
              <w:jc w:val="center"/>
              <w:rPr>
                <w:rFonts w:eastAsia="Times New Roman"/>
                <w:szCs w:val="24"/>
                <w:lang w:eastAsia="en-US"/>
              </w:rPr>
            </w:pPr>
            <w:r w:rsidRPr="002412BA">
              <w:rPr>
                <w:rFonts w:eastAsia="Times New Roman"/>
                <w:szCs w:val="24"/>
                <w:lang w:eastAsia="en-US"/>
              </w:rPr>
              <w:t>65</w:t>
            </w:r>
          </w:p>
        </w:tc>
        <w:tc>
          <w:tcPr>
            <w:tcW w:w="2892"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Resoluciones emitidas por el Comité de Compras y Contrataciones del INDOTEL</w:t>
            </w:r>
          </w:p>
        </w:tc>
        <w:tc>
          <w:tcPr>
            <w:tcW w:w="3490" w:type="dxa"/>
            <w:shd w:val="clear" w:color="auto" w:fill="auto"/>
          </w:tcPr>
          <w:p w:rsidR="002412BA" w:rsidRPr="002412BA" w:rsidRDefault="002412BA" w:rsidP="002412BA">
            <w:pPr>
              <w:spacing w:after="0" w:line="360" w:lineRule="auto"/>
              <w:rPr>
                <w:rFonts w:eastAsia="Times New Roman"/>
                <w:szCs w:val="24"/>
                <w:lang w:eastAsia="en-US"/>
              </w:rPr>
            </w:pPr>
            <w:r w:rsidRPr="002412BA">
              <w:rPr>
                <w:rFonts w:eastAsia="Times New Roman"/>
                <w:szCs w:val="24"/>
                <w:lang w:eastAsia="en-US"/>
              </w:rPr>
              <w:t>Ley Núm.</w:t>
            </w:r>
            <w:r w:rsidR="002B2CBD">
              <w:rPr>
                <w:rFonts w:eastAsia="Times New Roman"/>
                <w:szCs w:val="24"/>
                <w:lang w:eastAsia="en-US"/>
              </w:rPr>
              <w:t xml:space="preserve"> </w:t>
            </w:r>
            <w:r w:rsidRPr="002412BA">
              <w:rPr>
                <w:rFonts w:eastAsia="Times New Roman"/>
                <w:szCs w:val="24"/>
                <w:lang w:eastAsia="en-US"/>
              </w:rPr>
              <w:t>340-06 sobre Compras y Contrataciones de Bienes Servicios, Obras y Concesiones, y su Reglamento de aplicación Decreto Núm. 543-12</w:t>
            </w:r>
          </w:p>
        </w:tc>
      </w:tr>
    </w:tbl>
    <w:p w:rsidR="002412BA" w:rsidRDefault="002412BA" w:rsidP="002412BA">
      <w:pPr>
        <w:spacing w:after="0" w:line="360" w:lineRule="auto"/>
        <w:rPr>
          <w:rFonts w:eastAsia="Times New Roman"/>
          <w:sz w:val="20"/>
          <w:szCs w:val="24"/>
          <w:lang w:eastAsia="en-US"/>
        </w:rPr>
      </w:pPr>
      <w:r w:rsidRPr="002412BA">
        <w:rPr>
          <w:rFonts w:eastAsia="Times New Roman"/>
          <w:b/>
          <w:sz w:val="20"/>
          <w:szCs w:val="24"/>
          <w:lang w:eastAsia="en-US"/>
        </w:rPr>
        <w:t>Fuente:</w:t>
      </w:r>
      <w:r w:rsidRPr="002412BA">
        <w:rPr>
          <w:rFonts w:eastAsia="Times New Roman"/>
          <w:b/>
          <w:i/>
          <w:sz w:val="20"/>
          <w:szCs w:val="24"/>
          <w:lang w:eastAsia="en-US"/>
        </w:rPr>
        <w:t xml:space="preserve"> </w:t>
      </w:r>
      <w:r w:rsidRPr="002412BA">
        <w:rPr>
          <w:rFonts w:eastAsia="Times New Roman"/>
          <w:sz w:val="20"/>
          <w:szCs w:val="24"/>
          <w:lang w:eastAsia="en-US"/>
        </w:rPr>
        <w:t xml:space="preserve">Matriz de Seguimiento de Casos de la Gerencia de Contratos </w:t>
      </w: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sz w:val="20"/>
          <w:szCs w:val="24"/>
          <w:lang w:eastAsia="en-US"/>
        </w:rPr>
      </w:pPr>
    </w:p>
    <w:p w:rsidR="002412BA" w:rsidRDefault="002412BA" w:rsidP="002412BA">
      <w:pPr>
        <w:spacing w:after="0" w:line="360" w:lineRule="auto"/>
        <w:rPr>
          <w:rFonts w:eastAsia="Times New Roman"/>
          <w:b/>
          <w:i/>
          <w:sz w:val="20"/>
          <w:szCs w:val="24"/>
          <w:lang w:eastAsia="en-US"/>
        </w:rPr>
      </w:pPr>
    </w:p>
    <w:p w:rsidR="00391748" w:rsidRDefault="00391748" w:rsidP="002412BA">
      <w:pPr>
        <w:spacing w:after="0" w:line="360" w:lineRule="auto"/>
        <w:rPr>
          <w:rFonts w:eastAsia="Times New Roman"/>
          <w:b/>
          <w:i/>
          <w:sz w:val="20"/>
          <w:szCs w:val="24"/>
          <w:lang w:eastAsia="en-US"/>
        </w:rPr>
      </w:pPr>
    </w:p>
    <w:p w:rsidR="00C96273" w:rsidRPr="00162885" w:rsidRDefault="0088011B" w:rsidP="00C96273">
      <w:pPr>
        <w:pStyle w:val="Ttulo3"/>
        <w:rPr>
          <w:szCs w:val="28"/>
        </w:rPr>
      </w:pPr>
      <w:bookmarkStart w:id="69" w:name="_Toc90936655"/>
      <w:r w:rsidRPr="00162885">
        <w:rPr>
          <w:szCs w:val="28"/>
        </w:rPr>
        <w:lastRenderedPageBreak/>
        <w:t>Desempeño de la Tecnología</w:t>
      </w:r>
      <w:bookmarkEnd w:id="69"/>
    </w:p>
    <w:p w:rsidR="00D3090E" w:rsidRPr="00162885" w:rsidRDefault="00D3090E" w:rsidP="00C96273">
      <w:pPr>
        <w:pStyle w:val="Sinespaciado"/>
        <w:rPr>
          <w:color w:val="767171"/>
        </w:rPr>
      </w:pPr>
    </w:p>
    <w:p w:rsidR="00FA64D8" w:rsidRPr="00FA64D8" w:rsidRDefault="00FA64D8" w:rsidP="00FA64D8">
      <w:pPr>
        <w:spacing w:after="0" w:line="360" w:lineRule="auto"/>
        <w:rPr>
          <w:rFonts w:eastAsia="Times New Roman"/>
          <w:szCs w:val="24"/>
        </w:rPr>
      </w:pPr>
      <w:r w:rsidRPr="00FA64D8">
        <w:rPr>
          <w:rFonts w:eastAsia="Times New Roman"/>
          <w:szCs w:val="24"/>
        </w:rPr>
        <w:t xml:space="preserve">El INDOTEL en busca de mejorar y fortalecer su infraestructura tecnológica, ha realizado varias actualizaciones tanto en equipos, software así como en políticas internas. Entre estas podemos mencionar las siguientes: </w:t>
      </w:r>
    </w:p>
    <w:p w:rsidR="00FA64D8" w:rsidRPr="00FA64D8" w:rsidRDefault="00FA64D8" w:rsidP="00FA64D8">
      <w:pPr>
        <w:spacing w:after="0" w:line="360" w:lineRule="auto"/>
        <w:rPr>
          <w:rFonts w:eastAsia="Times New Roman"/>
          <w:szCs w:val="24"/>
        </w:rPr>
      </w:pPr>
    </w:p>
    <w:p w:rsidR="00FA64D8" w:rsidRPr="00FA64D8" w:rsidRDefault="00FA64D8" w:rsidP="00FA64D8">
      <w:pPr>
        <w:spacing w:after="0" w:line="360" w:lineRule="auto"/>
        <w:rPr>
          <w:rFonts w:eastAsia="Times New Roman"/>
          <w:b/>
          <w:bCs/>
          <w:szCs w:val="24"/>
        </w:rPr>
      </w:pPr>
      <w:r w:rsidRPr="00FA64D8">
        <w:rPr>
          <w:bCs/>
          <w:szCs w:val="24"/>
        </w:rPr>
        <w:tab/>
      </w:r>
      <w:r w:rsidR="00162885" w:rsidRPr="00FA64D8">
        <w:rPr>
          <w:rFonts w:eastAsia="Times New Roman"/>
          <w:b/>
          <w:bCs/>
          <w:szCs w:val="24"/>
        </w:rPr>
        <w:t xml:space="preserve">Redes e </w:t>
      </w:r>
      <w:r w:rsidR="007F0B79">
        <w:rPr>
          <w:rFonts w:eastAsia="Times New Roman"/>
          <w:b/>
          <w:bCs/>
          <w:szCs w:val="24"/>
        </w:rPr>
        <w:t>I</w:t>
      </w:r>
      <w:r w:rsidR="00162885" w:rsidRPr="00FA64D8">
        <w:rPr>
          <w:rFonts w:eastAsia="Times New Roman"/>
          <w:b/>
          <w:bCs/>
          <w:szCs w:val="24"/>
        </w:rPr>
        <w:t>nfraestructura</w:t>
      </w:r>
    </w:p>
    <w:p w:rsidR="00FA64D8" w:rsidRPr="00FA64D8" w:rsidRDefault="00FA64D8" w:rsidP="00A17C7C">
      <w:pPr>
        <w:numPr>
          <w:ilvl w:val="0"/>
          <w:numId w:val="15"/>
        </w:numPr>
        <w:spacing w:after="200" w:line="360" w:lineRule="auto"/>
        <w:contextualSpacing/>
        <w:jc w:val="left"/>
        <w:rPr>
          <w:rFonts w:eastAsia="Times New Roman"/>
          <w:szCs w:val="24"/>
        </w:rPr>
      </w:pPr>
      <w:r w:rsidRPr="00FA64D8">
        <w:rPr>
          <w:rFonts w:eastAsia="Times New Roman"/>
          <w:szCs w:val="24"/>
        </w:rPr>
        <w:t xml:space="preserve">Mejoras en los sistemas y equipos de seguridad perimetral que se traducen en un aumento de seguridad informática contra ataques maliciosos de manera interna o externa. </w:t>
      </w:r>
    </w:p>
    <w:p w:rsidR="00FA64D8" w:rsidRPr="00FA64D8" w:rsidRDefault="00FA64D8" w:rsidP="00A70D70">
      <w:pPr>
        <w:numPr>
          <w:ilvl w:val="0"/>
          <w:numId w:val="15"/>
        </w:numPr>
        <w:spacing w:after="200" w:line="360" w:lineRule="auto"/>
        <w:contextualSpacing/>
        <w:jc w:val="left"/>
        <w:rPr>
          <w:rFonts w:eastAsia="Times New Roman"/>
          <w:szCs w:val="24"/>
        </w:rPr>
      </w:pPr>
      <w:r w:rsidRPr="00FA64D8">
        <w:rPr>
          <w:rFonts w:eastAsia="Times New Roman"/>
          <w:szCs w:val="24"/>
        </w:rPr>
        <w:t>Actualización de las políticas de control y acceso de los sistemas.</w:t>
      </w:r>
    </w:p>
    <w:p w:rsidR="00FA64D8" w:rsidRPr="00FA64D8" w:rsidRDefault="00FA64D8" w:rsidP="00A70D70">
      <w:pPr>
        <w:numPr>
          <w:ilvl w:val="0"/>
          <w:numId w:val="15"/>
        </w:numPr>
        <w:spacing w:after="200" w:line="360" w:lineRule="auto"/>
        <w:contextualSpacing/>
        <w:jc w:val="left"/>
        <w:rPr>
          <w:rFonts w:eastAsia="Times New Roman"/>
          <w:szCs w:val="24"/>
        </w:rPr>
      </w:pPr>
      <w:r w:rsidRPr="00FA64D8">
        <w:rPr>
          <w:rFonts w:eastAsia="Times New Roman"/>
          <w:szCs w:val="24"/>
        </w:rPr>
        <w:t xml:space="preserve">Adquisición de nuevos equipos de seguridad (Firewall) y software de monitoreo de redes e infraestructura. </w:t>
      </w:r>
    </w:p>
    <w:p w:rsidR="00FA64D8" w:rsidRPr="00FA64D8" w:rsidRDefault="00FA64D8" w:rsidP="00A70D70">
      <w:pPr>
        <w:numPr>
          <w:ilvl w:val="0"/>
          <w:numId w:val="15"/>
        </w:numPr>
        <w:spacing w:after="200" w:line="360" w:lineRule="auto"/>
        <w:contextualSpacing/>
        <w:jc w:val="left"/>
        <w:rPr>
          <w:rFonts w:eastAsia="Times New Roman"/>
          <w:szCs w:val="24"/>
        </w:rPr>
      </w:pPr>
      <w:r w:rsidRPr="00FA64D8">
        <w:rPr>
          <w:rFonts w:eastAsia="Times New Roman"/>
          <w:szCs w:val="24"/>
        </w:rPr>
        <w:t>Implementación de nuevas políticas y medidas de seguridad para los equipos de redes que se usan en sitios remotos supervisados por el INDOTEL para el monitoreo del espectro radioeléctrico.</w:t>
      </w:r>
    </w:p>
    <w:p w:rsidR="00A70D70" w:rsidRDefault="00FA64D8" w:rsidP="00A70D70">
      <w:pPr>
        <w:numPr>
          <w:ilvl w:val="0"/>
          <w:numId w:val="15"/>
        </w:numPr>
        <w:spacing w:after="200" w:line="360" w:lineRule="auto"/>
        <w:contextualSpacing/>
        <w:jc w:val="left"/>
        <w:rPr>
          <w:rFonts w:eastAsia="Times New Roman"/>
          <w:szCs w:val="24"/>
        </w:rPr>
      </w:pPr>
      <w:r w:rsidRPr="00FA64D8">
        <w:rPr>
          <w:rFonts w:eastAsia="Times New Roman"/>
          <w:szCs w:val="24"/>
        </w:rPr>
        <w:t xml:space="preserve">Optimización de servicios en la nube. </w:t>
      </w:r>
      <w:r w:rsidRPr="00162885">
        <w:rPr>
          <w:rFonts w:eastAsia="Times New Roman"/>
          <w:szCs w:val="24"/>
        </w:rPr>
        <w:t xml:space="preserve">El cual se traduce en un ahorro de </w:t>
      </w:r>
      <w:r w:rsidR="00A70D70">
        <w:rPr>
          <w:rFonts w:eastAsia="Times New Roman"/>
          <w:szCs w:val="24"/>
        </w:rPr>
        <w:t xml:space="preserve">  </w:t>
      </w:r>
    </w:p>
    <w:p w:rsidR="00FA64D8" w:rsidRPr="00162885" w:rsidRDefault="00FA64D8" w:rsidP="00A70D70">
      <w:pPr>
        <w:spacing w:after="200" w:line="360" w:lineRule="auto"/>
        <w:ind w:left="720"/>
        <w:contextualSpacing/>
        <w:jc w:val="left"/>
        <w:rPr>
          <w:rFonts w:eastAsia="Times New Roman"/>
          <w:szCs w:val="24"/>
        </w:rPr>
      </w:pPr>
      <w:proofErr w:type="gramStart"/>
      <w:r w:rsidRPr="00162885">
        <w:rPr>
          <w:rFonts w:eastAsia="Times New Roman"/>
          <w:szCs w:val="24"/>
        </w:rPr>
        <w:t>un</w:t>
      </w:r>
      <w:proofErr w:type="gramEnd"/>
      <w:r w:rsidRPr="00162885">
        <w:rPr>
          <w:rFonts w:eastAsia="Times New Roman"/>
          <w:szCs w:val="24"/>
        </w:rPr>
        <w:t xml:space="preserve"> 43.74% mensual de costo por uso de esta infraestructura.</w:t>
      </w:r>
    </w:p>
    <w:p w:rsidR="00FA64D8" w:rsidRPr="00FA64D8" w:rsidRDefault="00FA64D8" w:rsidP="00A17C7C">
      <w:pPr>
        <w:numPr>
          <w:ilvl w:val="0"/>
          <w:numId w:val="15"/>
        </w:numPr>
        <w:spacing w:after="200" w:line="360" w:lineRule="auto"/>
        <w:contextualSpacing/>
        <w:jc w:val="left"/>
        <w:rPr>
          <w:rFonts w:eastAsia="Times New Roman"/>
          <w:szCs w:val="24"/>
        </w:rPr>
      </w:pPr>
      <w:r w:rsidRPr="00FA64D8">
        <w:rPr>
          <w:rFonts w:eastAsia="Times New Roman"/>
          <w:szCs w:val="24"/>
        </w:rPr>
        <w:t>Reestructuración del Data Center del Centro INDOTEL e incremento del nivel de seguridad física con la integración de un sistema de acceso biométrico.</w:t>
      </w:r>
    </w:p>
    <w:p w:rsidR="00FA64D8" w:rsidRPr="00FA64D8" w:rsidRDefault="00FA64D8" w:rsidP="00A17C7C">
      <w:pPr>
        <w:numPr>
          <w:ilvl w:val="0"/>
          <w:numId w:val="15"/>
        </w:numPr>
        <w:spacing w:after="200" w:line="360" w:lineRule="auto"/>
        <w:contextualSpacing/>
        <w:jc w:val="left"/>
        <w:rPr>
          <w:rFonts w:eastAsia="Times New Roman"/>
          <w:szCs w:val="24"/>
        </w:rPr>
      </w:pPr>
      <w:r w:rsidRPr="00FA64D8">
        <w:rPr>
          <w:rFonts w:eastAsia="Times New Roman"/>
          <w:szCs w:val="24"/>
        </w:rPr>
        <w:t xml:space="preserve">Instalación de dos (2) nuevos servidores en el Data Center del Centro INDOTEL. </w:t>
      </w:r>
    </w:p>
    <w:p w:rsidR="00FA64D8" w:rsidRPr="00FA64D8" w:rsidRDefault="00FA64D8" w:rsidP="00A17C7C">
      <w:pPr>
        <w:numPr>
          <w:ilvl w:val="0"/>
          <w:numId w:val="15"/>
        </w:numPr>
        <w:spacing w:after="200" w:line="360" w:lineRule="auto"/>
        <w:contextualSpacing/>
        <w:jc w:val="left"/>
        <w:rPr>
          <w:rFonts w:eastAsia="Times New Roman"/>
          <w:szCs w:val="24"/>
        </w:rPr>
      </w:pPr>
      <w:r w:rsidRPr="00FA64D8">
        <w:rPr>
          <w:rFonts w:eastAsia="Times New Roman"/>
          <w:szCs w:val="24"/>
        </w:rPr>
        <w:t xml:space="preserve">Implementación de </w:t>
      </w:r>
      <w:proofErr w:type="spellStart"/>
      <w:r w:rsidRPr="00FA64D8">
        <w:rPr>
          <w:rFonts w:eastAsia="Times New Roman"/>
          <w:szCs w:val="24"/>
        </w:rPr>
        <w:t>backup</w:t>
      </w:r>
      <w:proofErr w:type="spellEnd"/>
      <w:r w:rsidRPr="00FA64D8">
        <w:rPr>
          <w:rFonts w:eastAsia="Times New Roman"/>
          <w:szCs w:val="24"/>
        </w:rPr>
        <w:t xml:space="preserve"> en el Centro INDOTEL para mayor seguridad y prevención de riesgos.</w:t>
      </w:r>
    </w:p>
    <w:p w:rsidR="00FA64D8" w:rsidRPr="00162885" w:rsidRDefault="00FA64D8" w:rsidP="00FA64D8">
      <w:pPr>
        <w:spacing w:after="200" w:line="360" w:lineRule="auto"/>
        <w:ind w:left="720"/>
        <w:contextualSpacing/>
        <w:rPr>
          <w:rFonts w:eastAsia="Times New Roman"/>
          <w:szCs w:val="24"/>
        </w:rPr>
      </w:pPr>
    </w:p>
    <w:p w:rsidR="001245F8" w:rsidRPr="00162885" w:rsidRDefault="001245F8" w:rsidP="00FA64D8">
      <w:pPr>
        <w:spacing w:after="200" w:line="360" w:lineRule="auto"/>
        <w:ind w:left="720"/>
        <w:contextualSpacing/>
        <w:rPr>
          <w:rFonts w:eastAsia="Times New Roman"/>
          <w:szCs w:val="24"/>
        </w:rPr>
      </w:pPr>
    </w:p>
    <w:p w:rsidR="001245F8" w:rsidRPr="00162885" w:rsidRDefault="001245F8" w:rsidP="00FA64D8">
      <w:pPr>
        <w:spacing w:after="200" w:line="360" w:lineRule="auto"/>
        <w:ind w:left="720"/>
        <w:contextualSpacing/>
        <w:rPr>
          <w:rFonts w:eastAsia="Times New Roman"/>
          <w:szCs w:val="24"/>
        </w:rPr>
      </w:pPr>
    </w:p>
    <w:p w:rsidR="001245F8" w:rsidRPr="00FA64D8" w:rsidRDefault="001245F8" w:rsidP="00FA64D8">
      <w:pPr>
        <w:spacing w:after="200" w:line="360" w:lineRule="auto"/>
        <w:ind w:left="720"/>
        <w:contextualSpacing/>
        <w:rPr>
          <w:rFonts w:eastAsia="Times New Roman"/>
          <w:szCs w:val="24"/>
        </w:rPr>
      </w:pP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lastRenderedPageBreak/>
        <w:t>Ejecución de Proyectos</w:t>
      </w: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t>Proyecto La Merced</w:t>
      </w:r>
    </w:p>
    <w:p w:rsidR="00FA64D8" w:rsidRPr="00FA64D8" w:rsidRDefault="00FA64D8" w:rsidP="00FA64D8">
      <w:pPr>
        <w:spacing w:line="360" w:lineRule="auto"/>
        <w:rPr>
          <w:rFonts w:eastAsia="Times New Roman"/>
          <w:szCs w:val="24"/>
          <w:lang w:eastAsia="en-US"/>
        </w:rPr>
      </w:pPr>
      <w:r w:rsidRPr="00FA64D8">
        <w:rPr>
          <w:rFonts w:eastAsia="Times New Roman"/>
          <w:szCs w:val="24"/>
          <w:lang w:eastAsia="en-US"/>
        </w:rPr>
        <w:t>Coordinación y supervisión de la implementación del proyecto de Redes de datos, el cual incluyó tres localidades, en las que se habilitaron tanto las redes alámbricas como inalámbricas.</w:t>
      </w: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t>Proyecto Fortaleza Pedro Santana</w:t>
      </w:r>
    </w:p>
    <w:p w:rsidR="00FA64D8" w:rsidRPr="00FA64D8" w:rsidRDefault="00FA64D8" w:rsidP="00FA64D8">
      <w:pPr>
        <w:spacing w:line="360" w:lineRule="auto"/>
        <w:rPr>
          <w:rFonts w:eastAsia="Times New Roman"/>
          <w:szCs w:val="24"/>
          <w:lang w:eastAsia="en-US"/>
        </w:rPr>
      </w:pPr>
      <w:r w:rsidRPr="00FA64D8">
        <w:rPr>
          <w:rFonts w:eastAsia="Times New Roman"/>
          <w:szCs w:val="24"/>
          <w:lang w:eastAsia="en-US"/>
        </w:rPr>
        <w:t>Instalación e implementación del Proyecto de Red de Datos, Dominicana Conectada, habilitando el acceso a internet en el parque localizado frente a la fortaleza, con el cual se lleva acceso a internet a más de mil quinientos usuarios concurrentes. También se implementó un sistema de Central Telefónica IP para el servicio interno de la Fortaleza Pedro Santana:</w:t>
      </w: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t xml:space="preserve">Proyecto Nueva Red </w:t>
      </w:r>
      <w:proofErr w:type="spellStart"/>
      <w:r w:rsidRPr="00FA64D8">
        <w:rPr>
          <w:rFonts w:eastAsia="Times New Roman"/>
          <w:b/>
          <w:bCs/>
          <w:szCs w:val="24"/>
          <w:lang w:eastAsia="en-US"/>
        </w:rPr>
        <w:t>Wi</w:t>
      </w:r>
      <w:proofErr w:type="spellEnd"/>
      <w:r w:rsidR="005B1981">
        <w:rPr>
          <w:rFonts w:eastAsia="Times New Roman"/>
          <w:b/>
          <w:bCs/>
          <w:szCs w:val="24"/>
          <w:lang w:eastAsia="en-US"/>
        </w:rPr>
        <w:t>-</w:t>
      </w:r>
      <w:r w:rsidRPr="00FA64D8">
        <w:rPr>
          <w:rFonts w:eastAsia="Times New Roman"/>
          <w:b/>
          <w:bCs/>
          <w:szCs w:val="24"/>
          <w:lang w:eastAsia="en-US"/>
        </w:rPr>
        <w:t>Fi del INDOTEL</w:t>
      </w:r>
    </w:p>
    <w:p w:rsidR="00FA64D8" w:rsidRPr="00FA64D8" w:rsidRDefault="00FA64D8" w:rsidP="00FA64D8">
      <w:pPr>
        <w:spacing w:line="360" w:lineRule="auto"/>
        <w:rPr>
          <w:rFonts w:eastAsia="Times New Roman"/>
          <w:szCs w:val="24"/>
          <w:lang w:eastAsia="en-US"/>
        </w:rPr>
      </w:pPr>
      <w:r w:rsidRPr="00FA64D8">
        <w:rPr>
          <w:rFonts w:eastAsia="Times New Roman"/>
          <w:szCs w:val="24"/>
          <w:lang w:eastAsia="en-US"/>
        </w:rPr>
        <w:t xml:space="preserve">Reestructuración  y optimización de la red </w:t>
      </w:r>
      <w:proofErr w:type="spellStart"/>
      <w:r w:rsidRPr="00FA64D8">
        <w:rPr>
          <w:rFonts w:eastAsia="Times New Roman"/>
          <w:szCs w:val="24"/>
          <w:lang w:eastAsia="en-US"/>
        </w:rPr>
        <w:t>Wi</w:t>
      </w:r>
      <w:proofErr w:type="spellEnd"/>
      <w:r w:rsidR="005B1981">
        <w:rPr>
          <w:rFonts w:eastAsia="Times New Roman"/>
          <w:szCs w:val="24"/>
          <w:lang w:eastAsia="en-US"/>
        </w:rPr>
        <w:t>-</w:t>
      </w:r>
      <w:r w:rsidRPr="00FA64D8">
        <w:rPr>
          <w:rFonts w:eastAsia="Times New Roman"/>
          <w:szCs w:val="24"/>
          <w:lang w:eastAsia="en-US"/>
        </w:rPr>
        <w:t xml:space="preserve">Fi, el cual incluyó la eliminación del </w:t>
      </w:r>
      <w:proofErr w:type="spellStart"/>
      <w:r w:rsidRPr="00FA64D8">
        <w:rPr>
          <w:rFonts w:eastAsia="Times New Roman"/>
          <w:i/>
          <w:iCs/>
          <w:szCs w:val="24"/>
          <w:lang w:eastAsia="en-US"/>
        </w:rPr>
        <w:t>Service</w:t>
      </w:r>
      <w:proofErr w:type="spellEnd"/>
      <w:r w:rsidRPr="00FA64D8">
        <w:rPr>
          <w:rFonts w:eastAsia="Times New Roman"/>
          <w:i/>
          <w:iCs/>
          <w:szCs w:val="24"/>
          <w:lang w:eastAsia="en-US"/>
        </w:rPr>
        <w:t xml:space="preserve"> Set </w:t>
      </w:r>
      <w:proofErr w:type="spellStart"/>
      <w:r w:rsidRPr="00FA64D8">
        <w:rPr>
          <w:rFonts w:eastAsia="Times New Roman"/>
          <w:i/>
          <w:iCs/>
          <w:szCs w:val="24"/>
          <w:lang w:eastAsia="en-US"/>
        </w:rPr>
        <w:t>IDentifier</w:t>
      </w:r>
      <w:proofErr w:type="spellEnd"/>
      <w:r w:rsidRPr="00FA64D8">
        <w:rPr>
          <w:rFonts w:eastAsia="Times New Roman"/>
          <w:szCs w:val="24"/>
          <w:lang w:eastAsia="en-US"/>
        </w:rPr>
        <w:t xml:space="preserve"> (</w:t>
      </w:r>
      <w:proofErr w:type="spellStart"/>
      <w:r w:rsidRPr="00FA64D8">
        <w:rPr>
          <w:rFonts w:eastAsia="Times New Roman"/>
          <w:szCs w:val="24"/>
          <w:lang w:eastAsia="en-US"/>
        </w:rPr>
        <w:t>SSIDs</w:t>
      </w:r>
      <w:proofErr w:type="spellEnd"/>
      <w:r w:rsidRPr="00FA64D8">
        <w:rPr>
          <w:rFonts w:eastAsia="Times New Roman"/>
          <w:szCs w:val="24"/>
          <w:lang w:eastAsia="en-US"/>
        </w:rPr>
        <w:t xml:space="preserve">) y la instalación de nuevas redes. </w:t>
      </w: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t xml:space="preserve">Reestructuración de los Servicios </w:t>
      </w:r>
      <w:proofErr w:type="spellStart"/>
      <w:r w:rsidRPr="00FA64D8">
        <w:rPr>
          <w:rFonts w:eastAsia="Times New Roman"/>
          <w:b/>
          <w:bCs/>
          <w:szCs w:val="24"/>
          <w:lang w:eastAsia="en-US"/>
        </w:rPr>
        <w:t>Azure</w:t>
      </w:r>
      <w:proofErr w:type="spellEnd"/>
    </w:p>
    <w:p w:rsidR="00FA64D8" w:rsidRPr="00FA64D8" w:rsidRDefault="00FA64D8" w:rsidP="00FA64D8">
      <w:pPr>
        <w:spacing w:line="360" w:lineRule="auto"/>
        <w:rPr>
          <w:rFonts w:eastAsia="Times New Roman"/>
          <w:szCs w:val="24"/>
          <w:lang w:eastAsia="en-US"/>
        </w:rPr>
      </w:pPr>
      <w:r w:rsidRPr="00FA64D8">
        <w:rPr>
          <w:rFonts w:eastAsia="Times New Roman"/>
          <w:szCs w:val="24"/>
          <w:lang w:eastAsia="en-US"/>
        </w:rPr>
        <w:t xml:space="preserve">Optimización de los recursos de servicios de nube incluyendo la rescisión de recursos tales como máquinas y discos duros virtuales a igual que la readecuación de los servicios de respaldo de los servidores de la institución. Además, la consolidación de Web </w:t>
      </w:r>
      <w:proofErr w:type="spellStart"/>
      <w:r w:rsidRPr="00FA64D8">
        <w:rPr>
          <w:rFonts w:eastAsia="Times New Roman"/>
          <w:szCs w:val="24"/>
          <w:lang w:eastAsia="en-US"/>
        </w:rPr>
        <w:t>Services</w:t>
      </w:r>
      <w:proofErr w:type="spellEnd"/>
      <w:r w:rsidRPr="00FA64D8">
        <w:rPr>
          <w:rFonts w:eastAsia="Times New Roman"/>
          <w:szCs w:val="24"/>
          <w:lang w:eastAsia="en-US"/>
        </w:rPr>
        <w:t xml:space="preserve">, que permite optimizar el uso, mejorar el control y el consumo de los recursos en la nube. </w:t>
      </w: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t>Implementación de telefonía IP en localidades de monitoreo del espectro</w:t>
      </w:r>
    </w:p>
    <w:p w:rsidR="00FA64D8" w:rsidRPr="00FA64D8" w:rsidRDefault="00FA64D8" w:rsidP="00FA64D8">
      <w:pPr>
        <w:spacing w:line="360" w:lineRule="auto"/>
        <w:rPr>
          <w:rFonts w:eastAsia="Times New Roman"/>
          <w:szCs w:val="24"/>
          <w:lang w:eastAsia="en-US"/>
        </w:rPr>
      </w:pPr>
      <w:r w:rsidRPr="00FA64D8">
        <w:rPr>
          <w:rFonts w:eastAsia="Times New Roman"/>
          <w:szCs w:val="24"/>
          <w:lang w:eastAsia="en-US"/>
        </w:rPr>
        <w:t>Implementación de central telefónica, la cual habilitó la comunicación entre los diferentes sitios remotos de monitoreo del espectro radioeléctrico con el equipo de apoyo técnico de la Dirección del Espectro Radioeléctrico del INDOTEL, los cuales están localizados en la oficina principal.</w:t>
      </w:r>
    </w:p>
    <w:p w:rsidR="00FA64D8" w:rsidRPr="00FA64D8" w:rsidRDefault="007F0B79" w:rsidP="00FA64D8">
      <w:pPr>
        <w:spacing w:line="360" w:lineRule="auto"/>
        <w:rPr>
          <w:rFonts w:eastAsia="Times New Roman"/>
          <w:b/>
          <w:bCs/>
          <w:szCs w:val="24"/>
          <w:lang w:eastAsia="en-US"/>
        </w:rPr>
      </w:pPr>
      <w:r w:rsidRPr="00FA64D8">
        <w:rPr>
          <w:rFonts w:eastAsia="Times New Roman"/>
          <w:b/>
          <w:bCs/>
          <w:szCs w:val="24"/>
          <w:lang w:eastAsia="en-US"/>
        </w:rPr>
        <w:lastRenderedPageBreak/>
        <w:t xml:space="preserve">Soporte y </w:t>
      </w:r>
      <w:r w:rsidR="005B1981">
        <w:rPr>
          <w:rFonts w:eastAsia="Times New Roman"/>
          <w:b/>
          <w:bCs/>
          <w:szCs w:val="24"/>
          <w:lang w:eastAsia="en-US"/>
        </w:rPr>
        <w:t>M</w:t>
      </w:r>
      <w:r w:rsidRPr="00FA64D8">
        <w:rPr>
          <w:rFonts w:eastAsia="Times New Roman"/>
          <w:b/>
          <w:bCs/>
          <w:szCs w:val="24"/>
          <w:lang w:eastAsia="en-US"/>
        </w:rPr>
        <w:t xml:space="preserve">esa de </w:t>
      </w:r>
      <w:r w:rsidR="005B1981">
        <w:rPr>
          <w:rFonts w:eastAsia="Times New Roman"/>
          <w:b/>
          <w:bCs/>
          <w:szCs w:val="24"/>
          <w:lang w:eastAsia="en-US"/>
        </w:rPr>
        <w:t>A</w:t>
      </w:r>
      <w:r w:rsidRPr="00FA64D8">
        <w:rPr>
          <w:rFonts w:eastAsia="Times New Roman"/>
          <w:b/>
          <w:bCs/>
          <w:szCs w:val="24"/>
          <w:lang w:eastAsia="en-US"/>
        </w:rPr>
        <w:t>yuda</w:t>
      </w:r>
    </w:p>
    <w:p w:rsidR="00FA64D8" w:rsidRPr="00FA64D8" w:rsidRDefault="00FA64D8" w:rsidP="00FA64D8">
      <w:pPr>
        <w:spacing w:line="360" w:lineRule="auto"/>
        <w:rPr>
          <w:rFonts w:eastAsia="Times New Roman"/>
          <w:szCs w:val="24"/>
          <w:lang w:eastAsia="en-US"/>
        </w:rPr>
      </w:pPr>
      <w:proofErr w:type="spellStart"/>
      <w:r w:rsidRPr="00FA64D8">
        <w:rPr>
          <w:rFonts w:eastAsia="Times New Roman"/>
          <w:szCs w:val="24"/>
          <w:lang w:eastAsia="en-US"/>
        </w:rPr>
        <w:t>Eficientización</w:t>
      </w:r>
      <w:proofErr w:type="spellEnd"/>
      <w:r w:rsidRPr="00FA64D8">
        <w:rPr>
          <w:rFonts w:eastAsia="Times New Roman"/>
          <w:szCs w:val="24"/>
          <w:lang w:eastAsia="en-US"/>
        </w:rPr>
        <w:t xml:space="preserve"> de los recursos internos de los servicios de las plataformas tecnológicas de acuerdo a los estándares de la industria, la cual incluye:</w:t>
      </w:r>
    </w:p>
    <w:p w:rsidR="00FA64D8" w:rsidRPr="00FA64D8"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Soporte e implementación de Office 365.</w:t>
      </w:r>
    </w:p>
    <w:p w:rsidR="00FA64D8" w:rsidRPr="00FA64D8"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Aumento en el porcentaje de casos resueltos.</w:t>
      </w:r>
    </w:p>
    <w:p w:rsidR="00FA64D8" w:rsidRPr="00FA64D8"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Creación de las políticas de usuario.</w:t>
      </w:r>
    </w:p>
    <w:p w:rsidR="00FA64D8" w:rsidRPr="00FA64D8"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Establecimiento de un número único de contacto para soporte.</w:t>
      </w:r>
    </w:p>
    <w:p w:rsidR="00FA64D8" w:rsidRPr="00FA64D8"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 xml:space="preserve">Optimización del servicio de impresión. </w:t>
      </w:r>
    </w:p>
    <w:p w:rsidR="00FA64D8" w:rsidRPr="00FA64D8"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Cambio de equipos biométricos.</w:t>
      </w:r>
    </w:p>
    <w:p w:rsidR="00FA64D8" w:rsidRPr="00162885" w:rsidRDefault="00FA64D8" w:rsidP="00A17C7C">
      <w:pPr>
        <w:numPr>
          <w:ilvl w:val="0"/>
          <w:numId w:val="26"/>
        </w:numPr>
        <w:spacing w:line="360" w:lineRule="auto"/>
        <w:contextualSpacing/>
        <w:jc w:val="left"/>
        <w:rPr>
          <w:rFonts w:eastAsia="Times New Roman"/>
          <w:szCs w:val="24"/>
          <w:lang w:eastAsia="en-US"/>
        </w:rPr>
      </w:pPr>
      <w:r w:rsidRPr="00FA64D8">
        <w:rPr>
          <w:rFonts w:eastAsia="Times New Roman"/>
          <w:szCs w:val="24"/>
          <w:lang w:eastAsia="en-US"/>
        </w:rPr>
        <w:t>Reemplazo y/o actualización de equipos a los colaboradores para la mejora de su labor.</w:t>
      </w:r>
    </w:p>
    <w:p w:rsidR="00FA64D8" w:rsidRPr="00162885" w:rsidRDefault="00FA64D8" w:rsidP="00FA64D8">
      <w:pPr>
        <w:spacing w:line="360" w:lineRule="auto"/>
        <w:ind w:left="790"/>
        <w:contextualSpacing/>
        <w:jc w:val="left"/>
        <w:rPr>
          <w:rFonts w:eastAsia="Times New Roman"/>
          <w:szCs w:val="24"/>
          <w:lang w:eastAsia="en-US"/>
        </w:rPr>
      </w:pPr>
    </w:p>
    <w:p w:rsidR="00FA64D8" w:rsidRPr="00FA64D8" w:rsidRDefault="00FA64D8" w:rsidP="00FA64D8">
      <w:pPr>
        <w:spacing w:line="360" w:lineRule="auto"/>
        <w:ind w:left="790"/>
        <w:contextualSpacing/>
        <w:jc w:val="left"/>
        <w:rPr>
          <w:rFonts w:eastAsia="Times New Roman"/>
          <w:szCs w:val="24"/>
          <w:lang w:eastAsia="en-US"/>
        </w:rPr>
      </w:pPr>
    </w:p>
    <w:p w:rsidR="00FA64D8" w:rsidRPr="00FA64D8" w:rsidRDefault="00FA64D8" w:rsidP="00FA64D8">
      <w:pPr>
        <w:spacing w:line="360" w:lineRule="auto"/>
        <w:rPr>
          <w:rFonts w:eastAsia="Times New Roman"/>
          <w:b/>
          <w:bCs/>
          <w:szCs w:val="24"/>
          <w:lang w:eastAsia="en-US"/>
        </w:rPr>
      </w:pPr>
      <w:r w:rsidRPr="00FA64D8">
        <w:rPr>
          <w:rFonts w:eastAsia="Times New Roman"/>
          <w:b/>
          <w:bCs/>
          <w:szCs w:val="24"/>
          <w:lang w:eastAsia="en-US"/>
        </w:rPr>
        <w:t xml:space="preserve">Gestión de </w:t>
      </w:r>
      <w:r w:rsidR="005B1981">
        <w:rPr>
          <w:rFonts w:eastAsia="Times New Roman"/>
          <w:b/>
          <w:bCs/>
          <w:szCs w:val="24"/>
          <w:lang w:eastAsia="en-US"/>
        </w:rPr>
        <w:t>S</w:t>
      </w:r>
      <w:r w:rsidRPr="00FA64D8">
        <w:rPr>
          <w:rFonts w:eastAsia="Times New Roman"/>
          <w:b/>
          <w:bCs/>
          <w:szCs w:val="24"/>
          <w:lang w:eastAsia="en-US"/>
        </w:rPr>
        <w:t xml:space="preserve">olicitudes de </w:t>
      </w:r>
      <w:r w:rsidR="005B1981">
        <w:rPr>
          <w:rFonts w:eastAsia="Times New Roman"/>
          <w:b/>
          <w:bCs/>
          <w:szCs w:val="24"/>
          <w:lang w:eastAsia="en-US"/>
        </w:rPr>
        <w:t>M</w:t>
      </w:r>
      <w:r w:rsidRPr="00FA64D8">
        <w:rPr>
          <w:rFonts w:eastAsia="Times New Roman"/>
          <w:b/>
          <w:bCs/>
          <w:szCs w:val="24"/>
          <w:lang w:eastAsia="en-US"/>
        </w:rPr>
        <w:t xml:space="preserve">esa de </w:t>
      </w:r>
      <w:r w:rsidR="005B1981">
        <w:rPr>
          <w:rFonts w:eastAsia="Times New Roman"/>
          <w:b/>
          <w:bCs/>
          <w:szCs w:val="24"/>
          <w:lang w:eastAsia="en-US"/>
        </w:rPr>
        <w:t>A</w:t>
      </w:r>
      <w:r w:rsidRPr="00FA64D8">
        <w:rPr>
          <w:rFonts w:eastAsia="Times New Roman"/>
          <w:b/>
          <w:bCs/>
          <w:szCs w:val="24"/>
          <w:lang w:eastAsia="en-US"/>
        </w:rPr>
        <w:t>yuda</w:t>
      </w:r>
    </w:p>
    <w:p w:rsidR="00FA64D8" w:rsidRPr="00162885" w:rsidRDefault="00FA64D8" w:rsidP="00FA64D8">
      <w:pPr>
        <w:spacing w:after="0" w:line="240" w:lineRule="auto"/>
        <w:contextualSpacing/>
        <w:rPr>
          <w:rFonts w:eastAsia="Times New Roman"/>
          <w:sz w:val="18"/>
          <w:szCs w:val="18"/>
          <w:lang w:eastAsia="en-US"/>
        </w:rPr>
      </w:pPr>
      <w:r w:rsidRPr="00FA64D8">
        <w:rPr>
          <w:rFonts w:asciiTheme="minorHAnsi" w:eastAsiaTheme="minorHAnsi" w:hAnsiTheme="minorHAnsi" w:cstheme="minorBidi"/>
          <w:noProof/>
          <w:sz w:val="22"/>
          <w:lang w:val="en-US" w:eastAsia="en-US"/>
        </w:rPr>
        <w:drawing>
          <wp:inline distT="0" distB="0" distL="0" distR="0" wp14:anchorId="2A15DA2D" wp14:editId="235FA76C">
            <wp:extent cx="5400040" cy="1710690"/>
            <wp:effectExtent l="0" t="0" r="0" b="381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00040" cy="1710690"/>
                    </a:xfrm>
                    <a:prstGeom prst="rect">
                      <a:avLst/>
                    </a:prstGeom>
                  </pic:spPr>
                </pic:pic>
              </a:graphicData>
            </a:graphic>
          </wp:inline>
        </w:drawing>
      </w:r>
      <w:r w:rsidRPr="00FA64D8">
        <w:rPr>
          <w:rFonts w:eastAsia="Times New Roman"/>
          <w:b/>
          <w:bCs/>
          <w:sz w:val="18"/>
          <w:szCs w:val="18"/>
          <w:lang w:eastAsia="en-US"/>
        </w:rPr>
        <w:t xml:space="preserve">Fuente: </w:t>
      </w:r>
      <w:proofErr w:type="spellStart"/>
      <w:r w:rsidRPr="00FA64D8">
        <w:rPr>
          <w:rFonts w:eastAsia="Times New Roman"/>
          <w:sz w:val="18"/>
          <w:szCs w:val="18"/>
          <w:lang w:eastAsia="en-US"/>
        </w:rPr>
        <w:t>FreshDesk</w:t>
      </w:r>
      <w:proofErr w:type="spellEnd"/>
      <w:r w:rsidRPr="00FA64D8">
        <w:rPr>
          <w:rFonts w:eastAsia="Times New Roman"/>
          <w:sz w:val="18"/>
          <w:szCs w:val="18"/>
          <w:lang w:eastAsia="en-US"/>
        </w:rPr>
        <w:t xml:space="preserve">, mesa de ayuda. Enero - Noviembre </w:t>
      </w:r>
      <w:r w:rsidR="005B1981">
        <w:rPr>
          <w:rFonts w:eastAsia="Times New Roman"/>
          <w:sz w:val="18"/>
          <w:szCs w:val="18"/>
          <w:lang w:eastAsia="en-US"/>
        </w:rPr>
        <w:t xml:space="preserve">de </w:t>
      </w:r>
      <w:r w:rsidRPr="00FA64D8">
        <w:rPr>
          <w:rFonts w:eastAsia="Times New Roman"/>
          <w:sz w:val="18"/>
          <w:szCs w:val="18"/>
          <w:lang w:eastAsia="en-US"/>
        </w:rPr>
        <w:t xml:space="preserve">2021 </w:t>
      </w:r>
    </w:p>
    <w:p w:rsidR="00FA64D8" w:rsidRPr="00FA64D8" w:rsidRDefault="00FA64D8" w:rsidP="00FA64D8">
      <w:pPr>
        <w:spacing w:after="0" w:line="240" w:lineRule="auto"/>
        <w:contextualSpacing/>
        <w:rPr>
          <w:rFonts w:eastAsia="Times New Roman"/>
          <w:sz w:val="18"/>
          <w:szCs w:val="18"/>
          <w:lang w:eastAsia="en-US"/>
        </w:rPr>
      </w:pPr>
    </w:p>
    <w:p w:rsidR="00FA64D8" w:rsidRPr="00FA64D8" w:rsidRDefault="00FA64D8" w:rsidP="00FA64D8">
      <w:pPr>
        <w:spacing w:after="0" w:line="360" w:lineRule="auto"/>
        <w:rPr>
          <w:rFonts w:eastAsia="Times New Roman"/>
          <w:b/>
          <w:bCs/>
          <w:szCs w:val="24"/>
          <w:lang w:eastAsia="en-US"/>
        </w:rPr>
      </w:pPr>
      <w:r w:rsidRPr="00FA64D8">
        <w:rPr>
          <w:rFonts w:asciiTheme="minorHAnsi" w:eastAsiaTheme="minorHAnsi" w:hAnsiTheme="minorHAnsi" w:cstheme="minorBidi"/>
          <w:noProof/>
          <w:sz w:val="22"/>
          <w:lang w:val="en-US" w:eastAsia="en-US"/>
        </w:rPr>
        <w:lastRenderedPageBreak/>
        <w:drawing>
          <wp:inline distT="0" distB="0" distL="0" distR="0" wp14:anchorId="27A6A11E" wp14:editId="3E7FCF4B">
            <wp:extent cx="5400040" cy="2174240"/>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41">
                      <a:extLst>
                        <a:ext uri="{28A0092B-C50C-407E-A947-70E740481C1C}">
                          <a14:useLocalDpi xmlns:a14="http://schemas.microsoft.com/office/drawing/2010/main" val="0"/>
                        </a:ext>
                      </a:extLst>
                    </a:blip>
                    <a:stretch>
                      <a:fillRect/>
                    </a:stretch>
                  </pic:blipFill>
                  <pic:spPr>
                    <a:xfrm>
                      <a:off x="0" y="0"/>
                      <a:ext cx="5400040" cy="2174240"/>
                    </a:xfrm>
                    <a:prstGeom prst="rect">
                      <a:avLst/>
                    </a:prstGeom>
                  </pic:spPr>
                </pic:pic>
              </a:graphicData>
            </a:graphic>
          </wp:inline>
        </w:drawing>
      </w:r>
    </w:p>
    <w:p w:rsidR="00FA64D8" w:rsidRPr="00162885" w:rsidRDefault="00FA64D8" w:rsidP="00FA64D8">
      <w:pPr>
        <w:spacing w:after="0" w:line="240" w:lineRule="auto"/>
        <w:rPr>
          <w:rFonts w:eastAsia="Times New Roman"/>
          <w:bCs/>
          <w:sz w:val="18"/>
          <w:szCs w:val="18"/>
          <w:lang w:eastAsia="en-US"/>
        </w:rPr>
      </w:pPr>
      <w:r w:rsidRPr="00FA64D8">
        <w:rPr>
          <w:rFonts w:eastAsia="Times New Roman"/>
          <w:b/>
          <w:bCs/>
          <w:sz w:val="18"/>
          <w:szCs w:val="18"/>
          <w:lang w:eastAsia="en-US"/>
        </w:rPr>
        <w:t xml:space="preserve">Fuente: </w:t>
      </w:r>
      <w:proofErr w:type="spellStart"/>
      <w:r w:rsidRPr="00FA64D8">
        <w:rPr>
          <w:rFonts w:eastAsia="Times New Roman"/>
          <w:bCs/>
          <w:sz w:val="18"/>
          <w:szCs w:val="18"/>
          <w:lang w:eastAsia="en-US"/>
        </w:rPr>
        <w:t>FreshDesk</w:t>
      </w:r>
      <w:proofErr w:type="spellEnd"/>
      <w:r w:rsidRPr="00FA64D8">
        <w:rPr>
          <w:rFonts w:eastAsia="Times New Roman"/>
          <w:bCs/>
          <w:sz w:val="18"/>
          <w:szCs w:val="18"/>
          <w:lang w:eastAsia="en-US"/>
        </w:rPr>
        <w:t>, mesa de ayuda. Enero-</w:t>
      </w:r>
      <w:r w:rsidR="005B1981" w:rsidRPr="00FA64D8">
        <w:rPr>
          <w:rFonts w:eastAsia="Times New Roman"/>
          <w:sz w:val="18"/>
          <w:szCs w:val="18"/>
          <w:lang w:eastAsia="en-US"/>
        </w:rPr>
        <w:t xml:space="preserve">Noviembre </w:t>
      </w:r>
      <w:r w:rsidR="005B1981">
        <w:rPr>
          <w:rFonts w:eastAsia="Times New Roman"/>
          <w:sz w:val="18"/>
          <w:szCs w:val="18"/>
          <w:lang w:eastAsia="en-US"/>
        </w:rPr>
        <w:t xml:space="preserve">de </w:t>
      </w:r>
      <w:r w:rsidR="005B1981" w:rsidRPr="00FA64D8">
        <w:rPr>
          <w:rFonts w:eastAsia="Times New Roman"/>
          <w:sz w:val="18"/>
          <w:szCs w:val="18"/>
          <w:lang w:eastAsia="en-US"/>
        </w:rPr>
        <w:t>2021</w:t>
      </w:r>
    </w:p>
    <w:p w:rsidR="00FA64D8" w:rsidRPr="00FA64D8" w:rsidRDefault="00FA64D8" w:rsidP="00FA64D8">
      <w:pPr>
        <w:spacing w:after="0" w:line="240" w:lineRule="auto"/>
        <w:rPr>
          <w:rFonts w:eastAsia="Times New Roman"/>
          <w:b/>
          <w:bCs/>
          <w:sz w:val="18"/>
          <w:szCs w:val="18"/>
          <w:lang w:eastAsia="en-US"/>
        </w:rPr>
      </w:pPr>
    </w:p>
    <w:p w:rsidR="00FA64D8" w:rsidRPr="00FA64D8" w:rsidRDefault="00FA64D8" w:rsidP="00FA64D8">
      <w:pPr>
        <w:spacing w:after="0" w:line="240" w:lineRule="auto"/>
        <w:rPr>
          <w:rFonts w:eastAsia="Times New Roman"/>
          <w:b/>
          <w:bCs/>
          <w:szCs w:val="24"/>
          <w:lang w:eastAsia="en-US"/>
        </w:rPr>
      </w:pPr>
    </w:p>
    <w:p w:rsidR="00FA64D8" w:rsidRPr="00FA64D8" w:rsidRDefault="00FA64D8" w:rsidP="00FA64D8">
      <w:pPr>
        <w:spacing w:after="0" w:line="360" w:lineRule="auto"/>
        <w:rPr>
          <w:rFonts w:eastAsia="Times New Roman"/>
          <w:szCs w:val="24"/>
          <w:lang w:eastAsia="en-US"/>
        </w:rPr>
      </w:pPr>
      <w:r w:rsidRPr="00FA64D8">
        <w:rPr>
          <w:rFonts w:asciiTheme="minorHAnsi" w:eastAsiaTheme="minorHAnsi" w:hAnsiTheme="minorHAnsi" w:cstheme="minorBidi"/>
          <w:noProof/>
          <w:sz w:val="22"/>
          <w:lang w:val="en-US" w:eastAsia="en-US"/>
        </w:rPr>
        <w:drawing>
          <wp:inline distT="0" distB="0" distL="0" distR="0" wp14:anchorId="48405074" wp14:editId="665B54AB">
            <wp:extent cx="5400040" cy="238823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42">
                      <a:extLst>
                        <a:ext uri="{28A0092B-C50C-407E-A947-70E740481C1C}">
                          <a14:useLocalDpi xmlns:a14="http://schemas.microsoft.com/office/drawing/2010/main" val="0"/>
                        </a:ext>
                      </a:extLst>
                    </a:blip>
                    <a:stretch>
                      <a:fillRect/>
                    </a:stretch>
                  </pic:blipFill>
                  <pic:spPr>
                    <a:xfrm>
                      <a:off x="0" y="0"/>
                      <a:ext cx="5400040" cy="2388235"/>
                    </a:xfrm>
                    <a:prstGeom prst="rect">
                      <a:avLst/>
                    </a:prstGeom>
                  </pic:spPr>
                </pic:pic>
              </a:graphicData>
            </a:graphic>
          </wp:inline>
        </w:drawing>
      </w:r>
    </w:p>
    <w:p w:rsidR="00FA64D8" w:rsidRPr="00FA64D8" w:rsidRDefault="00FA64D8" w:rsidP="00FA64D8">
      <w:pPr>
        <w:spacing w:after="0" w:line="240" w:lineRule="auto"/>
        <w:rPr>
          <w:rFonts w:eastAsia="Times New Roman"/>
          <w:b/>
          <w:bCs/>
          <w:sz w:val="18"/>
          <w:szCs w:val="18"/>
          <w:lang w:eastAsia="en-US"/>
        </w:rPr>
      </w:pPr>
      <w:r w:rsidRPr="00FA64D8">
        <w:rPr>
          <w:rFonts w:eastAsia="Times New Roman"/>
          <w:b/>
          <w:bCs/>
          <w:sz w:val="18"/>
          <w:szCs w:val="18"/>
          <w:lang w:eastAsia="en-US"/>
        </w:rPr>
        <w:t xml:space="preserve">Fuente: </w:t>
      </w:r>
      <w:proofErr w:type="spellStart"/>
      <w:r w:rsidRPr="00FA64D8">
        <w:rPr>
          <w:rFonts w:eastAsia="Times New Roman"/>
          <w:bCs/>
          <w:sz w:val="18"/>
          <w:szCs w:val="18"/>
          <w:lang w:eastAsia="en-US"/>
        </w:rPr>
        <w:t>FreshDesk</w:t>
      </w:r>
      <w:proofErr w:type="spellEnd"/>
      <w:r w:rsidRPr="00FA64D8">
        <w:rPr>
          <w:rFonts w:eastAsia="Times New Roman"/>
          <w:bCs/>
          <w:sz w:val="18"/>
          <w:szCs w:val="18"/>
          <w:lang w:eastAsia="en-US"/>
        </w:rPr>
        <w:t>, mesa de ayuda. Enero-</w:t>
      </w:r>
      <w:r w:rsidR="005B1981">
        <w:rPr>
          <w:rFonts w:eastAsia="Times New Roman"/>
          <w:bCs/>
          <w:sz w:val="18"/>
          <w:szCs w:val="18"/>
          <w:lang w:eastAsia="en-US"/>
        </w:rPr>
        <w:t>N</w:t>
      </w:r>
      <w:r w:rsidRPr="00FA64D8">
        <w:rPr>
          <w:rFonts w:eastAsia="Times New Roman"/>
          <w:bCs/>
          <w:sz w:val="18"/>
          <w:szCs w:val="18"/>
          <w:lang w:eastAsia="en-US"/>
        </w:rPr>
        <w:t>oviembre 2021</w:t>
      </w:r>
    </w:p>
    <w:p w:rsidR="00FA64D8" w:rsidRPr="00FA64D8" w:rsidRDefault="00FA64D8" w:rsidP="00FA64D8">
      <w:pPr>
        <w:spacing w:line="360" w:lineRule="auto"/>
        <w:rPr>
          <w:rFonts w:eastAsia="Times New Roman"/>
          <w:b/>
          <w:bCs/>
          <w:szCs w:val="24"/>
        </w:rPr>
      </w:pPr>
    </w:p>
    <w:p w:rsidR="00FA64D8" w:rsidRPr="00FA64D8" w:rsidRDefault="00FA64D8" w:rsidP="00FA64D8">
      <w:pPr>
        <w:spacing w:line="360" w:lineRule="auto"/>
        <w:rPr>
          <w:rFonts w:eastAsia="Times New Roman"/>
          <w:b/>
          <w:bCs/>
          <w:szCs w:val="24"/>
        </w:rPr>
      </w:pPr>
      <w:r w:rsidRPr="00FA64D8">
        <w:rPr>
          <w:rFonts w:eastAsia="Times New Roman"/>
          <w:b/>
          <w:bCs/>
          <w:szCs w:val="24"/>
        </w:rPr>
        <w:t>Certificaciones NORTIC</w:t>
      </w:r>
    </w:p>
    <w:p w:rsidR="00FA64D8" w:rsidRPr="00FA64D8" w:rsidRDefault="00FA64D8" w:rsidP="00A17C7C">
      <w:pPr>
        <w:numPr>
          <w:ilvl w:val="0"/>
          <w:numId w:val="15"/>
        </w:numPr>
        <w:spacing w:line="360" w:lineRule="auto"/>
        <w:contextualSpacing/>
        <w:rPr>
          <w:rFonts w:eastAsia="Times New Roman"/>
          <w:szCs w:val="24"/>
        </w:rPr>
      </w:pPr>
      <w:r w:rsidRPr="00FA64D8">
        <w:rPr>
          <w:rFonts w:eastAsia="Times New Roman"/>
          <w:b/>
          <w:szCs w:val="24"/>
        </w:rPr>
        <w:t>Norma sobre la prestación y automatización de los servicios públicos del estado dominicano (NORTIC A5):</w:t>
      </w:r>
      <w:r w:rsidRPr="00FA64D8">
        <w:rPr>
          <w:rFonts w:eastAsia="Times New Roman"/>
          <w:szCs w:val="24"/>
        </w:rPr>
        <w:t xml:space="preserve"> estamos en fase de auditoria NORTIC,</w:t>
      </w:r>
      <w:r w:rsidR="005B1981">
        <w:rPr>
          <w:rFonts w:eastAsia="Times New Roman"/>
          <w:szCs w:val="24"/>
        </w:rPr>
        <w:t xml:space="preserve"> en</w:t>
      </w:r>
      <w:r w:rsidRPr="00FA64D8">
        <w:rPr>
          <w:rFonts w:eastAsia="Times New Roman"/>
          <w:szCs w:val="24"/>
        </w:rPr>
        <w:t xml:space="preserve"> recolección de evidencias de lo observado por la OGTIC en fecha 29 de abril de 2021.</w:t>
      </w:r>
    </w:p>
    <w:p w:rsidR="00FA64D8" w:rsidRPr="00FA64D8" w:rsidRDefault="00FA64D8" w:rsidP="00FA64D8">
      <w:pPr>
        <w:spacing w:line="360" w:lineRule="auto"/>
        <w:contextualSpacing/>
        <w:rPr>
          <w:rFonts w:eastAsia="Times New Roman"/>
          <w:szCs w:val="24"/>
        </w:rPr>
      </w:pPr>
    </w:p>
    <w:p w:rsidR="00FA64D8" w:rsidRPr="00162885" w:rsidRDefault="00FA64D8" w:rsidP="00A17C7C">
      <w:pPr>
        <w:numPr>
          <w:ilvl w:val="0"/>
          <w:numId w:val="15"/>
        </w:numPr>
        <w:spacing w:line="360" w:lineRule="auto"/>
        <w:ind w:left="708"/>
        <w:contextualSpacing/>
        <w:rPr>
          <w:rStyle w:val="normaltextrun"/>
          <w:rFonts w:eastAsia="Times New Roman"/>
          <w:szCs w:val="24"/>
        </w:rPr>
      </w:pPr>
      <w:r w:rsidRPr="00FA64D8">
        <w:rPr>
          <w:rFonts w:eastAsia="Times New Roman"/>
          <w:b/>
          <w:szCs w:val="24"/>
        </w:rPr>
        <w:lastRenderedPageBreak/>
        <w:t>Norma para la gestión de las redes sociales en los organismos gubernamentales (NORTIC E1):</w:t>
      </w:r>
      <w:r w:rsidRPr="00FA64D8">
        <w:rPr>
          <w:rFonts w:eastAsia="Times New Roman"/>
          <w:szCs w:val="24"/>
        </w:rPr>
        <w:t xml:space="preserve"> </w:t>
      </w:r>
      <w:r w:rsidR="00C818A6" w:rsidRPr="00162885">
        <w:rPr>
          <w:rStyle w:val="normaltextrun"/>
          <w:bdr w:val="none" w:sz="0" w:space="0" w:color="auto" w:frame="1"/>
        </w:rPr>
        <w:t>recertificación de fecha 11 de marzo de 2021.</w:t>
      </w:r>
    </w:p>
    <w:p w:rsidR="00C818A6" w:rsidRPr="00FA64D8" w:rsidRDefault="00C818A6" w:rsidP="00C818A6">
      <w:pPr>
        <w:spacing w:line="360" w:lineRule="auto"/>
        <w:contextualSpacing/>
        <w:jc w:val="left"/>
        <w:rPr>
          <w:rFonts w:eastAsia="Times New Roman"/>
          <w:szCs w:val="24"/>
        </w:rPr>
      </w:pPr>
    </w:p>
    <w:p w:rsidR="00FA64D8" w:rsidRPr="00FA64D8" w:rsidRDefault="00FA64D8" w:rsidP="00FA64D8">
      <w:pPr>
        <w:spacing w:line="360" w:lineRule="auto"/>
        <w:rPr>
          <w:rFonts w:eastAsia="Times New Roman"/>
          <w:b/>
          <w:bCs/>
          <w:szCs w:val="24"/>
        </w:rPr>
      </w:pPr>
      <w:r w:rsidRPr="00FA64D8">
        <w:rPr>
          <w:rFonts w:eastAsia="Times New Roman"/>
          <w:b/>
          <w:bCs/>
          <w:szCs w:val="24"/>
        </w:rPr>
        <w:t>Índice de Uso de TIC e Implementación de Gobierno Electrónico (ITICGE)</w:t>
      </w:r>
    </w:p>
    <w:p w:rsidR="00FA64D8" w:rsidRPr="00FA64D8" w:rsidRDefault="00FA64D8" w:rsidP="00FA64D8">
      <w:pPr>
        <w:spacing w:line="360" w:lineRule="auto"/>
        <w:rPr>
          <w:rFonts w:eastAsia="Times New Roman"/>
          <w:szCs w:val="24"/>
        </w:rPr>
      </w:pPr>
      <w:r w:rsidRPr="00FA64D8">
        <w:rPr>
          <w:rFonts w:eastAsia="Times New Roman"/>
          <w:szCs w:val="24"/>
        </w:rPr>
        <w:t>La institución logró alcanzar una puntuación de un 90.8% a la fecha en el Índice de Uso de TIC e Implementación de Gobierno Electrónico (ITICGE) con la re-certificación de la NORTIC E1:2018.</w:t>
      </w:r>
    </w:p>
    <w:p w:rsidR="00FA64D8" w:rsidRPr="00FA64D8" w:rsidRDefault="00FA64D8" w:rsidP="00FA64D8">
      <w:pPr>
        <w:spacing w:line="360" w:lineRule="auto"/>
        <w:rPr>
          <w:rFonts w:eastAsia="Times New Roman"/>
          <w:szCs w:val="24"/>
        </w:rPr>
      </w:pPr>
      <w:r w:rsidRPr="00FA64D8">
        <w:rPr>
          <w:rFonts w:eastAsia="Times New Roman"/>
          <w:szCs w:val="24"/>
        </w:rPr>
        <w:t>A continuación detallamos los sub-indicadores del ITICGE y la calificación obtenida por la institución:</w:t>
      </w: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3"/>
        <w:gridCol w:w="1601"/>
        <w:gridCol w:w="2120"/>
      </w:tblGrid>
      <w:tr w:rsidR="00FA64D8" w:rsidRPr="00FA64D8" w:rsidTr="0063671D">
        <w:trPr>
          <w:trHeight w:val="620"/>
        </w:trPr>
        <w:tc>
          <w:tcPr>
            <w:tcW w:w="8494" w:type="dxa"/>
            <w:gridSpan w:val="3"/>
            <w:shd w:val="clear" w:color="auto" w:fill="003876"/>
            <w:hideMark/>
          </w:tcPr>
          <w:p w:rsidR="00FA64D8" w:rsidRPr="00FA64D8" w:rsidRDefault="00FA64D8" w:rsidP="00FA64D8">
            <w:pPr>
              <w:spacing w:after="0" w:line="240" w:lineRule="auto"/>
              <w:jc w:val="center"/>
              <w:rPr>
                <w:rFonts w:eastAsia="Times New Roman"/>
                <w:b/>
                <w:bCs/>
                <w:color w:val="auto"/>
                <w:sz w:val="28"/>
                <w:szCs w:val="28"/>
              </w:rPr>
            </w:pPr>
            <w:bookmarkStart w:id="70" w:name="_Hlk78455345"/>
            <w:r w:rsidRPr="00FA64D8">
              <w:rPr>
                <w:rFonts w:eastAsia="Times New Roman"/>
                <w:b/>
                <w:bCs/>
                <w:color w:val="auto"/>
                <w:szCs w:val="24"/>
              </w:rPr>
              <w:t xml:space="preserve">Sistema de Medición Continua de Avance TIC y e-Gobierno </w:t>
            </w:r>
            <w:bookmarkEnd w:id="70"/>
            <w:r w:rsidRPr="00FA64D8">
              <w:rPr>
                <w:rFonts w:asciiTheme="minorHAnsi" w:eastAsiaTheme="minorHAnsi" w:hAnsiTheme="minorHAnsi" w:cstheme="minorBidi"/>
                <w:color w:val="auto"/>
                <w:sz w:val="22"/>
                <w:lang w:eastAsia="en-US"/>
              </w:rPr>
              <w:br/>
            </w:r>
            <w:r w:rsidRPr="00FA64D8">
              <w:rPr>
                <w:rFonts w:eastAsia="Times New Roman"/>
                <w:b/>
                <w:bCs/>
                <w:color w:val="auto"/>
                <w:szCs w:val="24"/>
              </w:rPr>
              <w:t>Diciembre de 2021</w:t>
            </w:r>
          </w:p>
        </w:tc>
      </w:tr>
      <w:tr w:rsidR="00FA64D8" w:rsidRPr="00FA64D8" w:rsidTr="0063671D">
        <w:trPr>
          <w:trHeight w:val="312"/>
        </w:trPr>
        <w:tc>
          <w:tcPr>
            <w:tcW w:w="4773" w:type="dxa"/>
            <w:shd w:val="clear" w:color="auto" w:fill="003876"/>
            <w:noWrap/>
            <w:vAlign w:val="center"/>
            <w:hideMark/>
          </w:tcPr>
          <w:p w:rsidR="00FA64D8" w:rsidRPr="00FA64D8" w:rsidRDefault="00FA64D8" w:rsidP="00FA64D8">
            <w:pPr>
              <w:spacing w:after="0" w:line="240" w:lineRule="auto"/>
              <w:rPr>
                <w:rFonts w:eastAsia="Times New Roman"/>
                <w:b/>
                <w:bCs/>
                <w:color w:val="auto"/>
                <w:szCs w:val="24"/>
              </w:rPr>
            </w:pPr>
            <w:r w:rsidRPr="00FA64D8">
              <w:rPr>
                <w:rFonts w:eastAsia="Times New Roman"/>
                <w:b/>
                <w:bCs/>
                <w:color w:val="auto"/>
                <w:szCs w:val="24"/>
              </w:rPr>
              <w:t>Sub-Indicador</w:t>
            </w:r>
          </w:p>
        </w:tc>
        <w:tc>
          <w:tcPr>
            <w:tcW w:w="1601" w:type="dxa"/>
            <w:shd w:val="clear" w:color="auto" w:fill="003876"/>
            <w:noWrap/>
            <w:vAlign w:val="center"/>
            <w:hideMark/>
          </w:tcPr>
          <w:p w:rsidR="00FA64D8" w:rsidRPr="00FA64D8" w:rsidRDefault="00FA64D8" w:rsidP="00FA64D8">
            <w:pPr>
              <w:spacing w:after="0" w:line="240" w:lineRule="auto"/>
              <w:jc w:val="center"/>
              <w:rPr>
                <w:rFonts w:eastAsia="Times New Roman"/>
                <w:b/>
                <w:bCs/>
                <w:color w:val="auto"/>
                <w:szCs w:val="24"/>
              </w:rPr>
            </w:pPr>
            <w:r w:rsidRPr="00FA64D8">
              <w:rPr>
                <w:rFonts w:eastAsia="Times New Roman"/>
                <w:b/>
                <w:bCs/>
                <w:color w:val="auto"/>
                <w:szCs w:val="24"/>
              </w:rPr>
              <w:t>Puntuación</w:t>
            </w:r>
            <w:r w:rsidRPr="00FA64D8">
              <w:rPr>
                <w:rFonts w:asciiTheme="minorHAnsi" w:eastAsiaTheme="minorHAnsi" w:hAnsiTheme="minorHAnsi" w:cstheme="minorBidi"/>
                <w:color w:val="auto"/>
                <w:sz w:val="22"/>
                <w:lang w:eastAsia="en-US"/>
              </w:rPr>
              <w:br/>
            </w:r>
            <w:r w:rsidRPr="00FA64D8">
              <w:rPr>
                <w:rFonts w:eastAsia="Times New Roman"/>
                <w:b/>
                <w:bCs/>
                <w:color w:val="auto"/>
                <w:szCs w:val="24"/>
              </w:rPr>
              <w:t>ITICGE</w:t>
            </w:r>
          </w:p>
        </w:tc>
        <w:tc>
          <w:tcPr>
            <w:tcW w:w="2120" w:type="dxa"/>
            <w:shd w:val="clear" w:color="auto" w:fill="003876"/>
            <w:noWrap/>
            <w:vAlign w:val="center"/>
            <w:hideMark/>
          </w:tcPr>
          <w:p w:rsidR="00FA64D8" w:rsidRPr="00FA64D8" w:rsidRDefault="00FA64D8" w:rsidP="00FA64D8">
            <w:pPr>
              <w:spacing w:after="0" w:line="240" w:lineRule="auto"/>
              <w:jc w:val="center"/>
              <w:rPr>
                <w:rFonts w:eastAsia="Times New Roman"/>
                <w:b/>
                <w:bCs/>
                <w:color w:val="auto"/>
                <w:szCs w:val="24"/>
              </w:rPr>
            </w:pPr>
            <w:r w:rsidRPr="00FA64D8">
              <w:rPr>
                <w:rFonts w:eastAsia="Times New Roman"/>
                <w:b/>
                <w:bCs/>
                <w:color w:val="auto"/>
                <w:szCs w:val="24"/>
              </w:rPr>
              <w:t>Puntuación INDOTEL</w:t>
            </w:r>
          </w:p>
        </w:tc>
      </w:tr>
      <w:tr w:rsidR="00162885" w:rsidRPr="00FA64D8" w:rsidTr="00816F63">
        <w:trPr>
          <w:trHeight w:val="312"/>
        </w:trPr>
        <w:tc>
          <w:tcPr>
            <w:tcW w:w="4773" w:type="dxa"/>
            <w:shd w:val="clear" w:color="auto" w:fill="auto"/>
            <w:noWrap/>
            <w:vAlign w:val="center"/>
            <w:hideMark/>
          </w:tcPr>
          <w:p w:rsidR="00FA64D8" w:rsidRPr="00FA64D8" w:rsidRDefault="00FA64D8" w:rsidP="00FA64D8">
            <w:pPr>
              <w:spacing w:after="0" w:line="240" w:lineRule="auto"/>
              <w:ind w:left="720" w:hanging="720"/>
              <w:rPr>
                <w:rFonts w:eastAsia="Times New Roman"/>
                <w:i/>
                <w:iCs/>
                <w:szCs w:val="24"/>
              </w:rPr>
            </w:pPr>
            <w:r w:rsidRPr="00FA64D8">
              <w:rPr>
                <w:rFonts w:eastAsia="Times New Roman"/>
                <w:szCs w:val="24"/>
              </w:rPr>
              <w:t>Uso de las TIC</w:t>
            </w:r>
          </w:p>
        </w:tc>
        <w:tc>
          <w:tcPr>
            <w:tcW w:w="1601"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20</w:t>
            </w:r>
          </w:p>
        </w:tc>
        <w:tc>
          <w:tcPr>
            <w:tcW w:w="2120"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18.2</w:t>
            </w:r>
          </w:p>
        </w:tc>
      </w:tr>
      <w:tr w:rsidR="00162885" w:rsidRPr="00FA64D8" w:rsidTr="00816F63">
        <w:trPr>
          <w:trHeight w:val="368"/>
        </w:trPr>
        <w:tc>
          <w:tcPr>
            <w:tcW w:w="4773" w:type="dxa"/>
            <w:shd w:val="clear" w:color="auto" w:fill="auto"/>
            <w:noWrap/>
            <w:vAlign w:val="center"/>
            <w:hideMark/>
          </w:tcPr>
          <w:p w:rsidR="00FA64D8" w:rsidRPr="00FA64D8" w:rsidRDefault="00FA64D8" w:rsidP="00FA64D8">
            <w:pPr>
              <w:spacing w:after="0" w:line="240" w:lineRule="auto"/>
              <w:rPr>
                <w:rFonts w:eastAsia="Times New Roman"/>
                <w:szCs w:val="24"/>
              </w:rPr>
            </w:pPr>
            <w:r w:rsidRPr="00FA64D8">
              <w:rPr>
                <w:rFonts w:eastAsia="Times New Roman"/>
                <w:szCs w:val="24"/>
              </w:rPr>
              <w:t>Implementación de e-GOB</w:t>
            </w:r>
          </w:p>
        </w:tc>
        <w:tc>
          <w:tcPr>
            <w:tcW w:w="1601"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30</w:t>
            </w:r>
          </w:p>
        </w:tc>
        <w:tc>
          <w:tcPr>
            <w:tcW w:w="2120"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26.6</w:t>
            </w:r>
          </w:p>
        </w:tc>
      </w:tr>
      <w:tr w:rsidR="00162885" w:rsidRPr="00FA64D8" w:rsidTr="00816F63">
        <w:trPr>
          <w:trHeight w:val="350"/>
        </w:trPr>
        <w:tc>
          <w:tcPr>
            <w:tcW w:w="4773" w:type="dxa"/>
            <w:shd w:val="clear" w:color="auto" w:fill="auto"/>
            <w:noWrap/>
            <w:vAlign w:val="center"/>
            <w:hideMark/>
          </w:tcPr>
          <w:p w:rsidR="00FA64D8" w:rsidRPr="00FA64D8" w:rsidRDefault="00FA64D8" w:rsidP="00FA64D8">
            <w:pPr>
              <w:spacing w:after="0" w:line="240" w:lineRule="auto"/>
              <w:rPr>
                <w:rFonts w:eastAsia="Times New Roman"/>
                <w:szCs w:val="24"/>
              </w:rPr>
            </w:pPr>
            <w:r w:rsidRPr="00FA64D8">
              <w:rPr>
                <w:rFonts w:eastAsia="Times New Roman"/>
                <w:szCs w:val="24"/>
              </w:rPr>
              <w:t>Gobierno Abierto y e-Participación</w:t>
            </w:r>
          </w:p>
        </w:tc>
        <w:tc>
          <w:tcPr>
            <w:tcW w:w="1601"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25</w:t>
            </w:r>
          </w:p>
        </w:tc>
        <w:tc>
          <w:tcPr>
            <w:tcW w:w="2120"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24</w:t>
            </w:r>
          </w:p>
        </w:tc>
      </w:tr>
      <w:tr w:rsidR="00162885" w:rsidRPr="00FA64D8" w:rsidTr="00816F63">
        <w:trPr>
          <w:trHeight w:val="350"/>
        </w:trPr>
        <w:tc>
          <w:tcPr>
            <w:tcW w:w="4773" w:type="dxa"/>
            <w:shd w:val="clear" w:color="auto" w:fill="auto"/>
            <w:noWrap/>
            <w:vAlign w:val="center"/>
            <w:hideMark/>
          </w:tcPr>
          <w:p w:rsidR="00FA64D8" w:rsidRPr="00FA64D8" w:rsidRDefault="00FA64D8" w:rsidP="00FA64D8">
            <w:pPr>
              <w:spacing w:after="0" w:line="240" w:lineRule="auto"/>
              <w:rPr>
                <w:rFonts w:eastAsia="Times New Roman"/>
                <w:szCs w:val="24"/>
              </w:rPr>
            </w:pPr>
            <w:r w:rsidRPr="00FA64D8">
              <w:rPr>
                <w:rFonts w:eastAsia="Times New Roman"/>
                <w:szCs w:val="24"/>
              </w:rPr>
              <w:t>Desarrollo de e-Servicios</w:t>
            </w:r>
          </w:p>
        </w:tc>
        <w:tc>
          <w:tcPr>
            <w:tcW w:w="1601"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25</w:t>
            </w:r>
          </w:p>
        </w:tc>
        <w:tc>
          <w:tcPr>
            <w:tcW w:w="2120" w:type="dxa"/>
            <w:shd w:val="clear" w:color="auto" w:fill="auto"/>
            <w:noWrap/>
            <w:vAlign w:val="center"/>
            <w:hideMark/>
          </w:tcPr>
          <w:p w:rsidR="00FA64D8" w:rsidRPr="00FA64D8" w:rsidRDefault="00FA64D8" w:rsidP="00FA64D8">
            <w:pPr>
              <w:spacing w:after="0" w:line="240" w:lineRule="auto"/>
              <w:jc w:val="center"/>
              <w:rPr>
                <w:rFonts w:eastAsia="Times New Roman"/>
                <w:szCs w:val="24"/>
              </w:rPr>
            </w:pPr>
            <w:r w:rsidRPr="00FA64D8">
              <w:rPr>
                <w:rFonts w:eastAsia="Times New Roman"/>
                <w:szCs w:val="24"/>
              </w:rPr>
              <w:t>22</w:t>
            </w:r>
          </w:p>
        </w:tc>
      </w:tr>
    </w:tbl>
    <w:p w:rsidR="00FA64D8" w:rsidRPr="00FA64D8" w:rsidRDefault="00FA64D8" w:rsidP="00FA64D8">
      <w:pPr>
        <w:rPr>
          <w:rFonts w:eastAsia="Times New Roman"/>
          <w:b/>
          <w:bCs/>
          <w:sz w:val="18"/>
          <w:szCs w:val="18"/>
        </w:rPr>
      </w:pPr>
      <w:r w:rsidRPr="00FA64D8">
        <w:rPr>
          <w:rFonts w:eastAsia="Times New Roman"/>
          <w:b/>
          <w:bCs/>
          <w:sz w:val="18"/>
          <w:szCs w:val="18"/>
        </w:rPr>
        <w:t>Fuente:</w:t>
      </w:r>
      <w:r w:rsidRPr="00FA64D8">
        <w:rPr>
          <w:rFonts w:eastAsia="Times New Roman"/>
          <w:b/>
          <w:bCs/>
          <w:sz w:val="20"/>
          <w:szCs w:val="20"/>
        </w:rPr>
        <w:t xml:space="preserve"> </w:t>
      </w:r>
      <w:r w:rsidRPr="00FA64D8">
        <w:rPr>
          <w:rFonts w:eastAsia="Times New Roman"/>
          <w:sz w:val="18"/>
          <w:szCs w:val="18"/>
        </w:rPr>
        <w:t>Sistema de Medición Continua de Avance TIC y e-Gobierno</w:t>
      </w:r>
    </w:p>
    <w:p w:rsidR="00FA64D8" w:rsidRPr="00FA64D8" w:rsidRDefault="00FA64D8" w:rsidP="00FA64D8">
      <w:pPr>
        <w:spacing w:after="0" w:line="240" w:lineRule="auto"/>
        <w:jc w:val="left"/>
        <w:rPr>
          <w:rFonts w:eastAsia="Times New Roman"/>
          <w:szCs w:val="24"/>
        </w:rPr>
      </w:pPr>
    </w:p>
    <w:p w:rsidR="00FA64D8" w:rsidRPr="00FA64D8" w:rsidRDefault="00FA64D8" w:rsidP="00FA64D8">
      <w:pPr>
        <w:spacing w:after="0" w:line="240" w:lineRule="auto"/>
        <w:jc w:val="left"/>
        <w:rPr>
          <w:rFonts w:eastAsia="Times New Roman"/>
          <w:szCs w:val="24"/>
        </w:rPr>
      </w:pPr>
      <w:r w:rsidRPr="00FA64D8">
        <w:rPr>
          <w:rFonts w:eastAsia="Times New Roman"/>
          <w:szCs w:val="24"/>
        </w:rPr>
        <w:t>De acuerdo a las calificaciones publicadas</w:t>
      </w:r>
      <w:r w:rsidR="005B1981">
        <w:rPr>
          <w:rFonts w:eastAsia="Times New Roman"/>
          <w:szCs w:val="24"/>
        </w:rPr>
        <w:t>,</w:t>
      </w:r>
      <w:r w:rsidRPr="00FA64D8">
        <w:rPr>
          <w:rFonts w:eastAsia="Times New Roman"/>
          <w:szCs w:val="24"/>
        </w:rPr>
        <w:t xml:space="preserve"> este es el detalle del año: </w:t>
      </w:r>
    </w:p>
    <w:p w:rsidR="00FA64D8" w:rsidRPr="00FA64D8" w:rsidRDefault="00FA64D8" w:rsidP="00FA64D8">
      <w:pPr>
        <w:spacing w:after="0" w:line="240" w:lineRule="auto"/>
        <w:jc w:val="left"/>
        <w:rPr>
          <w:rFonts w:eastAsia="Times New Roman"/>
          <w:color w:val="auto"/>
          <w:szCs w:val="24"/>
        </w:rPr>
      </w:pPr>
    </w:p>
    <w:tbl>
      <w:tblPr>
        <w:tblStyle w:val="Tablaconcuadrcula4"/>
        <w:tblW w:w="0" w:type="auto"/>
        <w:tblLook w:val="04A0" w:firstRow="1" w:lastRow="0" w:firstColumn="1" w:lastColumn="0" w:noHBand="0" w:noVBand="1"/>
      </w:tblPr>
      <w:tblGrid>
        <w:gridCol w:w="3948"/>
        <w:gridCol w:w="3964"/>
      </w:tblGrid>
      <w:tr w:rsidR="00FA64D8" w:rsidRPr="00FA64D8" w:rsidTr="0063671D">
        <w:tc>
          <w:tcPr>
            <w:tcW w:w="8494" w:type="dxa"/>
            <w:gridSpan w:val="2"/>
            <w:shd w:val="clear" w:color="auto" w:fill="003876"/>
          </w:tcPr>
          <w:p w:rsidR="00FA64D8" w:rsidRPr="001574A1" w:rsidRDefault="00FA64D8" w:rsidP="00FA64D8">
            <w:pPr>
              <w:spacing w:after="0" w:line="240" w:lineRule="auto"/>
              <w:jc w:val="center"/>
              <w:rPr>
                <w:rFonts w:ascii="Times New Roman" w:eastAsia="Times New Roman" w:hAnsi="Times New Roman" w:cs="Times New Roman"/>
                <w:b/>
                <w:bCs/>
                <w:color w:val="FFFFFF" w:themeColor="background1"/>
                <w:szCs w:val="24"/>
              </w:rPr>
            </w:pPr>
            <w:r w:rsidRPr="001574A1">
              <w:rPr>
                <w:rFonts w:ascii="Times New Roman" w:eastAsia="Times New Roman" w:hAnsi="Times New Roman" w:cs="Times New Roman"/>
                <w:b/>
                <w:bCs/>
                <w:color w:val="FFFFFF" w:themeColor="background1"/>
                <w:szCs w:val="24"/>
              </w:rPr>
              <w:t xml:space="preserve">Sistema de Medición Continua de Avance TIC y e-Gobierno </w:t>
            </w:r>
          </w:p>
          <w:p w:rsidR="00FA64D8" w:rsidRPr="001574A1" w:rsidRDefault="00FA64D8" w:rsidP="00FA64D8">
            <w:pPr>
              <w:spacing w:after="0" w:line="240" w:lineRule="auto"/>
              <w:jc w:val="center"/>
              <w:rPr>
                <w:rFonts w:ascii="Times New Roman" w:eastAsia="Times New Roman" w:hAnsi="Times New Roman" w:cs="Times New Roman"/>
                <w:b/>
                <w:bCs/>
                <w:color w:val="FFFFFF" w:themeColor="background1"/>
                <w:szCs w:val="24"/>
              </w:rPr>
            </w:pPr>
            <w:r w:rsidRPr="001574A1">
              <w:rPr>
                <w:rFonts w:ascii="Times New Roman" w:eastAsia="Times New Roman" w:hAnsi="Times New Roman" w:cs="Times New Roman"/>
                <w:b/>
                <w:bCs/>
                <w:color w:val="FFFFFF" w:themeColor="background1"/>
                <w:szCs w:val="24"/>
              </w:rPr>
              <w:t>Enero-Diciembre de 2021</w:t>
            </w:r>
          </w:p>
        </w:tc>
      </w:tr>
      <w:tr w:rsidR="00FA64D8" w:rsidRPr="00FA64D8" w:rsidTr="0063671D">
        <w:tc>
          <w:tcPr>
            <w:tcW w:w="4247" w:type="dxa"/>
            <w:shd w:val="clear" w:color="auto" w:fill="003876"/>
          </w:tcPr>
          <w:p w:rsidR="00FA64D8" w:rsidRPr="001574A1" w:rsidRDefault="00FA64D8" w:rsidP="00FA64D8">
            <w:pPr>
              <w:spacing w:after="0" w:line="240" w:lineRule="auto"/>
              <w:jc w:val="center"/>
              <w:rPr>
                <w:rFonts w:ascii="Times New Roman" w:eastAsia="Times New Roman" w:hAnsi="Times New Roman" w:cs="Times New Roman"/>
                <w:b/>
                <w:bCs/>
                <w:color w:val="FFFFFF" w:themeColor="background1"/>
                <w:szCs w:val="24"/>
              </w:rPr>
            </w:pPr>
            <w:r w:rsidRPr="001574A1">
              <w:rPr>
                <w:rFonts w:ascii="Times New Roman" w:eastAsia="Times New Roman" w:hAnsi="Times New Roman" w:cs="Times New Roman"/>
                <w:b/>
                <w:bCs/>
                <w:color w:val="FFFFFF" w:themeColor="background1"/>
                <w:szCs w:val="24"/>
              </w:rPr>
              <w:t>Mes</w:t>
            </w:r>
          </w:p>
        </w:tc>
        <w:tc>
          <w:tcPr>
            <w:tcW w:w="4247" w:type="dxa"/>
            <w:shd w:val="clear" w:color="auto" w:fill="003876"/>
          </w:tcPr>
          <w:p w:rsidR="00FA64D8" w:rsidRPr="001574A1" w:rsidRDefault="00FA64D8" w:rsidP="00FA64D8">
            <w:pPr>
              <w:spacing w:after="0" w:line="240" w:lineRule="auto"/>
              <w:jc w:val="center"/>
              <w:rPr>
                <w:rFonts w:ascii="Times New Roman" w:eastAsia="Times New Roman" w:hAnsi="Times New Roman" w:cs="Times New Roman"/>
                <w:b/>
                <w:bCs/>
                <w:color w:val="FFFFFF" w:themeColor="background1"/>
                <w:szCs w:val="24"/>
              </w:rPr>
            </w:pPr>
            <w:r w:rsidRPr="001574A1">
              <w:rPr>
                <w:rFonts w:ascii="Times New Roman" w:eastAsia="Times New Roman" w:hAnsi="Times New Roman" w:cs="Times New Roman"/>
                <w:b/>
                <w:bCs/>
                <w:color w:val="FFFFFF" w:themeColor="background1"/>
                <w:szCs w:val="24"/>
              </w:rPr>
              <w:t>Puntuación</w:t>
            </w:r>
          </w:p>
        </w:tc>
      </w:tr>
      <w:tr w:rsidR="00162885" w:rsidRPr="00FA64D8" w:rsidTr="00816F63">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Enero</w:t>
            </w:r>
          </w:p>
        </w:tc>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87.80</w:t>
            </w:r>
          </w:p>
        </w:tc>
      </w:tr>
      <w:tr w:rsidR="00162885" w:rsidRPr="00FA64D8" w:rsidTr="00816F63">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Mayo</w:t>
            </w:r>
          </w:p>
        </w:tc>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88.30</w:t>
            </w:r>
          </w:p>
        </w:tc>
      </w:tr>
      <w:tr w:rsidR="00162885" w:rsidRPr="00FA64D8" w:rsidTr="00816F63">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Octubre</w:t>
            </w:r>
          </w:p>
        </w:tc>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90.30</w:t>
            </w:r>
          </w:p>
        </w:tc>
      </w:tr>
      <w:tr w:rsidR="00162885" w:rsidRPr="00FA64D8" w:rsidTr="00816F63">
        <w:trPr>
          <w:trHeight w:val="70"/>
        </w:trPr>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Diciembre</w:t>
            </w:r>
          </w:p>
        </w:tc>
        <w:tc>
          <w:tcPr>
            <w:tcW w:w="4247" w:type="dxa"/>
          </w:tcPr>
          <w:p w:rsidR="00FA64D8" w:rsidRPr="001574A1" w:rsidRDefault="00FA64D8" w:rsidP="00FA64D8">
            <w:pPr>
              <w:spacing w:after="0" w:line="240" w:lineRule="auto"/>
              <w:jc w:val="left"/>
              <w:rPr>
                <w:rFonts w:ascii="Times New Roman" w:eastAsia="Times New Roman" w:hAnsi="Times New Roman" w:cs="Times New Roman"/>
                <w:szCs w:val="24"/>
              </w:rPr>
            </w:pPr>
            <w:r w:rsidRPr="001574A1">
              <w:rPr>
                <w:rFonts w:ascii="Times New Roman" w:eastAsia="Times New Roman" w:hAnsi="Times New Roman" w:cs="Times New Roman"/>
                <w:szCs w:val="24"/>
              </w:rPr>
              <w:t>90.80</w:t>
            </w:r>
          </w:p>
        </w:tc>
      </w:tr>
    </w:tbl>
    <w:p w:rsidR="00FA64D8" w:rsidRPr="00FA64D8" w:rsidRDefault="00FA64D8" w:rsidP="00FA64D8">
      <w:pPr>
        <w:rPr>
          <w:rFonts w:eastAsia="Times New Roman"/>
          <w:b/>
          <w:bCs/>
          <w:sz w:val="18"/>
          <w:szCs w:val="18"/>
        </w:rPr>
      </w:pPr>
      <w:r w:rsidRPr="00FA64D8">
        <w:rPr>
          <w:rFonts w:eastAsia="Times New Roman"/>
          <w:b/>
          <w:bCs/>
          <w:sz w:val="18"/>
          <w:szCs w:val="18"/>
        </w:rPr>
        <w:t>Fuente:</w:t>
      </w:r>
      <w:r w:rsidRPr="00FA64D8">
        <w:rPr>
          <w:rFonts w:eastAsia="Times New Roman"/>
          <w:b/>
          <w:bCs/>
          <w:sz w:val="20"/>
          <w:szCs w:val="20"/>
        </w:rPr>
        <w:t xml:space="preserve"> </w:t>
      </w:r>
      <w:r w:rsidRPr="00FA64D8">
        <w:rPr>
          <w:rFonts w:eastAsia="Times New Roman"/>
          <w:sz w:val="18"/>
          <w:szCs w:val="18"/>
        </w:rPr>
        <w:t>Sistema de Medición Continua de Avance TIC y e-Gobierno</w:t>
      </w:r>
    </w:p>
    <w:p w:rsidR="00FA64D8" w:rsidRPr="00FA64D8" w:rsidRDefault="00FA64D8" w:rsidP="00FA64D8">
      <w:pPr>
        <w:spacing w:line="360" w:lineRule="auto"/>
        <w:jc w:val="left"/>
        <w:rPr>
          <w:rFonts w:eastAsia="Times New Roman"/>
          <w:color w:val="auto"/>
          <w:szCs w:val="24"/>
          <w:lang w:eastAsia="en-US"/>
        </w:rPr>
      </w:pPr>
    </w:p>
    <w:p w:rsidR="006A2846" w:rsidRPr="00446009" w:rsidRDefault="006A2846" w:rsidP="00CB5BAC">
      <w:pPr>
        <w:spacing w:before="240" w:line="360" w:lineRule="auto"/>
        <w:rPr>
          <w:spacing w:val="20"/>
          <w:szCs w:val="24"/>
        </w:rPr>
      </w:pPr>
    </w:p>
    <w:p w:rsidR="00D3090E" w:rsidRDefault="00CC22C1" w:rsidP="00A3748B">
      <w:pPr>
        <w:pStyle w:val="Ttulo3"/>
        <w:rPr>
          <w:szCs w:val="28"/>
        </w:rPr>
      </w:pPr>
      <w:bookmarkStart w:id="71" w:name="_Toc90936656"/>
      <w:r w:rsidRPr="00753D20">
        <w:rPr>
          <w:szCs w:val="28"/>
        </w:rPr>
        <w:lastRenderedPageBreak/>
        <w:t>Desempeño del Sistema de Planificación y Desarrollo Institucional</w:t>
      </w:r>
      <w:bookmarkEnd w:id="71"/>
    </w:p>
    <w:p w:rsidR="00A3748B" w:rsidRDefault="00A3748B" w:rsidP="00940803">
      <w:pPr>
        <w:pStyle w:val="Sinespaciado"/>
      </w:pPr>
    </w:p>
    <w:p w:rsidR="00C222B8" w:rsidRPr="00C222B8" w:rsidRDefault="00C222B8" w:rsidP="00C222B8">
      <w:pPr>
        <w:spacing w:after="0" w:line="360" w:lineRule="auto"/>
        <w:rPr>
          <w:rFonts w:eastAsia="Times New Roman"/>
        </w:rPr>
      </w:pPr>
      <w:r w:rsidRPr="00C222B8">
        <w:rPr>
          <w:rFonts w:eastAsia="Times New Roman"/>
        </w:rPr>
        <w:t>El redimensionamiento y reorientación de la institución ha conllevado un trabajo intenso en cuanto a la planificación institucional, toda vez que ha sido necesaria, además de la actividad de evaluación de los planes estratégicos y operativos, la propia formulación de estos, los cuales trazan las diferentes líneas de trabajo para los próximos años.</w:t>
      </w:r>
    </w:p>
    <w:p w:rsidR="00C222B8" w:rsidRPr="00C222B8" w:rsidRDefault="00C222B8" w:rsidP="00C222B8">
      <w:pPr>
        <w:spacing w:after="0" w:line="240" w:lineRule="auto"/>
        <w:jc w:val="left"/>
        <w:rPr>
          <w:rFonts w:eastAsia="Times New Roman"/>
          <w:color w:val="auto"/>
        </w:rPr>
      </w:pPr>
    </w:p>
    <w:p w:rsidR="00C222B8" w:rsidRPr="00C222B8" w:rsidRDefault="00C222B8" w:rsidP="00C222B8">
      <w:pPr>
        <w:spacing w:after="0" w:line="360" w:lineRule="auto"/>
        <w:rPr>
          <w:rFonts w:eastAsia="Times New Roman"/>
        </w:rPr>
      </w:pPr>
      <w:r w:rsidRPr="00C222B8">
        <w:rPr>
          <w:rFonts w:eastAsia="Times New Roman"/>
        </w:rPr>
        <w:t>El desafío no ha sido menor. Ha implicado una mirada coherente a los planes de gobierno en aras de una verdadera alineación que facilite sinergias capaces de potenciar el impacto de las políticas públicas en el sector de las telecomunicaciones.</w:t>
      </w:r>
    </w:p>
    <w:p w:rsidR="00C222B8" w:rsidRPr="00C222B8" w:rsidRDefault="00C222B8" w:rsidP="00C222B8">
      <w:pPr>
        <w:spacing w:after="0" w:line="240" w:lineRule="auto"/>
        <w:jc w:val="left"/>
        <w:rPr>
          <w:rFonts w:eastAsia="Times New Roman"/>
          <w:color w:val="auto"/>
        </w:rPr>
      </w:pPr>
    </w:p>
    <w:p w:rsidR="00C222B8" w:rsidRPr="00C222B8" w:rsidRDefault="00C222B8" w:rsidP="00C222B8">
      <w:pPr>
        <w:spacing w:after="0" w:line="360" w:lineRule="auto"/>
        <w:rPr>
          <w:rFonts w:eastAsia="Times New Roman"/>
        </w:rPr>
      </w:pPr>
      <w:r w:rsidRPr="00C222B8">
        <w:rPr>
          <w:rFonts w:eastAsia="Times New Roman"/>
        </w:rPr>
        <w:t>Este proceso implicó la revisión de todo el contexto y en conjunto con las distintas áreas de la institución fue elaborado el Plan Estratégico Institucional (PEI) 2021 – 2024 cumpliendo con los lineamientos establecidos por el Ministerio de Economía, Planificación y Desarrollo (MEPYD) y procurando la correcta alineación con los diferentes instrumentos de la planificación global. Además de esta actividad extraordinaria, se ha cumplido con el seguimiento a la planificación operativa del presente año así como con la formulación del Plan Operativo Anual (POA) del próximo año 2022, alineado a la planificación estratégica institucional.</w:t>
      </w:r>
    </w:p>
    <w:p w:rsidR="00C222B8" w:rsidRPr="00C222B8" w:rsidRDefault="00C222B8" w:rsidP="00C222B8">
      <w:pPr>
        <w:spacing w:after="0" w:line="240" w:lineRule="auto"/>
        <w:jc w:val="left"/>
        <w:rPr>
          <w:rFonts w:eastAsia="Times New Roman"/>
          <w:color w:val="auto"/>
        </w:rPr>
      </w:pPr>
    </w:p>
    <w:p w:rsidR="00C222B8" w:rsidRPr="00C222B8" w:rsidRDefault="00C222B8" w:rsidP="00C222B8">
      <w:pPr>
        <w:spacing w:after="0" w:line="360" w:lineRule="auto"/>
        <w:rPr>
          <w:rFonts w:eastAsia="Times New Roman"/>
        </w:rPr>
      </w:pPr>
      <w:r w:rsidRPr="00C222B8">
        <w:rPr>
          <w:rFonts w:eastAsia="Times New Roman"/>
        </w:rPr>
        <w:t>Por otro lado, se continuó el seguimiento al cumplimiento de los distintos indicadores de los sistemas de la gestión pública y a la Carta Compromiso al Ciudadano.</w:t>
      </w:r>
    </w:p>
    <w:p w:rsidR="00D55B20" w:rsidRPr="00A829C6" w:rsidRDefault="00D55B20" w:rsidP="00A829C6">
      <w:pPr>
        <w:pStyle w:val="Sinespaciado"/>
      </w:pPr>
    </w:p>
    <w:p w:rsidR="00D55B20" w:rsidRDefault="00D55B20" w:rsidP="00A829C6">
      <w:pPr>
        <w:pStyle w:val="Sinespaciado"/>
      </w:pPr>
    </w:p>
    <w:p w:rsidR="007A6B9F" w:rsidRDefault="007A6B9F" w:rsidP="00A829C6">
      <w:pPr>
        <w:pStyle w:val="Sinespaciado"/>
      </w:pPr>
    </w:p>
    <w:p w:rsidR="007A6B9F" w:rsidRDefault="007A6B9F" w:rsidP="00A829C6">
      <w:pPr>
        <w:pStyle w:val="Sinespaciado"/>
      </w:pPr>
    </w:p>
    <w:p w:rsidR="007A6B9F" w:rsidRDefault="007A6B9F" w:rsidP="00A829C6">
      <w:pPr>
        <w:pStyle w:val="Sinespaciado"/>
      </w:pPr>
    </w:p>
    <w:p w:rsidR="007A6B9F" w:rsidRDefault="007A6B9F" w:rsidP="00A829C6">
      <w:pPr>
        <w:pStyle w:val="Sinespaciado"/>
      </w:pPr>
    </w:p>
    <w:p w:rsidR="007A6B9F" w:rsidRDefault="007A6B9F" w:rsidP="00A829C6">
      <w:pPr>
        <w:pStyle w:val="Sinespaciado"/>
      </w:pPr>
    </w:p>
    <w:p w:rsidR="007A6B9F" w:rsidRPr="00A829C6" w:rsidRDefault="007A6B9F" w:rsidP="00A829C6">
      <w:pPr>
        <w:pStyle w:val="Sinespaciado"/>
      </w:pPr>
    </w:p>
    <w:p w:rsidR="00644D99" w:rsidRDefault="00644D99" w:rsidP="00644D99">
      <w:pPr>
        <w:pStyle w:val="Ttulo4"/>
      </w:pPr>
      <w:r w:rsidRPr="0063339A">
        <w:lastRenderedPageBreak/>
        <w:t>Resultados de las Normas Básicas de Control Interno (NOBACI)</w:t>
      </w:r>
    </w:p>
    <w:p w:rsidR="004C0BC7" w:rsidRPr="004C0BC7" w:rsidRDefault="004C0BC7" w:rsidP="004C0BC7">
      <w:pPr>
        <w:pStyle w:val="Sinespaciado"/>
      </w:pPr>
    </w:p>
    <w:p w:rsidR="00F11D29" w:rsidRPr="00F11D29" w:rsidRDefault="00F11D29" w:rsidP="00F11D29">
      <w:pPr>
        <w:spacing w:line="360" w:lineRule="auto"/>
        <w:rPr>
          <w:rFonts w:eastAsiaTheme="minorHAnsi"/>
          <w:szCs w:val="24"/>
          <w:lang w:eastAsia="en-US"/>
        </w:rPr>
      </w:pPr>
      <w:r w:rsidRPr="00F11D29">
        <w:rPr>
          <w:rFonts w:eastAsiaTheme="minorHAnsi"/>
          <w:szCs w:val="24"/>
          <w:lang w:eastAsia="en-US"/>
        </w:rPr>
        <w:t>La institución en el año 2020 contaba con un 94.40% de cumplimiento en el indicador de las Normas Básicas de Control Interno (NOBACI). La Contraloría General de la República Dominicana, organismo rector del Sistema Nacional de Control Interno, emitió la Resolución Núm. 008-20 mediante la cual dispuso la entrada en vigencia de unas nuevas matrices de autoevaluación y de un nuevo proceso de autodiagnóstico basado en los nuevos requerimientos.</w:t>
      </w:r>
    </w:p>
    <w:p w:rsidR="00F11D29" w:rsidRPr="00F11D29" w:rsidRDefault="00F11D29" w:rsidP="00F11D29">
      <w:pPr>
        <w:spacing w:after="0" w:line="240" w:lineRule="auto"/>
        <w:jc w:val="left"/>
        <w:rPr>
          <w:rFonts w:eastAsiaTheme="minorHAnsi"/>
          <w:color w:val="auto"/>
          <w:lang w:eastAsia="en-US"/>
        </w:rPr>
      </w:pPr>
      <w:r w:rsidRPr="00F11D29">
        <w:rPr>
          <w:rFonts w:eastAsiaTheme="minorHAnsi"/>
          <w:color w:val="auto"/>
          <w:lang w:eastAsia="en-US"/>
        </w:rPr>
        <w:t xml:space="preserve">  </w:t>
      </w:r>
    </w:p>
    <w:p w:rsidR="00F11D29" w:rsidRPr="00F11D29" w:rsidRDefault="00F11D29" w:rsidP="00F11D29">
      <w:pPr>
        <w:spacing w:line="360" w:lineRule="auto"/>
        <w:rPr>
          <w:rFonts w:eastAsiaTheme="minorHAnsi"/>
          <w:szCs w:val="24"/>
          <w:lang w:eastAsia="en-US"/>
        </w:rPr>
      </w:pPr>
      <w:r w:rsidRPr="00F11D29">
        <w:rPr>
          <w:rFonts w:eastAsiaTheme="minorHAnsi"/>
          <w:szCs w:val="24"/>
          <w:lang w:eastAsia="en-US"/>
        </w:rPr>
        <w:t>En la institución fue conformado un equipo de implementación el cual fue aprobado por la máxima autoridad con la finalidad de coordinar la implementación de la NOBACI. En estos momentos nos encontramos realizando el autodiagnóstico y procediendo al envío de las evidencias que dispone la institución.</w:t>
      </w:r>
    </w:p>
    <w:p w:rsidR="00644D99" w:rsidRDefault="00644D99"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rPr>
          <w:rFonts w:eastAsiaTheme="minorHAnsi"/>
          <w:color w:val="767171"/>
          <w:szCs w:val="24"/>
          <w:lang w:eastAsia="en-US"/>
        </w:rPr>
      </w:pPr>
    </w:p>
    <w:p w:rsidR="007A6B9F" w:rsidRDefault="007A6B9F" w:rsidP="00644D99">
      <w:pPr>
        <w:pStyle w:val="Sinespaciado"/>
      </w:pPr>
    </w:p>
    <w:p w:rsidR="00644D99" w:rsidRPr="00644D99" w:rsidRDefault="00644D99" w:rsidP="00644D99">
      <w:pPr>
        <w:pStyle w:val="Ttulo4"/>
      </w:pPr>
      <w:r w:rsidRPr="00644D99">
        <w:lastRenderedPageBreak/>
        <w:t>Resultados de los Sistemas de Calidad</w:t>
      </w:r>
    </w:p>
    <w:p w:rsidR="00644D99" w:rsidRPr="00D3090E" w:rsidRDefault="00644D99" w:rsidP="004C0BC7">
      <w:pPr>
        <w:pStyle w:val="Sinespaciado"/>
      </w:pPr>
    </w:p>
    <w:p w:rsidR="00C222B8" w:rsidRPr="006B5020" w:rsidRDefault="00C222B8" w:rsidP="00C222B8">
      <w:pPr>
        <w:spacing w:line="360" w:lineRule="auto"/>
        <w:rPr>
          <w:szCs w:val="24"/>
        </w:rPr>
      </w:pPr>
      <w:r w:rsidRPr="006B5020">
        <w:rPr>
          <w:szCs w:val="24"/>
        </w:rPr>
        <w:t>En la institución llevamos a cabo una gestión por procesos. Realizamos anualmente un autodiagnóstico utilizando la metodología CAF a través del cual identificamos los puntos fuertes y las áreas de mejoras para implementar las acciones necesarias para elevar la calidad de los servicios que ofrecemos.</w:t>
      </w:r>
    </w:p>
    <w:p w:rsidR="00C222B8" w:rsidRPr="006B5020" w:rsidRDefault="00C222B8" w:rsidP="00C222B8">
      <w:pPr>
        <w:spacing w:after="0" w:line="240" w:lineRule="auto"/>
      </w:pPr>
    </w:p>
    <w:p w:rsidR="00C222B8" w:rsidRPr="006B5020" w:rsidRDefault="00C222B8" w:rsidP="00C222B8">
      <w:pPr>
        <w:spacing w:line="360" w:lineRule="auto"/>
        <w:rPr>
          <w:szCs w:val="24"/>
        </w:rPr>
      </w:pPr>
      <w:r w:rsidRPr="006B5020">
        <w:rPr>
          <w:szCs w:val="24"/>
        </w:rPr>
        <w:t xml:space="preserve">La metodología CAF requiere que se evalúen 9 Criterios y 28 Sub Criterios. </w:t>
      </w:r>
      <w:r>
        <w:rPr>
          <w:szCs w:val="24"/>
        </w:rPr>
        <w:t xml:space="preserve">Los primeros </w:t>
      </w:r>
      <w:r w:rsidRPr="006B5020">
        <w:rPr>
          <w:szCs w:val="24"/>
        </w:rPr>
        <w:t xml:space="preserve">cinco Criterios </w:t>
      </w:r>
      <w:r>
        <w:rPr>
          <w:szCs w:val="24"/>
        </w:rPr>
        <w:t xml:space="preserve">son facilitadores a través de los cuales </w:t>
      </w:r>
      <w:r w:rsidRPr="006B5020">
        <w:rPr>
          <w:szCs w:val="24"/>
        </w:rPr>
        <w:t xml:space="preserve">se evalúa lo que hace la organización y </w:t>
      </w:r>
      <w:r>
        <w:rPr>
          <w:szCs w:val="24"/>
        </w:rPr>
        <w:t xml:space="preserve">la manera en que </w:t>
      </w:r>
      <w:r w:rsidRPr="006B5020">
        <w:rPr>
          <w:szCs w:val="24"/>
        </w:rPr>
        <w:t>s</w:t>
      </w:r>
      <w:r>
        <w:rPr>
          <w:szCs w:val="24"/>
        </w:rPr>
        <w:t>on planteadas</w:t>
      </w:r>
      <w:r w:rsidRPr="006B5020">
        <w:rPr>
          <w:szCs w:val="24"/>
        </w:rPr>
        <w:t xml:space="preserve"> las tareas para alcanzar los resultados deseados y en los restantes cuatro Criterios, se evalúan los resultados y se mide la percepción de los empleados, clientes y la sociedad.</w:t>
      </w:r>
    </w:p>
    <w:p w:rsidR="00C222B8" w:rsidRPr="006B5020" w:rsidRDefault="00C222B8" w:rsidP="00C222B8">
      <w:pPr>
        <w:spacing w:after="0" w:line="240" w:lineRule="auto"/>
      </w:pPr>
    </w:p>
    <w:p w:rsidR="00C222B8" w:rsidRPr="006B5020" w:rsidRDefault="00C222B8" w:rsidP="00C222B8">
      <w:pPr>
        <w:spacing w:line="360" w:lineRule="auto"/>
        <w:rPr>
          <w:szCs w:val="24"/>
        </w:rPr>
      </w:pPr>
      <w:r>
        <w:rPr>
          <w:szCs w:val="24"/>
        </w:rPr>
        <w:t>En el año 2021</w:t>
      </w:r>
      <w:r w:rsidRPr="006B5020">
        <w:rPr>
          <w:szCs w:val="24"/>
        </w:rPr>
        <w:t xml:space="preserve"> </w:t>
      </w:r>
      <w:r>
        <w:rPr>
          <w:szCs w:val="24"/>
        </w:rPr>
        <w:t>fue elaborado un autodiagnóstico utilizando la metodología CAF,</w:t>
      </w:r>
      <w:r w:rsidRPr="006B5020">
        <w:rPr>
          <w:szCs w:val="24"/>
        </w:rPr>
        <w:t xml:space="preserve"> </w:t>
      </w:r>
      <w:r>
        <w:rPr>
          <w:szCs w:val="24"/>
        </w:rPr>
        <w:t xml:space="preserve">en los primeros cinco criterios fueron evaluados </w:t>
      </w:r>
      <w:r w:rsidRPr="006B5020">
        <w:rPr>
          <w:szCs w:val="24"/>
        </w:rPr>
        <w:t xml:space="preserve">el liderazgo, </w:t>
      </w:r>
      <w:r>
        <w:rPr>
          <w:szCs w:val="24"/>
        </w:rPr>
        <w:t xml:space="preserve">la </w:t>
      </w:r>
      <w:r w:rsidRPr="006B5020">
        <w:rPr>
          <w:szCs w:val="24"/>
        </w:rPr>
        <w:t xml:space="preserve">estrategia, </w:t>
      </w:r>
      <w:r>
        <w:rPr>
          <w:szCs w:val="24"/>
        </w:rPr>
        <w:t xml:space="preserve">la </w:t>
      </w:r>
      <w:r w:rsidRPr="006B5020">
        <w:rPr>
          <w:szCs w:val="24"/>
        </w:rPr>
        <w:t xml:space="preserve">planificación, </w:t>
      </w:r>
      <w:r>
        <w:rPr>
          <w:szCs w:val="24"/>
        </w:rPr>
        <w:t xml:space="preserve">las </w:t>
      </w:r>
      <w:r w:rsidRPr="006B5020">
        <w:rPr>
          <w:szCs w:val="24"/>
        </w:rPr>
        <w:t xml:space="preserve">personas, </w:t>
      </w:r>
      <w:r>
        <w:rPr>
          <w:szCs w:val="24"/>
        </w:rPr>
        <w:t xml:space="preserve">las </w:t>
      </w:r>
      <w:r w:rsidRPr="006B5020">
        <w:rPr>
          <w:szCs w:val="24"/>
        </w:rPr>
        <w:t xml:space="preserve">alianzas, </w:t>
      </w:r>
      <w:r>
        <w:rPr>
          <w:szCs w:val="24"/>
        </w:rPr>
        <w:t xml:space="preserve">los </w:t>
      </w:r>
      <w:r w:rsidRPr="006B5020">
        <w:rPr>
          <w:szCs w:val="24"/>
        </w:rPr>
        <w:t>recursos y los procesos. Dentro de las evidencias que disponemos para su cumplimiento se encuentran: la estructura organizacional, Plan Estratégico Institucional (PEI), misión, visión, valores, la Comisión de Ética Pública (CEP),  la cual vela por la correcta cond</w:t>
      </w:r>
      <w:r>
        <w:rPr>
          <w:szCs w:val="24"/>
        </w:rPr>
        <w:t xml:space="preserve">ucta de los colaboradores y </w:t>
      </w:r>
      <w:r w:rsidRPr="006B5020">
        <w:rPr>
          <w:szCs w:val="24"/>
        </w:rPr>
        <w:t>una Alta Dirección cuyo comportamiento se encuentra</w:t>
      </w:r>
      <w:r>
        <w:rPr>
          <w:szCs w:val="24"/>
        </w:rPr>
        <w:t>n</w:t>
      </w:r>
      <w:r w:rsidRPr="006B5020">
        <w:rPr>
          <w:szCs w:val="24"/>
        </w:rPr>
        <w:t xml:space="preserve"> apegado a los valores institucionales. Tenemos  identificados los grupos de interés así como sus necesidades y expectativas. Disponemos documentados los procedimientos y políticas para gestionar los recursos humanos, firmamos acuerdos y convenios  con instituciones nacionales e internacionales, tanto del sector privado como del sector público, coordinamos mesas técnicas con el sector </w:t>
      </w:r>
      <w:r>
        <w:rPr>
          <w:szCs w:val="24"/>
        </w:rPr>
        <w:t xml:space="preserve">que regulamos </w:t>
      </w:r>
      <w:r w:rsidRPr="006B5020">
        <w:rPr>
          <w:szCs w:val="24"/>
        </w:rPr>
        <w:t xml:space="preserve">para identificar sus necesidades y tenemos identificados los procesos claves de la institución. </w:t>
      </w:r>
    </w:p>
    <w:p w:rsidR="00C222B8" w:rsidRPr="006B5020" w:rsidRDefault="00C222B8" w:rsidP="00C222B8">
      <w:pPr>
        <w:spacing w:after="0" w:line="240" w:lineRule="auto"/>
      </w:pPr>
    </w:p>
    <w:p w:rsidR="00C222B8" w:rsidRPr="006B5020" w:rsidRDefault="00C222B8" w:rsidP="00C222B8">
      <w:pPr>
        <w:spacing w:line="360" w:lineRule="auto"/>
        <w:rPr>
          <w:szCs w:val="24"/>
        </w:rPr>
      </w:pPr>
      <w:r w:rsidRPr="006B5020">
        <w:rPr>
          <w:szCs w:val="24"/>
        </w:rPr>
        <w:t xml:space="preserve">En los últimos cuatro Criterios </w:t>
      </w:r>
      <w:r>
        <w:rPr>
          <w:szCs w:val="24"/>
        </w:rPr>
        <w:t xml:space="preserve">fueron evaluados </w:t>
      </w:r>
      <w:r w:rsidRPr="006B5020">
        <w:rPr>
          <w:szCs w:val="24"/>
        </w:rPr>
        <w:t xml:space="preserve">los resultados orientados a los clientes, colaboradores y </w:t>
      </w:r>
      <w:r>
        <w:rPr>
          <w:szCs w:val="24"/>
        </w:rPr>
        <w:t xml:space="preserve">la </w:t>
      </w:r>
      <w:r w:rsidRPr="006B5020">
        <w:rPr>
          <w:szCs w:val="24"/>
        </w:rPr>
        <w:t xml:space="preserve">responsabilidad social. Para su cumplimiento </w:t>
      </w:r>
      <w:r w:rsidRPr="006B5020">
        <w:rPr>
          <w:szCs w:val="24"/>
        </w:rPr>
        <w:lastRenderedPageBreak/>
        <w:t>disponemos de una encuest</w:t>
      </w:r>
      <w:r>
        <w:rPr>
          <w:szCs w:val="24"/>
        </w:rPr>
        <w:t>a de satisfacción al cliente, una</w:t>
      </w:r>
      <w:r w:rsidRPr="006B5020">
        <w:rPr>
          <w:szCs w:val="24"/>
        </w:rPr>
        <w:t xml:space="preserve"> Carta Compromiso al Ciudadano, indicadores de las Mediciones </w:t>
      </w:r>
      <w:r>
        <w:rPr>
          <w:szCs w:val="24"/>
        </w:rPr>
        <w:t xml:space="preserve">del </w:t>
      </w:r>
      <w:r w:rsidRPr="006B5020">
        <w:rPr>
          <w:szCs w:val="24"/>
        </w:rPr>
        <w:t xml:space="preserve">Sistema de Transparencia, encuesta de clima </w:t>
      </w:r>
      <w:r>
        <w:rPr>
          <w:szCs w:val="24"/>
        </w:rPr>
        <w:t>organizacional p</w:t>
      </w:r>
      <w:r w:rsidRPr="006B5020">
        <w:rPr>
          <w:szCs w:val="24"/>
        </w:rPr>
        <w:t>ara verificar los resultados que está alcanzando la organización e</w:t>
      </w:r>
      <w:r>
        <w:rPr>
          <w:szCs w:val="24"/>
        </w:rPr>
        <w:t xml:space="preserve">n relación con la satisfacción </w:t>
      </w:r>
      <w:r w:rsidRPr="006B5020">
        <w:rPr>
          <w:szCs w:val="24"/>
        </w:rPr>
        <w:t>del personal, fueron llevados a cabo proyectos de desarrollo con la finalidad de cerrar la brecha digital de las telecomunicaciones y disponemos de indicadores de efectividad de los principales procesos.</w:t>
      </w:r>
    </w:p>
    <w:p w:rsidR="00C222B8" w:rsidRPr="006B5020" w:rsidRDefault="00C222B8" w:rsidP="00C222B8">
      <w:pPr>
        <w:spacing w:after="0" w:line="240" w:lineRule="auto"/>
      </w:pPr>
    </w:p>
    <w:p w:rsidR="00644D99" w:rsidRDefault="00644D99"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7A6B9F" w:rsidRDefault="007A6B9F"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Default="00C222B8" w:rsidP="000870B5">
      <w:pPr>
        <w:pStyle w:val="Sinespaciado"/>
      </w:pPr>
    </w:p>
    <w:p w:rsidR="00C222B8" w:rsidRPr="000870B5" w:rsidRDefault="00C222B8" w:rsidP="000870B5">
      <w:pPr>
        <w:pStyle w:val="Sinespaciado"/>
      </w:pPr>
    </w:p>
    <w:p w:rsidR="00644D99" w:rsidRDefault="00644D99" w:rsidP="00644D99">
      <w:pPr>
        <w:pStyle w:val="Ttulo4"/>
      </w:pPr>
      <w:r>
        <w:lastRenderedPageBreak/>
        <w:t>Acciones para el Fortalecimiento Institucional</w:t>
      </w:r>
    </w:p>
    <w:p w:rsidR="00644D99" w:rsidRPr="00D3090E" w:rsidRDefault="00644D99" w:rsidP="00644D99">
      <w:pPr>
        <w:pStyle w:val="Sinespaciado"/>
      </w:pPr>
    </w:p>
    <w:p w:rsidR="00C222B8" w:rsidRDefault="00C222B8" w:rsidP="00C222B8">
      <w:pPr>
        <w:spacing w:line="360" w:lineRule="auto"/>
        <w:rPr>
          <w:rFonts w:eastAsiaTheme="minorHAnsi"/>
          <w:szCs w:val="24"/>
          <w:lang w:eastAsia="en-US"/>
        </w:rPr>
      </w:pPr>
      <w:r w:rsidRPr="00C222B8">
        <w:rPr>
          <w:rFonts w:eastAsiaTheme="minorHAnsi"/>
          <w:szCs w:val="24"/>
          <w:lang w:eastAsia="en-US"/>
        </w:rPr>
        <w:t xml:space="preserve">En el primer semestre del año 2021, fue elaborado el Plan Estratégico Institucional (PEI) 2021-2024 en el cual fueron definidos 4 Ejes Estratégicos, uno de ellos es el Eje de Fortalecimiento Institucional que tiene como finalidad fortalecer las áreas de apoyo y transversales para </w:t>
      </w:r>
      <w:proofErr w:type="spellStart"/>
      <w:r w:rsidRPr="00C222B8">
        <w:rPr>
          <w:rFonts w:eastAsiaTheme="minorHAnsi"/>
          <w:szCs w:val="24"/>
          <w:lang w:eastAsia="en-US"/>
        </w:rPr>
        <w:t>eficientizar</w:t>
      </w:r>
      <w:proofErr w:type="spellEnd"/>
      <w:r w:rsidRPr="00C222B8">
        <w:rPr>
          <w:rFonts w:eastAsiaTheme="minorHAnsi"/>
          <w:szCs w:val="24"/>
          <w:lang w:eastAsia="en-US"/>
        </w:rPr>
        <w:t xml:space="preserve"> la gestión institucional. Las iniciativas llevadas a cabo por las áreas que impactan este Eje están siendo mencionadas en las diferentes secciones del presente acápite de “Resultados Áreas Transversales y de Apoyo”. </w:t>
      </w: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C222B8">
      <w:pPr>
        <w:spacing w:line="360" w:lineRule="auto"/>
        <w:rPr>
          <w:rFonts w:eastAsiaTheme="minorHAnsi"/>
          <w:szCs w:val="24"/>
          <w:lang w:eastAsia="en-US"/>
        </w:rPr>
      </w:pPr>
    </w:p>
    <w:p w:rsidR="00472528" w:rsidRDefault="00472528" w:rsidP="00472528">
      <w:pPr>
        <w:pStyle w:val="Ttulo3"/>
        <w:rPr>
          <w:szCs w:val="28"/>
        </w:rPr>
      </w:pPr>
      <w:bookmarkStart w:id="72" w:name="_Toc90936657"/>
      <w:r>
        <w:rPr>
          <w:szCs w:val="28"/>
        </w:rPr>
        <w:lastRenderedPageBreak/>
        <w:t>Equidad de Género</w:t>
      </w:r>
      <w:bookmarkEnd w:id="72"/>
    </w:p>
    <w:p w:rsidR="00472528" w:rsidRPr="00472528" w:rsidRDefault="00472528" w:rsidP="00931DAE">
      <w:pPr>
        <w:pStyle w:val="Textonotasalpie"/>
      </w:pPr>
    </w:p>
    <w:p w:rsidR="00472528" w:rsidRPr="00472528" w:rsidRDefault="00472528" w:rsidP="00472528">
      <w:pPr>
        <w:spacing w:line="360" w:lineRule="auto"/>
        <w:rPr>
          <w:rFonts w:eastAsiaTheme="minorHAnsi"/>
          <w:color w:val="717176"/>
          <w:szCs w:val="24"/>
          <w:lang w:eastAsia="en-US"/>
        </w:rPr>
      </w:pPr>
      <w:r w:rsidRPr="00472528">
        <w:rPr>
          <w:rFonts w:eastAsiaTheme="minorHAnsi"/>
          <w:color w:val="717176"/>
          <w:szCs w:val="24"/>
          <w:lang w:eastAsia="en-US"/>
        </w:rPr>
        <w:t xml:space="preserve">El INDOTEL, acogiéndose a la iniciativa del Ministerio de la Mujer de </w:t>
      </w:r>
      <w:proofErr w:type="spellStart"/>
      <w:r w:rsidRPr="00472528">
        <w:rPr>
          <w:rFonts w:eastAsiaTheme="minorHAnsi"/>
          <w:color w:val="717176"/>
          <w:szCs w:val="24"/>
          <w:lang w:eastAsia="en-US"/>
        </w:rPr>
        <w:t>transversalizar</w:t>
      </w:r>
      <w:proofErr w:type="spellEnd"/>
      <w:r w:rsidRPr="00472528">
        <w:rPr>
          <w:rFonts w:eastAsiaTheme="minorHAnsi"/>
          <w:color w:val="717176"/>
          <w:szCs w:val="24"/>
          <w:lang w:eastAsia="en-US"/>
        </w:rPr>
        <w:t xml:space="preserve"> el enfoque de género en la planificación nacional, en fecha 22 de abril de 2021 asume el compromiso por la igualdad de género y la disminución de brecha entre hombres y mujeres. Es por esto, que el presidente del Consejo Directivo del INDOTEL, señor Nelson Arroyo, firmó la Carta Compromiso por la Igualdad de Género con el Ministerio de la Mujer y el Programa de las Naciones Unidas para el Desarrollo (PNUD).</w:t>
      </w:r>
    </w:p>
    <w:p w:rsidR="00472528" w:rsidRPr="00472528" w:rsidRDefault="00472528" w:rsidP="00472528">
      <w:pPr>
        <w:spacing w:line="360" w:lineRule="auto"/>
        <w:rPr>
          <w:rFonts w:eastAsiaTheme="minorHAnsi"/>
          <w:color w:val="717176"/>
          <w:szCs w:val="24"/>
          <w:lang w:eastAsia="en-US"/>
        </w:rPr>
      </w:pPr>
      <w:r w:rsidRPr="00472528">
        <w:rPr>
          <w:rFonts w:eastAsiaTheme="minorHAnsi"/>
          <w:color w:val="717176"/>
          <w:szCs w:val="24"/>
          <w:lang w:eastAsia="en-US"/>
        </w:rPr>
        <w:t>Cumpliendo con los requerimientos establecidos para la implementación del Sello, el 17 de junio de 2021, se crea el Comité de Igualdad de Género y el Equipo Técnico mediante la Res. Núm. 059-21, aprobada por el Consejo Directivo del INDOTEL.</w:t>
      </w:r>
    </w:p>
    <w:p w:rsidR="00472528" w:rsidRPr="00472528" w:rsidRDefault="00472528" w:rsidP="00472528">
      <w:pPr>
        <w:spacing w:line="360" w:lineRule="auto"/>
        <w:rPr>
          <w:rFonts w:eastAsiaTheme="minorHAnsi"/>
          <w:color w:val="717176"/>
          <w:szCs w:val="24"/>
          <w:lang w:eastAsia="en-US"/>
        </w:rPr>
      </w:pPr>
      <w:r w:rsidRPr="00472528">
        <w:rPr>
          <w:rFonts w:eastAsiaTheme="minorHAnsi"/>
          <w:color w:val="717176"/>
          <w:szCs w:val="24"/>
          <w:lang w:eastAsia="en-US"/>
        </w:rPr>
        <w:t>Para dar cumplimento al inicio del proceso de implementación, la institución realizó un proceso de Autodiagnóstico de Género, el cual evalúa cinco dimensiones: Planificación para la Igualdad,</w:t>
      </w:r>
      <w:r w:rsidRPr="00472528">
        <w:rPr>
          <w:rFonts w:asciiTheme="minorHAnsi" w:eastAsiaTheme="minorHAnsi" w:hAnsiTheme="minorHAnsi" w:cstheme="minorBidi"/>
          <w:color w:val="auto"/>
          <w:sz w:val="22"/>
          <w:lang w:eastAsia="en-US"/>
        </w:rPr>
        <w:t xml:space="preserve"> </w:t>
      </w:r>
      <w:r w:rsidRPr="00472528">
        <w:rPr>
          <w:rFonts w:eastAsiaTheme="minorHAnsi"/>
          <w:color w:val="717176"/>
          <w:szCs w:val="24"/>
          <w:lang w:eastAsia="en-US"/>
        </w:rPr>
        <w:t>Capacidades y Arquitectura para la Igualdad de Género,</w:t>
      </w:r>
      <w:r w:rsidRPr="00472528">
        <w:rPr>
          <w:rFonts w:asciiTheme="minorHAnsi" w:eastAsiaTheme="minorHAnsi" w:hAnsiTheme="minorHAnsi" w:cstheme="minorBidi"/>
          <w:color w:val="auto"/>
          <w:sz w:val="22"/>
          <w:lang w:eastAsia="en-US"/>
        </w:rPr>
        <w:t xml:space="preserve"> </w:t>
      </w:r>
      <w:r w:rsidRPr="00472528">
        <w:rPr>
          <w:rFonts w:eastAsiaTheme="minorHAnsi"/>
          <w:color w:val="717176"/>
          <w:szCs w:val="24"/>
          <w:lang w:eastAsia="en-US"/>
        </w:rPr>
        <w:t xml:space="preserve">Ambiente Laboral para la Igualdad de Género, Alianzas para la Igualdad e Impacto en las Políticas Públicas, esto con miras a identificar las iniciativas y proyectos ya implementados por la institución y a su vez  las oportunidades de mejora que formarán parte del Plan de Acción. Este proceso incluyó la aplicación de dos encuestas a 252 colaboradores y colaboradoras: “Encuesta de Competencias de Género” y “Encuesta Ambiente de Trabajo”. Las mismas fueron completadas en la plataforma </w:t>
      </w:r>
      <w:proofErr w:type="spellStart"/>
      <w:r w:rsidRPr="00472528">
        <w:rPr>
          <w:rFonts w:eastAsiaTheme="minorHAnsi"/>
          <w:color w:val="717176"/>
          <w:szCs w:val="24"/>
          <w:lang w:eastAsia="en-US"/>
        </w:rPr>
        <w:t>Gender</w:t>
      </w:r>
      <w:proofErr w:type="spellEnd"/>
      <w:r w:rsidRPr="00472528">
        <w:rPr>
          <w:rFonts w:eastAsiaTheme="minorHAnsi"/>
          <w:color w:val="717176"/>
          <w:szCs w:val="24"/>
          <w:lang w:eastAsia="en-US"/>
        </w:rPr>
        <w:t xml:space="preserve"> </w:t>
      </w:r>
      <w:proofErr w:type="spellStart"/>
      <w:r w:rsidRPr="00472528">
        <w:rPr>
          <w:rFonts w:eastAsiaTheme="minorHAnsi"/>
          <w:color w:val="717176"/>
          <w:szCs w:val="24"/>
          <w:lang w:eastAsia="en-US"/>
        </w:rPr>
        <w:t>Equality</w:t>
      </w:r>
      <w:proofErr w:type="spellEnd"/>
      <w:r w:rsidRPr="00472528">
        <w:rPr>
          <w:rFonts w:eastAsiaTheme="minorHAnsi"/>
          <w:color w:val="717176"/>
          <w:szCs w:val="24"/>
          <w:lang w:eastAsia="en-US"/>
        </w:rPr>
        <w:t xml:space="preserve"> </w:t>
      </w:r>
      <w:proofErr w:type="spellStart"/>
      <w:r w:rsidRPr="00472528">
        <w:rPr>
          <w:rFonts w:eastAsiaTheme="minorHAnsi"/>
          <w:color w:val="717176"/>
          <w:szCs w:val="24"/>
          <w:lang w:eastAsia="en-US"/>
        </w:rPr>
        <w:t>Sel</w:t>
      </w:r>
      <w:proofErr w:type="spellEnd"/>
      <w:r w:rsidRPr="00472528">
        <w:rPr>
          <w:rFonts w:eastAsiaTheme="minorHAnsi"/>
          <w:color w:val="717176"/>
          <w:szCs w:val="24"/>
          <w:lang w:eastAsia="en-US"/>
        </w:rPr>
        <w:t xml:space="preserve">, del Programa de las Naciones Unidas para el Desarrollo (PNUD). </w:t>
      </w:r>
    </w:p>
    <w:p w:rsidR="00472528" w:rsidRPr="00472528" w:rsidRDefault="00472528" w:rsidP="00472528">
      <w:pPr>
        <w:spacing w:line="360" w:lineRule="auto"/>
        <w:rPr>
          <w:rFonts w:eastAsiaTheme="minorHAnsi"/>
          <w:color w:val="717176"/>
          <w:szCs w:val="24"/>
          <w:lang w:eastAsia="en-US"/>
        </w:rPr>
      </w:pPr>
      <w:r w:rsidRPr="00472528">
        <w:rPr>
          <w:rFonts w:eastAsiaTheme="minorHAnsi"/>
          <w:color w:val="717176"/>
          <w:szCs w:val="24"/>
          <w:lang w:eastAsia="en-US"/>
        </w:rPr>
        <w:t xml:space="preserve">A partir del miércoles 24 de septiembre por un periodo de 7 semanas, el Equipo Técnico de Igualdad de Género participó en el curso </w:t>
      </w:r>
      <w:r w:rsidR="00931DAE">
        <w:rPr>
          <w:rFonts w:eastAsiaTheme="minorHAnsi"/>
          <w:color w:val="717176"/>
          <w:szCs w:val="24"/>
          <w:lang w:eastAsia="en-US"/>
        </w:rPr>
        <w:t>“</w:t>
      </w:r>
      <w:r w:rsidRPr="00472528">
        <w:rPr>
          <w:rFonts w:eastAsiaTheme="minorHAnsi"/>
          <w:color w:val="717176"/>
          <w:szCs w:val="24"/>
          <w:lang w:eastAsia="en-US"/>
        </w:rPr>
        <w:t xml:space="preserve">Claves para la Igualdad de Género”, impartido por los asesores del PNUD Regional. En estas sesiones, participaron representantes de diferentes países y pudimos tener la oportunidad de </w:t>
      </w:r>
      <w:r w:rsidRPr="00472528">
        <w:rPr>
          <w:rFonts w:eastAsiaTheme="minorHAnsi"/>
          <w:color w:val="717176"/>
          <w:szCs w:val="24"/>
          <w:lang w:eastAsia="en-US"/>
        </w:rPr>
        <w:lastRenderedPageBreak/>
        <w:t>conocer la experiencia en cuanto a la implementación de este Sello en diferentes instituciones y cómo cada organización se ha ido adaptando a este enfoque.</w:t>
      </w:r>
    </w:p>
    <w:p w:rsidR="00472528" w:rsidRPr="00472528" w:rsidRDefault="00472528" w:rsidP="00472528">
      <w:pPr>
        <w:spacing w:line="360" w:lineRule="auto"/>
        <w:rPr>
          <w:rFonts w:eastAsiaTheme="minorHAnsi"/>
          <w:color w:val="717176"/>
          <w:szCs w:val="24"/>
          <w:lang w:eastAsia="en-US"/>
        </w:rPr>
      </w:pPr>
      <w:r w:rsidRPr="00472528">
        <w:rPr>
          <w:rFonts w:eastAsiaTheme="minorHAnsi"/>
          <w:color w:val="717176"/>
          <w:szCs w:val="24"/>
          <w:lang w:eastAsia="en-US"/>
        </w:rPr>
        <w:t>En fecha 12 de octubre, participamos en el Taller “Principios Básicos de Género”, coordinado por el Ministerio de la Mujer y el Programa de las Naciones Unidas para el Desarrollo (PNUD).</w:t>
      </w:r>
    </w:p>
    <w:p w:rsidR="00472528" w:rsidRPr="00472528" w:rsidRDefault="00472528" w:rsidP="00472528">
      <w:pPr>
        <w:spacing w:line="360" w:lineRule="auto"/>
        <w:rPr>
          <w:rFonts w:eastAsiaTheme="minorHAnsi"/>
          <w:color w:val="717176"/>
          <w:szCs w:val="24"/>
          <w:lang w:eastAsia="en-US"/>
        </w:rPr>
      </w:pPr>
      <w:r w:rsidRPr="00472528">
        <w:rPr>
          <w:rFonts w:eastAsiaTheme="minorHAnsi"/>
          <w:color w:val="717176"/>
          <w:szCs w:val="24"/>
          <w:lang w:eastAsia="en-US"/>
        </w:rPr>
        <w:t>A la fecha, nos encontramos en el proceso de diseñar el plan de acción para implementar las oportunidades de mejora detectadas en el proceso de Autodiagnóstico de Género.</w:t>
      </w:r>
    </w:p>
    <w:p w:rsidR="00472528" w:rsidRDefault="00472528" w:rsidP="00472528"/>
    <w:p w:rsidR="00472528" w:rsidRPr="00472528" w:rsidRDefault="00472528" w:rsidP="00472528"/>
    <w:p w:rsidR="00472528" w:rsidRPr="00C222B8" w:rsidRDefault="00472528" w:rsidP="00C222B8">
      <w:pPr>
        <w:spacing w:line="360" w:lineRule="auto"/>
        <w:rPr>
          <w:spacing w:val="20"/>
          <w:szCs w:val="24"/>
        </w:rPr>
      </w:pPr>
    </w:p>
    <w:p w:rsidR="003B53E0" w:rsidRDefault="003B53E0" w:rsidP="00644D99">
      <w:pPr>
        <w:spacing w:before="240" w:line="360" w:lineRule="auto"/>
        <w:rPr>
          <w:spacing w:val="20"/>
          <w:szCs w:val="24"/>
        </w:rPr>
      </w:pPr>
    </w:p>
    <w:p w:rsidR="003B53E0" w:rsidRDefault="003B53E0" w:rsidP="00644D99">
      <w:pPr>
        <w:spacing w:before="240" w:line="360" w:lineRule="auto"/>
        <w:rPr>
          <w:spacing w:val="20"/>
          <w:szCs w:val="24"/>
        </w:rPr>
      </w:pPr>
    </w:p>
    <w:p w:rsidR="00FD295B" w:rsidRDefault="00FD295B" w:rsidP="00644D99">
      <w:pPr>
        <w:spacing w:before="240" w:line="360" w:lineRule="auto"/>
        <w:rPr>
          <w:spacing w:val="20"/>
          <w:szCs w:val="24"/>
        </w:rPr>
      </w:pPr>
    </w:p>
    <w:p w:rsidR="00FD295B" w:rsidRDefault="00FD295B" w:rsidP="00644D99">
      <w:pPr>
        <w:spacing w:before="240" w:line="360" w:lineRule="auto"/>
        <w:rPr>
          <w:spacing w:val="20"/>
          <w:szCs w:val="24"/>
        </w:rPr>
      </w:pPr>
    </w:p>
    <w:p w:rsidR="007A6B9F" w:rsidRDefault="007A6B9F" w:rsidP="00644D99">
      <w:pPr>
        <w:spacing w:before="240" w:line="360" w:lineRule="auto"/>
        <w:rPr>
          <w:spacing w:val="20"/>
          <w:szCs w:val="24"/>
        </w:rPr>
      </w:pPr>
    </w:p>
    <w:p w:rsidR="007A6B9F" w:rsidRDefault="007A6B9F" w:rsidP="00644D99">
      <w:pPr>
        <w:spacing w:before="240" w:line="360" w:lineRule="auto"/>
        <w:rPr>
          <w:spacing w:val="20"/>
          <w:szCs w:val="24"/>
        </w:rPr>
      </w:pPr>
    </w:p>
    <w:p w:rsidR="007A6B9F" w:rsidRDefault="007A6B9F" w:rsidP="00644D99">
      <w:pPr>
        <w:spacing w:before="240" w:line="360" w:lineRule="auto"/>
        <w:rPr>
          <w:spacing w:val="20"/>
          <w:szCs w:val="24"/>
        </w:rPr>
      </w:pPr>
    </w:p>
    <w:p w:rsidR="007A6B9F" w:rsidRDefault="007A6B9F" w:rsidP="00644D99">
      <w:pPr>
        <w:spacing w:before="240" w:line="360" w:lineRule="auto"/>
        <w:rPr>
          <w:spacing w:val="20"/>
          <w:szCs w:val="24"/>
        </w:rPr>
      </w:pPr>
    </w:p>
    <w:p w:rsidR="007A6B9F" w:rsidRDefault="007A6B9F" w:rsidP="00644D99">
      <w:pPr>
        <w:spacing w:before="240" w:line="360" w:lineRule="auto"/>
        <w:rPr>
          <w:spacing w:val="20"/>
          <w:szCs w:val="24"/>
        </w:rPr>
      </w:pPr>
    </w:p>
    <w:p w:rsidR="00472528" w:rsidRDefault="00472528" w:rsidP="00644D99">
      <w:pPr>
        <w:spacing w:before="240" w:line="360" w:lineRule="auto"/>
        <w:rPr>
          <w:spacing w:val="20"/>
          <w:szCs w:val="24"/>
        </w:rPr>
      </w:pPr>
    </w:p>
    <w:p w:rsidR="00D3090E" w:rsidRDefault="00CC22C1" w:rsidP="0063339A">
      <w:pPr>
        <w:pStyle w:val="Ttulo3"/>
        <w:rPr>
          <w:szCs w:val="28"/>
        </w:rPr>
      </w:pPr>
      <w:bookmarkStart w:id="73" w:name="_Toc90936658"/>
      <w:r w:rsidRPr="0063339A">
        <w:rPr>
          <w:szCs w:val="28"/>
        </w:rPr>
        <w:lastRenderedPageBreak/>
        <w:t>Desempeño del Área</w:t>
      </w:r>
      <w:r w:rsidR="00A946EE">
        <w:rPr>
          <w:szCs w:val="28"/>
        </w:rPr>
        <w:t xml:space="preserve"> de</w:t>
      </w:r>
      <w:r w:rsidRPr="0063339A">
        <w:rPr>
          <w:szCs w:val="28"/>
        </w:rPr>
        <w:t xml:space="preserve"> Comunicaciones</w:t>
      </w:r>
      <w:bookmarkEnd w:id="73"/>
    </w:p>
    <w:p w:rsidR="0063339A" w:rsidRPr="0063339A" w:rsidRDefault="0063339A" w:rsidP="0063339A">
      <w:pPr>
        <w:pStyle w:val="Sinespaciado"/>
      </w:pPr>
    </w:p>
    <w:p w:rsidR="00AF71DD" w:rsidRPr="00AF71DD" w:rsidRDefault="00AF71DD" w:rsidP="00AF71DD">
      <w:pPr>
        <w:spacing w:line="360" w:lineRule="auto"/>
        <w:rPr>
          <w:szCs w:val="24"/>
        </w:rPr>
      </w:pPr>
      <w:r w:rsidRPr="00AF71DD">
        <w:rPr>
          <w:color w:val="767171" w:themeColor="background2" w:themeShade="80"/>
          <w:szCs w:val="24"/>
        </w:rPr>
        <w:t>El INDOTEL ha realizado un sistemático e intenso trabajo de difusión de sus acciones e iniciativas de comunicación, con miras a divulgar, en medios tradicionales y plataformas digitales, los proyectos que impulsa el regulador a través de sus direcciones y departamentos en beneficio de los usuarios y de los avances del sector de las telecomunicaciones, logrando así posicionar ante la opinión pública una imagen positiva de la institución, mediante sus  logros y perspectivas de desarrollo del sector.</w:t>
      </w:r>
    </w:p>
    <w:p w:rsidR="00AF71DD" w:rsidRPr="00AF71DD" w:rsidRDefault="00AF71DD" w:rsidP="00AF71DD">
      <w:pPr>
        <w:spacing w:after="0" w:line="240" w:lineRule="auto"/>
        <w:jc w:val="left"/>
        <w:rPr>
          <w:rFonts w:eastAsia="Times New Roman"/>
          <w:color w:val="auto"/>
        </w:rPr>
      </w:pPr>
      <w:r w:rsidRPr="00AF71DD">
        <w:rPr>
          <w:rFonts w:eastAsia="Times New Roman"/>
          <w:color w:val="auto"/>
        </w:rPr>
        <w:t xml:space="preserve"> </w:t>
      </w:r>
    </w:p>
    <w:p w:rsidR="00AF71DD" w:rsidRPr="00AF71DD" w:rsidRDefault="00AF71DD" w:rsidP="00AF71DD">
      <w:pPr>
        <w:spacing w:line="360" w:lineRule="auto"/>
        <w:rPr>
          <w:rFonts w:eastAsia="Times New Roman"/>
          <w:b/>
          <w:szCs w:val="24"/>
        </w:rPr>
      </w:pPr>
      <w:r w:rsidRPr="00AF71DD">
        <w:rPr>
          <w:rFonts w:eastAsia="Times New Roman"/>
          <w:b/>
          <w:szCs w:val="24"/>
        </w:rPr>
        <w:t xml:space="preserve">Campañas Publicitarias </w:t>
      </w:r>
    </w:p>
    <w:p w:rsidR="00AF71DD" w:rsidRPr="00AF71DD" w:rsidRDefault="00AF71DD" w:rsidP="00AF71DD">
      <w:pPr>
        <w:spacing w:line="360" w:lineRule="auto"/>
        <w:rPr>
          <w:rFonts w:eastAsia="Times New Roman"/>
          <w:szCs w:val="24"/>
        </w:rPr>
      </w:pPr>
      <w:r w:rsidRPr="00AF71DD">
        <w:rPr>
          <w:rFonts w:eastAsia="Times New Roman"/>
          <w:color w:val="767171" w:themeColor="background2" w:themeShade="80"/>
          <w:szCs w:val="24"/>
        </w:rPr>
        <w:t>El Instituto Dominicano de las Telecomunicaciones desarrolló durante todo el mes de enero una campaña publicitaria llamada “INDOTEL te Orienta”, para difundir en las redes sociales de la Institución y medios de comunicación, como el Hoy Digital y Listín Diario, en función a la Resolución Núm. 070-19: “Norma que regula la contratación y activación de los servicios públicos de telecomunicaciones”.</w:t>
      </w:r>
    </w:p>
    <w:p w:rsidR="00AF71DD" w:rsidRPr="00AF71DD" w:rsidRDefault="00AF71DD" w:rsidP="00AF71DD">
      <w:pPr>
        <w:spacing w:before="240" w:line="360" w:lineRule="auto"/>
        <w:rPr>
          <w:rFonts w:eastAsia="Times New Roman"/>
          <w:szCs w:val="24"/>
        </w:rPr>
      </w:pPr>
      <w:r w:rsidRPr="00AF71DD">
        <w:rPr>
          <w:rFonts w:eastAsia="Times New Roman"/>
          <w:color w:val="767171" w:themeColor="background2" w:themeShade="80"/>
          <w:szCs w:val="24"/>
        </w:rPr>
        <w:t>Para esta campaña se ejecutó un monto de RD$1</w:t>
      </w:r>
      <w:proofErr w:type="gramStart"/>
      <w:r w:rsidRPr="00AF71DD">
        <w:rPr>
          <w:rFonts w:eastAsia="Times New Roman"/>
          <w:color w:val="767171" w:themeColor="background2" w:themeShade="80"/>
          <w:szCs w:val="24"/>
        </w:rPr>
        <w:t>,602,600.48</w:t>
      </w:r>
      <w:proofErr w:type="gramEnd"/>
      <w:r w:rsidRPr="00AF71DD">
        <w:rPr>
          <w:rFonts w:eastAsia="Times New Roman"/>
          <w:color w:val="767171" w:themeColor="background2" w:themeShade="80"/>
          <w:szCs w:val="24"/>
        </w:rPr>
        <w:t xml:space="preserve"> que se utilizó para pagos de colocación de publicidad en medios de comunicación.</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Esta campaña obtuvo la cantidad total de 4,623,871 de visualizaciones en los medios de comunicación en que fue publicada, que se refiere al número de personas al que tuvo alcance la publicidad, y un total de 6,512 clics, que hace referencia a las veces en que usuarios interactuaron con la información.</w:t>
      </w:r>
    </w:p>
    <w:p w:rsid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La campaña “INDOTEL te Orienta”, tuvo un impacto positivo en la ciudadanía de acuerdo a las estadísticas presentadas a continuación:</w:t>
      </w:r>
    </w:p>
    <w:p w:rsidR="002B1FEF" w:rsidRPr="00AF71DD" w:rsidRDefault="002B1FEF" w:rsidP="00AF71DD">
      <w:pPr>
        <w:spacing w:line="360" w:lineRule="auto"/>
        <w:rPr>
          <w:rFonts w:eastAsia="Times New Roman"/>
          <w:color w:val="767171" w:themeColor="background2" w:themeShade="80"/>
          <w:szCs w:val="24"/>
        </w:rPr>
      </w:pPr>
    </w:p>
    <w:p w:rsidR="00AF71DD" w:rsidRPr="00AF71DD" w:rsidRDefault="00AF71DD" w:rsidP="00AF71DD">
      <w:pPr>
        <w:spacing w:after="0" w:line="240" w:lineRule="auto"/>
        <w:jc w:val="left"/>
        <w:rPr>
          <w:color w:val="auto"/>
          <w:sz w:val="20"/>
          <w:szCs w:val="20"/>
        </w:rPr>
      </w:pPr>
      <w:r w:rsidRPr="00AF71DD">
        <w:rPr>
          <w:rFonts w:eastAsia="Times New Roman"/>
          <w:color w:val="auto"/>
        </w:rPr>
        <w:fldChar w:fldCharType="begin"/>
      </w:r>
      <w:r w:rsidRPr="00AF71DD">
        <w:rPr>
          <w:rFonts w:eastAsia="Times New Roman"/>
          <w:color w:val="auto"/>
        </w:rPr>
        <w:instrText xml:space="preserve"> LINK </w:instrText>
      </w:r>
      <w:r w:rsidR="00832D6D">
        <w:rPr>
          <w:rFonts w:eastAsia="Times New Roman"/>
          <w:color w:val="auto"/>
        </w:rPr>
        <w:instrText xml:space="preserve">Excel.Sheet.12 Libro1 Hoja2!F1C1:F6C3 </w:instrText>
      </w:r>
      <w:r w:rsidRPr="00AF71DD">
        <w:rPr>
          <w:rFonts w:eastAsia="Times New Roman"/>
          <w:color w:val="auto"/>
        </w:rPr>
        <w:instrText xml:space="preserve">\a \f 4 \h </w:instrText>
      </w:r>
      <w:r w:rsidR="0063671D">
        <w:rPr>
          <w:rFonts w:eastAsia="Times New Roman"/>
          <w:color w:val="auto"/>
        </w:rPr>
        <w:instrText xml:space="preserve"> \* MERGEFORMAT </w:instrText>
      </w:r>
      <w:r w:rsidRPr="00AF71DD">
        <w:rPr>
          <w:rFonts w:eastAsia="Times New Roman"/>
          <w:color w:val="auto"/>
        </w:rPr>
        <w:fldChar w:fldCharType="separate"/>
      </w:r>
    </w:p>
    <w:tbl>
      <w:tblPr>
        <w:tblW w:w="6680" w:type="dxa"/>
        <w:tblInd w:w="613" w:type="dxa"/>
        <w:tblCellMar>
          <w:left w:w="70" w:type="dxa"/>
          <w:right w:w="70" w:type="dxa"/>
        </w:tblCellMar>
        <w:tblLook w:val="04A0" w:firstRow="1" w:lastRow="0" w:firstColumn="1" w:lastColumn="0" w:noHBand="0" w:noVBand="1"/>
      </w:tblPr>
      <w:tblGrid>
        <w:gridCol w:w="2820"/>
        <w:gridCol w:w="1720"/>
        <w:gridCol w:w="2140"/>
      </w:tblGrid>
      <w:tr w:rsidR="00AF71DD" w:rsidRPr="00AF71DD" w:rsidTr="0063671D">
        <w:trPr>
          <w:trHeight w:val="525"/>
        </w:trPr>
        <w:tc>
          <w:tcPr>
            <w:tcW w:w="6680" w:type="dxa"/>
            <w:gridSpan w:val="3"/>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lastRenderedPageBreak/>
              <w:t>Impacto de la Campaña “INDOTEL te Orienta”</w:t>
            </w:r>
          </w:p>
        </w:tc>
      </w:tr>
      <w:tr w:rsidR="00AF71DD" w:rsidRPr="00AF71DD" w:rsidTr="0063671D">
        <w:trPr>
          <w:trHeight w:val="315"/>
        </w:trPr>
        <w:tc>
          <w:tcPr>
            <w:tcW w:w="2820" w:type="dxa"/>
            <w:tcBorders>
              <w:top w:val="nil"/>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Plataforma</w:t>
            </w:r>
          </w:p>
        </w:tc>
        <w:tc>
          <w:tcPr>
            <w:tcW w:w="1720" w:type="dxa"/>
            <w:tcBorders>
              <w:top w:val="nil"/>
              <w:left w:val="nil"/>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Impresiones</w:t>
            </w:r>
          </w:p>
        </w:tc>
        <w:tc>
          <w:tcPr>
            <w:tcW w:w="2140" w:type="dxa"/>
            <w:tcBorders>
              <w:top w:val="nil"/>
              <w:left w:val="nil"/>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Clics</w:t>
            </w:r>
          </w:p>
        </w:tc>
      </w:tr>
      <w:tr w:rsidR="00AF71DD" w:rsidRPr="00AF71DD" w:rsidTr="00816F63">
        <w:trPr>
          <w:trHeight w:val="510"/>
        </w:trPr>
        <w:tc>
          <w:tcPr>
            <w:tcW w:w="2820" w:type="dxa"/>
            <w:tcBorders>
              <w:top w:val="nil"/>
              <w:left w:val="single" w:sz="4" w:space="0" w:color="auto"/>
              <w:bottom w:val="single" w:sz="4" w:space="0" w:color="auto"/>
              <w:right w:val="single" w:sz="4" w:space="0" w:color="auto"/>
            </w:tcBorders>
            <w:shd w:val="clear" w:color="auto" w:fill="auto"/>
            <w:noWrap/>
            <w:vAlign w:val="center"/>
            <w:hideMark/>
          </w:tcPr>
          <w:p w:rsidR="00AF71DD" w:rsidRPr="00AF71DD" w:rsidRDefault="00DA4FB5" w:rsidP="00AF71DD">
            <w:pPr>
              <w:spacing w:after="0" w:line="240" w:lineRule="auto"/>
              <w:jc w:val="center"/>
              <w:rPr>
                <w:rFonts w:ascii="Calibri" w:eastAsia="Times New Roman" w:hAnsi="Calibri" w:cs="Calibri"/>
                <w:color w:val="0563C1"/>
                <w:sz w:val="22"/>
                <w:u w:val="single"/>
              </w:rPr>
            </w:pPr>
            <w:hyperlink r:id="rId43" w:history="1">
              <w:r w:rsidR="00AF71DD" w:rsidRPr="00AF71DD">
                <w:rPr>
                  <w:rFonts w:ascii="Calibri" w:eastAsia="Times New Roman" w:hAnsi="Calibri" w:cs="Calibri"/>
                  <w:color w:val="0563C1"/>
                  <w:sz w:val="22"/>
                  <w:u w:val="single"/>
                </w:rPr>
                <w:t>https://listindiario.com/</w:t>
              </w:r>
            </w:hyperlink>
          </w:p>
        </w:tc>
        <w:tc>
          <w:tcPr>
            <w:tcW w:w="1720" w:type="dxa"/>
            <w:tcBorders>
              <w:top w:val="nil"/>
              <w:left w:val="nil"/>
              <w:bottom w:val="single" w:sz="4" w:space="0" w:color="auto"/>
              <w:right w:val="single" w:sz="4" w:space="0" w:color="auto"/>
            </w:tcBorders>
            <w:shd w:val="clear" w:color="auto" w:fill="auto"/>
            <w:noWrap/>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2,499,875</w:t>
            </w:r>
          </w:p>
        </w:tc>
        <w:tc>
          <w:tcPr>
            <w:tcW w:w="2140" w:type="dxa"/>
            <w:tcBorders>
              <w:top w:val="nil"/>
              <w:left w:val="nil"/>
              <w:bottom w:val="single" w:sz="4" w:space="0" w:color="auto"/>
              <w:right w:val="single" w:sz="4" w:space="0" w:color="auto"/>
            </w:tcBorders>
            <w:shd w:val="clear" w:color="auto" w:fill="auto"/>
            <w:noWrap/>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1,255</w:t>
            </w:r>
          </w:p>
        </w:tc>
      </w:tr>
      <w:tr w:rsidR="00AF71DD" w:rsidRPr="00AF71DD" w:rsidTr="00816F63">
        <w:trPr>
          <w:trHeight w:val="480"/>
        </w:trPr>
        <w:tc>
          <w:tcPr>
            <w:tcW w:w="2820" w:type="dxa"/>
            <w:tcBorders>
              <w:top w:val="nil"/>
              <w:left w:val="single" w:sz="4" w:space="0" w:color="auto"/>
              <w:bottom w:val="single" w:sz="4" w:space="0" w:color="auto"/>
              <w:right w:val="single" w:sz="4" w:space="0" w:color="auto"/>
            </w:tcBorders>
            <w:shd w:val="clear" w:color="auto" w:fill="auto"/>
            <w:noWrap/>
            <w:vAlign w:val="center"/>
            <w:hideMark/>
          </w:tcPr>
          <w:p w:rsidR="00AF71DD" w:rsidRPr="00AF71DD" w:rsidRDefault="00DA4FB5" w:rsidP="00AF71DD">
            <w:pPr>
              <w:spacing w:after="0" w:line="240" w:lineRule="auto"/>
              <w:jc w:val="center"/>
              <w:rPr>
                <w:rFonts w:ascii="Calibri" w:eastAsia="Times New Roman" w:hAnsi="Calibri" w:cs="Calibri"/>
                <w:color w:val="0563C1"/>
                <w:sz w:val="22"/>
                <w:u w:val="single"/>
              </w:rPr>
            </w:pPr>
            <w:hyperlink r:id="rId44" w:history="1">
              <w:r w:rsidR="00AF71DD" w:rsidRPr="00AF71DD">
                <w:rPr>
                  <w:rFonts w:ascii="Calibri" w:eastAsia="Times New Roman" w:hAnsi="Calibri" w:cs="Calibri"/>
                  <w:color w:val="0563C1"/>
                  <w:sz w:val="22"/>
                  <w:u w:val="single"/>
                </w:rPr>
                <w:t>https://hoy.com.do/</w:t>
              </w:r>
            </w:hyperlink>
          </w:p>
        </w:tc>
        <w:tc>
          <w:tcPr>
            <w:tcW w:w="1720" w:type="dxa"/>
            <w:tcBorders>
              <w:top w:val="nil"/>
              <w:left w:val="nil"/>
              <w:bottom w:val="single" w:sz="4" w:space="0" w:color="auto"/>
              <w:right w:val="single" w:sz="4" w:space="0" w:color="auto"/>
            </w:tcBorders>
            <w:shd w:val="clear" w:color="auto" w:fill="auto"/>
            <w:noWrap/>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1,499,898</w:t>
            </w:r>
          </w:p>
        </w:tc>
        <w:tc>
          <w:tcPr>
            <w:tcW w:w="2140" w:type="dxa"/>
            <w:tcBorders>
              <w:top w:val="nil"/>
              <w:left w:val="nil"/>
              <w:bottom w:val="single" w:sz="4" w:space="0" w:color="auto"/>
              <w:right w:val="single" w:sz="4" w:space="0" w:color="auto"/>
            </w:tcBorders>
            <w:shd w:val="clear" w:color="auto" w:fill="auto"/>
            <w:noWrap/>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3,543</w:t>
            </w:r>
          </w:p>
        </w:tc>
      </w:tr>
      <w:tr w:rsidR="00AF71DD" w:rsidRPr="00AF71DD" w:rsidTr="00816F63">
        <w:trPr>
          <w:trHeight w:val="555"/>
        </w:trPr>
        <w:tc>
          <w:tcPr>
            <w:tcW w:w="2820" w:type="dxa"/>
            <w:tcBorders>
              <w:top w:val="nil"/>
              <w:left w:val="single" w:sz="4" w:space="0" w:color="auto"/>
              <w:bottom w:val="single" w:sz="4" w:space="0" w:color="auto"/>
              <w:right w:val="single" w:sz="4" w:space="0" w:color="auto"/>
            </w:tcBorders>
            <w:shd w:val="clear" w:color="auto" w:fill="auto"/>
            <w:noWrap/>
            <w:vAlign w:val="center"/>
            <w:hideMark/>
          </w:tcPr>
          <w:p w:rsidR="00AF71DD" w:rsidRPr="00AF71DD" w:rsidRDefault="00DA4FB5" w:rsidP="00AF71DD">
            <w:pPr>
              <w:spacing w:after="0" w:line="240" w:lineRule="auto"/>
              <w:jc w:val="center"/>
              <w:rPr>
                <w:rFonts w:ascii="Calibri" w:eastAsia="Times New Roman" w:hAnsi="Calibri" w:cs="Calibri"/>
                <w:color w:val="0563C1"/>
                <w:sz w:val="22"/>
                <w:u w:val="single"/>
              </w:rPr>
            </w:pPr>
            <w:hyperlink r:id="rId45" w:history="1">
              <w:r w:rsidR="00AF71DD" w:rsidRPr="00AF71DD">
                <w:rPr>
                  <w:rFonts w:ascii="Calibri" w:eastAsia="Times New Roman" w:hAnsi="Calibri" w:cs="Calibri"/>
                  <w:color w:val="0563C1"/>
                  <w:sz w:val="22"/>
                  <w:u w:val="single"/>
                </w:rPr>
                <w:t>https://listindiario.com/</w:t>
              </w:r>
            </w:hyperlink>
          </w:p>
        </w:tc>
        <w:tc>
          <w:tcPr>
            <w:tcW w:w="1720" w:type="dxa"/>
            <w:tcBorders>
              <w:top w:val="nil"/>
              <w:left w:val="nil"/>
              <w:bottom w:val="single" w:sz="4" w:space="0" w:color="auto"/>
              <w:right w:val="single" w:sz="4" w:space="0" w:color="auto"/>
            </w:tcBorders>
            <w:shd w:val="clear" w:color="auto" w:fill="auto"/>
            <w:noWrap/>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624,098</w:t>
            </w:r>
          </w:p>
        </w:tc>
        <w:tc>
          <w:tcPr>
            <w:tcW w:w="2140" w:type="dxa"/>
            <w:tcBorders>
              <w:top w:val="nil"/>
              <w:left w:val="nil"/>
              <w:bottom w:val="single" w:sz="4" w:space="0" w:color="auto"/>
              <w:right w:val="single" w:sz="4" w:space="0" w:color="auto"/>
            </w:tcBorders>
            <w:shd w:val="clear" w:color="auto" w:fill="auto"/>
            <w:noWrap/>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1,714</w:t>
            </w:r>
          </w:p>
        </w:tc>
      </w:tr>
      <w:tr w:rsidR="00AF71DD" w:rsidRPr="00AF71DD" w:rsidTr="00816F63">
        <w:trPr>
          <w:trHeight w:val="315"/>
        </w:trPr>
        <w:tc>
          <w:tcPr>
            <w:tcW w:w="2820" w:type="dxa"/>
            <w:tcBorders>
              <w:top w:val="nil"/>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Total</w:t>
            </w:r>
          </w:p>
        </w:tc>
        <w:tc>
          <w:tcPr>
            <w:tcW w:w="1720" w:type="dxa"/>
            <w:tcBorders>
              <w:top w:val="nil"/>
              <w:left w:val="nil"/>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4,623,871</w:t>
            </w:r>
          </w:p>
        </w:tc>
        <w:tc>
          <w:tcPr>
            <w:tcW w:w="2140" w:type="dxa"/>
            <w:tcBorders>
              <w:top w:val="nil"/>
              <w:left w:val="nil"/>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6,512</w:t>
            </w:r>
          </w:p>
        </w:tc>
      </w:tr>
    </w:tbl>
    <w:p w:rsidR="00AF71DD" w:rsidRPr="00AF71DD" w:rsidRDefault="00AF71DD" w:rsidP="00AF71DD">
      <w:pPr>
        <w:spacing w:after="0" w:line="240" w:lineRule="auto"/>
        <w:ind w:firstLine="630"/>
        <w:jc w:val="left"/>
        <w:rPr>
          <w:rFonts w:eastAsia="Times New Roman"/>
          <w:b/>
          <w:color w:val="767171" w:themeColor="background2" w:themeShade="80"/>
          <w:sz w:val="18"/>
          <w:szCs w:val="18"/>
        </w:rPr>
      </w:pPr>
      <w:r w:rsidRPr="00AF71DD">
        <w:rPr>
          <w:rFonts w:eastAsia="Times New Roman"/>
          <w:color w:val="auto"/>
        </w:rPr>
        <w:fldChar w:fldCharType="end"/>
      </w:r>
      <w:r w:rsidRPr="00AF71DD">
        <w:rPr>
          <w:rFonts w:eastAsia="Times New Roman"/>
          <w:b/>
          <w:color w:val="767171" w:themeColor="background2" w:themeShade="80"/>
          <w:sz w:val="18"/>
          <w:szCs w:val="18"/>
        </w:rPr>
        <w:t>Fuente</w:t>
      </w:r>
      <w:r w:rsidRPr="00AF71DD">
        <w:rPr>
          <w:rFonts w:eastAsia="Times New Roman"/>
          <w:color w:val="767171" w:themeColor="background2" w:themeShade="80"/>
          <w:sz w:val="18"/>
          <w:szCs w:val="18"/>
        </w:rPr>
        <w:t>: Medios de Comunicación Grupo Corripio</w:t>
      </w:r>
    </w:p>
    <w:p w:rsidR="00AF71DD" w:rsidRPr="00AF71DD" w:rsidRDefault="00AF71DD" w:rsidP="00AF71DD">
      <w:pPr>
        <w:spacing w:after="0" w:line="240" w:lineRule="auto"/>
        <w:jc w:val="left"/>
        <w:rPr>
          <w:rFonts w:eastAsia="Times New Roman"/>
          <w:color w:val="auto"/>
        </w:rPr>
      </w:pPr>
    </w:p>
    <w:p w:rsidR="00AF71DD" w:rsidRPr="00AF71DD" w:rsidRDefault="00AF71DD" w:rsidP="00AF71DD">
      <w:pPr>
        <w:spacing w:line="360" w:lineRule="auto"/>
        <w:rPr>
          <w:rFonts w:eastAsia="Times New Roman"/>
          <w:szCs w:val="24"/>
        </w:rPr>
      </w:pPr>
      <w:r w:rsidRPr="00AF71DD">
        <w:rPr>
          <w:rFonts w:eastAsia="Times New Roman"/>
          <w:color w:val="808080" w:themeColor="background1" w:themeShade="80"/>
          <w:szCs w:val="24"/>
        </w:rPr>
        <w:t xml:space="preserve">De igual forma, se desarrolló una </w:t>
      </w:r>
      <w:r w:rsidRPr="00AF71DD">
        <w:rPr>
          <w:rFonts w:eastAsia="Times New Roman"/>
          <w:color w:val="767171" w:themeColor="background2" w:themeShade="80"/>
          <w:szCs w:val="24"/>
        </w:rPr>
        <w:t>campaña publicitaria para promoción institucional llamada “Mayor Conectividad y Saneamiento”  orientada a los cuatro hitos estratégicos institucionales, para difundir en las redes sociales de la institución y medios de comunicación.</w:t>
      </w:r>
    </w:p>
    <w:p w:rsidR="00AF71DD" w:rsidRPr="00AF71DD" w:rsidRDefault="00AF71DD" w:rsidP="00AF71DD">
      <w:pPr>
        <w:spacing w:before="240" w:line="360" w:lineRule="auto"/>
        <w:rPr>
          <w:rFonts w:eastAsia="Times New Roman"/>
          <w:szCs w:val="24"/>
        </w:rPr>
      </w:pPr>
      <w:r w:rsidRPr="00AF71DD">
        <w:rPr>
          <w:rFonts w:eastAsia="Times New Roman"/>
          <w:color w:val="767171" w:themeColor="background2" w:themeShade="80"/>
          <w:szCs w:val="24"/>
        </w:rPr>
        <w:t>Para la misma fue utilizado un presupuesto de RD$10</w:t>
      </w:r>
      <w:proofErr w:type="gramStart"/>
      <w:r w:rsidRPr="00AF71DD">
        <w:rPr>
          <w:rFonts w:eastAsia="Times New Roman"/>
          <w:color w:val="767171" w:themeColor="background2" w:themeShade="80"/>
          <w:szCs w:val="24"/>
        </w:rPr>
        <w:t>,000,000.00</w:t>
      </w:r>
      <w:proofErr w:type="gramEnd"/>
      <w:r w:rsidRPr="00AF71DD">
        <w:rPr>
          <w:rFonts w:eastAsia="Times New Roman"/>
          <w:color w:val="767171" w:themeColor="background2" w:themeShade="80"/>
          <w:szCs w:val="24"/>
        </w:rPr>
        <w:t xml:space="preserve"> para pagos de publicidad en medios de comunicación.</w:t>
      </w:r>
    </w:p>
    <w:p w:rsidR="00AF71DD" w:rsidRPr="00AF71DD" w:rsidRDefault="00AF71DD" w:rsidP="00AF71DD">
      <w:pPr>
        <w:spacing w:after="0" w:line="240" w:lineRule="auto"/>
        <w:jc w:val="left"/>
        <w:rPr>
          <w:rFonts w:eastAsia="Times New Roman"/>
          <w:b/>
          <w:szCs w:val="24"/>
        </w:rPr>
      </w:pPr>
      <w:r w:rsidRPr="00AF71DD">
        <w:rPr>
          <w:rFonts w:eastAsia="Times New Roman"/>
          <w:b/>
          <w:szCs w:val="24"/>
        </w:rPr>
        <w:t xml:space="preserve">Campañas Internas </w:t>
      </w:r>
    </w:p>
    <w:p w:rsidR="00AF71DD" w:rsidRPr="00AF71DD" w:rsidRDefault="00AF71DD" w:rsidP="00AF71DD">
      <w:pPr>
        <w:spacing w:after="0" w:line="240" w:lineRule="auto"/>
        <w:jc w:val="left"/>
        <w:rPr>
          <w:rFonts w:eastAsia="Times New Roman"/>
          <w:color w:val="767171" w:themeColor="background2" w:themeShade="80"/>
        </w:rPr>
      </w:pPr>
    </w:p>
    <w:p w:rsidR="00AF71DD" w:rsidRPr="00AF71DD" w:rsidRDefault="00AF71DD" w:rsidP="00792ACF">
      <w:pPr>
        <w:spacing w:after="0" w:line="360" w:lineRule="auto"/>
        <w:rPr>
          <w:rFonts w:eastAsia="Times New Roman"/>
          <w:color w:val="767171" w:themeColor="background2" w:themeShade="80"/>
          <w:szCs w:val="24"/>
        </w:rPr>
      </w:pPr>
      <w:r w:rsidRPr="00AF71DD">
        <w:rPr>
          <w:rFonts w:eastAsia="Times New Roman"/>
          <w:color w:val="767171" w:themeColor="background2" w:themeShade="80"/>
          <w:szCs w:val="24"/>
        </w:rPr>
        <w:t>El INDOTEL realizó la campaña interna llamada “INDOTEL verde” con los objetivos de concientizar a los colaboradores sobre el uso excesivo de plásticos, reducir el uso del papel y materiales gastables en diferentes divisiones de la institución, disminución de gastos operativos y reusar papeles y otros materiales gastables.</w:t>
      </w:r>
    </w:p>
    <w:p w:rsidR="00AF71DD" w:rsidRPr="00AF71DD" w:rsidRDefault="00AF71DD" w:rsidP="00AF71DD">
      <w:pPr>
        <w:spacing w:after="0" w:line="360" w:lineRule="auto"/>
        <w:jc w:val="left"/>
        <w:rPr>
          <w:rFonts w:eastAsia="Times New Roman"/>
          <w:color w:val="auto"/>
        </w:rPr>
      </w:pPr>
    </w:p>
    <w:p w:rsidR="00AF71DD" w:rsidRPr="00AF71DD" w:rsidRDefault="00AF71DD" w:rsidP="00AF71DD">
      <w:pPr>
        <w:spacing w:after="0" w:line="360" w:lineRule="auto"/>
        <w:jc w:val="left"/>
        <w:rPr>
          <w:rFonts w:eastAsia="Times New Roman"/>
          <w:color w:val="7F7F7F" w:themeColor="text1" w:themeTint="80"/>
          <w:szCs w:val="24"/>
        </w:rPr>
      </w:pPr>
      <w:r w:rsidRPr="00AF71DD">
        <w:rPr>
          <w:rFonts w:eastAsia="Times New Roman"/>
          <w:color w:val="7F7F7F" w:themeColor="text1" w:themeTint="80"/>
          <w:szCs w:val="24"/>
        </w:rPr>
        <w:t>Para la realización de dicha campaña se llevaron a cabo una serie de actividades internas y externas como lo fueron:</w:t>
      </w:r>
    </w:p>
    <w:p w:rsidR="00AF71DD" w:rsidRPr="00AF71DD" w:rsidRDefault="00AF71DD" w:rsidP="00AF71DD">
      <w:pPr>
        <w:spacing w:after="0" w:line="360" w:lineRule="auto"/>
        <w:jc w:val="left"/>
        <w:rPr>
          <w:rFonts w:eastAsia="Times New Roman"/>
          <w:color w:val="7F7F7F" w:themeColor="text1" w:themeTint="80"/>
        </w:rPr>
      </w:pPr>
    </w:p>
    <w:p w:rsidR="00AF71DD" w:rsidRPr="00AF71DD" w:rsidRDefault="00AF71DD" w:rsidP="00792ACF">
      <w:pPr>
        <w:numPr>
          <w:ilvl w:val="0"/>
          <w:numId w:val="30"/>
        </w:numPr>
        <w:spacing w:after="0" w:line="360" w:lineRule="auto"/>
        <w:contextualSpacing/>
        <w:rPr>
          <w:rFonts w:eastAsia="Times New Roman"/>
          <w:color w:val="7F7F7F" w:themeColor="text1" w:themeTint="80"/>
          <w:szCs w:val="24"/>
        </w:rPr>
      </w:pPr>
      <w:r w:rsidRPr="00AF71DD">
        <w:rPr>
          <w:rFonts w:eastAsia="Times New Roman"/>
          <w:color w:val="7F7F7F" w:themeColor="text1" w:themeTint="80"/>
          <w:szCs w:val="24"/>
        </w:rPr>
        <w:t>Lanzamiento de la campaña con  palabras principales del presidente del Consejo Directivo del INDOTEL, Nelson Arroyo dirigidas a los colaboradores.</w:t>
      </w:r>
    </w:p>
    <w:p w:rsidR="00AF71DD" w:rsidRPr="00AF71DD" w:rsidRDefault="00AF71DD" w:rsidP="00792ACF">
      <w:pPr>
        <w:numPr>
          <w:ilvl w:val="0"/>
          <w:numId w:val="30"/>
        </w:numPr>
        <w:spacing w:after="0" w:line="360" w:lineRule="auto"/>
        <w:contextualSpacing/>
        <w:rPr>
          <w:rFonts w:eastAsia="Times New Roman"/>
          <w:color w:val="7F7F7F" w:themeColor="text1" w:themeTint="80"/>
          <w:szCs w:val="24"/>
        </w:rPr>
      </w:pPr>
      <w:r w:rsidRPr="00AF71DD">
        <w:rPr>
          <w:rFonts w:eastAsia="Times New Roman"/>
          <w:color w:val="7F7F7F" w:themeColor="text1" w:themeTint="80"/>
          <w:szCs w:val="24"/>
        </w:rPr>
        <w:lastRenderedPageBreak/>
        <w:t>Creación y distribución de materiales de comunicación a los colaboradores de la institución, incentivándolos a la preservación del medio ambiente.</w:t>
      </w:r>
    </w:p>
    <w:p w:rsidR="00AF71DD" w:rsidRPr="00AF71DD" w:rsidRDefault="00AF71DD" w:rsidP="00792ACF">
      <w:pPr>
        <w:numPr>
          <w:ilvl w:val="0"/>
          <w:numId w:val="30"/>
        </w:numPr>
        <w:spacing w:after="0" w:line="360" w:lineRule="auto"/>
        <w:contextualSpacing/>
        <w:rPr>
          <w:rFonts w:eastAsia="Times New Roman"/>
          <w:color w:val="7F7F7F" w:themeColor="text1" w:themeTint="80"/>
          <w:szCs w:val="24"/>
        </w:rPr>
      </w:pPr>
      <w:r w:rsidRPr="00AF71DD">
        <w:rPr>
          <w:rFonts w:eastAsia="Times New Roman"/>
          <w:color w:val="7F7F7F" w:themeColor="text1" w:themeTint="80"/>
          <w:szCs w:val="24"/>
        </w:rPr>
        <w:t>Operativo de limpieza de playas en la provincia de San Pedro de Macorís.</w:t>
      </w:r>
    </w:p>
    <w:p w:rsidR="00AF71DD" w:rsidRPr="00AF71DD" w:rsidRDefault="00AF71DD" w:rsidP="00792ACF">
      <w:pPr>
        <w:numPr>
          <w:ilvl w:val="0"/>
          <w:numId w:val="30"/>
        </w:numPr>
        <w:spacing w:after="0" w:line="360" w:lineRule="auto"/>
        <w:contextualSpacing/>
        <w:rPr>
          <w:rFonts w:eastAsia="Times New Roman"/>
          <w:color w:val="7F7F7F" w:themeColor="text1" w:themeTint="80"/>
          <w:szCs w:val="24"/>
        </w:rPr>
      </w:pPr>
      <w:r w:rsidRPr="00AF71DD">
        <w:rPr>
          <w:rFonts w:eastAsia="Times New Roman"/>
          <w:color w:val="7F7F7F" w:themeColor="text1" w:themeTint="80"/>
          <w:szCs w:val="24"/>
        </w:rPr>
        <w:t>Charlas: “Oficinas Verdes” y “Sociedad y Medio Ambiente”, en apoyo a la campaña de reciclaje.</w:t>
      </w:r>
    </w:p>
    <w:p w:rsidR="00AF71DD" w:rsidRPr="00AF71DD" w:rsidRDefault="00AF71DD" w:rsidP="00792ACF">
      <w:pPr>
        <w:numPr>
          <w:ilvl w:val="0"/>
          <w:numId w:val="30"/>
        </w:numPr>
        <w:spacing w:after="0" w:line="360" w:lineRule="auto"/>
        <w:contextualSpacing/>
        <w:rPr>
          <w:rFonts w:eastAsia="Times New Roman"/>
          <w:color w:val="7F7F7F" w:themeColor="text1" w:themeTint="80"/>
        </w:rPr>
      </w:pPr>
      <w:r w:rsidRPr="00AF71DD">
        <w:rPr>
          <w:rFonts w:eastAsia="Times New Roman"/>
          <w:color w:val="7F7F7F" w:themeColor="text1" w:themeTint="80"/>
        </w:rPr>
        <w:t>Jornada de reforestación en el Municipio San Antonio de Guerra.</w:t>
      </w:r>
    </w:p>
    <w:p w:rsidR="00AF71DD" w:rsidRPr="00AF71DD" w:rsidRDefault="00AF71DD" w:rsidP="00792ACF">
      <w:pPr>
        <w:numPr>
          <w:ilvl w:val="0"/>
          <w:numId w:val="30"/>
        </w:numPr>
        <w:spacing w:after="0" w:line="360" w:lineRule="auto"/>
        <w:contextualSpacing/>
        <w:rPr>
          <w:rFonts w:asciiTheme="minorHAnsi" w:eastAsiaTheme="minorEastAsia" w:hAnsiTheme="minorHAnsi" w:cstheme="minorBidi"/>
          <w:color w:val="7F7F7F" w:themeColor="text1" w:themeTint="80"/>
          <w:szCs w:val="24"/>
        </w:rPr>
      </w:pPr>
      <w:r w:rsidRPr="00AF71DD">
        <w:rPr>
          <w:rFonts w:eastAsia="Times New Roman"/>
          <w:color w:val="7F7F7F" w:themeColor="text1" w:themeTint="80"/>
          <w:szCs w:val="24"/>
        </w:rPr>
        <w:t xml:space="preserve">Colocación de mensajes educativos para el buen uso de los recursos y la protección del medio ambiente.  </w:t>
      </w:r>
    </w:p>
    <w:p w:rsidR="00AF71DD" w:rsidRPr="00AF71DD" w:rsidRDefault="00AF71DD" w:rsidP="00792ACF">
      <w:pPr>
        <w:numPr>
          <w:ilvl w:val="0"/>
          <w:numId w:val="30"/>
        </w:numPr>
        <w:spacing w:after="0" w:line="360" w:lineRule="auto"/>
        <w:contextualSpacing/>
        <w:rPr>
          <w:rFonts w:eastAsia="Times New Roman"/>
          <w:color w:val="7F7F7F" w:themeColor="text1" w:themeTint="80"/>
        </w:rPr>
      </w:pPr>
      <w:r w:rsidRPr="00AF71DD">
        <w:rPr>
          <w:rFonts w:eastAsia="Times New Roman"/>
          <w:color w:val="7F7F7F" w:themeColor="text1" w:themeTint="80"/>
          <w:szCs w:val="24"/>
        </w:rPr>
        <w:t>Colocación de depositarios de desperdicios por tipo de desechos (plástico, papel y orgánico) en todos los pisos y estaciones de comida de la institución.</w:t>
      </w:r>
    </w:p>
    <w:p w:rsidR="00AF71DD" w:rsidRPr="00AF71DD" w:rsidRDefault="00AF71DD" w:rsidP="00AF71DD">
      <w:pPr>
        <w:spacing w:after="0" w:line="360" w:lineRule="auto"/>
        <w:ind w:left="720"/>
        <w:contextualSpacing/>
        <w:jc w:val="left"/>
        <w:rPr>
          <w:rFonts w:eastAsia="Times New Roman"/>
          <w:color w:val="7F7F7F" w:themeColor="text1" w:themeTint="80"/>
        </w:rPr>
      </w:pPr>
    </w:p>
    <w:p w:rsidR="00AF71DD" w:rsidRPr="00AF71DD" w:rsidRDefault="00AF71DD" w:rsidP="002B1FEF">
      <w:pPr>
        <w:spacing w:after="0" w:line="360" w:lineRule="auto"/>
        <w:rPr>
          <w:rFonts w:eastAsia="Times New Roman"/>
          <w:color w:val="7F7F7F" w:themeColor="text1" w:themeTint="80"/>
          <w:szCs w:val="24"/>
        </w:rPr>
      </w:pPr>
      <w:r w:rsidRPr="00AF71DD">
        <w:rPr>
          <w:rFonts w:eastAsia="Times New Roman"/>
          <w:color w:val="7F7F7F" w:themeColor="text1" w:themeTint="80"/>
          <w:szCs w:val="24"/>
        </w:rPr>
        <w:t xml:space="preserve"> Para esta campaña fue utilizado un presupuesto de RD$582,845.52 para la compra de vasos térmicos que sustituyeran el continuo uso de vasos plásticos; contenedores para el correcto reciclaje de desechos; impresiones de materiales visuales y uniformes promocionales para los colaboradores.</w:t>
      </w:r>
    </w:p>
    <w:p w:rsidR="00AF71DD" w:rsidRPr="00AF71DD" w:rsidRDefault="00AF71DD" w:rsidP="00AF71DD">
      <w:pPr>
        <w:spacing w:after="0" w:line="240" w:lineRule="auto"/>
        <w:jc w:val="left"/>
        <w:rPr>
          <w:rFonts w:eastAsia="Times New Roman"/>
          <w:color w:val="auto"/>
        </w:rPr>
      </w:pPr>
    </w:p>
    <w:p w:rsidR="00AF71DD" w:rsidRPr="00AF71DD" w:rsidRDefault="00AF71DD" w:rsidP="00AF71DD">
      <w:pPr>
        <w:spacing w:after="0" w:line="240" w:lineRule="auto"/>
        <w:jc w:val="left"/>
        <w:rPr>
          <w:rFonts w:eastAsia="Times New Roman"/>
          <w:color w:val="auto"/>
        </w:rPr>
      </w:pPr>
      <w:r w:rsidRPr="00AF71DD">
        <w:rPr>
          <w:rFonts w:eastAsia="Times New Roman"/>
          <w:color w:val="auto"/>
        </w:rPr>
        <w:t xml:space="preserve"> </w:t>
      </w:r>
    </w:p>
    <w:p w:rsidR="00AF71DD" w:rsidRPr="00AF71DD" w:rsidRDefault="00AF71DD" w:rsidP="00AF71DD">
      <w:pPr>
        <w:spacing w:after="0" w:line="240" w:lineRule="auto"/>
        <w:jc w:val="left"/>
        <w:rPr>
          <w:rFonts w:eastAsia="Times New Roman"/>
          <w:b/>
          <w:color w:val="7F7F7F" w:themeColor="text1" w:themeTint="80"/>
        </w:rPr>
      </w:pPr>
      <w:r w:rsidRPr="00AF71DD">
        <w:rPr>
          <w:rFonts w:eastAsia="Times New Roman"/>
          <w:b/>
          <w:color w:val="7F7F7F" w:themeColor="text1" w:themeTint="80"/>
        </w:rPr>
        <w:t xml:space="preserve">Actividades Internas </w:t>
      </w:r>
    </w:p>
    <w:p w:rsidR="00AF71DD" w:rsidRPr="00AF71DD" w:rsidRDefault="00AF71DD" w:rsidP="00AF71DD">
      <w:pPr>
        <w:spacing w:after="0" w:line="240" w:lineRule="auto"/>
        <w:jc w:val="left"/>
        <w:rPr>
          <w:rFonts w:eastAsia="Times New Roman"/>
          <w:color w:val="auto"/>
        </w:rPr>
      </w:pPr>
    </w:p>
    <w:p w:rsidR="00AF71DD" w:rsidRPr="00AF71DD" w:rsidRDefault="00AF71DD" w:rsidP="00AF71DD">
      <w:pPr>
        <w:spacing w:after="0" w:line="240" w:lineRule="auto"/>
        <w:jc w:val="left"/>
        <w:rPr>
          <w:rFonts w:eastAsia="Times New Roman"/>
          <w:color w:val="auto"/>
        </w:rPr>
      </w:pPr>
    </w:p>
    <w:p w:rsidR="00AF71DD" w:rsidRPr="00AF71DD" w:rsidRDefault="00AF71DD" w:rsidP="00792ACF">
      <w:pPr>
        <w:spacing w:after="0" w:line="360" w:lineRule="auto"/>
        <w:rPr>
          <w:rFonts w:eastAsia="Times New Roman"/>
          <w:color w:val="auto"/>
          <w:szCs w:val="24"/>
        </w:rPr>
      </w:pPr>
      <w:r w:rsidRPr="00AF71DD">
        <w:rPr>
          <w:rFonts w:eastAsia="Times New Roman"/>
          <w:color w:val="767171" w:themeColor="background2" w:themeShade="80"/>
          <w:szCs w:val="24"/>
        </w:rPr>
        <w:t xml:space="preserve">El INDOTEL se sumó al Simulacro Nacional de Terremoto, por iniciativa del presidente Luis </w:t>
      </w:r>
      <w:proofErr w:type="spellStart"/>
      <w:r w:rsidRPr="00AF71DD">
        <w:rPr>
          <w:rFonts w:eastAsia="Times New Roman"/>
          <w:color w:val="767171" w:themeColor="background2" w:themeShade="80"/>
          <w:szCs w:val="24"/>
        </w:rPr>
        <w:t>Abinader</w:t>
      </w:r>
      <w:proofErr w:type="spellEnd"/>
      <w:r w:rsidRPr="00AF71DD">
        <w:rPr>
          <w:rFonts w:eastAsia="Times New Roman"/>
          <w:color w:val="767171" w:themeColor="background2" w:themeShade="80"/>
          <w:szCs w:val="24"/>
        </w:rPr>
        <w:t>, donde fueron implementados diferentes planes de acción y capacitaciones a los colaboradores del órgano regulador de las telecomunicaciones para el correcto procedimiento de acción ante la ocurrencia de un sismo en el país</w:t>
      </w:r>
      <w:r w:rsidRPr="00AF71DD">
        <w:rPr>
          <w:rFonts w:eastAsia="Times New Roman"/>
          <w:color w:val="auto"/>
          <w:szCs w:val="24"/>
        </w:rPr>
        <w:t>.</w:t>
      </w:r>
    </w:p>
    <w:p w:rsidR="00AF71DD" w:rsidRPr="00AF71DD" w:rsidRDefault="00AF71DD" w:rsidP="00792ACF">
      <w:pPr>
        <w:spacing w:after="0" w:line="240" w:lineRule="auto"/>
        <w:rPr>
          <w:rFonts w:eastAsia="Times New Roman"/>
          <w:color w:val="auto"/>
        </w:rPr>
      </w:pPr>
    </w:p>
    <w:p w:rsidR="00AF71DD" w:rsidRPr="00AF71DD" w:rsidRDefault="00AF71DD" w:rsidP="00792ACF">
      <w:pPr>
        <w:spacing w:after="0" w:line="360" w:lineRule="auto"/>
        <w:rPr>
          <w:rFonts w:eastAsia="Times New Roman"/>
          <w:color w:val="7F7F7F" w:themeColor="text1" w:themeTint="80"/>
          <w:szCs w:val="24"/>
        </w:rPr>
      </w:pPr>
      <w:r w:rsidRPr="00AF71DD">
        <w:rPr>
          <w:rFonts w:eastAsia="Times New Roman"/>
          <w:color w:val="7F7F7F" w:themeColor="text1" w:themeTint="80"/>
          <w:szCs w:val="24"/>
        </w:rPr>
        <w:t>Otra de las iniciativas de comunicación interna realizada por la institución fue el concurso “Navidad Sostenible”. El mismo consistió en la decoración navideña de cada Dirección, bajo el concepto de adornos con materiales reciclados, en seguimiento con la  campaña INDOTEL verde.</w:t>
      </w:r>
    </w:p>
    <w:p w:rsidR="00AF71DD" w:rsidRPr="00AF71DD" w:rsidRDefault="00AF71DD" w:rsidP="00AF71DD">
      <w:pPr>
        <w:rPr>
          <w:b/>
          <w:szCs w:val="24"/>
        </w:rPr>
      </w:pPr>
    </w:p>
    <w:p w:rsidR="00AF71DD" w:rsidRDefault="00AF71DD" w:rsidP="00AF71DD">
      <w:pPr>
        <w:rPr>
          <w:b/>
          <w:bCs/>
          <w:szCs w:val="24"/>
        </w:rPr>
      </w:pPr>
      <w:r w:rsidRPr="00AF71DD">
        <w:rPr>
          <w:b/>
          <w:bCs/>
          <w:szCs w:val="24"/>
        </w:rPr>
        <w:lastRenderedPageBreak/>
        <w:t>Celebración del Día Mundial de las Telecomunicaciones</w:t>
      </w:r>
    </w:p>
    <w:p w:rsidR="00792ACF" w:rsidRPr="00AF71DD" w:rsidRDefault="00792ACF" w:rsidP="00792ACF">
      <w:pPr>
        <w:pStyle w:val="Textonotasalpie"/>
      </w:pP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En celebración del Día Mundial de las Telecomunicaciones, el INDOTEL realizó “La Semana de las Telecomunicaciones”, en la que por cinco días consecutivos desde el 17 al 21 de mayo  la institución desarrolló múltiples actividades como seminarios y </w:t>
      </w:r>
      <w:proofErr w:type="spellStart"/>
      <w:r w:rsidRPr="00AF71DD">
        <w:rPr>
          <w:rFonts w:eastAsia="Times New Roman"/>
          <w:color w:val="767171" w:themeColor="background2" w:themeShade="80"/>
          <w:szCs w:val="24"/>
        </w:rPr>
        <w:t>webinars</w:t>
      </w:r>
      <w:proofErr w:type="spellEnd"/>
      <w:r w:rsidRPr="00AF71DD">
        <w:rPr>
          <w:rFonts w:eastAsia="Times New Roman"/>
          <w:color w:val="767171" w:themeColor="background2" w:themeShade="80"/>
          <w:szCs w:val="24"/>
        </w:rPr>
        <w:t xml:space="preserve"> enfocados en diferentes áreas del sector de las telecomunicaciones. La exposición principal de los temas fue realizada por expositores de alto nivel y se logró la participación de 249 asistentes. </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En el marco de esta importante semana, el órgano regulador de las telecomunicaciones celebró la rendición de cuentas de la gestión del presidente del Consejo Directivo del INDOTEL, Nelson Arroyo, en la que el directivo explicó las acciones que viene realizando para el beneficio de los usuarios y el sector en general de las telecomunicaciones; tales como el Plan Nacional de Banda Ancha, el proceso de licitación para la implementación de la quinta generación de redes móviles (5G), el encendido de la televisión digital en el país, la inversión para el desarrollo de infraestructura de telecomunicaciones en el país, y en zonas no servidas, entre otras acciones más. </w:t>
      </w:r>
    </w:p>
    <w:p w:rsidR="00AF71DD" w:rsidRPr="00AF71DD" w:rsidRDefault="00AF71DD" w:rsidP="00AF71DD">
      <w:pPr>
        <w:spacing w:line="360" w:lineRule="auto"/>
        <w:rPr>
          <w:rFonts w:eastAsia="Times New Roman"/>
          <w:szCs w:val="24"/>
        </w:rPr>
      </w:pPr>
      <w:r w:rsidRPr="00AF71DD">
        <w:rPr>
          <w:rFonts w:eastAsia="Times New Roman"/>
          <w:szCs w:val="24"/>
        </w:rPr>
        <w:t>Acorde con su misión de difusión de las realizaciones del INDOTEL, se llevó a cabo una intensa labor de divulgación de las actividades de la Semana de las Telecomunicaciones y de la Sociedad de la Información, celebrada el 17 de mayo de este año 2021.</w:t>
      </w:r>
    </w:p>
    <w:p w:rsidR="00AF71DD" w:rsidRPr="00AF71DD" w:rsidRDefault="00AF71DD" w:rsidP="00AF71DD">
      <w:pPr>
        <w:spacing w:line="360" w:lineRule="auto"/>
        <w:rPr>
          <w:rFonts w:eastAsia="Times New Roman"/>
          <w:szCs w:val="24"/>
        </w:rPr>
      </w:pPr>
      <w:r w:rsidRPr="00AF71DD">
        <w:rPr>
          <w:rFonts w:eastAsia="Times New Roman"/>
          <w:color w:val="767171" w:themeColor="background2" w:themeShade="80"/>
          <w:szCs w:val="24"/>
        </w:rPr>
        <w:t xml:space="preserve">Se elaboraron planes y acciones en materia de comunicación, emitidos a través de las redes sociales, prensa escrita, medios de radio y televisión, que se detallan a continuación: </w:t>
      </w:r>
    </w:p>
    <w:p w:rsidR="00AF71DD" w:rsidRPr="00AF71DD" w:rsidRDefault="00AF71DD" w:rsidP="00792ACF">
      <w:pPr>
        <w:numPr>
          <w:ilvl w:val="0"/>
          <w:numId w:val="13"/>
        </w:numPr>
        <w:spacing w:line="360" w:lineRule="auto"/>
        <w:contextualSpacing/>
        <w:rPr>
          <w:rFonts w:asciiTheme="minorHAnsi" w:eastAsiaTheme="minorEastAsia" w:hAnsiTheme="minorHAnsi" w:cstheme="minorBidi"/>
          <w:szCs w:val="24"/>
        </w:rPr>
      </w:pPr>
      <w:r w:rsidRPr="00AF71DD">
        <w:rPr>
          <w:rFonts w:eastAsia="Times New Roman"/>
          <w:color w:val="767171" w:themeColor="background2" w:themeShade="80"/>
          <w:szCs w:val="24"/>
        </w:rPr>
        <w:t xml:space="preserve">Creación y distribución de múltiples notas informativas sobre cada una de las actividades que se llevaron a cabo durante la Semana de las Telecomunicaciones y la rendición de cuenta realizada por el presidente del </w:t>
      </w:r>
      <w:r w:rsidRPr="00AF71DD">
        <w:rPr>
          <w:rFonts w:eastAsia="Times New Roman"/>
          <w:color w:val="767171" w:themeColor="background2" w:themeShade="80"/>
          <w:szCs w:val="24"/>
        </w:rPr>
        <w:lastRenderedPageBreak/>
        <w:t>Consejo Directivo del INDOTEL, Nelson Arroyo, en el marco del Día Mundial de las Telecomunicaciones. Nota informativa del discurso de apertura del presidente del INDOTEL, Nelson Arroyo, del Conversatorio sobre la “Modernización de la Ley de Telecomunicaciones, Núm.153-08”, realizado en el Centro INDOTEL.</w:t>
      </w:r>
    </w:p>
    <w:p w:rsidR="00AF71DD" w:rsidRPr="00AF71DD" w:rsidRDefault="00AF71DD" w:rsidP="00792ACF">
      <w:pPr>
        <w:numPr>
          <w:ilvl w:val="0"/>
          <w:numId w:val="13"/>
        </w:numPr>
        <w:spacing w:line="360" w:lineRule="auto"/>
        <w:contextualSpacing/>
        <w:rPr>
          <w:rFonts w:asciiTheme="minorHAnsi" w:eastAsiaTheme="minorEastAsia" w:hAnsiTheme="minorHAnsi" w:cstheme="minorBidi"/>
          <w:szCs w:val="24"/>
        </w:rPr>
      </w:pPr>
      <w:r w:rsidRPr="00AF71DD">
        <w:rPr>
          <w:rFonts w:eastAsia="Times New Roman"/>
          <w:color w:val="767171" w:themeColor="background2" w:themeShade="80"/>
          <w:szCs w:val="24"/>
        </w:rPr>
        <w:t>Producción y distribución de material audiovisual para los múltiples eventos realizados. Elaboración de convocatoria a la prensa y publicación en las agendas de los medios de comunicación escritos y digitales de las actividades realizadas por la institución.</w:t>
      </w:r>
    </w:p>
    <w:p w:rsidR="00AF71DD" w:rsidRPr="00AF71DD" w:rsidRDefault="00AF71DD" w:rsidP="00792ACF">
      <w:pPr>
        <w:numPr>
          <w:ilvl w:val="0"/>
          <w:numId w:val="13"/>
        </w:numPr>
        <w:spacing w:line="360" w:lineRule="auto"/>
        <w:contextualSpacing/>
        <w:rPr>
          <w:rFonts w:eastAsia="Times New Roman"/>
          <w:szCs w:val="24"/>
        </w:rPr>
      </w:pPr>
      <w:r w:rsidRPr="00AF71DD">
        <w:rPr>
          <w:rFonts w:eastAsia="Times New Roman"/>
          <w:color w:val="767171" w:themeColor="background2" w:themeShade="80"/>
          <w:szCs w:val="24"/>
        </w:rPr>
        <w:t xml:space="preserve">Desarrollo y ejecución de diversos </w:t>
      </w:r>
      <w:proofErr w:type="spellStart"/>
      <w:r w:rsidRPr="00AF71DD">
        <w:rPr>
          <w:rFonts w:eastAsia="Times New Roman"/>
          <w:color w:val="767171" w:themeColor="background2" w:themeShade="80"/>
          <w:szCs w:val="24"/>
        </w:rPr>
        <w:t>webinars</w:t>
      </w:r>
      <w:proofErr w:type="spellEnd"/>
      <w:r w:rsidRPr="00AF71DD">
        <w:rPr>
          <w:rFonts w:eastAsia="Times New Roman"/>
          <w:color w:val="767171" w:themeColor="background2" w:themeShade="80"/>
          <w:szCs w:val="24"/>
        </w:rPr>
        <w:t xml:space="preserve"> con temas del sector de las telecomunicaciones.</w:t>
      </w:r>
    </w:p>
    <w:p w:rsidR="00AF71DD" w:rsidRPr="00AF71DD" w:rsidRDefault="00AF71DD" w:rsidP="00792ACF">
      <w:pPr>
        <w:numPr>
          <w:ilvl w:val="0"/>
          <w:numId w:val="13"/>
        </w:numPr>
        <w:spacing w:line="360" w:lineRule="auto"/>
        <w:contextualSpacing/>
        <w:rPr>
          <w:rFonts w:eastAsia="Times New Roman"/>
          <w:szCs w:val="24"/>
        </w:rPr>
      </w:pPr>
      <w:r w:rsidRPr="00AF71DD">
        <w:rPr>
          <w:rFonts w:eastAsia="Times New Roman"/>
          <w:color w:val="767171" w:themeColor="background2" w:themeShade="80"/>
          <w:szCs w:val="24"/>
        </w:rPr>
        <w:t xml:space="preserve">Realización de Media Tours en diferentes medios de comunicación de radio y televisión, promoviendo las acciones que se encuentra realizando la gestión del presidente Nelson Arroyo, y respondiendo a las diferentes preguntas sobre el sector de las telecomunicaciones en la República Dominicana. </w:t>
      </w:r>
      <w:r w:rsidR="002B1FEF">
        <w:rPr>
          <w:rFonts w:eastAsia="Times New Roman"/>
          <w:color w:val="767171" w:themeColor="background2" w:themeShade="80"/>
          <w:szCs w:val="24"/>
        </w:rPr>
        <w:br/>
      </w:r>
    </w:p>
    <w:p w:rsidR="00AF71DD" w:rsidRPr="00AF71DD" w:rsidRDefault="00AF71DD" w:rsidP="00792ACF">
      <w:pPr>
        <w:spacing w:line="360" w:lineRule="auto"/>
        <w:rPr>
          <w:rFonts w:eastAsia="Times New Roman"/>
          <w:szCs w:val="24"/>
        </w:rPr>
      </w:pPr>
      <w:r w:rsidRPr="00AF71DD">
        <w:rPr>
          <w:rFonts w:eastAsia="Times New Roman"/>
          <w:color w:val="767171" w:themeColor="background2" w:themeShade="80"/>
          <w:szCs w:val="24"/>
        </w:rPr>
        <w:t>Para la realización de las múltiples acciones de esta celebración se utilizó un presupuesto de RD$1</w:t>
      </w:r>
      <w:proofErr w:type="gramStart"/>
      <w:r w:rsidRPr="00AF71DD">
        <w:rPr>
          <w:rFonts w:eastAsia="Times New Roman"/>
          <w:color w:val="767171" w:themeColor="background2" w:themeShade="80"/>
          <w:szCs w:val="24"/>
        </w:rPr>
        <w:t>,194,846.23</w:t>
      </w:r>
      <w:proofErr w:type="gramEnd"/>
      <w:r w:rsidRPr="00AF71DD">
        <w:rPr>
          <w:rFonts w:eastAsia="Times New Roman"/>
          <w:color w:val="767171" w:themeColor="background2" w:themeShade="80"/>
          <w:szCs w:val="24"/>
        </w:rPr>
        <w:t>.</w:t>
      </w:r>
    </w:p>
    <w:p w:rsidR="00AF71DD" w:rsidRPr="00AF71DD" w:rsidRDefault="00AF71DD" w:rsidP="002B1FEF">
      <w:pPr>
        <w:pStyle w:val="Textonotasalpie"/>
      </w:pPr>
    </w:p>
    <w:p w:rsidR="00792ACF" w:rsidRPr="002B1FEF" w:rsidRDefault="00AF71DD" w:rsidP="002B1FEF">
      <w:pPr>
        <w:spacing w:line="360" w:lineRule="auto"/>
        <w:rPr>
          <w:rFonts w:eastAsia="Times New Roman"/>
          <w:b/>
          <w:color w:val="767171" w:themeColor="background2" w:themeShade="80"/>
          <w:szCs w:val="24"/>
        </w:rPr>
      </w:pPr>
      <w:r w:rsidRPr="00AF71DD">
        <w:rPr>
          <w:rFonts w:eastAsia="Times New Roman"/>
          <w:b/>
          <w:color w:val="767171" w:themeColor="background2" w:themeShade="80"/>
          <w:szCs w:val="24"/>
        </w:rPr>
        <w:t>Lanzamiento “Apoyo INDOTEL”</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La Institución creó la nueva Unidad de Comunicaciones y Redes Sociales con el nombre de “Apoyo INDOTEL”, para dar soporte y atención directo a los usuarios que presenten algún tipo de situación relacionada con el sector de telecomunicaciones. Los usuarios podrán ponerse en contacto a través de las plataformas de </w:t>
      </w:r>
      <w:proofErr w:type="spellStart"/>
      <w:r w:rsidRPr="00AF71DD">
        <w:rPr>
          <w:rFonts w:eastAsia="Times New Roman"/>
          <w:color w:val="767171" w:themeColor="background2" w:themeShade="80"/>
          <w:szCs w:val="24"/>
        </w:rPr>
        <w:t>Instagram</w:t>
      </w:r>
      <w:proofErr w:type="spellEnd"/>
      <w:r w:rsidRPr="00AF71DD">
        <w:rPr>
          <w:rFonts w:eastAsia="Times New Roman"/>
          <w:color w:val="767171" w:themeColor="background2" w:themeShade="80"/>
          <w:szCs w:val="24"/>
        </w:rPr>
        <w:t xml:space="preserve">, </w:t>
      </w:r>
      <w:proofErr w:type="spellStart"/>
      <w:r w:rsidRPr="00AF71DD">
        <w:rPr>
          <w:rFonts w:eastAsia="Times New Roman"/>
          <w:color w:val="767171" w:themeColor="background2" w:themeShade="80"/>
          <w:szCs w:val="24"/>
        </w:rPr>
        <w:t>Twitter</w:t>
      </w:r>
      <w:proofErr w:type="spellEnd"/>
      <w:r w:rsidRPr="00AF71DD">
        <w:rPr>
          <w:rFonts w:eastAsia="Times New Roman"/>
          <w:color w:val="767171" w:themeColor="background2" w:themeShade="80"/>
          <w:szCs w:val="24"/>
        </w:rPr>
        <w:t xml:space="preserve">, Facebook y </w:t>
      </w:r>
      <w:proofErr w:type="spellStart"/>
      <w:r w:rsidRPr="00AF71DD">
        <w:rPr>
          <w:rFonts w:eastAsia="Times New Roman"/>
          <w:color w:val="767171" w:themeColor="background2" w:themeShade="80"/>
          <w:szCs w:val="24"/>
        </w:rPr>
        <w:t>WhatsApp</w:t>
      </w:r>
      <w:proofErr w:type="spellEnd"/>
      <w:r w:rsidRPr="00AF71DD">
        <w:rPr>
          <w:rFonts w:eastAsia="Times New Roman"/>
          <w:color w:val="767171" w:themeColor="background2" w:themeShade="80"/>
          <w:szCs w:val="24"/>
        </w:rPr>
        <w:t>.</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La iniciativa surge como respuesta a la gran demanda de información, educación y atención requerida por los usuarios. Asimismo, busca consolidar los esfuerzos que </w:t>
      </w:r>
      <w:r w:rsidRPr="00AF71DD">
        <w:rPr>
          <w:rFonts w:eastAsia="Times New Roman"/>
          <w:color w:val="767171" w:themeColor="background2" w:themeShade="80"/>
          <w:szCs w:val="24"/>
        </w:rPr>
        <w:lastRenderedPageBreak/>
        <w:t xml:space="preserve">realiza el INDOTEL en su política de defensa de los millones de usuarios de los servicios de telecomunicaciones que existen en el país. </w:t>
      </w:r>
    </w:p>
    <w:p w:rsidR="00AF71DD" w:rsidRPr="00AF71DD" w:rsidRDefault="00AF71DD" w:rsidP="00AF71DD">
      <w:pPr>
        <w:spacing w:line="360" w:lineRule="auto"/>
        <w:rPr>
          <w:rFonts w:eastAsia="Times New Roman"/>
          <w:b/>
          <w:szCs w:val="24"/>
        </w:rPr>
      </w:pPr>
      <w:r w:rsidRPr="00AF71DD">
        <w:rPr>
          <w:rFonts w:eastAsia="Times New Roman"/>
          <w:b/>
          <w:szCs w:val="24"/>
        </w:rPr>
        <w:t>Redes Sociales</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Toda información suministrada por el INDOTEL se emite por las diferentes redes sociales: </w:t>
      </w:r>
      <w:proofErr w:type="spellStart"/>
      <w:r w:rsidRPr="00AF71DD">
        <w:rPr>
          <w:rFonts w:eastAsia="Times New Roman"/>
          <w:color w:val="767171" w:themeColor="background2" w:themeShade="80"/>
          <w:szCs w:val="24"/>
        </w:rPr>
        <w:t>Twitter</w:t>
      </w:r>
      <w:proofErr w:type="spellEnd"/>
      <w:r w:rsidRPr="00AF71DD">
        <w:rPr>
          <w:rFonts w:eastAsia="Times New Roman"/>
          <w:color w:val="767171" w:themeColor="background2" w:themeShade="80"/>
          <w:szCs w:val="24"/>
        </w:rPr>
        <w:t xml:space="preserve">, Facebook, </w:t>
      </w:r>
      <w:proofErr w:type="spellStart"/>
      <w:r w:rsidRPr="00AF71DD">
        <w:rPr>
          <w:rFonts w:eastAsia="Times New Roman"/>
          <w:color w:val="767171" w:themeColor="background2" w:themeShade="80"/>
          <w:szCs w:val="24"/>
        </w:rPr>
        <w:t>Instagram</w:t>
      </w:r>
      <w:proofErr w:type="spellEnd"/>
      <w:r w:rsidRPr="00AF71DD">
        <w:rPr>
          <w:rFonts w:eastAsia="Times New Roman"/>
          <w:color w:val="767171" w:themeColor="background2" w:themeShade="80"/>
          <w:szCs w:val="24"/>
        </w:rPr>
        <w:t xml:space="preserve">, </w:t>
      </w:r>
      <w:proofErr w:type="spellStart"/>
      <w:r w:rsidRPr="00AF71DD">
        <w:rPr>
          <w:rFonts w:eastAsia="Times New Roman"/>
          <w:color w:val="767171" w:themeColor="background2" w:themeShade="80"/>
          <w:szCs w:val="24"/>
        </w:rPr>
        <w:t>Youtube</w:t>
      </w:r>
      <w:proofErr w:type="spellEnd"/>
      <w:r w:rsidRPr="00AF71DD">
        <w:rPr>
          <w:rFonts w:eastAsia="Times New Roman"/>
          <w:color w:val="767171" w:themeColor="background2" w:themeShade="80"/>
          <w:szCs w:val="24"/>
        </w:rPr>
        <w:t xml:space="preserve">, </w:t>
      </w:r>
      <w:proofErr w:type="spellStart"/>
      <w:r w:rsidRPr="00AF71DD">
        <w:rPr>
          <w:rFonts w:eastAsia="Times New Roman"/>
          <w:color w:val="767171" w:themeColor="background2" w:themeShade="80"/>
          <w:szCs w:val="24"/>
        </w:rPr>
        <w:t>LinkedIn</w:t>
      </w:r>
      <w:proofErr w:type="spellEnd"/>
      <w:r w:rsidRPr="00AF71DD">
        <w:rPr>
          <w:rFonts w:eastAsia="Times New Roman"/>
          <w:color w:val="767171" w:themeColor="background2" w:themeShade="80"/>
          <w:szCs w:val="24"/>
        </w:rPr>
        <w:t xml:space="preserve"> y portal web institucional.</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Nuestras redes sociales han sido de gran importancia para dar respuestas oportunas a los usuarios, dando prioridad a las quejas y reclamaciones de los ciudadanos. Con esto, impulsamos una alta atención al usuario, garantizando la gestión adecuada y un tiempo de respuesta no mayor a 24 horas.</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Cabe destacar que los cuestionamientos e inquietudes de los usuarios a través de las redes sociales sobre temas técnicos se canalizan al área correspondiente para su respuesta.</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Actualmente, las redes sociales del INDOTEL se mantienen incrementando la cantidad de sus seguidores. Durante el periodo enero-noviembre de 2021 </w:t>
      </w:r>
      <w:proofErr w:type="spellStart"/>
      <w:r w:rsidRPr="00AF71DD">
        <w:rPr>
          <w:rFonts w:eastAsia="Times New Roman"/>
          <w:color w:val="767171" w:themeColor="background2" w:themeShade="80"/>
          <w:szCs w:val="24"/>
        </w:rPr>
        <w:t>Instagram</w:t>
      </w:r>
      <w:proofErr w:type="spellEnd"/>
      <w:r w:rsidRPr="00AF71DD">
        <w:rPr>
          <w:rFonts w:eastAsia="Times New Roman"/>
          <w:color w:val="767171" w:themeColor="background2" w:themeShade="80"/>
          <w:szCs w:val="24"/>
        </w:rPr>
        <w:t xml:space="preserve"> aumentó un 18.45%, siendo esta la red social que más está creciendo en cuanto a números de usuarios, Facebook 6.32% y </w:t>
      </w:r>
      <w:proofErr w:type="spellStart"/>
      <w:r w:rsidRPr="00AF71DD">
        <w:rPr>
          <w:rFonts w:eastAsia="Times New Roman"/>
          <w:color w:val="767171" w:themeColor="background2" w:themeShade="80"/>
          <w:szCs w:val="24"/>
        </w:rPr>
        <w:t>Twitter</w:t>
      </w:r>
      <w:proofErr w:type="spellEnd"/>
      <w:r w:rsidRPr="00AF71DD">
        <w:rPr>
          <w:rFonts w:eastAsia="Times New Roman"/>
          <w:color w:val="767171" w:themeColor="background2" w:themeShade="80"/>
          <w:szCs w:val="24"/>
        </w:rPr>
        <w:t xml:space="preserve"> un 1.47%.</w:t>
      </w:r>
    </w:p>
    <w:p w:rsidR="00B9386A" w:rsidRDefault="00B9386A" w:rsidP="00AF71DD">
      <w:pPr>
        <w:spacing w:after="0" w:line="240" w:lineRule="auto"/>
        <w:jc w:val="left"/>
        <w:rPr>
          <w:rFonts w:eastAsia="Times New Roman"/>
          <w:color w:val="auto"/>
        </w:rPr>
      </w:pPr>
    </w:p>
    <w:p w:rsidR="00B9386A" w:rsidRPr="00AF71DD" w:rsidRDefault="00B9386A" w:rsidP="00AF71DD">
      <w:pPr>
        <w:spacing w:after="0" w:line="240" w:lineRule="auto"/>
        <w:jc w:val="left"/>
        <w:rPr>
          <w:rFonts w:eastAsia="Times New Roman"/>
          <w:color w:val="auto"/>
        </w:rPr>
      </w:pPr>
    </w:p>
    <w:tbl>
      <w:tblPr>
        <w:tblW w:w="8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0"/>
        <w:gridCol w:w="1054"/>
        <w:gridCol w:w="1220"/>
        <w:gridCol w:w="1327"/>
      </w:tblGrid>
      <w:tr w:rsidR="00AF71DD" w:rsidRPr="00AF71DD" w:rsidTr="0063671D">
        <w:trPr>
          <w:trHeight w:val="709"/>
        </w:trPr>
        <w:tc>
          <w:tcPr>
            <w:tcW w:w="8401" w:type="dxa"/>
            <w:gridSpan w:val="4"/>
            <w:shd w:val="clear" w:color="auto" w:fill="003876"/>
            <w:noWrap/>
            <w:vAlign w:val="center"/>
            <w:hideMark/>
          </w:tcPr>
          <w:p w:rsidR="00AF71DD" w:rsidRPr="00AF71DD" w:rsidRDefault="00AF71DD" w:rsidP="00AF71DD">
            <w:pPr>
              <w:spacing w:after="0" w:line="240" w:lineRule="auto"/>
              <w:jc w:val="center"/>
              <w:rPr>
                <w:rFonts w:eastAsia="Times New Roman"/>
                <w:b/>
                <w:bCs/>
                <w:color w:val="000000"/>
                <w:szCs w:val="24"/>
              </w:rPr>
            </w:pPr>
            <w:r w:rsidRPr="00AF71DD">
              <w:rPr>
                <w:rFonts w:eastAsia="Times New Roman"/>
                <w:b/>
                <w:bCs/>
                <w:color w:val="FFFFFF" w:themeColor="background1"/>
                <w:szCs w:val="24"/>
              </w:rPr>
              <w:t>Crecimiento de las Redes Sociales</w:t>
            </w:r>
            <w:r w:rsidRPr="00AF71DD">
              <w:rPr>
                <w:rFonts w:asciiTheme="minorHAnsi" w:eastAsiaTheme="minorHAnsi" w:hAnsiTheme="minorHAnsi" w:cstheme="minorBidi"/>
                <w:color w:val="auto"/>
                <w:sz w:val="22"/>
                <w:lang w:eastAsia="en-US"/>
              </w:rPr>
              <w:br/>
            </w:r>
            <w:r w:rsidRPr="00AF71DD">
              <w:rPr>
                <w:rFonts w:eastAsia="Times New Roman"/>
                <w:b/>
                <w:bCs/>
                <w:color w:val="FFFFFF" w:themeColor="background1"/>
                <w:szCs w:val="24"/>
              </w:rPr>
              <w:t>Enero –Noviembre de 2021</w:t>
            </w:r>
          </w:p>
        </w:tc>
      </w:tr>
      <w:tr w:rsidR="00AF71DD" w:rsidRPr="00AF71DD" w:rsidTr="0063671D">
        <w:trPr>
          <w:trHeight w:val="330"/>
        </w:trPr>
        <w:tc>
          <w:tcPr>
            <w:tcW w:w="4800" w:type="dxa"/>
            <w:shd w:val="clear" w:color="auto" w:fill="003876"/>
            <w:vAlign w:val="center"/>
            <w:hideMark/>
          </w:tcPr>
          <w:p w:rsidR="00AF71DD" w:rsidRPr="00AF71DD" w:rsidRDefault="00AF71DD" w:rsidP="00AF71DD">
            <w:pPr>
              <w:spacing w:after="0" w:line="240" w:lineRule="auto"/>
              <w:jc w:val="center"/>
              <w:rPr>
                <w:rFonts w:eastAsia="Times New Roman"/>
                <w:color w:val="FFFFFF"/>
                <w:szCs w:val="24"/>
              </w:rPr>
            </w:pPr>
            <w:r w:rsidRPr="00AF71DD">
              <w:rPr>
                <w:rFonts w:eastAsia="Times New Roman"/>
                <w:color w:val="FFFFFF"/>
                <w:szCs w:val="24"/>
              </w:rPr>
              <w:t>Seguidores</w:t>
            </w:r>
          </w:p>
        </w:tc>
        <w:tc>
          <w:tcPr>
            <w:tcW w:w="1138" w:type="dxa"/>
            <w:shd w:val="clear" w:color="auto" w:fill="003876"/>
            <w:vAlign w:val="center"/>
            <w:hideMark/>
          </w:tcPr>
          <w:p w:rsidR="00AF71DD" w:rsidRPr="00AF71DD" w:rsidRDefault="00AF71DD" w:rsidP="00AF71DD">
            <w:pPr>
              <w:spacing w:after="0" w:line="240" w:lineRule="auto"/>
              <w:jc w:val="center"/>
              <w:rPr>
                <w:rFonts w:eastAsia="Times New Roman"/>
                <w:color w:val="FFFFFF"/>
                <w:szCs w:val="24"/>
              </w:rPr>
            </w:pPr>
            <w:r w:rsidRPr="00AF71DD">
              <w:rPr>
                <w:rFonts w:eastAsia="Times New Roman"/>
                <w:color w:val="FFFFFF"/>
                <w:szCs w:val="24"/>
              </w:rPr>
              <w:t>Enero</w:t>
            </w:r>
          </w:p>
        </w:tc>
        <w:tc>
          <w:tcPr>
            <w:tcW w:w="1136" w:type="dxa"/>
            <w:shd w:val="clear" w:color="auto" w:fill="003876"/>
            <w:vAlign w:val="center"/>
            <w:hideMark/>
          </w:tcPr>
          <w:p w:rsidR="00AF71DD" w:rsidRPr="00AF71DD" w:rsidRDefault="00AF71DD" w:rsidP="00AF71DD">
            <w:pPr>
              <w:spacing w:after="0" w:line="240" w:lineRule="auto"/>
              <w:jc w:val="center"/>
              <w:rPr>
                <w:rFonts w:eastAsia="Times New Roman"/>
                <w:color w:val="FFFFFF"/>
                <w:szCs w:val="24"/>
              </w:rPr>
            </w:pPr>
            <w:r w:rsidRPr="00AF71DD">
              <w:rPr>
                <w:rFonts w:eastAsia="Times New Roman"/>
                <w:color w:val="FFFFFF"/>
                <w:szCs w:val="24"/>
              </w:rPr>
              <w:t>Noviembre</w:t>
            </w:r>
          </w:p>
        </w:tc>
        <w:tc>
          <w:tcPr>
            <w:tcW w:w="1327" w:type="dxa"/>
            <w:shd w:val="clear" w:color="auto" w:fill="003876"/>
            <w:vAlign w:val="center"/>
            <w:hideMark/>
          </w:tcPr>
          <w:p w:rsidR="00AF71DD" w:rsidRPr="00AF71DD" w:rsidRDefault="00AF71DD" w:rsidP="00AF71DD">
            <w:pPr>
              <w:spacing w:after="0" w:line="240" w:lineRule="auto"/>
              <w:jc w:val="center"/>
              <w:rPr>
                <w:rFonts w:eastAsia="Times New Roman"/>
                <w:color w:val="FFFFFF"/>
                <w:szCs w:val="24"/>
              </w:rPr>
            </w:pPr>
            <w:r w:rsidRPr="00AF71DD">
              <w:rPr>
                <w:rFonts w:eastAsia="Times New Roman"/>
                <w:color w:val="FFFFFF"/>
                <w:szCs w:val="24"/>
              </w:rPr>
              <w:t>Crecimiento</w:t>
            </w:r>
          </w:p>
        </w:tc>
      </w:tr>
      <w:tr w:rsidR="00AF71DD" w:rsidRPr="00AF71DD" w:rsidTr="00816F63">
        <w:trPr>
          <w:trHeight w:val="330"/>
        </w:trPr>
        <w:tc>
          <w:tcPr>
            <w:tcW w:w="4800" w:type="dxa"/>
            <w:shd w:val="clear" w:color="auto" w:fill="auto"/>
            <w:vAlign w:val="center"/>
            <w:hideMark/>
          </w:tcPr>
          <w:p w:rsidR="00AF71DD" w:rsidRPr="00AF71DD" w:rsidRDefault="00AF71DD" w:rsidP="00AF71DD">
            <w:pPr>
              <w:spacing w:after="0" w:line="240" w:lineRule="auto"/>
              <w:jc w:val="center"/>
              <w:rPr>
                <w:rFonts w:eastAsia="Times New Roman"/>
                <w:szCs w:val="24"/>
              </w:rPr>
            </w:pPr>
            <w:proofErr w:type="spellStart"/>
            <w:r w:rsidRPr="00AF71DD">
              <w:rPr>
                <w:rFonts w:eastAsia="Times New Roman"/>
                <w:szCs w:val="24"/>
              </w:rPr>
              <w:t>Instagram</w:t>
            </w:r>
            <w:proofErr w:type="spellEnd"/>
          </w:p>
        </w:tc>
        <w:tc>
          <w:tcPr>
            <w:tcW w:w="1138"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35,518</w:t>
            </w:r>
          </w:p>
        </w:tc>
        <w:tc>
          <w:tcPr>
            <w:tcW w:w="1136"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42,070</w:t>
            </w:r>
          </w:p>
        </w:tc>
        <w:tc>
          <w:tcPr>
            <w:tcW w:w="1327"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18.45%</w:t>
            </w:r>
          </w:p>
        </w:tc>
      </w:tr>
      <w:tr w:rsidR="00AF71DD" w:rsidRPr="00AF71DD" w:rsidTr="00816F63">
        <w:trPr>
          <w:trHeight w:val="330"/>
        </w:trPr>
        <w:tc>
          <w:tcPr>
            <w:tcW w:w="4800"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Facebook</w:t>
            </w:r>
          </w:p>
        </w:tc>
        <w:tc>
          <w:tcPr>
            <w:tcW w:w="1138"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12,539</w:t>
            </w:r>
          </w:p>
        </w:tc>
        <w:tc>
          <w:tcPr>
            <w:tcW w:w="1136"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13,331</w:t>
            </w:r>
          </w:p>
        </w:tc>
        <w:tc>
          <w:tcPr>
            <w:tcW w:w="1327"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6.32%</w:t>
            </w:r>
          </w:p>
        </w:tc>
      </w:tr>
      <w:tr w:rsidR="00AF71DD" w:rsidRPr="00AF71DD" w:rsidTr="00816F63">
        <w:trPr>
          <w:trHeight w:val="330"/>
        </w:trPr>
        <w:tc>
          <w:tcPr>
            <w:tcW w:w="4800" w:type="dxa"/>
            <w:shd w:val="clear" w:color="auto" w:fill="auto"/>
            <w:vAlign w:val="center"/>
            <w:hideMark/>
          </w:tcPr>
          <w:p w:rsidR="00AF71DD" w:rsidRPr="00AF71DD" w:rsidRDefault="00AF71DD" w:rsidP="00AF71DD">
            <w:pPr>
              <w:spacing w:after="0" w:line="240" w:lineRule="auto"/>
              <w:jc w:val="center"/>
              <w:rPr>
                <w:rFonts w:eastAsia="Times New Roman"/>
                <w:szCs w:val="24"/>
              </w:rPr>
            </w:pPr>
            <w:proofErr w:type="spellStart"/>
            <w:r w:rsidRPr="00AF71DD">
              <w:rPr>
                <w:rFonts w:eastAsia="Times New Roman"/>
                <w:szCs w:val="24"/>
              </w:rPr>
              <w:t>Twitter</w:t>
            </w:r>
            <w:proofErr w:type="spellEnd"/>
          </w:p>
        </w:tc>
        <w:tc>
          <w:tcPr>
            <w:tcW w:w="1138"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122,111</w:t>
            </w:r>
          </w:p>
        </w:tc>
        <w:tc>
          <w:tcPr>
            <w:tcW w:w="1136"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123,911</w:t>
            </w:r>
          </w:p>
        </w:tc>
        <w:tc>
          <w:tcPr>
            <w:tcW w:w="1327" w:type="dxa"/>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1.47%</w:t>
            </w:r>
          </w:p>
        </w:tc>
      </w:tr>
    </w:tbl>
    <w:p w:rsidR="00AF71DD" w:rsidRPr="00AF71DD" w:rsidRDefault="00AF71DD" w:rsidP="00AF71DD">
      <w:pPr>
        <w:spacing w:after="0" w:line="240" w:lineRule="auto"/>
        <w:jc w:val="left"/>
        <w:rPr>
          <w:rFonts w:eastAsia="Times New Roman"/>
          <w:sz w:val="18"/>
        </w:rPr>
      </w:pPr>
      <w:r w:rsidRPr="00AF71DD">
        <w:rPr>
          <w:rFonts w:eastAsia="Times New Roman"/>
          <w:b/>
          <w:sz w:val="18"/>
        </w:rPr>
        <w:t>Fuente</w:t>
      </w:r>
      <w:r w:rsidRPr="00AF71DD">
        <w:rPr>
          <w:rFonts w:eastAsia="Times New Roman"/>
          <w:sz w:val="18"/>
        </w:rPr>
        <w:t xml:space="preserve">: Software </w:t>
      </w:r>
      <w:proofErr w:type="spellStart"/>
      <w:r w:rsidRPr="00AF71DD">
        <w:rPr>
          <w:rFonts w:eastAsia="Times New Roman"/>
          <w:sz w:val="18"/>
        </w:rPr>
        <w:t>Analytics</w:t>
      </w:r>
      <w:proofErr w:type="spellEnd"/>
    </w:p>
    <w:p w:rsidR="00AF71DD" w:rsidRDefault="00AF71DD" w:rsidP="00AF71DD"/>
    <w:p w:rsidR="002B1FEF" w:rsidRPr="00AF71DD" w:rsidRDefault="002B1FEF" w:rsidP="00AF71DD"/>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lastRenderedPageBreak/>
        <w:t>Para dar a conocer las acciones de la institución tomando en cuenta los ejes estratégicos y planes definidos dirigidos a los grupos de interés del sector de las telecomunicaciones, periódicamente se publican distintas piezas y compañas comunicacionales para orientación a los usuarios en las redes sociales del INDOTEL, las cuales se detallan a continuación:</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Cómo usar </w:t>
      </w:r>
      <w:proofErr w:type="spellStart"/>
      <w:r w:rsidRPr="00AF71DD">
        <w:rPr>
          <w:rFonts w:eastAsia="Times New Roman"/>
          <w:color w:val="767171" w:themeColor="background2" w:themeShade="80"/>
          <w:szCs w:val="24"/>
        </w:rPr>
        <w:t>Roaming</w:t>
      </w:r>
      <w:proofErr w:type="spellEnd"/>
      <w:r w:rsidRPr="00AF71DD">
        <w:rPr>
          <w:rFonts w:eastAsia="Times New Roman"/>
          <w:color w:val="767171" w:themeColor="background2" w:themeShade="80"/>
          <w:szCs w:val="24"/>
        </w:rPr>
        <w:t xml:space="preserve"> correctamente</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Identidad Digital</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El uso de la Firma Electrónica</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IMEI</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Revendedores de internet  </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protección a niños y niñas en el uso de las TIC</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Los deberes y derechos de servicios públicos de telecomunicación</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Uso y beneficios del 5G</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Jueves de comercio electrónico #</w:t>
      </w:r>
      <w:proofErr w:type="spellStart"/>
      <w:r w:rsidRPr="00AF71DD">
        <w:rPr>
          <w:rFonts w:eastAsia="Times New Roman"/>
          <w:color w:val="767171" w:themeColor="background2" w:themeShade="80"/>
          <w:szCs w:val="24"/>
        </w:rPr>
        <w:t>eCommerce</w:t>
      </w:r>
      <w:proofErr w:type="spellEnd"/>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Orientación a los usuarios según las problemáticas que presenten con su servicio de telecomunicación</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Tecnología e incursión de personas con discapacidad </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 Ventajas de las herramientas digitales</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Orientación de </w:t>
      </w:r>
      <w:proofErr w:type="spellStart"/>
      <w:r w:rsidRPr="00AF71DD">
        <w:rPr>
          <w:rFonts w:eastAsia="Times New Roman"/>
          <w:color w:val="767171" w:themeColor="background2" w:themeShade="80"/>
          <w:szCs w:val="24"/>
        </w:rPr>
        <w:t>ciberseguridad</w:t>
      </w:r>
      <w:proofErr w:type="spellEnd"/>
      <w:r w:rsidRPr="00AF71DD">
        <w:rPr>
          <w:rFonts w:eastAsia="Times New Roman"/>
          <w:color w:val="767171" w:themeColor="background2" w:themeShade="80"/>
          <w:szCs w:val="24"/>
        </w:rPr>
        <w:t xml:space="preserve">  </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Madres y las TIC</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Campaña conectar a los no conectados </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espectro radioeléctrico</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primer año de cambio</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sobre las estadísticas en el sector de las telecomunicaciones</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INDOTEL verde</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Campaña por el mes del cáncer de mama</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Aportes de las TIC </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t xml:space="preserve">Inteligencia artificial </w:t>
      </w:r>
    </w:p>
    <w:p w:rsidR="00AF71DD" w:rsidRPr="00AF71DD" w:rsidRDefault="00AF71DD" w:rsidP="00A17C7C">
      <w:pPr>
        <w:numPr>
          <w:ilvl w:val="0"/>
          <w:numId w:val="14"/>
        </w:numPr>
        <w:spacing w:line="360" w:lineRule="auto"/>
        <w:contextualSpacing/>
        <w:jc w:val="left"/>
        <w:rPr>
          <w:rFonts w:eastAsia="Times New Roman"/>
          <w:color w:val="767171" w:themeColor="background2" w:themeShade="80"/>
          <w:szCs w:val="24"/>
        </w:rPr>
      </w:pPr>
      <w:r w:rsidRPr="00AF71DD">
        <w:rPr>
          <w:rFonts w:eastAsia="Times New Roman"/>
          <w:color w:val="767171" w:themeColor="background2" w:themeShade="80"/>
          <w:szCs w:val="24"/>
        </w:rPr>
        <w:lastRenderedPageBreak/>
        <w:t>Cultura TIC</w:t>
      </w:r>
    </w:p>
    <w:p w:rsidR="00AF71DD" w:rsidRPr="00AF71DD" w:rsidRDefault="00AF71DD" w:rsidP="00AF71DD">
      <w:pPr>
        <w:spacing w:line="360" w:lineRule="auto"/>
        <w:rPr>
          <w:rFonts w:eastAsia="Times New Roman"/>
          <w:color w:val="767171" w:themeColor="background2" w:themeShade="80"/>
          <w:szCs w:val="24"/>
        </w:rPr>
      </w:pP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También, el INDOTEL se ha sumado frente a la crisis sanitaria COVID-19 apoyando 100% las campañas de comunicaciones de Presidencia #</w:t>
      </w:r>
      <w:proofErr w:type="spellStart"/>
      <w:r w:rsidRPr="00AF71DD">
        <w:rPr>
          <w:rFonts w:eastAsia="Times New Roman"/>
          <w:color w:val="767171" w:themeColor="background2" w:themeShade="80"/>
          <w:szCs w:val="24"/>
        </w:rPr>
        <w:t>VacúnateRD</w:t>
      </w:r>
      <w:proofErr w:type="spellEnd"/>
      <w:r w:rsidRPr="00AF71DD">
        <w:rPr>
          <w:rFonts w:eastAsia="Times New Roman"/>
          <w:color w:val="767171" w:themeColor="background2" w:themeShade="80"/>
          <w:szCs w:val="24"/>
        </w:rPr>
        <w:t>.  A la institución le fue asignada la provincia de San Pedro de Macorís para la Jornada Regional de Vacunación Este y Sur #</w:t>
      </w:r>
      <w:proofErr w:type="spellStart"/>
      <w:r w:rsidRPr="00AF71DD">
        <w:rPr>
          <w:rFonts w:eastAsia="Times New Roman"/>
          <w:color w:val="767171" w:themeColor="background2" w:themeShade="80"/>
          <w:szCs w:val="24"/>
        </w:rPr>
        <w:t>VacúnateYA</w:t>
      </w:r>
      <w:proofErr w:type="spellEnd"/>
      <w:r w:rsidRPr="00AF71DD">
        <w:rPr>
          <w:rFonts w:eastAsia="Times New Roman"/>
          <w:color w:val="767171" w:themeColor="background2" w:themeShade="80"/>
          <w:szCs w:val="24"/>
        </w:rPr>
        <w:t>.</w:t>
      </w:r>
    </w:p>
    <w:p w:rsidR="00AF71DD" w:rsidRPr="00AF71DD" w:rsidRDefault="00AF71DD" w:rsidP="00AF71DD">
      <w:pPr>
        <w:tabs>
          <w:tab w:val="left" w:pos="7782"/>
        </w:tabs>
        <w:spacing w:line="360" w:lineRule="auto"/>
        <w:rPr>
          <w:rFonts w:eastAsia="Times New Roman"/>
          <w:b/>
          <w:color w:val="767171" w:themeColor="background2" w:themeShade="80"/>
          <w:szCs w:val="24"/>
        </w:rPr>
      </w:pPr>
      <w:r w:rsidRPr="00AF71DD">
        <w:rPr>
          <w:rFonts w:eastAsia="Times New Roman"/>
          <w:b/>
          <w:color w:val="767171" w:themeColor="background2" w:themeShade="80"/>
          <w:szCs w:val="24"/>
        </w:rPr>
        <w:t>Notas de Prensa</w:t>
      </w:r>
    </w:p>
    <w:p w:rsidR="00B9386A"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La institución elaboró y despachó a los medios de comunicación un total de 47 notas de prensa durante el periodo enero-noviembre de 2021, generando 938 publicaciones en los medios informativos, de las cuales 79 fueron en medios impresos y 859 en digitales.</w:t>
      </w:r>
    </w:p>
    <w:p w:rsidR="00AF71DD" w:rsidRPr="00AF71DD" w:rsidRDefault="00AF71DD" w:rsidP="00AF71DD">
      <w:pPr>
        <w:spacing w:after="0" w:line="240" w:lineRule="auto"/>
        <w:jc w:val="left"/>
        <w:rPr>
          <w:rFonts w:eastAsia="Times New Roman"/>
          <w:color w:val="auto"/>
        </w:rPr>
      </w:pPr>
    </w:p>
    <w:tbl>
      <w:tblPr>
        <w:tblW w:w="9270" w:type="dxa"/>
        <w:jc w:val="center"/>
        <w:tblLayout w:type="fixed"/>
        <w:tblCellMar>
          <w:left w:w="70" w:type="dxa"/>
          <w:right w:w="70" w:type="dxa"/>
        </w:tblCellMar>
        <w:tblLook w:val="04A0" w:firstRow="1" w:lastRow="0" w:firstColumn="1" w:lastColumn="0" w:noHBand="0" w:noVBand="1"/>
      </w:tblPr>
      <w:tblGrid>
        <w:gridCol w:w="1260"/>
        <w:gridCol w:w="1350"/>
        <w:gridCol w:w="1440"/>
        <w:gridCol w:w="1080"/>
        <w:gridCol w:w="270"/>
        <w:gridCol w:w="2700"/>
        <w:gridCol w:w="1170"/>
      </w:tblGrid>
      <w:tr w:rsidR="00AF71DD" w:rsidRPr="00AF71DD" w:rsidTr="0063671D">
        <w:trPr>
          <w:trHeight w:val="672"/>
          <w:jc w:val="center"/>
        </w:trPr>
        <w:tc>
          <w:tcPr>
            <w:tcW w:w="5130" w:type="dxa"/>
            <w:gridSpan w:val="4"/>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Publicaciones Generadas de Notas de Prensa</w:t>
            </w:r>
          </w:p>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Enero - Noviembre de 2021</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color w:val="FFFFFF"/>
                <w:szCs w:val="24"/>
              </w:rPr>
            </w:pPr>
          </w:p>
        </w:tc>
        <w:tc>
          <w:tcPr>
            <w:tcW w:w="3870" w:type="dxa"/>
            <w:gridSpan w:val="2"/>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Notas de Prensa Enviadas a los Medios de Comunicación</w:t>
            </w:r>
          </w:p>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Enero - Noviembre de 2021</w:t>
            </w:r>
          </w:p>
        </w:tc>
      </w:tr>
      <w:tr w:rsidR="00AF71DD" w:rsidRPr="00AF71DD" w:rsidTr="0063671D">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Mes</w:t>
            </w:r>
          </w:p>
        </w:tc>
        <w:tc>
          <w:tcPr>
            <w:tcW w:w="1350" w:type="dxa"/>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Impresos</w:t>
            </w:r>
          </w:p>
        </w:tc>
        <w:tc>
          <w:tcPr>
            <w:tcW w:w="1440" w:type="dxa"/>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Digitales</w:t>
            </w:r>
          </w:p>
        </w:tc>
        <w:tc>
          <w:tcPr>
            <w:tcW w:w="1080" w:type="dxa"/>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Total</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color w:val="FFFFFF"/>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Mes</w:t>
            </w:r>
          </w:p>
        </w:tc>
        <w:tc>
          <w:tcPr>
            <w:tcW w:w="1170" w:type="dxa"/>
            <w:tcBorders>
              <w:top w:val="single" w:sz="4" w:space="0" w:color="auto"/>
              <w:left w:val="single" w:sz="4" w:space="0" w:color="auto"/>
              <w:bottom w:val="single" w:sz="4" w:space="0" w:color="auto"/>
              <w:right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Total</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Enero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0</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Enero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0</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Febrero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206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225</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Febrero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Marzo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76</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Marzo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4</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Abril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82</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Abril</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Mayo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62</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jc w:val="center"/>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Mayo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3</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Junio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119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125</w:t>
            </w:r>
          </w:p>
        </w:tc>
        <w:tc>
          <w:tcPr>
            <w:tcW w:w="270" w:type="dxa"/>
            <w:tcBorders>
              <w:top w:val="nil"/>
              <w:left w:val="single" w:sz="4" w:space="0" w:color="auto"/>
              <w:bottom w:val="nil"/>
              <w:right w:val="single" w:sz="4" w:space="0" w:color="auto"/>
            </w:tcBorders>
            <w:shd w:val="clear" w:color="auto" w:fill="auto"/>
            <w:noWrap/>
            <w:vAlign w:val="bottom"/>
            <w:hideMark/>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Junio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Julio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117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123</w:t>
            </w:r>
          </w:p>
        </w:tc>
        <w:tc>
          <w:tcPr>
            <w:tcW w:w="270" w:type="dxa"/>
            <w:tcBorders>
              <w:top w:val="nil"/>
              <w:left w:val="single" w:sz="4" w:space="0" w:color="auto"/>
              <w:bottom w:val="nil"/>
              <w:right w:val="single" w:sz="4" w:space="0" w:color="auto"/>
            </w:tcBorders>
            <w:shd w:val="clear" w:color="auto" w:fill="auto"/>
            <w:noWrap/>
            <w:vAlign w:val="bottom"/>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 xml:space="preserve">Julio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5</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Agosto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44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52</w:t>
            </w:r>
          </w:p>
        </w:tc>
        <w:tc>
          <w:tcPr>
            <w:tcW w:w="270" w:type="dxa"/>
            <w:tcBorders>
              <w:top w:val="nil"/>
              <w:left w:val="single" w:sz="4" w:space="0" w:color="auto"/>
              <w:bottom w:val="nil"/>
              <w:right w:val="single" w:sz="4" w:space="0" w:color="auto"/>
            </w:tcBorders>
            <w:shd w:val="clear" w:color="auto" w:fill="auto"/>
            <w:noWrap/>
            <w:vAlign w:val="bottom"/>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Agosto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4</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Septiembre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56</w:t>
            </w:r>
          </w:p>
        </w:tc>
        <w:tc>
          <w:tcPr>
            <w:tcW w:w="270" w:type="dxa"/>
            <w:tcBorders>
              <w:top w:val="nil"/>
              <w:left w:val="single" w:sz="4" w:space="0" w:color="auto"/>
              <w:bottom w:val="nil"/>
              <w:right w:val="single" w:sz="4" w:space="0" w:color="auto"/>
            </w:tcBorders>
            <w:shd w:val="clear" w:color="auto" w:fill="auto"/>
            <w:noWrap/>
            <w:vAlign w:val="bottom"/>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Septiembre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4</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Octubre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102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114</w:t>
            </w:r>
          </w:p>
        </w:tc>
        <w:tc>
          <w:tcPr>
            <w:tcW w:w="270" w:type="dxa"/>
            <w:tcBorders>
              <w:top w:val="nil"/>
              <w:left w:val="single" w:sz="4" w:space="0" w:color="auto"/>
              <w:bottom w:val="nil"/>
              <w:right w:val="single" w:sz="4" w:space="0" w:color="auto"/>
            </w:tcBorders>
            <w:shd w:val="clear" w:color="auto" w:fill="auto"/>
            <w:noWrap/>
            <w:vAlign w:val="bottom"/>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Octubre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7</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Noviembre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23</w:t>
            </w:r>
          </w:p>
        </w:tc>
        <w:tc>
          <w:tcPr>
            <w:tcW w:w="270" w:type="dxa"/>
            <w:tcBorders>
              <w:top w:val="nil"/>
              <w:left w:val="single" w:sz="4" w:space="0" w:color="auto"/>
              <w:bottom w:val="nil"/>
              <w:right w:val="single" w:sz="4" w:space="0" w:color="auto"/>
            </w:tcBorders>
            <w:shd w:val="clear" w:color="auto" w:fill="auto"/>
            <w:noWrap/>
            <w:vAlign w:val="bottom"/>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Noviembre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szCs w:val="24"/>
              </w:rPr>
              <w:t>2</w:t>
            </w:r>
          </w:p>
        </w:tc>
      </w:tr>
      <w:tr w:rsidR="00AF71DD" w:rsidRPr="00AF71DD" w:rsidTr="00816F63">
        <w:trPr>
          <w:trHeight w:val="328"/>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Total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79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left"/>
              <w:rPr>
                <w:rFonts w:eastAsia="Times New Roman"/>
                <w:b/>
                <w:bCs/>
                <w:szCs w:val="24"/>
              </w:rPr>
            </w:pPr>
            <w:r w:rsidRPr="00AF71DD">
              <w:rPr>
                <w:rFonts w:eastAsia="Times New Roman"/>
                <w:b/>
                <w:bCs/>
                <w:szCs w:val="24"/>
              </w:rPr>
              <w:t xml:space="preserve">          859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bCs/>
                <w:szCs w:val="24"/>
              </w:rPr>
            </w:pPr>
            <w:r w:rsidRPr="00AF71DD">
              <w:rPr>
                <w:rFonts w:eastAsia="Times New Roman"/>
                <w:b/>
                <w:bCs/>
                <w:szCs w:val="24"/>
              </w:rPr>
              <w:t>938</w:t>
            </w:r>
          </w:p>
        </w:tc>
        <w:tc>
          <w:tcPr>
            <w:tcW w:w="270" w:type="dxa"/>
            <w:tcBorders>
              <w:top w:val="nil"/>
              <w:left w:val="single" w:sz="4" w:space="0" w:color="auto"/>
              <w:bottom w:val="nil"/>
              <w:right w:val="single" w:sz="4" w:space="0" w:color="auto"/>
            </w:tcBorders>
            <w:shd w:val="clear" w:color="auto" w:fill="auto"/>
            <w:noWrap/>
            <w:vAlign w:val="bottom"/>
          </w:tcPr>
          <w:p w:rsidR="00AF71DD" w:rsidRPr="00AF71DD" w:rsidRDefault="00AF71DD" w:rsidP="00AF71DD">
            <w:pPr>
              <w:spacing w:after="0" w:line="240" w:lineRule="auto"/>
              <w:rPr>
                <w:rFonts w:eastAsia="Times New Roman"/>
                <w:b/>
                <w:bCs/>
                <w:szCs w:val="24"/>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szCs w:val="24"/>
              </w:rPr>
            </w:pPr>
            <w:r w:rsidRPr="00AF71DD">
              <w:rPr>
                <w:rFonts w:eastAsia="Times New Roman"/>
                <w:b/>
                <w:bCs/>
                <w:szCs w:val="24"/>
              </w:rPr>
              <w:t>Total</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71DD" w:rsidRPr="00AF71DD" w:rsidRDefault="00AF71DD" w:rsidP="00AF71DD">
            <w:pPr>
              <w:spacing w:after="0" w:line="240" w:lineRule="auto"/>
              <w:jc w:val="center"/>
              <w:rPr>
                <w:rFonts w:eastAsia="Times New Roman"/>
                <w:b/>
                <w:szCs w:val="24"/>
              </w:rPr>
            </w:pPr>
            <w:r w:rsidRPr="00AF71DD">
              <w:rPr>
                <w:rFonts w:eastAsia="Times New Roman"/>
                <w:b/>
                <w:szCs w:val="24"/>
              </w:rPr>
              <w:t>47</w:t>
            </w:r>
          </w:p>
        </w:tc>
      </w:tr>
    </w:tbl>
    <w:p w:rsidR="00AF71DD" w:rsidRPr="00AF71DD" w:rsidRDefault="00AF71DD" w:rsidP="00AF71DD">
      <w:pPr>
        <w:spacing w:after="0" w:line="240" w:lineRule="auto"/>
        <w:ind w:left="-720"/>
        <w:jc w:val="left"/>
        <w:rPr>
          <w:rFonts w:eastAsia="Times New Roman"/>
          <w:sz w:val="18"/>
        </w:rPr>
      </w:pPr>
      <w:r w:rsidRPr="00AF71DD">
        <w:rPr>
          <w:rFonts w:eastAsia="Times New Roman"/>
          <w:b/>
          <w:sz w:val="18"/>
        </w:rPr>
        <w:t>Fuente:</w:t>
      </w:r>
      <w:r w:rsidRPr="00AF71DD">
        <w:rPr>
          <w:rFonts w:eastAsia="Times New Roman"/>
          <w:sz w:val="18"/>
        </w:rPr>
        <w:t xml:space="preserve"> Unidad de Prensa</w:t>
      </w:r>
      <w:r w:rsidRPr="00AF71DD">
        <w:rPr>
          <w:rFonts w:eastAsia="Times New Roman"/>
          <w:sz w:val="18"/>
        </w:rPr>
        <w:tab/>
      </w:r>
      <w:r w:rsidRPr="00AF71DD">
        <w:rPr>
          <w:rFonts w:eastAsia="Times New Roman"/>
          <w:sz w:val="18"/>
        </w:rPr>
        <w:tab/>
      </w:r>
      <w:r w:rsidRPr="00AF71DD">
        <w:rPr>
          <w:rFonts w:eastAsia="Times New Roman"/>
          <w:sz w:val="18"/>
        </w:rPr>
        <w:tab/>
      </w:r>
      <w:r w:rsidRPr="00AF71DD">
        <w:rPr>
          <w:rFonts w:eastAsia="Times New Roman"/>
          <w:sz w:val="18"/>
        </w:rPr>
        <w:tab/>
      </w:r>
      <w:r w:rsidRPr="00AF71DD">
        <w:rPr>
          <w:rFonts w:eastAsia="Times New Roman"/>
          <w:sz w:val="18"/>
        </w:rPr>
        <w:tab/>
        <w:t xml:space="preserve">         </w:t>
      </w:r>
      <w:r w:rsidR="00B9386A">
        <w:rPr>
          <w:rFonts w:eastAsia="Times New Roman"/>
          <w:sz w:val="18"/>
        </w:rPr>
        <w:t xml:space="preserve"> </w:t>
      </w:r>
      <w:r w:rsidRPr="00AF71DD">
        <w:rPr>
          <w:rFonts w:eastAsia="Times New Roman"/>
          <w:b/>
          <w:sz w:val="18"/>
        </w:rPr>
        <w:t>Fuente:</w:t>
      </w:r>
      <w:r w:rsidRPr="00AF71DD">
        <w:rPr>
          <w:rFonts w:eastAsia="Times New Roman"/>
          <w:sz w:val="18"/>
        </w:rPr>
        <w:t xml:space="preserve"> Unidad de Prensa</w:t>
      </w:r>
      <w:r w:rsidRPr="00AF71DD">
        <w:rPr>
          <w:rFonts w:eastAsia="Times New Roman"/>
          <w:sz w:val="18"/>
        </w:rPr>
        <w:tab/>
      </w:r>
      <w:r w:rsidRPr="00AF71DD">
        <w:rPr>
          <w:rFonts w:eastAsia="Times New Roman"/>
          <w:sz w:val="18"/>
        </w:rPr>
        <w:tab/>
      </w:r>
      <w:r w:rsidRPr="00AF71DD">
        <w:rPr>
          <w:rFonts w:eastAsia="Times New Roman"/>
          <w:sz w:val="18"/>
        </w:rPr>
        <w:tab/>
      </w:r>
      <w:r w:rsidRPr="00AF71DD">
        <w:rPr>
          <w:rFonts w:eastAsia="Times New Roman"/>
          <w:sz w:val="18"/>
        </w:rPr>
        <w:tab/>
        <w:t xml:space="preserve">        </w:t>
      </w:r>
    </w:p>
    <w:p w:rsidR="00AF71DD" w:rsidRDefault="00AF71DD" w:rsidP="00AF71DD">
      <w:pPr>
        <w:spacing w:line="360" w:lineRule="auto"/>
        <w:rPr>
          <w:rFonts w:eastAsia="Times New Roman"/>
          <w:b/>
          <w:color w:val="767171" w:themeColor="background2" w:themeShade="80"/>
          <w:szCs w:val="24"/>
        </w:rPr>
      </w:pPr>
    </w:p>
    <w:p w:rsidR="00792ACF" w:rsidRPr="00AF71DD" w:rsidRDefault="00792ACF" w:rsidP="00AF71DD">
      <w:pPr>
        <w:spacing w:line="360" w:lineRule="auto"/>
        <w:rPr>
          <w:rFonts w:eastAsia="Times New Roman"/>
          <w:b/>
          <w:color w:val="767171" w:themeColor="background2" w:themeShade="80"/>
          <w:szCs w:val="24"/>
        </w:rPr>
      </w:pPr>
    </w:p>
    <w:p w:rsidR="00AF71DD" w:rsidRPr="00AF71DD" w:rsidRDefault="00AF71DD" w:rsidP="00AF71DD">
      <w:pPr>
        <w:spacing w:line="360" w:lineRule="auto"/>
        <w:rPr>
          <w:rFonts w:eastAsia="Times New Roman"/>
          <w:b/>
          <w:color w:val="767171" w:themeColor="background2" w:themeShade="80"/>
          <w:szCs w:val="24"/>
        </w:rPr>
      </w:pPr>
      <w:r w:rsidRPr="00AF71DD">
        <w:rPr>
          <w:rFonts w:eastAsia="Times New Roman"/>
          <w:b/>
          <w:color w:val="767171" w:themeColor="background2" w:themeShade="80"/>
          <w:szCs w:val="24"/>
        </w:rPr>
        <w:lastRenderedPageBreak/>
        <w:t xml:space="preserve">Colocación de Publicidad en los Medios de Comunicación </w:t>
      </w:r>
    </w:p>
    <w:p w:rsidR="00AF71DD" w:rsidRPr="00AF71DD" w:rsidRDefault="00AF71DD" w:rsidP="00AF71DD">
      <w:pPr>
        <w:spacing w:line="360" w:lineRule="auto"/>
        <w:rPr>
          <w:color w:val="767171" w:themeColor="background2" w:themeShade="80"/>
          <w:szCs w:val="24"/>
        </w:rPr>
      </w:pPr>
      <w:r w:rsidRPr="00AF71DD">
        <w:rPr>
          <w:color w:val="767171" w:themeColor="background2" w:themeShade="80"/>
          <w:szCs w:val="24"/>
        </w:rPr>
        <w:t>Se difundieron las ejecutorias que consistían en campañas, resoluciones y avisos del INDOTEL a través de los diferentes medios de prensa escrita y digital, con el propósito de informar y orientar a los usuarios y prestadoras de las telecomunicaciones.</w:t>
      </w:r>
    </w:p>
    <w:p w:rsidR="00B9386A" w:rsidRPr="00AF71DD" w:rsidRDefault="00AF71DD" w:rsidP="00AF71DD">
      <w:pPr>
        <w:spacing w:line="360" w:lineRule="auto"/>
        <w:rPr>
          <w:color w:val="767171" w:themeColor="background2" w:themeShade="80"/>
          <w:szCs w:val="24"/>
        </w:rPr>
      </w:pPr>
      <w:r w:rsidRPr="00AF71DD">
        <w:rPr>
          <w:color w:val="767171" w:themeColor="background2" w:themeShade="80"/>
          <w:szCs w:val="24"/>
        </w:rPr>
        <w:t>Todo esto se ha estado proyectando en 70 medios de comunicación, divididos en 7 periódicos impresos, 14 estaciones de radio, 41 programas televisivos y 10 portales digitales. A continuación, la descripción del uso por cada medio de comunicación durante el período enero-noviembre del año 2021:</w:t>
      </w:r>
    </w:p>
    <w:p w:rsidR="00AF71DD" w:rsidRPr="00AF71DD" w:rsidRDefault="00AF71DD" w:rsidP="00AF71DD">
      <w:pPr>
        <w:spacing w:after="0" w:line="240" w:lineRule="auto"/>
        <w:jc w:val="left"/>
        <w:rPr>
          <w:rFonts w:eastAsia="Times New Roman"/>
          <w:color w:val="auto"/>
        </w:rPr>
      </w:pPr>
    </w:p>
    <w:tbl>
      <w:tblPr>
        <w:tblW w:w="81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8"/>
        <w:gridCol w:w="2652"/>
        <w:gridCol w:w="3690"/>
      </w:tblGrid>
      <w:tr w:rsidR="00AF71DD" w:rsidRPr="00AF71DD" w:rsidTr="0063671D">
        <w:trPr>
          <w:trHeight w:val="880"/>
        </w:trPr>
        <w:tc>
          <w:tcPr>
            <w:tcW w:w="8190" w:type="dxa"/>
            <w:gridSpan w:val="3"/>
            <w:shd w:val="clear" w:color="auto" w:fill="003876"/>
            <w:noWrap/>
            <w:vAlign w:val="center"/>
            <w:hideMark/>
          </w:tcPr>
          <w:p w:rsidR="00AF71DD" w:rsidRPr="00AF71DD" w:rsidRDefault="00AF71DD" w:rsidP="00AF71DD">
            <w:pPr>
              <w:spacing w:after="0" w:line="240" w:lineRule="auto"/>
              <w:jc w:val="center"/>
              <w:rPr>
                <w:rFonts w:eastAsia="Times New Roman"/>
                <w:b/>
                <w:bCs/>
                <w:color w:val="FFFFFF" w:themeColor="background1"/>
                <w:szCs w:val="24"/>
              </w:rPr>
            </w:pPr>
            <w:r w:rsidRPr="00AF71DD">
              <w:rPr>
                <w:rFonts w:eastAsia="Times New Roman"/>
                <w:b/>
                <w:bCs/>
                <w:color w:val="FFFFFF" w:themeColor="background1"/>
                <w:szCs w:val="24"/>
              </w:rPr>
              <w:t>Publicidad del INDOTEL en los Medios</w:t>
            </w:r>
            <w:r w:rsidRPr="00AF71DD">
              <w:rPr>
                <w:rFonts w:eastAsia="Times New Roman"/>
                <w:b/>
                <w:bCs/>
                <w:color w:val="FFFFFF" w:themeColor="background1"/>
                <w:szCs w:val="24"/>
              </w:rPr>
              <w:br/>
              <w:t>Enero – Noviembre de 2021</w:t>
            </w:r>
          </w:p>
        </w:tc>
      </w:tr>
      <w:tr w:rsidR="00AF71DD" w:rsidRPr="00AF71DD" w:rsidTr="0063671D">
        <w:trPr>
          <w:trHeight w:val="630"/>
        </w:trPr>
        <w:tc>
          <w:tcPr>
            <w:tcW w:w="1848" w:type="dxa"/>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Medios</w:t>
            </w:r>
          </w:p>
        </w:tc>
        <w:tc>
          <w:tcPr>
            <w:tcW w:w="2652" w:type="dxa"/>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Cantidad de Medios</w:t>
            </w:r>
          </w:p>
        </w:tc>
        <w:tc>
          <w:tcPr>
            <w:tcW w:w="3690" w:type="dxa"/>
            <w:tcBorders>
              <w:bottom w:val="single" w:sz="4" w:space="0" w:color="auto"/>
            </w:tcBorders>
            <w:shd w:val="clear" w:color="auto" w:fill="003876"/>
            <w:vAlign w:val="center"/>
            <w:hideMark/>
          </w:tcPr>
          <w:p w:rsidR="00AF71DD" w:rsidRPr="00AF71DD" w:rsidRDefault="00AF71DD" w:rsidP="00AF71DD">
            <w:pPr>
              <w:spacing w:after="0" w:line="240" w:lineRule="auto"/>
              <w:jc w:val="center"/>
              <w:rPr>
                <w:rFonts w:eastAsia="Times New Roman"/>
                <w:b/>
                <w:bCs/>
                <w:color w:val="FFFFFF"/>
                <w:szCs w:val="24"/>
              </w:rPr>
            </w:pPr>
            <w:r w:rsidRPr="00AF71DD">
              <w:rPr>
                <w:rFonts w:eastAsia="Times New Roman"/>
                <w:b/>
                <w:bCs/>
                <w:color w:val="FFFFFF"/>
                <w:szCs w:val="24"/>
              </w:rPr>
              <w:t>Descripción</w:t>
            </w:r>
          </w:p>
        </w:tc>
      </w:tr>
      <w:tr w:rsidR="00AF71DD" w:rsidRPr="00AF71DD" w:rsidTr="00816F63">
        <w:trPr>
          <w:trHeight w:val="2912"/>
        </w:trPr>
        <w:tc>
          <w:tcPr>
            <w:tcW w:w="1848" w:type="dxa"/>
            <w:shd w:val="clear" w:color="auto" w:fill="auto"/>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Periódicos impresos</w:t>
            </w:r>
          </w:p>
        </w:tc>
        <w:tc>
          <w:tcPr>
            <w:tcW w:w="2652" w:type="dxa"/>
            <w:shd w:val="clear" w:color="auto" w:fill="auto"/>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7</w:t>
            </w:r>
          </w:p>
        </w:tc>
        <w:tc>
          <w:tcPr>
            <w:tcW w:w="3690" w:type="dxa"/>
            <w:shd w:val="clear" w:color="auto" w:fill="auto"/>
            <w:vAlign w:val="center"/>
            <w:hideMark/>
          </w:tcPr>
          <w:p w:rsidR="00AF71DD" w:rsidRPr="00AF71DD" w:rsidRDefault="00AF71DD" w:rsidP="00AF71DD">
            <w:pPr>
              <w:spacing w:after="0" w:line="240" w:lineRule="auto"/>
              <w:jc w:val="left"/>
              <w:rPr>
                <w:rFonts w:eastAsia="Times New Roman"/>
                <w:szCs w:val="24"/>
              </w:rPr>
            </w:pPr>
            <w:r w:rsidRPr="00AF71DD">
              <w:rPr>
                <w:rFonts w:eastAsia="Times New Roman"/>
                <w:szCs w:val="24"/>
              </w:rPr>
              <w:t>Difusión de resoluciones (20)</w:t>
            </w:r>
            <w:r w:rsidRPr="00AF71DD">
              <w:rPr>
                <w:rFonts w:eastAsia="Times New Roman"/>
                <w:szCs w:val="24"/>
              </w:rPr>
              <w:br/>
              <w:t>Audiencias (6)</w:t>
            </w:r>
            <w:r w:rsidRPr="00AF71DD">
              <w:rPr>
                <w:rFonts w:eastAsia="Times New Roman"/>
                <w:szCs w:val="24"/>
              </w:rPr>
              <w:br/>
              <w:t xml:space="preserve">Consulta pública (5) </w:t>
            </w:r>
            <w:r w:rsidRPr="00AF71DD">
              <w:rPr>
                <w:rFonts w:eastAsia="Times New Roman"/>
                <w:szCs w:val="24"/>
              </w:rPr>
              <w:br/>
              <w:t>Licitación (3)</w:t>
            </w:r>
            <w:r w:rsidRPr="00AF71DD">
              <w:rPr>
                <w:rFonts w:eastAsia="Times New Roman"/>
                <w:szCs w:val="24"/>
              </w:rPr>
              <w:br/>
              <w:t>Aviso que conciernen a usuarios y prestadoras del sector de las telecomunicaciones (8)</w:t>
            </w:r>
            <w:r w:rsidRPr="00AF71DD">
              <w:rPr>
                <w:rFonts w:eastAsia="Times New Roman"/>
                <w:szCs w:val="24"/>
              </w:rPr>
              <w:br/>
            </w:r>
          </w:p>
          <w:p w:rsidR="00AF71DD" w:rsidRPr="00AF71DD" w:rsidRDefault="00AF71DD" w:rsidP="00AF71DD">
            <w:pPr>
              <w:spacing w:after="0" w:line="240" w:lineRule="auto"/>
              <w:rPr>
                <w:rFonts w:eastAsia="Times New Roman"/>
                <w:szCs w:val="24"/>
              </w:rPr>
            </w:pPr>
            <w:r w:rsidRPr="00AF71DD">
              <w:rPr>
                <w:rFonts w:eastAsia="Times New Roman"/>
                <w:szCs w:val="24"/>
              </w:rPr>
              <w:t>Celebración del INDOTEL del Día Mundial de las Telecomunicaciones y la Sociedad de la Información</w:t>
            </w:r>
          </w:p>
        </w:tc>
      </w:tr>
      <w:tr w:rsidR="00AF71DD" w:rsidRPr="00AF71DD" w:rsidTr="00816F63">
        <w:trPr>
          <w:trHeight w:val="1942"/>
        </w:trPr>
        <w:tc>
          <w:tcPr>
            <w:tcW w:w="1848" w:type="dxa"/>
            <w:shd w:val="clear" w:color="auto" w:fill="auto"/>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Portales digitales (enero-junio)</w:t>
            </w:r>
          </w:p>
        </w:tc>
        <w:tc>
          <w:tcPr>
            <w:tcW w:w="2652" w:type="dxa"/>
            <w:shd w:val="clear" w:color="auto" w:fill="auto"/>
            <w:hideMark/>
          </w:tcPr>
          <w:p w:rsidR="00AF71DD" w:rsidRPr="00AF71DD" w:rsidRDefault="00AF71DD" w:rsidP="00AF71DD">
            <w:pPr>
              <w:spacing w:after="0" w:line="240" w:lineRule="auto"/>
              <w:jc w:val="center"/>
              <w:rPr>
                <w:rFonts w:eastAsia="Times New Roman"/>
                <w:szCs w:val="24"/>
              </w:rPr>
            </w:pPr>
            <w:r w:rsidRPr="00AF71DD">
              <w:rPr>
                <w:rFonts w:eastAsia="Times New Roman"/>
                <w:szCs w:val="24"/>
              </w:rPr>
              <w:t>2</w:t>
            </w:r>
          </w:p>
        </w:tc>
        <w:tc>
          <w:tcPr>
            <w:tcW w:w="3690" w:type="dxa"/>
            <w:shd w:val="clear" w:color="auto" w:fill="auto"/>
            <w:hideMark/>
          </w:tcPr>
          <w:p w:rsidR="00AF71DD" w:rsidRPr="00AF71DD" w:rsidRDefault="00AF71DD" w:rsidP="00AF71DD">
            <w:pPr>
              <w:spacing w:after="0" w:line="240" w:lineRule="auto"/>
              <w:rPr>
                <w:rFonts w:eastAsia="Times New Roman"/>
                <w:szCs w:val="24"/>
              </w:rPr>
            </w:pPr>
            <w:r w:rsidRPr="00AF71DD">
              <w:rPr>
                <w:rFonts w:eastAsia="Times New Roman"/>
                <w:szCs w:val="24"/>
              </w:rPr>
              <w:t>Con el objetivo de garantizar la seguridad de los usuarios, campaña: Resolución Núm. 070-19 “Norma que regula la contratación y activación de los servicios públicos de telecomunicaciones</w:t>
            </w:r>
          </w:p>
        </w:tc>
      </w:tr>
      <w:tr w:rsidR="00AF71DD" w:rsidRPr="00AF71DD" w:rsidTr="00816F63">
        <w:trPr>
          <w:trHeight w:val="1267"/>
        </w:trPr>
        <w:tc>
          <w:tcPr>
            <w:tcW w:w="1848" w:type="dxa"/>
            <w:shd w:val="clear" w:color="auto" w:fill="auto"/>
          </w:tcPr>
          <w:p w:rsidR="00AF71DD" w:rsidRPr="00AF71DD" w:rsidRDefault="00AF71DD" w:rsidP="00AF71DD">
            <w:pPr>
              <w:spacing w:after="0" w:line="240" w:lineRule="auto"/>
              <w:jc w:val="left"/>
              <w:rPr>
                <w:rFonts w:eastAsia="Times New Roman"/>
                <w:szCs w:val="24"/>
              </w:rPr>
            </w:pPr>
            <w:r w:rsidRPr="00AF71DD">
              <w:rPr>
                <w:rFonts w:eastAsia="Times New Roman"/>
                <w:szCs w:val="24"/>
              </w:rPr>
              <w:lastRenderedPageBreak/>
              <w:t xml:space="preserve">          Radio</w:t>
            </w:r>
          </w:p>
        </w:tc>
        <w:tc>
          <w:tcPr>
            <w:tcW w:w="2652" w:type="dxa"/>
            <w:shd w:val="clear" w:color="auto" w:fill="auto"/>
          </w:tcPr>
          <w:p w:rsidR="00AF71DD" w:rsidRPr="00AF71DD" w:rsidRDefault="00AF71DD" w:rsidP="00AF71DD">
            <w:pPr>
              <w:spacing w:after="0" w:line="240" w:lineRule="auto"/>
              <w:jc w:val="center"/>
              <w:rPr>
                <w:rFonts w:eastAsia="Times New Roman"/>
                <w:szCs w:val="24"/>
              </w:rPr>
            </w:pPr>
            <w:r w:rsidRPr="00AF71DD">
              <w:rPr>
                <w:rFonts w:eastAsia="Times New Roman"/>
                <w:szCs w:val="24"/>
              </w:rPr>
              <w:t>14</w:t>
            </w:r>
          </w:p>
        </w:tc>
        <w:tc>
          <w:tcPr>
            <w:tcW w:w="3690" w:type="dxa"/>
            <w:vMerge w:val="restart"/>
            <w:shd w:val="clear" w:color="auto" w:fill="auto"/>
            <w:vAlign w:val="center"/>
          </w:tcPr>
          <w:p w:rsidR="00AF71DD" w:rsidRPr="00AF71DD" w:rsidRDefault="00AF71DD" w:rsidP="00AF71DD">
            <w:pPr>
              <w:spacing w:after="0" w:line="240" w:lineRule="auto"/>
              <w:jc w:val="left"/>
              <w:rPr>
                <w:rFonts w:eastAsia="Times New Roman"/>
                <w:szCs w:val="24"/>
              </w:rPr>
            </w:pPr>
            <w:r w:rsidRPr="00AF71DD">
              <w:rPr>
                <w:rFonts w:eastAsia="Times New Roman"/>
                <w:szCs w:val="24"/>
              </w:rPr>
              <w:t>Campaña publicitaria para promoción institucional “Mayor Conectividad y Saneamiento”</w:t>
            </w:r>
          </w:p>
          <w:p w:rsidR="00AF71DD" w:rsidRPr="00AF71DD" w:rsidRDefault="00AF71DD" w:rsidP="00AF71DD">
            <w:pPr>
              <w:spacing w:after="0" w:line="240" w:lineRule="auto"/>
              <w:jc w:val="center"/>
              <w:rPr>
                <w:rFonts w:eastAsia="Times New Roman"/>
                <w:szCs w:val="24"/>
              </w:rPr>
            </w:pPr>
          </w:p>
        </w:tc>
      </w:tr>
      <w:tr w:rsidR="00AF71DD" w:rsidRPr="00AF71DD" w:rsidTr="00816F63">
        <w:trPr>
          <w:trHeight w:val="831"/>
        </w:trPr>
        <w:tc>
          <w:tcPr>
            <w:tcW w:w="1848" w:type="dxa"/>
            <w:shd w:val="clear" w:color="auto" w:fill="auto"/>
          </w:tcPr>
          <w:p w:rsidR="00AF71DD" w:rsidRPr="00AF71DD" w:rsidRDefault="00AF71DD" w:rsidP="00AF71DD">
            <w:pPr>
              <w:spacing w:after="0" w:line="240" w:lineRule="auto"/>
              <w:jc w:val="center"/>
              <w:rPr>
                <w:rFonts w:eastAsia="Times New Roman"/>
                <w:szCs w:val="24"/>
              </w:rPr>
            </w:pPr>
            <w:r w:rsidRPr="00AF71DD">
              <w:rPr>
                <w:rFonts w:eastAsia="Times New Roman"/>
                <w:szCs w:val="24"/>
              </w:rPr>
              <w:t>Televisión</w:t>
            </w:r>
          </w:p>
        </w:tc>
        <w:tc>
          <w:tcPr>
            <w:tcW w:w="2652" w:type="dxa"/>
            <w:shd w:val="clear" w:color="auto" w:fill="auto"/>
          </w:tcPr>
          <w:p w:rsidR="00AF71DD" w:rsidRPr="00AF71DD" w:rsidRDefault="00AF71DD" w:rsidP="00AF71DD">
            <w:pPr>
              <w:spacing w:after="0" w:line="240" w:lineRule="auto"/>
              <w:jc w:val="center"/>
              <w:rPr>
                <w:rFonts w:eastAsia="Times New Roman"/>
                <w:szCs w:val="24"/>
              </w:rPr>
            </w:pPr>
            <w:r w:rsidRPr="00AF71DD">
              <w:rPr>
                <w:rFonts w:eastAsia="Times New Roman"/>
                <w:szCs w:val="24"/>
              </w:rPr>
              <w:t>41</w:t>
            </w:r>
          </w:p>
        </w:tc>
        <w:tc>
          <w:tcPr>
            <w:tcW w:w="3690" w:type="dxa"/>
            <w:vMerge/>
            <w:shd w:val="clear" w:color="auto" w:fill="auto"/>
          </w:tcPr>
          <w:p w:rsidR="00AF71DD" w:rsidRPr="00AF71DD" w:rsidRDefault="00AF71DD" w:rsidP="00AF71DD">
            <w:pPr>
              <w:spacing w:after="0" w:line="240" w:lineRule="auto"/>
              <w:rPr>
                <w:rFonts w:eastAsia="Times New Roman"/>
                <w:szCs w:val="24"/>
              </w:rPr>
            </w:pPr>
          </w:p>
        </w:tc>
      </w:tr>
      <w:tr w:rsidR="00AF71DD" w:rsidRPr="00AF71DD" w:rsidTr="00816F63">
        <w:trPr>
          <w:trHeight w:val="1553"/>
        </w:trPr>
        <w:tc>
          <w:tcPr>
            <w:tcW w:w="1848" w:type="dxa"/>
            <w:shd w:val="clear" w:color="auto" w:fill="auto"/>
          </w:tcPr>
          <w:p w:rsidR="00AF71DD" w:rsidRPr="00AF71DD" w:rsidRDefault="00AF71DD" w:rsidP="00AF71DD">
            <w:pPr>
              <w:spacing w:after="0" w:line="240" w:lineRule="auto"/>
              <w:jc w:val="center"/>
              <w:rPr>
                <w:rFonts w:eastAsia="Times New Roman"/>
                <w:szCs w:val="24"/>
              </w:rPr>
            </w:pPr>
            <w:r w:rsidRPr="00AF71DD">
              <w:rPr>
                <w:rFonts w:eastAsia="Times New Roman"/>
                <w:szCs w:val="24"/>
              </w:rPr>
              <w:t xml:space="preserve">Portales </w:t>
            </w:r>
          </w:p>
          <w:p w:rsidR="00AF71DD" w:rsidRPr="00AF71DD" w:rsidRDefault="00AF71DD" w:rsidP="00AF71DD">
            <w:pPr>
              <w:spacing w:after="0" w:line="240" w:lineRule="auto"/>
              <w:jc w:val="center"/>
              <w:rPr>
                <w:rFonts w:eastAsia="Times New Roman"/>
                <w:szCs w:val="24"/>
              </w:rPr>
            </w:pPr>
            <w:r w:rsidRPr="00AF71DD">
              <w:rPr>
                <w:rFonts w:eastAsia="Times New Roman"/>
                <w:szCs w:val="24"/>
              </w:rPr>
              <w:t>digitales</w:t>
            </w:r>
          </w:p>
          <w:p w:rsidR="00AF71DD" w:rsidRPr="00AF71DD" w:rsidRDefault="00AF71DD" w:rsidP="00AF71DD">
            <w:pPr>
              <w:spacing w:after="0" w:line="240" w:lineRule="auto"/>
              <w:jc w:val="center"/>
              <w:rPr>
                <w:rFonts w:eastAsia="Times New Roman"/>
                <w:szCs w:val="24"/>
              </w:rPr>
            </w:pPr>
            <w:r w:rsidRPr="00AF71DD">
              <w:rPr>
                <w:rFonts w:eastAsia="Times New Roman"/>
                <w:szCs w:val="24"/>
              </w:rPr>
              <w:t>(julio-diciembre)</w:t>
            </w:r>
          </w:p>
        </w:tc>
        <w:tc>
          <w:tcPr>
            <w:tcW w:w="2652" w:type="dxa"/>
            <w:shd w:val="clear" w:color="auto" w:fill="auto"/>
          </w:tcPr>
          <w:p w:rsidR="00AF71DD" w:rsidRPr="00AF71DD" w:rsidRDefault="00AF71DD" w:rsidP="00AF71DD">
            <w:pPr>
              <w:spacing w:after="0" w:line="240" w:lineRule="auto"/>
              <w:jc w:val="center"/>
              <w:rPr>
                <w:rFonts w:eastAsia="Times New Roman"/>
                <w:szCs w:val="24"/>
              </w:rPr>
            </w:pPr>
            <w:r w:rsidRPr="00AF71DD">
              <w:rPr>
                <w:rFonts w:eastAsia="Times New Roman"/>
                <w:szCs w:val="24"/>
              </w:rPr>
              <w:t>8</w:t>
            </w:r>
          </w:p>
          <w:p w:rsidR="00AF71DD" w:rsidRPr="00AF71DD" w:rsidRDefault="00AF71DD" w:rsidP="00AF71DD">
            <w:pPr>
              <w:jc w:val="left"/>
              <w:rPr>
                <w:rFonts w:eastAsia="Times New Roman"/>
                <w:color w:val="auto"/>
                <w:szCs w:val="24"/>
              </w:rPr>
            </w:pPr>
          </w:p>
          <w:p w:rsidR="00AF71DD" w:rsidRPr="00AF71DD" w:rsidRDefault="00AF71DD" w:rsidP="00AF71DD">
            <w:pPr>
              <w:ind w:firstLine="720"/>
              <w:jc w:val="left"/>
              <w:rPr>
                <w:rFonts w:eastAsia="Times New Roman"/>
                <w:color w:val="auto"/>
                <w:szCs w:val="24"/>
              </w:rPr>
            </w:pPr>
          </w:p>
        </w:tc>
        <w:tc>
          <w:tcPr>
            <w:tcW w:w="3690" w:type="dxa"/>
            <w:vMerge/>
            <w:shd w:val="clear" w:color="auto" w:fill="auto"/>
          </w:tcPr>
          <w:p w:rsidR="00AF71DD" w:rsidRPr="00AF71DD" w:rsidRDefault="00AF71DD" w:rsidP="00AF71DD">
            <w:pPr>
              <w:spacing w:after="0" w:line="240" w:lineRule="auto"/>
              <w:rPr>
                <w:rFonts w:eastAsia="Times New Roman"/>
                <w:szCs w:val="24"/>
              </w:rPr>
            </w:pPr>
          </w:p>
        </w:tc>
      </w:tr>
    </w:tbl>
    <w:p w:rsidR="00AF71DD" w:rsidRPr="00AF71DD" w:rsidRDefault="00AF71DD" w:rsidP="00AF71DD">
      <w:pPr>
        <w:spacing w:after="0" w:line="240" w:lineRule="auto"/>
        <w:jc w:val="left"/>
        <w:rPr>
          <w:rFonts w:eastAsia="Times New Roman"/>
          <w:sz w:val="18"/>
        </w:rPr>
      </w:pPr>
      <w:r w:rsidRPr="00AF71DD">
        <w:rPr>
          <w:rFonts w:eastAsia="Times New Roman"/>
          <w:b/>
          <w:sz w:val="18"/>
        </w:rPr>
        <w:t>Fuente:</w:t>
      </w:r>
      <w:r w:rsidRPr="00AF71DD">
        <w:rPr>
          <w:rFonts w:eastAsia="Times New Roman"/>
          <w:sz w:val="18"/>
        </w:rPr>
        <w:t xml:space="preserve"> Unidad de Publicidad, Dirección de Relaciones Públicas y Comunicaciones</w:t>
      </w:r>
    </w:p>
    <w:p w:rsidR="00AF71DD" w:rsidRPr="00AF71DD" w:rsidRDefault="00AF71DD" w:rsidP="00AF71DD"/>
    <w:p w:rsidR="009B1987" w:rsidRDefault="009B1987" w:rsidP="002B1FEF">
      <w:pPr>
        <w:pStyle w:val="Textonotasalpie"/>
      </w:pPr>
    </w:p>
    <w:p w:rsidR="00AF71DD" w:rsidRPr="00AF71DD" w:rsidRDefault="00AF71DD" w:rsidP="00AF71DD">
      <w:pPr>
        <w:spacing w:line="360" w:lineRule="auto"/>
        <w:rPr>
          <w:rFonts w:eastAsia="Times New Roman"/>
          <w:b/>
          <w:color w:val="767171" w:themeColor="background2" w:themeShade="80"/>
          <w:szCs w:val="24"/>
        </w:rPr>
      </w:pPr>
      <w:r w:rsidRPr="00AF71DD">
        <w:rPr>
          <w:rFonts w:eastAsia="Times New Roman"/>
          <w:b/>
          <w:color w:val="767171" w:themeColor="background2" w:themeShade="80"/>
          <w:szCs w:val="24"/>
        </w:rPr>
        <w:t xml:space="preserve">Boletines Semanales y Trimestrales </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 xml:space="preserve">Para suministrar en un solo documento las acciones institucionales, tópicos del sector y otros temas de interés para sus colaboradores, se emiten boletines informativos semanales y trimestrales de acuerdo a las necesidades de las dependencias internas, donde son socializados en el portal web de la institución, correo electrónico, murales y pantallas digitales. </w:t>
      </w:r>
    </w:p>
    <w:p w:rsidR="00AF71DD" w:rsidRPr="00AF71DD" w:rsidRDefault="00AF71DD" w:rsidP="00AF71DD">
      <w:pPr>
        <w:spacing w:line="360" w:lineRule="auto"/>
        <w:rPr>
          <w:rFonts w:eastAsia="Times New Roman"/>
          <w:color w:val="767171" w:themeColor="background2" w:themeShade="80"/>
          <w:szCs w:val="24"/>
        </w:rPr>
      </w:pPr>
      <w:r w:rsidRPr="00AF71DD">
        <w:rPr>
          <w:color w:val="767171" w:themeColor="background2" w:themeShade="80"/>
          <w:szCs w:val="24"/>
          <w:shd w:val="clear" w:color="auto" w:fill="FFFFFF"/>
        </w:rPr>
        <w:t>En adición, se prepara a diario un resumen digital con los editoriales de los principales medios de prensa de circulación nacional para información de la Presidencia del Consejo Directivo, la Dirección Ejecutiva y otros funcionarios.</w:t>
      </w:r>
    </w:p>
    <w:p w:rsidR="00AF71DD" w:rsidRPr="00AF71DD" w:rsidRDefault="00AF71DD" w:rsidP="00AF71DD">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Otra herramienta comunicacional es la síntesis de prensa digital del INDOTEL, donde se detallan las noticias nacionales e internacionales del sector de las telecomunicaciones cual es enviada a través del correo institucional para interés de todos los colaboradores.</w:t>
      </w:r>
    </w:p>
    <w:p w:rsidR="0063671D" w:rsidRPr="00792ACF" w:rsidRDefault="00AF71DD" w:rsidP="00792ACF">
      <w:pPr>
        <w:spacing w:line="360" w:lineRule="auto"/>
        <w:rPr>
          <w:rFonts w:eastAsia="Times New Roman"/>
          <w:color w:val="767171" w:themeColor="background2" w:themeShade="80"/>
          <w:szCs w:val="24"/>
        </w:rPr>
      </w:pPr>
      <w:r w:rsidRPr="00AF71DD">
        <w:rPr>
          <w:rFonts w:eastAsia="Times New Roman"/>
          <w:color w:val="767171" w:themeColor="background2" w:themeShade="80"/>
          <w:szCs w:val="24"/>
        </w:rPr>
        <w:t>Asimismo, se publican de forma continua las noticias de interés para los colaboradores en los murales y pantallas digitales que se encuentran ubicados en todos los pisos de la sede principal del INDOTEL.</w:t>
      </w:r>
    </w:p>
    <w:p w:rsidR="00323985" w:rsidRPr="00FB3911" w:rsidRDefault="007028B4" w:rsidP="007028B4">
      <w:pPr>
        <w:pStyle w:val="Ttulo3"/>
        <w:rPr>
          <w:szCs w:val="28"/>
        </w:rPr>
      </w:pPr>
      <w:bookmarkStart w:id="74" w:name="_Toc90936659"/>
      <w:r w:rsidRPr="00FB3911">
        <w:rPr>
          <w:szCs w:val="28"/>
        </w:rPr>
        <w:lastRenderedPageBreak/>
        <w:t>Relaciones In</w:t>
      </w:r>
      <w:r w:rsidR="00FB3911" w:rsidRPr="00FB3911">
        <w:rPr>
          <w:szCs w:val="28"/>
        </w:rPr>
        <w:t>stitucionales</w:t>
      </w:r>
      <w:bookmarkEnd w:id="74"/>
    </w:p>
    <w:p w:rsidR="007028B4" w:rsidRPr="00FB3911" w:rsidRDefault="007028B4" w:rsidP="00FB3911">
      <w:pPr>
        <w:pStyle w:val="Sinespaciado"/>
        <w:rPr>
          <w:color w:val="767171"/>
        </w:rPr>
      </w:pPr>
    </w:p>
    <w:p w:rsidR="000F3292" w:rsidRPr="000F3292" w:rsidRDefault="000F3292" w:rsidP="000F3292">
      <w:pPr>
        <w:spacing w:after="0" w:line="360" w:lineRule="auto"/>
        <w:rPr>
          <w:rFonts w:eastAsia="Arial"/>
          <w:szCs w:val="24"/>
        </w:rPr>
      </w:pPr>
      <w:r w:rsidRPr="000F3292">
        <w:rPr>
          <w:rFonts w:eastAsia="Arial"/>
          <w:szCs w:val="24"/>
        </w:rPr>
        <w:t xml:space="preserve">Durante el periodo enero - noviembre de 2021, el Instituto Dominicano de las Telecomunicaciones (INDOTEL), ha suscrito memorando de entendimientos, convenios, acuerdos de colaboración con diferentes organizaciones e instituciones en busca de aunar esfuerzos para mejorar la calidad de los servicios y los procesos para los usuarios del sector telecomunicaciones. </w:t>
      </w:r>
    </w:p>
    <w:p w:rsidR="000F3292" w:rsidRPr="000F3292" w:rsidRDefault="000F3292" w:rsidP="000F3292">
      <w:pPr>
        <w:spacing w:after="0" w:line="360" w:lineRule="auto"/>
        <w:rPr>
          <w:rFonts w:eastAsia="Arial"/>
          <w:sz w:val="18"/>
          <w:szCs w:val="24"/>
        </w:rPr>
      </w:pPr>
    </w:p>
    <w:p w:rsidR="000F3292" w:rsidRPr="000F3292" w:rsidRDefault="000F3292" w:rsidP="000F3292">
      <w:pPr>
        <w:spacing w:line="360" w:lineRule="auto"/>
        <w:rPr>
          <w:rFonts w:eastAsiaTheme="minorHAnsi"/>
          <w:szCs w:val="24"/>
          <w:lang w:eastAsia="en-US"/>
        </w:rPr>
      </w:pPr>
      <w:r w:rsidRPr="000F3292">
        <w:rPr>
          <w:rFonts w:eastAsiaTheme="minorHAnsi"/>
          <w:szCs w:val="24"/>
          <w:lang w:eastAsia="en-US"/>
        </w:rPr>
        <w:t xml:space="preserve">El INDOTEL ha venido desarrollando e implementando mecanismos que mejoren las relaciones interinstitucionales, que creen y fortalezcan una naturaleza de cooperación institucional. </w:t>
      </w:r>
    </w:p>
    <w:p w:rsidR="000F3292" w:rsidRPr="000F3292" w:rsidRDefault="000F3292" w:rsidP="000F3292">
      <w:pPr>
        <w:spacing w:after="0" w:line="360" w:lineRule="auto"/>
        <w:rPr>
          <w:rFonts w:eastAsia="Arial"/>
          <w:szCs w:val="24"/>
        </w:rPr>
      </w:pPr>
      <w:r w:rsidRPr="000F3292">
        <w:rPr>
          <w:rFonts w:eastAsia="Arial"/>
          <w:szCs w:val="24"/>
        </w:rPr>
        <w:t>A continuación, los detalles de los memorando de entendimiento, convenios o acuerdos de colaboración suscritos e instituciones que convergen:</w:t>
      </w:r>
    </w:p>
    <w:p w:rsidR="000F3292" w:rsidRPr="000F3292" w:rsidRDefault="000F3292" w:rsidP="000F3292">
      <w:pPr>
        <w:spacing w:after="0" w:line="360" w:lineRule="auto"/>
        <w:rPr>
          <w:rFonts w:ascii="Calibri" w:eastAsia="Times New Roman" w:hAnsi="Calibri"/>
          <w:sz w:val="22"/>
        </w:rPr>
      </w:pPr>
    </w:p>
    <w:tbl>
      <w:tblPr>
        <w:tblStyle w:val="Tablaconcuadrcula11"/>
        <w:tblW w:w="9351" w:type="dxa"/>
        <w:tblLook w:val="04A0" w:firstRow="1" w:lastRow="0" w:firstColumn="1" w:lastColumn="0" w:noHBand="0" w:noVBand="1"/>
      </w:tblPr>
      <w:tblGrid>
        <w:gridCol w:w="2831"/>
        <w:gridCol w:w="2831"/>
        <w:gridCol w:w="3689"/>
      </w:tblGrid>
      <w:tr w:rsidR="000F3292" w:rsidRPr="000F3292" w:rsidTr="0063671D">
        <w:trPr>
          <w:trHeight w:val="728"/>
        </w:trPr>
        <w:tc>
          <w:tcPr>
            <w:tcW w:w="9351" w:type="dxa"/>
            <w:gridSpan w:val="3"/>
            <w:shd w:val="clear" w:color="auto" w:fill="003876"/>
          </w:tcPr>
          <w:p w:rsidR="000F3292" w:rsidRPr="000F3292" w:rsidRDefault="000F3292" w:rsidP="000F3292">
            <w:pPr>
              <w:spacing w:after="0" w:line="360" w:lineRule="auto"/>
              <w:jc w:val="center"/>
              <w:rPr>
                <w:rFonts w:ascii="Times New Roman" w:hAnsi="Times New Roman" w:cs="Times New Roman"/>
                <w:b/>
                <w:color w:val="FFFFFF" w:themeColor="background1"/>
              </w:rPr>
            </w:pPr>
            <w:r w:rsidRPr="000F3292">
              <w:rPr>
                <w:rFonts w:ascii="Times New Roman" w:hAnsi="Times New Roman" w:cs="Times New Roman"/>
                <w:b/>
                <w:color w:val="FFFFFF" w:themeColor="background1"/>
              </w:rPr>
              <w:t xml:space="preserve">Acuerdos Interinstitucionales </w:t>
            </w:r>
          </w:p>
          <w:p w:rsidR="000F3292" w:rsidRPr="000F3292" w:rsidRDefault="000F3292" w:rsidP="000F3292">
            <w:pPr>
              <w:spacing w:after="0" w:line="360" w:lineRule="auto"/>
              <w:jc w:val="center"/>
              <w:rPr>
                <w:rFonts w:ascii="Times New Roman" w:hAnsi="Times New Roman" w:cs="Times New Roman"/>
                <w:color w:val="FFFFFF" w:themeColor="background1"/>
              </w:rPr>
            </w:pPr>
            <w:r w:rsidRPr="000F3292">
              <w:rPr>
                <w:rFonts w:ascii="Times New Roman" w:hAnsi="Times New Roman" w:cs="Times New Roman"/>
                <w:b/>
                <w:color w:val="FFFFFF" w:themeColor="background1"/>
              </w:rPr>
              <w:t>Enero - Noviembre de 2021</w:t>
            </w:r>
          </w:p>
        </w:tc>
      </w:tr>
      <w:tr w:rsidR="000F3292" w:rsidRPr="000F3292" w:rsidTr="0063671D">
        <w:trPr>
          <w:trHeight w:val="701"/>
        </w:trPr>
        <w:tc>
          <w:tcPr>
            <w:tcW w:w="2831" w:type="dxa"/>
            <w:shd w:val="clear" w:color="auto" w:fill="003876"/>
            <w:vAlign w:val="center"/>
          </w:tcPr>
          <w:p w:rsidR="000F3292" w:rsidRPr="000F3292" w:rsidRDefault="000F3292" w:rsidP="000F3292">
            <w:pPr>
              <w:spacing w:after="0" w:line="360" w:lineRule="auto"/>
              <w:jc w:val="center"/>
              <w:rPr>
                <w:rFonts w:ascii="Times New Roman" w:hAnsi="Times New Roman" w:cs="Times New Roman"/>
                <w:b/>
                <w:szCs w:val="28"/>
                <w:lang w:val="es-ES"/>
              </w:rPr>
            </w:pPr>
            <w:r w:rsidRPr="000F3292">
              <w:rPr>
                <w:rFonts w:ascii="Times New Roman" w:hAnsi="Times New Roman" w:cs="Times New Roman"/>
                <w:b/>
                <w:color w:val="FFFFFF" w:themeColor="background1"/>
                <w:szCs w:val="28"/>
                <w:lang w:val="es-ES"/>
              </w:rPr>
              <w:t>Nombre del Acuerdo</w:t>
            </w:r>
          </w:p>
        </w:tc>
        <w:tc>
          <w:tcPr>
            <w:tcW w:w="2831" w:type="dxa"/>
            <w:shd w:val="clear" w:color="auto" w:fill="003876"/>
            <w:vAlign w:val="center"/>
          </w:tcPr>
          <w:p w:rsidR="000F3292" w:rsidRPr="000F3292" w:rsidRDefault="000F3292" w:rsidP="000F3292">
            <w:pPr>
              <w:spacing w:after="0" w:line="360" w:lineRule="auto"/>
              <w:jc w:val="center"/>
              <w:rPr>
                <w:rFonts w:ascii="Times New Roman" w:hAnsi="Times New Roman" w:cs="Times New Roman"/>
                <w:b/>
                <w:color w:val="FFFFFF" w:themeColor="background1"/>
                <w:szCs w:val="28"/>
                <w:lang w:val="es-ES"/>
              </w:rPr>
            </w:pPr>
            <w:r w:rsidRPr="000F3292">
              <w:rPr>
                <w:rFonts w:ascii="Times New Roman" w:hAnsi="Times New Roman" w:cs="Times New Roman"/>
                <w:b/>
                <w:color w:val="FFFFFF" w:themeColor="background1"/>
                <w:szCs w:val="28"/>
                <w:lang w:val="es-ES"/>
              </w:rPr>
              <w:t>Instituciones Involucradas</w:t>
            </w:r>
          </w:p>
        </w:tc>
        <w:tc>
          <w:tcPr>
            <w:tcW w:w="3689" w:type="dxa"/>
            <w:shd w:val="clear" w:color="auto" w:fill="003876"/>
            <w:vAlign w:val="center"/>
          </w:tcPr>
          <w:p w:rsidR="000F3292" w:rsidRPr="000F3292" w:rsidRDefault="000F3292" w:rsidP="000F3292">
            <w:pPr>
              <w:spacing w:after="0" w:line="360" w:lineRule="auto"/>
              <w:jc w:val="center"/>
              <w:rPr>
                <w:rFonts w:ascii="Times New Roman" w:hAnsi="Times New Roman" w:cs="Times New Roman"/>
                <w:b/>
                <w:color w:val="FFFFFF" w:themeColor="background1"/>
                <w:szCs w:val="28"/>
                <w:lang w:val="es-ES"/>
              </w:rPr>
            </w:pPr>
            <w:r w:rsidRPr="000F3292">
              <w:rPr>
                <w:rFonts w:ascii="Times New Roman" w:hAnsi="Times New Roman" w:cs="Times New Roman"/>
                <w:b/>
                <w:color w:val="FFFFFF" w:themeColor="background1"/>
                <w:szCs w:val="28"/>
                <w:lang w:val="es-ES"/>
              </w:rPr>
              <w:t>Fecha de Firma</w:t>
            </w: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Acuerdo de Cooperación para el Fortalecimiento de la Regulación y la Fiscalización de los Generadores de Contenidos y los Prestadores de estos Servicios de Telecomunicaciones</w:t>
            </w:r>
          </w:p>
        </w:tc>
        <w:tc>
          <w:tcPr>
            <w:tcW w:w="2831" w:type="dxa"/>
          </w:tcPr>
          <w:p w:rsidR="000F3292" w:rsidRPr="000F3292" w:rsidRDefault="000F3292" w:rsidP="000F3292">
            <w:pPr>
              <w:spacing w:after="0" w:line="360" w:lineRule="auto"/>
              <w:rPr>
                <w:rFonts w:ascii="Times New Roman" w:hAnsi="Times New Roman" w:cs="Times New Roman"/>
                <w:szCs w:val="24"/>
              </w:rPr>
            </w:pPr>
            <w:r w:rsidRPr="000F3292">
              <w:rPr>
                <w:rFonts w:ascii="Times New Roman" w:hAnsi="Times New Roman" w:cs="Times New Roman"/>
                <w:szCs w:val="24"/>
              </w:rPr>
              <w:t>Instituto Dominicano de las Telecomunicaciones (INDOTEL) y la Oficina Nacional de Derecho de Autor (ONDA)</w:t>
            </w:r>
          </w:p>
          <w:p w:rsidR="000F3292" w:rsidRPr="000F3292" w:rsidRDefault="000F3292" w:rsidP="000F3292">
            <w:pPr>
              <w:spacing w:after="0" w:line="360" w:lineRule="auto"/>
              <w:rPr>
                <w:rFonts w:ascii="Times New Roman" w:hAnsi="Times New Roman" w:cs="Times New Roman"/>
                <w:szCs w:val="24"/>
              </w:rPr>
            </w:pPr>
          </w:p>
        </w:tc>
        <w:tc>
          <w:tcPr>
            <w:tcW w:w="3689" w:type="dxa"/>
          </w:tcPr>
          <w:p w:rsidR="000F3292" w:rsidRPr="000F3292" w:rsidRDefault="000F3292" w:rsidP="000F3292">
            <w:pPr>
              <w:spacing w:after="0" w:line="360" w:lineRule="auto"/>
              <w:jc w:val="center"/>
              <w:rPr>
                <w:rFonts w:ascii="Times New Roman" w:hAnsi="Times New Roman" w:cs="Times New Roman"/>
                <w:szCs w:val="24"/>
              </w:rPr>
            </w:pPr>
            <w:r w:rsidRPr="000F3292">
              <w:rPr>
                <w:rFonts w:ascii="Times New Roman" w:hAnsi="Times New Roman" w:cs="Times New Roman"/>
                <w:szCs w:val="24"/>
              </w:rPr>
              <w:t>21 de mayo de 2021</w:t>
            </w:r>
          </w:p>
          <w:p w:rsidR="000F3292" w:rsidRPr="000F3292" w:rsidRDefault="000F3292" w:rsidP="000F3292">
            <w:pPr>
              <w:spacing w:after="0" w:line="360" w:lineRule="auto"/>
              <w:jc w:val="center"/>
              <w:rPr>
                <w:rFonts w:ascii="Times New Roman" w:hAnsi="Times New Roman" w:cs="Times New Roman"/>
                <w:szCs w:val="24"/>
              </w:rPr>
            </w:pP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color w:val="7F7F7F" w:themeColor="text1" w:themeTint="80"/>
                <w:szCs w:val="24"/>
              </w:rPr>
            </w:pPr>
            <w:r w:rsidRPr="000F3292">
              <w:rPr>
                <w:rFonts w:ascii="Times New Roman" w:hAnsi="Times New Roman" w:cs="Times New Roman"/>
                <w:color w:val="7F7F7F" w:themeColor="text1" w:themeTint="80"/>
                <w:szCs w:val="24"/>
              </w:rPr>
              <w:t xml:space="preserve">Acuerdo de Colaboración para promover el acceso </w:t>
            </w:r>
            <w:r w:rsidRPr="000F3292">
              <w:rPr>
                <w:rFonts w:ascii="Times New Roman" w:hAnsi="Times New Roman" w:cs="Times New Roman"/>
                <w:color w:val="7F7F7F" w:themeColor="text1" w:themeTint="80"/>
                <w:szCs w:val="24"/>
              </w:rPr>
              <w:lastRenderedPageBreak/>
              <w:t>de las personas con Discapacidad a los Servicios Públicos de Telecomunicaciones</w:t>
            </w:r>
          </w:p>
        </w:tc>
        <w:tc>
          <w:tcPr>
            <w:tcW w:w="2831" w:type="dxa"/>
          </w:tcPr>
          <w:p w:rsidR="000F3292" w:rsidRPr="000F3292" w:rsidRDefault="000F3292" w:rsidP="000F3292">
            <w:pPr>
              <w:spacing w:after="0" w:line="360" w:lineRule="auto"/>
              <w:rPr>
                <w:rFonts w:ascii="Times New Roman" w:hAnsi="Times New Roman" w:cs="Times New Roman"/>
                <w:color w:val="7F7F7F" w:themeColor="text1" w:themeTint="80"/>
                <w:szCs w:val="24"/>
              </w:rPr>
            </w:pPr>
            <w:r w:rsidRPr="000F3292">
              <w:rPr>
                <w:rFonts w:ascii="Times New Roman" w:hAnsi="Times New Roman" w:cs="Times New Roman"/>
                <w:color w:val="7F7F7F" w:themeColor="text1" w:themeTint="80"/>
                <w:szCs w:val="24"/>
              </w:rPr>
              <w:lastRenderedPageBreak/>
              <w:t xml:space="preserve">Instituto Dominicano de las Telecomunicaciones </w:t>
            </w:r>
            <w:r w:rsidRPr="000F3292">
              <w:rPr>
                <w:rFonts w:ascii="Times New Roman" w:hAnsi="Times New Roman" w:cs="Times New Roman"/>
                <w:color w:val="7F7F7F" w:themeColor="text1" w:themeTint="80"/>
                <w:szCs w:val="24"/>
              </w:rPr>
              <w:lastRenderedPageBreak/>
              <w:t>(INDOTEL) y el Consejo Nacional de Discapacidad (CONADIS)</w:t>
            </w:r>
          </w:p>
        </w:tc>
        <w:tc>
          <w:tcPr>
            <w:tcW w:w="3689" w:type="dxa"/>
          </w:tcPr>
          <w:p w:rsidR="000F3292" w:rsidRPr="000F3292" w:rsidRDefault="000F3292" w:rsidP="000F3292">
            <w:pPr>
              <w:spacing w:after="0" w:line="360" w:lineRule="auto"/>
              <w:jc w:val="center"/>
              <w:rPr>
                <w:rFonts w:ascii="Times New Roman" w:hAnsi="Times New Roman" w:cs="Times New Roman"/>
                <w:color w:val="7F7F7F" w:themeColor="text1" w:themeTint="80"/>
                <w:szCs w:val="24"/>
              </w:rPr>
            </w:pPr>
            <w:r w:rsidRPr="000F3292">
              <w:rPr>
                <w:rFonts w:ascii="Times New Roman" w:hAnsi="Times New Roman" w:cs="Times New Roman"/>
                <w:color w:val="7F7F7F" w:themeColor="text1" w:themeTint="80"/>
                <w:szCs w:val="24"/>
              </w:rPr>
              <w:lastRenderedPageBreak/>
              <w:t>9 de junio de 2021</w:t>
            </w: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lastRenderedPageBreak/>
              <w:t>Carta de Compromiso por la Igualdad de Género- Sello de Igualdad de Género en el Sector Público</w:t>
            </w:r>
          </w:p>
        </w:tc>
        <w:tc>
          <w:tcPr>
            <w:tcW w:w="2831" w:type="dxa"/>
          </w:tcPr>
          <w:p w:rsidR="000F3292" w:rsidRPr="000F3292" w:rsidRDefault="000F3292" w:rsidP="000F3292">
            <w:pPr>
              <w:spacing w:after="0" w:line="360" w:lineRule="auto"/>
              <w:rPr>
                <w:rFonts w:ascii="Times New Roman" w:hAnsi="Times New Roman" w:cs="Times New Roman"/>
                <w:szCs w:val="24"/>
              </w:rPr>
            </w:pPr>
            <w:r w:rsidRPr="000F3292">
              <w:rPr>
                <w:rFonts w:ascii="Times New Roman" w:hAnsi="Times New Roman" w:cs="Times New Roman"/>
                <w:szCs w:val="24"/>
              </w:rPr>
              <w:t>Instituto Dominicano de las Telecomunicaciones (INDOTEL), Ministerio de la Mujer y el Programa de Naciones Unidas</w:t>
            </w:r>
          </w:p>
        </w:tc>
        <w:tc>
          <w:tcPr>
            <w:tcW w:w="3689" w:type="dxa"/>
          </w:tcPr>
          <w:p w:rsidR="000F3292" w:rsidRPr="000F3292" w:rsidRDefault="000F3292" w:rsidP="000F3292">
            <w:pPr>
              <w:spacing w:after="0" w:line="360" w:lineRule="auto"/>
              <w:jc w:val="center"/>
              <w:rPr>
                <w:rFonts w:ascii="Times New Roman" w:hAnsi="Times New Roman" w:cs="Times New Roman"/>
                <w:szCs w:val="24"/>
              </w:rPr>
            </w:pPr>
            <w:r w:rsidRPr="000F3292">
              <w:rPr>
                <w:rFonts w:ascii="Times New Roman" w:hAnsi="Times New Roman" w:cs="Times New Roman"/>
                <w:szCs w:val="24"/>
              </w:rPr>
              <w:t>8 de julio de 2021</w:t>
            </w:r>
          </w:p>
          <w:p w:rsidR="000F3292" w:rsidRPr="000F3292" w:rsidRDefault="000F3292" w:rsidP="000F3292">
            <w:pPr>
              <w:spacing w:after="0" w:line="360" w:lineRule="auto"/>
              <w:jc w:val="center"/>
              <w:rPr>
                <w:rFonts w:ascii="Times New Roman" w:hAnsi="Times New Roman" w:cs="Times New Roman"/>
                <w:szCs w:val="24"/>
              </w:rPr>
            </w:pP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szCs w:val="24"/>
                <w:lang w:val="es-ES" w:eastAsia="es-ES"/>
              </w:rPr>
            </w:pPr>
            <w:r w:rsidRPr="000F3292">
              <w:rPr>
                <w:rFonts w:ascii="Times New Roman" w:hAnsi="Times New Roman" w:cs="Times New Roman"/>
                <w:szCs w:val="24"/>
                <w:lang w:eastAsia="es-ES"/>
              </w:rPr>
              <w:t>A</w:t>
            </w:r>
            <w:r w:rsidRPr="000F3292">
              <w:rPr>
                <w:rFonts w:ascii="Times New Roman" w:hAnsi="Times New Roman" w:cs="Times New Roman"/>
                <w:szCs w:val="24"/>
                <w:lang w:val="es-ES" w:eastAsia="es-ES"/>
              </w:rPr>
              <w:t>cuerdos Mesa Técnica de Radiodifusión Sonora. Resultados y compromisos arribados</w:t>
            </w: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 xml:space="preserve">Instituto Dominicano de las Telecomunicaciones (INDOTEL) y la Asociación Dominicana de Radiodifusoras (ADORA) </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21 de julio de 2021</w:t>
            </w:r>
          </w:p>
          <w:p w:rsidR="000F3292" w:rsidRPr="000F3292" w:rsidRDefault="000F3292" w:rsidP="000F3292">
            <w:pPr>
              <w:spacing w:after="0" w:line="360" w:lineRule="auto"/>
              <w:jc w:val="center"/>
              <w:rPr>
                <w:rFonts w:ascii="Times New Roman" w:hAnsi="Times New Roman" w:cs="Times New Roman"/>
                <w:szCs w:val="24"/>
                <w:lang w:val="es-ES"/>
              </w:rPr>
            </w:pPr>
          </w:p>
        </w:tc>
      </w:tr>
      <w:tr w:rsidR="000F3292" w:rsidRPr="000F3292" w:rsidTr="00936564">
        <w:tc>
          <w:tcPr>
            <w:tcW w:w="2831" w:type="dxa"/>
            <w:vAlign w:val="center"/>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 xml:space="preserve">Carta Compromiso para la instalación de un Punto de Acceso WIFI y una red inalámbrica Inter-Oficinas </w:t>
            </w: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Instituto Dominicano de las Telecomunicaciones (INDOTEL) y la Fundación La Merced</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3 de agosto de 2021</w:t>
            </w: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Convenio Interinstitucional para el remozamiento de la Ciudad Colonial</w:t>
            </w:r>
          </w:p>
          <w:p w:rsidR="000F3292" w:rsidRPr="000F3292" w:rsidRDefault="000F3292" w:rsidP="000F3292">
            <w:pPr>
              <w:spacing w:after="0" w:line="360" w:lineRule="auto"/>
              <w:jc w:val="left"/>
              <w:rPr>
                <w:rFonts w:ascii="Times New Roman" w:hAnsi="Times New Roman" w:cs="Times New Roman"/>
                <w:szCs w:val="24"/>
              </w:rPr>
            </w:pP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Instituto Dominicano de las Telecomunicaciones (INDOTEL) y el Ministerio de Turismo de la República Dominicana (MITUR)</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25 de agosto de 2021</w:t>
            </w:r>
          </w:p>
        </w:tc>
      </w:tr>
      <w:tr w:rsidR="000F3292" w:rsidRPr="000F3292" w:rsidTr="00936564">
        <w:tc>
          <w:tcPr>
            <w:tcW w:w="2831" w:type="dxa"/>
            <w:vAlign w:val="center"/>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 xml:space="preserve">Convenio de Cooperación para la implementación del proyecto “Conectar a los no conectados” enmarcado en el Plan Bianual de </w:t>
            </w:r>
            <w:r w:rsidRPr="000F3292">
              <w:rPr>
                <w:rFonts w:ascii="Times New Roman" w:hAnsi="Times New Roman" w:cs="Times New Roman"/>
                <w:szCs w:val="24"/>
              </w:rPr>
              <w:lastRenderedPageBreak/>
              <w:t>Proyectos de Desarrollo para el período 2021-2022</w:t>
            </w: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lastRenderedPageBreak/>
              <w:t>Instituto Dominicano de las Telecomunicaciones (INDOTEL) y el Programa Supérate</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18 de octubre de 2021</w:t>
            </w:r>
          </w:p>
        </w:tc>
      </w:tr>
      <w:tr w:rsidR="000F3292" w:rsidRPr="000F3292" w:rsidTr="00936564">
        <w:tc>
          <w:tcPr>
            <w:tcW w:w="2831" w:type="dxa"/>
            <w:vAlign w:val="center"/>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lastRenderedPageBreak/>
              <w:t>Acuerdo de cooperación para la cesión en uso del club recreativo y deportivo INDOTEL</w:t>
            </w:r>
          </w:p>
          <w:p w:rsidR="000F3292" w:rsidRPr="000F3292" w:rsidRDefault="000F3292" w:rsidP="000F3292">
            <w:pPr>
              <w:spacing w:after="0" w:line="360" w:lineRule="auto"/>
              <w:jc w:val="left"/>
              <w:rPr>
                <w:rFonts w:ascii="Times New Roman" w:hAnsi="Times New Roman" w:cs="Times New Roman"/>
                <w:szCs w:val="24"/>
              </w:rPr>
            </w:pPr>
          </w:p>
          <w:p w:rsidR="000F3292" w:rsidRPr="000F3292" w:rsidRDefault="000F3292" w:rsidP="000F3292">
            <w:pPr>
              <w:spacing w:after="0" w:line="360" w:lineRule="auto"/>
              <w:jc w:val="left"/>
              <w:rPr>
                <w:rFonts w:ascii="Times New Roman" w:hAnsi="Times New Roman" w:cs="Times New Roman"/>
                <w:szCs w:val="24"/>
              </w:rPr>
            </w:pP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Instituto Dominicano de las Telecomunicaciones (INDOTEL) y el Consejo Nacional para la Niñez y la Adolescencia (CONANI)</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2 de noviembre de 2021</w:t>
            </w: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Convenio de cooperación técnica</w:t>
            </w: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Instituto Dominicano de las Telecomunicaciones (INDOTEL) y la Armada de República Dominicana</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8 de noviembre de 2021</w:t>
            </w:r>
          </w:p>
        </w:tc>
      </w:tr>
      <w:tr w:rsidR="000F3292" w:rsidRPr="000F3292" w:rsidTr="00936564">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Acuerdo de cooperación para ceder en calidad de préstamo locales del INDOTEL</w:t>
            </w:r>
          </w:p>
        </w:tc>
        <w:tc>
          <w:tcPr>
            <w:tcW w:w="2831" w:type="dxa"/>
          </w:tcPr>
          <w:p w:rsidR="000F3292" w:rsidRPr="000F3292" w:rsidRDefault="000F3292" w:rsidP="000F3292">
            <w:pPr>
              <w:spacing w:after="0" w:line="360" w:lineRule="auto"/>
              <w:jc w:val="left"/>
              <w:rPr>
                <w:rFonts w:ascii="Times New Roman" w:hAnsi="Times New Roman" w:cs="Times New Roman"/>
                <w:szCs w:val="24"/>
              </w:rPr>
            </w:pPr>
            <w:r w:rsidRPr="000F3292">
              <w:rPr>
                <w:rFonts w:ascii="Times New Roman" w:hAnsi="Times New Roman" w:cs="Times New Roman"/>
                <w:szCs w:val="24"/>
              </w:rPr>
              <w:t xml:space="preserve">Instituto Dominicano de las Telecomunicaciones (INDOTEL) y el Instituto Nacional de Atención a la Primera Infancia (INAIPI) </w:t>
            </w:r>
          </w:p>
        </w:tc>
        <w:tc>
          <w:tcPr>
            <w:tcW w:w="3689" w:type="dxa"/>
          </w:tcPr>
          <w:p w:rsidR="000F3292" w:rsidRPr="000F3292" w:rsidRDefault="000F3292" w:rsidP="000F3292">
            <w:pPr>
              <w:spacing w:after="0" w:line="360" w:lineRule="auto"/>
              <w:jc w:val="center"/>
              <w:rPr>
                <w:rFonts w:ascii="Times New Roman" w:hAnsi="Times New Roman" w:cs="Times New Roman"/>
                <w:szCs w:val="24"/>
                <w:lang w:val="es-ES" w:eastAsia="es-ES"/>
              </w:rPr>
            </w:pPr>
            <w:r w:rsidRPr="000F3292">
              <w:rPr>
                <w:rFonts w:ascii="Times New Roman" w:hAnsi="Times New Roman" w:cs="Times New Roman"/>
                <w:szCs w:val="24"/>
                <w:lang w:val="es-ES" w:eastAsia="es-ES"/>
              </w:rPr>
              <w:t>15 de noviembre de 2021</w:t>
            </w:r>
          </w:p>
        </w:tc>
      </w:tr>
    </w:tbl>
    <w:p w:rsidR="000F3292" w:rsidRPr="00577CF0" w:rsidRDefault="000F3292" w:rsidP="00577CF0">
      <w:pPr>
        <w:spacing w:after="0" w:line="360" w:lineRule="auto"/>
        <w:rPr>
          <w:rFonts w:eastAsia="Times New Roman"/>
          <w:sz w:val="18"/>
          <w:szCs w:val="24"/>
        </w:rPr>
      </w:pPr>
      <w:r w:rsidRPr="000F3292">
        <w:rPr>
          <w:rFonts w:eastAsia="Times New Roman"/>
          <w:b/>
          <w:sz w:val="18"/>
          <w:szCs w:val="24"/>
        </w:rPr>
        <w:t>Fuente:</w:t>
      </w:r>
      <w:r w:rsidRPr="000F3292">
        <w:rPr>
          <w:rFonts w:eastAsia="Times New Roman"/>
          <w:sz w:val="18"/>
          <w:szCs w:val="24"/>
        </w:rPr>
        <w:t xml:space="preserve"> Gerencia de Asuntos Institucionales</w:t>
      </w:r>
    </w:p>
    <w:p w:rsidR="000F3292" w:rsidRPr="000F3292" w:rsidRDefault="000F3292" w:rsidP="000F3292">
      <w:pPr>
        <w:spacing w:after="0" w:line="360" w:lineRule="auto"/>
        <w:rPr>
          <w:rFonts w:eastAsia="Times New Roman"/>
          <w:szCs w:val="24"/>
        </w:rPr>
      </w:pPr>
    </w:p>
    <w:p w:rsidR="000F3292" w:rsidRPr="000F3292" w:rsidRDefault="000F3292" w:rsidP="000F3292">
      <w:pPr>
        <w:spacing w:after="0" w:line="360" w:lineRule="auto"/>
        <w:rPr>
          <w:rFonts w:eastAsia="Times New Roman"/>
          <w:b/>
          <w:szCs w:val="24"/>
        </w:rPr>
      </w:pPr>
      <w:r w:rsidRPr="000F3292">
        <w:rPr>
          <w:rFonts w:eastAsia="Times New Roman"/>
          <w:b/>
          <w:szCs w:val="24"/>
        </w:rPr>
        <w:t xml:space="preserve">Descripción de los Acuerdos, Convenios y/o Cartas Compromisos </w:t>
      </w:r>
    </w:p>
    <w:p w:rsidR="000F3292" w:rsidRPr="000F3292" w:rsidRDefault="000F3292" w:rsidP="000F3292">
      <w:pPr>
        <w:spacing w:after="0" w:line="360" w:lineRule="auto"/>
        <w:rPr>
          <w:rFonts w:eastAsia="Times New Roman"/>
          <w:b/>
          <w:szCs w:val="24"/>
        </w:rPr>
      </w:pPr>
    </w:p>
    <w:p w:rsidR="000F3292" w:rsidRPr="000F3292" w:rsidRDefault="000F3292" w:rsidP="000F3292">
      <w:pPr>
        <w:spacing w:after="0" w:line="360" w:lineRule="auto"/>
        <w:rPr>
          <w:rFonts w:eastAsia="Times New Roman"/>
          <w:b/>
          <w:szCs w:val="24"/>
        </w:rPr>
      </w:pPr>
      <w:r w:rsidRPr="000F3292">
        <w:rPr>
          <w:rFonts w:eastAsia="Times New Roman"/>
          <w:b/>
          <w:szCs w:val="24"/>
        </w:rPr>
        <w:t>Acuerdo de Cooperación para el Fortalecimiento de la Regulación y la Fiscalización de los Generadores de Contenidos y los Prestadores de estos Servicios de Telecomunicaciones</w:t>
      </w:r>
    </w:p>
    <w:p w:rsidR="000F3292" w:rsidRPr="000F3292" w:rsidRDefault="000F3292" w:rsidP="000F3292">
      <w:pPr>
        <w:spacing w:after="0" w:line="240" w:lineRule="auto"/>
        <w:jc w:val="left"/>
        <w:rPr>
          <w:rFonts w:eastAsia="Times New Roman"/>
        </w:rPr>
      </w:pPr>
    </w:p>
    <w:p w:rsidR="000F3292" w:rsidRPr="000F3292" w:rsidRDefault="000F3292" w:rsidP="000F3292">
      <w:pPr>
        <w:spacing w:after="0" w:line="360" w:lineRule="auto"/>
        <w:rPr>
          <w:rFonts w:eastAsia="Arial"/>
          <w:szCs w:val="24"/>
          <w:lang w:val="es-ES" w:eastAsia="es-ES"/>
        </w:rPr>
      </w:pPr>
      <w:r w:rsidRPr="000F3292">
        <w:rPr>
          <w:rFonts w:eastAsia="Arial"/>
          <w:szCs w:val="24"/>
        </w:rPr>
        <w:t>Las instituciones, dentro del ámbito de sus competencias, han instaurado un mecanismo de colaboración y asistencia entre INDOTEL y ONDA, mediante el cual se comprometan a supervisar y revisar la prestación de los servicios públicos de difusión de contenido, con el objetivo de fortalecer la regulación y la fiscalización</w:t>
      </w:r>
      <w:r w:rsidRPr="000F3292">
        <w:rPr>
          <w:rFonts w:eastAsia="Arial"/>
          <w:szCs w:val="24"/>
          <w:lang w:val="es-ES" w:eastAsia="es-ES"/>
        </w:rPr>
        <w:t xml:space="preserve"> de los generadores de contenidos y los prestadores de estos servicios. </w:t>
      </w:r>
    </w:p>
    <w:p w:rsidR="000F3292" w:rsidRPr="000F3292" w:rsidRDefault="000F3292" w:rsidP="000F3292">
      <w:pPr>
        <w:spacing w:after="0" w:line="240" w:lineRule="auto"/>
        <w:jc w:val="left"/>
        <w:rPr>
          <w:rFonts w:eastAsia="Arial"/>
          <w:color w:val="auto"/>
          <w:lang w:val="es-ES" w:eastAsia="es-ES"/>
        </w:rPr>
      </w:pPr>
    </w:p>
    <w:p w:rsidR="000F3292" w:rsidRPr="000F3292" w:rsidRDefault="000F3292" w:rsidP="000F3292">
      <w:pPr>
        <w:spacing w:after="0" w:line="360" w:lineRule="auto"/>
        <w:rPr>
          <w:rFonts w:eastAsia="Arial"/>
          <w:szCs w:val="24"/>
        </w:rPr>
      </w:pPr>
      <w:r w:rsidRPr="000F3292">
        <w:rPr>
          <w:rFonts w:eastAsia="Arial"/>
          <w:szCs w:val="24"/>
          <w:lang w:val="es-ES" w:eastAsia="es-ES"/>
        </w:rPr>
        <w:t xml:space="preserve">Asimismo, se </w:t>
      </w:r>
      <w:r w:rsidRPr="000F3292">
        <w:rPr>
          <w:rFonts w:eastAsia="Arial"/>
          <w:szCs w:val="24"/>
        </w:rPr>
        <w:t>establecen las bases generales para que</w:t>
      </w:r>
      <w:r w:rsidRPr="000F3292">
        <w:rPr>
          <w:rFonts w:eastAsia="Arial"/>
          <w:bCs/>
          <w:spacing w:val="-3"/>
          <w:szCs w:val="24"/>
        </w:rPr>
        <w:t xml:space="preserve"> </w:t>
      </w:r>
      <w:r w:rsidRPr="000F3292">
        <w:rPr>
          <w:rFonts w:eastAsia="Arial"/>
          <w:spacing w:val="-3"/>
          <w:szCs w:val="24"/>
        </w:rPr>
        <w:t>el</w:t>
      </w:r>
      <w:r w:rsidRPr="000F3292">
        <w:rPr>
          <w:rFonts w:eastAsia="Arial"/>
          <w:bCs/>
          <w:spacing w:val="-3"/>
          <w:szCs w:val="24"/>
        </w:rPr>
        <w:t xml:space="preserve"> </w:t>
      </w:r>
      <w:r w:rsidRPr="000F3292">
        <w:rPr>
          <w:rFonts w:eastAsia="Arial"/>
          <w:bCs/>
          <w:szCs w:val="24"/>
        </w:rPr>
        <w:t>INDOTEL</w:t>
      </w:r>
      <w:r w:rsidRPr="000F3292">
        <w:rPr>
          <w:rFonts w:eastAsia="Arial"/>
          <w:bCs/>
          <w:spacing w:val="-3"/>
          <w:szCs w:val="24"/>
        </w:rPr>
        <w:t xml:space="preserve"> </w:t>
      </w:r>
      <w:r w:rsidRPr="000F3292">
        <w:rPr>
          <w:rFonts w:eastAsia="Arial"/>
          <w:spacing w:val="-3"/>
          <w:szCs w:val="24"/>
        </w:rPr>
        <w:t>y</w:t>
      </w:r>
      <w:r w:rsidRPr="000F3292">
        <w:rPr>
          <w:rFonts w:eastAsia="Arial"/>
          <w:bCs/>
          <w:spacing w:val="-3"/>
          <w:szCs w:val="24"/>
        </w:rPr>
        <w:t xml:space="preserve"> </w:t>
      </w:r>
      <w:r w:rsidRPr="000F3292">
        <w:rPr>
          <w:rFonts w:eastAsia="Arial"/>
          <w:spacing w:val="-3"/>
          <w:szCs w:val="24"/>
        </w:rPr>
        <w:t xml:space="preserve">la </w:t>
      </w:r>
      <w:r w:rsidRPr="000F3292">
        <w:rPr>
          <w:rFonts w:eastAsia="Arial"/>
          <w:bCs/>
          <w:spacing w:val="-3"/>
          <w:szCs w:val="24"/>
        </w:rPr>
        <w:t xml:space="preserve">ONDA </w:t>
      </w:r>
      <w:r w:rsidRPr="000F3292">
        <w:rPr>
          <w:rFonts w:eastAsia="Arial"/>
          <w:szCs w:val="24"/>
        </w:rPr>
        <w:t>ejecuten actividades de fiscalización que sirvan para identificar las irregularidades y operaciones ilegales en el ámbito de la prestación de los servicios de difusión de contenido y sancionar las mismas de acuerdo al ámbito de competencia.</w:t>
      </w:r>
    </w:p>
    <w:p w:rsidR="000F3292" w:rsidRPr="000F3292" w:rsidRDefault="000F3292" w:rsidP="000F3292">
      <w:pPr>
        <w:spacing w:after="0" w:line="240" w:lineRule="auto"/>
        <w:jc w:val="left"/>
        <w:rPr>
          <w:rFonts w:eastAsia="Arial"/>
          <w:color w:val="auto"/>
        </w:rPr>
      </w:pPr>
    </w:p>
    <w:p w:rsidR="000F3292" w:rsidRPr="000F3292" w:rsidRDefault="000F3292" w:rsidP="000F3292">
      <w:pPr>
        <w:spacing w:after="0" w:line="240" w:lineRule="auto"/>
        <w:jc w:val="left"/>
        <w:rPr>
          <w:rFonts w:eastAsia="Arial"/>
          <w:color w:val="auto"/>
        </w:rPr>
      </w:pPr>
    </w:p>
    <w:p w:rsidR="000F3292" w:rsidRPr="000F3292" w:rsidRDefault="000F3292" w:rsidP="000F3292">
      <w:pPr>
        <w:spacing w:after="0" w:line="360" w:lineRule="auto"/>
        <w:rPr>
          <w:rFonts w:eastAsia="Arial"/>
          <w:b/>
          <w:szCs w:val="24"/>
          <w:lang w:val="es-ES" w:eastAsia="es-ES"/>
        </w:rPr>
      </w:pPr>
      <w:r w:rsidRPr="000F3292">
        <w:rPr>
          <w:rFonts w:eastAsia="Arial"/>
          <w:b/>
          <w:szCs w:val="24"/>
          <w:lang w:eastAsia="es-ES"/>
        </w:rPr>
        <w:t>A</w:t>
      </w:r>
      <w:r w:rsidRPr="000F3292">
        <w:rPr>
          <w:rFonts w:eastAsia="Arial"/>
          <w:b/>
          <w:szCs w:val="24"/>
          <w:lang w:val="es-ES" w:eastAsia="es-ES"/>
        </w:rPr>
        <w:t>cuerdo de Colaboración para Promover el Acceso de las Personas con Discapacidad a los Servicios Públicos de Telecomunicaciones</w:t>
      </w:r>
    </w:p>
    <w:p w:rsidR="000F3292" w:rsidRPr="000F3292" w:rsidRDefault="000F3292" w:rsidP="000F3292">
      <w:pPr>
        <w:spacing w:after="0" w:line="240" w:lineRule="auto"/>
        <w:jc w:val="left"/>
        <w:rPr>
          <w:rFonts w:eastAsia="Arial"/>
          <w:color w:val="auto"/>
          <w:lang w:val="es-ES"/>
        </w:rPr>
      </w:pPr>
    </w:p>
    <w:p w:rsidR="000F3292" w:rsidRPr="000F3292" w:rsidRDefault="000F3292" w:rsidP="000F3292">
      <w:pPr>
        <w:spacing w:after="0" w:line="360" w:lineRule="auto"/>
        <w:rPr>
          <w:rFonts w:eastAsia="Arial"/>
          <w:lang w:val="es-ES" w:eastAsia="es-ES"/>
        </w:rPr>
      </w:pPr>
      <w:r w:rsidRPr="000F3292">
        <w:rPr>
          <w:rFonts w:eastAsia="Arial"/>
          <w:lang w:val="es-ES" w:eastAsia="es-ES"/>
        </w:rPr>
        <w:t>En este Acuerdo de colaboración se manifiesta el mutuo interés en establecer un marco de cooperación para identificar e implementar acciones conjuntas con miras a garantizar el acceso a los servicios públicos de telecomunicaciones en términos de equidad, accesibilidad universal y asequibilidad a las personas con discapacidad visual, auditiva, verbal y otra discapacidad física o mental, incluyéndolos así en la evolución constante en la que se encuentran las tecnologías de la información (TIC).</w:t>
      </w:r>
    </w:p>
    <w:p w:rsidR="000F3292" w:rsidRPr="000F3292" w:rsidRDefault="000F3292" w:rsidP="000F3292">
      <w:pPr>
        <w:spacing w:after="0" w:line="240" w:lineRule="auto"/>
        <w:jc w:val="left"/>
        <w:rPr>
          <w:rFonts w:eastAsiaTheme="minorHAnsi"/>
          <w:szCs w:val="24"/>
          <w:lang w:eastAsia="en-US"/>
        </w:rPr>
      </w:pPr>
    </w:p>
    <w:p w:rsidR="000F3292" w:rsidRPr="000F3292" w:rsidRDefault="000F3292" w:rsidP="000F3292">
      <w:pPr>
        <w:spacing w:after="0" w:line="360" w:lineRule="auto"/>
        <w:rPr>
          <w:rFonts w:eastAsiaTheme="minorHAnsi"/>
          <w:b/>
          <w:szCs w:val="24"/>
          <w:lang w:eastAsia="en-US"/>
        </w:rPr>
      </w:pPr>
      <w:r w:rsidRPr="000F3292">
        <w:rPr>
          <w:rFonts w:eastAsiaTheme="minorHAnsi"/>
          <w:b/>
          <w:szCs w:val="24"/>
          <w:lang w:eastAsia="en-US"/>
        </w:rPr>
        <w:t>Carta de Compromiso por la Igualdad de Género- Sello de Igualdad de Género en el Sector Público entre el Instituto Dominicano de las Telecomunicaciones (INDOTEL), el Ministerio de la Mujer y el Programa de las Naciones Unidas para el Desarrollo (PNUD)</w:t>
      </w:r>
    </w:p>
    <w:p w:rsidR="000F3292" w:rsidRPr="000F3292" w:rsidRDefault="000F3292" w:rsidP="000F3292">
      <w:pPr>
        <w:spacing w:after="0" w:line="240" w:lineRule="auto"/>
        <w:jc w:val="left"/>
        <w:rPr>
          <w:rFonts w:eastAsia="Times New Roman"/>
          <w:b/>
        </w:rPr>
      </w:pPr>
    </w:p>
    <w:p w:rsidR="000F3292" w:rsidRPr="000F3292" w:rsidRDefault="000F3292" w:rsidP="000F3292">
      <w:pPr>
        <w:spacing w:after="0" w:line="360" w:lineRule="auto"/>
        <w:rPr>
          <w:rFonts w:eastAsia="Arial"/>
          <w:szCs w:val="24"/>
        </w:rPr>
      </w:pPr>
      <w:r w:rsidRPr="000F3292">
        <w:rPr>
          <w:rFonts w:eastAsia="Arial"/>
          <w:szCs w:val="24"/>
        </w:rPr>
        <w:t xml:space="preserve">El programa de las Naciones Unidas para el Desarrollo (PNUD) a nivel global y regional junto a los gobiernos de la región han puesto en marcha una iniciativa para la aceleración de la igualdad de género en el Estado y en el cumplimiento de los objetivos de desarrollo sostenible de la Agenda 2030, a través del Sello de Igualdad de Género para el Sector Público. Esta propuesta tiene el objetivo de guiar, apoyar y reconocer los esfuerzos que hacen las instituciones públicas hacia el logro de la igualdad sustantiva entre hombres y mujeres. </w:t>
      </w:r>
    </w:p>
    <w:p w:rsidR="000F3292" w:rsidRPr="000F3292" w:rsidRDefault="000F3292" w:rsidP="000F3292">
      <w:pPr>
        <w:spacing w:after="0" w:line="360" w:lineRule="auto"/>
        <w:rPr>
          <w:rFonts w:eastAsia="Arial"/>
          <w:szCs w:val="24"/>
        </w:rPr>
      </w:pPr>
    </w:p>
    <w:p w:rsidR="000F3292" w:rsidRPr="000F3292" w:rsidRDefault="000F3292" w:rsidP="000F3292">
      <w:pPr>
        <w:spacing w:after="0" w:line="360" w:lineRule="auto"/>
        <w:rPr>
          <w:rFonts w:eastAsia="Arial"/>
          <w:szCs w:val="24"/>
        </w:rPr>
      </w:pPr>
      <w:r w:rsidRPr="000F3292">
        <w:rPr>
          <w:rFonts w:eastAsia="Arial"/>
          <w:szCs w:val="24"/>
        </w:rPr>
        <w:lastRenderedPageBreak/>
        <w:t>Por tanto, a través de esta Carta Compromiso, la Instancia de Coordinación del Sello Igualando RD para el Sector Público, se compromete a asignar a una persona asesora que servirá de enlace entre el INDOTEL y la propia instancia, dando la formación necesaria para que esta asesoría se realice bajo los mismos criterios y enfoques. INDOTEL realizó un aporte único para fines administrativos y de gestión por un monto de Seis Mil Ochocientos Setenta y Cinco Dólares Estado</w:t>
      </w:r>
      <w:r w:rsidR="00577CF0">
        <w:rPr>
          <w:rFonts w:eastAsia="Arial"/>
          <w:szCs w:val="24"/>
        </w:rPr>
        <w:t>s Unidos de Norteamérica</w:t>
      </w:r>
      <w:r w:rsidRPr="000F3292">
        <w:rPr>
          <w:rFonts w:eastAsia="Arial"/>
          <w:szCs w:val="24"/>
        </w:rPr>
        <w:t xml:space="preserve"> con 00/100 (US$6,875.00). </w:t>
      </w:r>
    </w:p>
    <w:p w:rsidR="000F3292" w:rsidRPr="000F3292" w:rsidRDefault="000F3292" w:rsidP="00792ACF">
      <w:pPr>
        <w:pStyle w:val="Textonotasalpie"/>
      </w:pPr>
    </w:p>
    <w:p w:rsidR="000F3292" w:rsidRPr="000F3292" w:rsidRDefault="000F3292" w:rsidP="000F3292">
      <w:pPr>
        <w:spacing w:after="0" w:line="240" w:lineRule="auto"/>
        <w:jc w:val="left"/>
        <w:rPr>
          <w:rFonts w:eastAsia="Arial"/>
          <w:color w:val="auto"/>
        </w:rPr>
      </w:pPr>
    </w:p>
    <w:p w:rsidR="000F3292" w:rsidRPr="000F3292" w:rsidRDefault="000F3292" w:rsidP="00D837F9">
      <w:pPr>
        <w:spacing w:after="0" w:line="360" w:lineRule="auto"/>
        <w:rPr>
          <w:rFonts w:eastAsiaTheme="minorHAnsi"/>
          <w:b/>
          <w:szCs w:val="24"/>
          <w:lang w:val="es-ES" w:eastAsia="es-ES"/>
        </w:rPr>
      </w:pPr>
      <w:r w:rsidRPr="000F3292">
        <w:rPr>
          <w:rFonts w:eastAsiaTheme="minorHAnsi"/>
          <w:b/>
          <w:szCs w:val="24"/>
          <w:lang w:eastAsia="es-ES"/>
        </w:rPr>
        <w:t>A</w:t>
      </w:r>
      <w:r w:rsidRPr="000F3292">
        <w:rPr>
          <w:rFonts w:eastAsiaTheme="minorHAnsi"/>
          <w:b/>
          <w:szCs w:val="24"/>
          <w:lang w:val="es-ES" w:eastAsia="es-ES"/>
        </w:rPr>
        <w:t>cuerdos Mesa Técnica de Radiodifusión Sonora- Resultados y Compromisos Arribados entre el Instituto Dominicano de las Telecomunicaciones (INDOTEL) y la Asociación Dominicana de Radiodifusora (ADORA)</w:t>
      </w:r>
    </w:p>
    <w:p w:rsidR="000F3292" w:rsidRPr="000F3292" w:rsidRDefault="000F3292" w:rsidP="000F3292">
      <w:pPr>
        <w:spacing w:after="0" w:line="240" w:lineRule="auto"/>
        <w:jc w:val="left"/>
        <w:rPr>
          <w:rFonts w:eastAsia="Arial"/>
          <w:color w:val="auto"/>
          <w:lang w:val="es-ES"/>
        </w:rPr>
      </w:pPr>
    </w:p>
    <w:p w:rsidR="000F3292" w:rsidRPr="000F3292" w:rsidRDefault="000F3292" w:rsidP="000F3292">
      <w:pPr>
        <w:spacing w:after="0" w:line="360" w:lineRule="auto"/>
        <w:rPr>
          <w:rFonts w:eastAsia="Arial"/>
          <w:szCs w:val="24"/>
        </w:rPr>
      </w:pPr>
      <w:r w:rsidRPr="000F3292">
        <w:rPr>
          <w:rFonts w:eastAsia="Arial"/>
          <w:szCs w:val="24"/>
        </w:rPr>
        <w:t>La Mesa Técnica de Radiodifusión Sonora (MTRS) tuvo el objetivo de poner en común las agendas del Instituto Dominicano de las Telecomunicaciones (INDOTEL) y la Asociación Dominicana de Radiodifusora (ADORA), facilitando la identificación de asuntos de interés del sector radiodifusión, así como también, analizar el estado de la regulación y los procesos de control, identificando oportunidades de mejora en los procesos con la finalidad de construir un plan de trabajo para regularizar el sector radiodifusión.</w:t>
      </w:r>
    </w:p>
    <w:p w:rsidR="000F3292" w:rsidRPr="000F3292" w:rsidRDefault="000F3292" w:rsidP="000F3292">
      <w:pPr>
        <w:spacing w:after="0" w:line="360" w:lineRule="auto"/>
        <w:rPr>
          <w:rFonts w:eastAsiaTheme="minorHAnsi"/>
          <w:color w:val="777777"/>
          <w:szCs w:val="23"/>
          <w:shd w:val="clear" w:color="auto" w:fill="F6F6F6"/>
          <w:lang w:eastAsia="en-US"/>
        </w:rPr>
      </w:pPr>
    </w:p>
    <w:p w:rsidR="000F3292" w:rsidRDefault="000F3292" w:rsidP="000F3292">
      <w:pPr>
        <w:spacing w:after="0" w:line="360" w:lineRule="auto"/>
        <w:rPr>
          <w:rFonts w:eastAsia="Arial"/>
          <w:szCs w:val="24"/>
        </w:rPr>
      </w:pPr>
      <w:r w:rsidRPr="000F3292">
        <w:rPr>
          <w:rFonts w:eastAsia="Arial"/>
          <w:szCs w:val="24"/>
        </w:rPr>
        <w:t xml:space="preserve">A través de estos trabajos se mejorará la aplicación de la regulación vigente, permitirá mayor colaboración entre el INDOTEL y los entes regulados del sector de radiodifusión sonora y se asegurará una gestión más eficiente del espectro radioeléctrico, haciendo énfasis en la vigilancia y control del uso no autorizado del espectro. </w:t>
      </w:r>
    </w:p>
    <w:p w:rsidR="00AB2201" w:rsidRDefault="00AB2201" w:rsidP="000F3292">
      <w:pPr>
        <w:spacing w:after="0" w:line="360" w:lineRule="auto"/>
        <w:rPr>
          <w:rFonts w:eastAsia="Arial"/>
          <w:szCs w:val="24"/>
        </w:rPr>
      </w:pPr>
    </w:p>
    <w:p w:rsidR="00AB2201" w:rsidRDefault="00AB2201" w:rsidP="000F3292">
      <w:pPr>
        <w:spacing w:after="0" w:line="360" w:lineRule="auto"/>
        <w:rPr>
          <w:rFonts w:eastAsia="Arial"/>
          <w:szCs w:val="24"/>
        </w:rPr>
      </w:pPr>
    </w:p>
    <w:p w:rsidR="00AB2201" w:rsidRPr="000F3292" w:rsidRDefault="00AB2201" w:rsidP="000F3292">
      <w:pPr>
        <w:spacing w:after="0" w:line="360" w:lineRule="auto"/>
        <w:rPr>
          <w:rFonts w:eastAsia="Arial"/>
          <w:szCs w:val="24"/>
        </w:rPr>
      </w:pPr>
    </w:p>
    <w:p w:rsidR="000F3292" w:rsidRPr="000F3292" w:rsidRDefault="000F3292" w:rsidP="000F3292">
      <w:pPr>
        <w:spacing w:after="0" w:line="360" w:lineRule="auto"/>
        <w:jc w:val="left"/>
        <w:rPr>
          <w:rFonts w:eastAsiaTheme="minorHAnsi"/>
          <w:b/>
          <w:color w:val="777777"/>
          <w:szCs w:val="23"/>
          <w:shd w:val="clear" w:color="auto" w:fill="F6F6F6"/>
          <w:lang w:eastAsia="en-US"/>
        </w:rPr>
      </w:pPr>
      <w:r w:rsidRPr="000F3292">
        <w:rPr>
          <w:rFonts w:eastAsiaTheme="minorHAnsi"/>
          <w:b/>
          <w:szCs w:val="24"/>
          <w:lang w:eastAsia="es-ES"/>
        </w:rPr>
        <w:lastRenderedPageBreak/>
        <w:t>Carta Compromiso para la Instalación de un Punto de Acceso W</w:t>
      </w:r>
      <w:r w:rsidR="00AB2201">
        <w:rPr>
          <w:rFonts w:eastAsiaTheme="minorHAnsi"/>
          <w:b/>
          <w:szCs w:val="24"/>
          <w:lang w:eastAsia="es-ES"/>
        </w:rPr>
        <w:t>I</w:t>
      </w:r>
      <w:r w:rsidRPr="000F3292">
        <w:rPr>
          <w:rFonts w:eastAsiaTheme="minorHAnsi"/>
          <w:b/>
          <w:szCs w:val="24"/>
          <w:lang w:eastAsia="es-ES"/>
        </w:rPr>
        <w:t>-</w:t>
      </w:r>
      <w:r w:rsidR="00AB2201">
        <w:rPr>
          <w:rFonts w:eastAsiaTheme="minorHAnsi"/>
          <w:b/>
          <w:szCs w:val="24"/>
          <w:lang w:eastAsia="es-ES"/>
        </w:rPr>
        <w:t>FI</w:t>
      </w:r>
      <w:r w:rsidRPr="000F3292">
        <w:rPr>
          <w:rFonts w:eastAsiaTheme="minorHAnsi"/>
          <w:b/>
          <w:szCs w:val="24"/>
          <w:lang w:eastAsia="es-ES"/>
        </w:rPr>
        <w:t xml:space="preserve"> y de una Red Inalámbrica Inter-Oficinas para la Fundación La Merced</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 xml:space="preserve">El INDOTEL tiene como objetivo público y social reafirmar el principio del servicio universal garantizando en áreas rurales y urbanas de bajos ingresos, la posibilidad de libre acceso a un servicio público de telecomunicaciones, mínimo y eficaz, a precios asequibles, promoviendo e impulsando la libre competencia, así como la satisfacción de la demanda de servicios, en condiciones de transparencia y de no discriminación, asegurando la continuidad, igualdad y neutralidad de dichos servicios. </w:t>
      </w:r>
    </w:p>
    <w:p w:rsidR="000F3292" w:rsidRPr="000F3292" w:rsidRDefault="000F3292" w:rsidP="000F3292">
      <w:pPr>
        <w:spacing w:after="0" w:line="360" w:lineRule="auto"/>
        <w:rPr>
          <w:rFonts w:eastAsia="Arial"/>
          <w:szCs w:val="24"/>
        </w:rPr>
      </w:pPr>
    </w:p>
    <w:p w:rsidR="000F3292" w:rsidRPr="000F3292" w:rsidRDefault="000F3292" w:rsidP="000F3292">
      <w:pPr>
        <w:spacing w:after="0" w:line="360" w:lineRule="auto"/>
        <w:rPr>
          <w:rFonts w:eastAsiaTheme="minorHAnsi"/>
          <w:color w:val="777777"/>
          <w:szCs w:val="23"/>
          <w:shd w:val="clear" w:color="auto" w:fill="F6F6F6"/>
          <w:lang w:eastAsia="en-US"/>
        </w:rPr>
      </w:pPr>
      <w:r w:rsidRPr="000F3292">
        <w:rPr>
          <w:rFonts w:eastAsia="Arial"/>
          <w:szCs w:val="24"/>
        </w:rPr>
        <w:t xml:space="preserve">En este sentido, a través de esta Carta Compromiso, el INDOTEL se compromete a la instalación de la red inalámbrica Inter-Oficinas en beneficio de la Fundación La Merced en su oficina principal, el dispensario médico Nuestra Señora de Guadalupe, la Parroquia Nuestra Señora de Guadalupe de Las Caobas y en Batey Bienvenido, Sector </w:t>
      </w:r>
      <w:proofErr w:type="spellStart"/>
      <w:r w:rsidRPr="000F3292">
        <w:rPr>
          <w:rFonts w:eastAsia="Arial"/>
          <w:szCs w:val="24"/>
        </w:rPr>
        <w:t>Manoguayabo</w:t>
      </w:r>
      <w:proofErr w:type="spellEnd"/>
      <w:r w:rsidRPr="000F3292">
        <w:rPr>
          <w:rFonts w:eastAsia="Arial"/>
          <w:szCs w:val="24"/>
        </w:rPr>
        <w:t xml:space="preserve">. </w:t>
      </w:r>
    </w:p>
    <w:p w:rsidR="000F3292" w:rsidRPr="000F3292" w:rsidRDefault="000F3292" w:rsidP="000F3292">
      <w:pPr>
        <w:spacing w:after="0" w:line="360" w:lineRule="auto"/>
        <w:rPr>
          <w:rFonts w:eastAsiaTheme="minorHAnsi"/>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Además, el INDOTEL a través de esta Carta Compromiso asume la responsabilidad de gestionar la instalación de un punto de acceso WI-FI dentro de las instalaciones físicas pertenecientes a la Fundación La Merced, que permitirá acceso gratuito en el rango de cobertura de la señal WI-FI instalada en dicha locación.</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AB2201">
      <w:pPr>
        <w:spacing w:after="0" w:line="360" w:lineRule="auto"/>
        <w:rPr>
          <w:rFonts w:eastAsiaTheme="minorHAnsi"/>
          <w:b/>
          <w:szCs w:val="24"/>
          <w:lang w:eastAsia="es-ES"/>
        </w:rPr>
      </w:pPr>
      <w:r w:rsidRPr="000F3292">
        <w:rPr>
          <w:rFonts w:eastAsiaTheme="minorHAnsi"/>
          <w:b/>
          <w:szCs w:val="24"/>
          <w:lang w:eastAsia="es-ES"/>
        </w:rPr>
        <w:t>Convenio de Cooperación Interinstitucional en el Marco de Ejecución del Programa Integral de Desarrollo Turístico y Urbano de la Ciudad Colonial de Santo Domingo</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 xml:space="preserve">En vista a que la Ley General de Telecomunicaciones, Núm. 153-98 regula la instalación, mantenimiento y operación de las redes necesarias para la distribución de los servicios públicos de telecomunicaciones en todo el Territorio Nacional, se </w:t>
      </w:r>
      <w:r w:rsidRPr="000F3292">
        <w:rPr>
          <w:rFonts w:eastAsia="Arial"/>
          <w:szCs w:val="24"/>
        </w:rPr>
        <w:lastRenderedPageBreak/>
        <w:t xml:space="preserve">nos incluyó en el Programa de Fomento al Turismo en la Ciudad Colonial de Santo Domingo. </w:t>
      </w:r>
    </w:p>
    <w:p w:rsidR="000F3292" w:rsidRPr="000F3292" w:rsidRDefault="000F3292" w:rsidP="000F3292">
      <w:pPr>
        <w:spacing w:after="0" w:line="360" w:lineRule="auto"/>
        <w:rPr>
          <w:rFonts w:eastAsia="Arial"/>
          <w:szCs w:val="24"/>
        </w:rPr>
      </w:pPr>
    </w:p>
    <w:p w:rsidR="000F3292" w:rsidRPr="000F3292" w:rsidRDefault="000F3292" w:rsidP="000F3292">
      <w:pPr>
        <w:spacing w:after="0" w:line="360" w:lineRule="auto"/>
        <w:rPr>
          <w:rFonts w:eastAsia="Arial"/>
          <w:szCs w:val="24"/>
        </w:rPr>
      </w:pPr>
      <w:r w:rsidRPr="000F3292">
        <w:rPr>
          <w:rFonts w:eastAsia="Arial"/>
          <w:szCs w:val="24"/>
        </w:rPr>
        <w:t xml:space="preserve">Por cuanto, a través de este Acuerdo quedaron establecidos los términos y condiciones bajo los cuales el Ministerio de Turismo y el Instituto Dominicano de las Telecomunicaciones cooperarán con los trabajos relativos al desmantelamiento, adecuación e instalación soterrada de redes de distribución de los servicios de telecomunicaciones, registros y mantenimiento en el área de intervención del programa denominado “Rehabilitación de espacios públicos en calles priorizadas”.  </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Theme="minorHAnsi"/>
          <w:b/>
          <w:szCs w:val="24"/>
          <w:lang w:eastAsia="es-ES"/>
        </w:rPr>
      </w:pPr>
      <w:r w:rsidRPr="000F3292">
        <w:rPr>
          <w:rFonts w:eastAsiaTheme="minorHAnsi"/>
          <w:b/>
          <w:szCs w:val="24"/>
          <w:lang w:eastAsia="es-ES"/>
        </w:rPr>
        <w:t>Convenio de Cooperación entre el Instituto Dominicano de las Telecomunicaciones (INDOTEL) y el Programa Supérate para la Implementación del Proyecto “Conectar a los no Conectados” Enmarcado en el Plan Bianual de Proyectos de Desarrollo para el Período 2021-2022</w:t>
      </w:r>
    </w:p>
    <w:p w:rsidR="000F3292" w:rsidRPr="000F3292" w:rsidRDefault="000F3292" w:rsidP="000F3292">
      <w:pPr>
        <w:spacing w:after="0" w:line="360" w:lineRule="auto"/>
        <w:rPr>
          <w:rFonts w:eastAsiaTheme="minorHAnsi"/>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 xml:space="preserve">En este convenio el INDOTEL y Supérate acuerdan establecer las bases de cooperación, con miras a aunar esfuerzos, sinergias y experiencias mutuas para una efectiva implementación del proyecto “Conectar a los no conectados”, en específico, de los componentes de Acceso e Infraestructura, Subsidio a la Demanda y Apropiación Social y Desarrollo de Habilidades, enmarcados en el Plan Bianual de Proyectos de Desarrollo 2021-2022. </w:t>
      </w:r>
    </w:p>
    <w:p w:rsidR="000F3292" w:rsidRPr="000F3292" w:rsidRDefault="000F3292" w:rsidP="000F3292">
      <w:pPr>
        <w:spacing w:after="0" w:line="360" w:lineRule="auto"/>
        <w:rPr>
          <w:rFonts w:eastAsia="Arial"/>
          <w:szCs w:val="24"/>
        </w:rPr>
      </w:pPr>
    </w:p>
    <w:p w:rsidR="000F3292" w:rsidRPr="000F3292" w:rsidRDefault="000F3292" w:rsidP="00AB2201">
      <w:pPr>
        <w:pStyle w:val="Textonotasalpie"/>
        <w:rPr>
          <w:shd w:val="clear" w:color="auto" w:fill="F6F6F6"/>
          <w:lang w:eastAsia="en-US"/>
        </w:rPr>
      </w:pPr>
    </w:p>
    <w:p w:rsidR="000F3292" w:rsidRPr="000F3292" w:rsidRDefault="000F3292" w:rsidP="000F3292">
      <w:pPr>
        <w:spacing w:after="0" w:line="360" w:lineRule="auto"/>
        <w:rPr>
          <w:rFonts w:eastAsiaTheme="minorHAnsi"/>
          <w:b/>
          <w:szCs w:val="24"/>
          <w:lang w:eastAsia="es-ES"/>
        </w:rPr>
      </w:pPr>
      <w:r w:rsidRPr="000F3292">
        <w:rPr>
          <w:rFonts w:eastAsiaTheme="minorHAnsi"/>
          <w:b/>
          <w:szCs w:val="24"/>
          <w:lang w:eastAsia="es-ES"/>
        </w:rPr>
        <w:t>Acuerdo de Cooperación para la Cesión en Uso del Club Recreativo y Deportivo INDOTEL</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 xml:space="preserve">A través de este </w:t>
      </w:r>
      <w:r w:rsidR="00AB2201">
        <w:rPr>
          <w:rFonts w:eastAsia="Arial"/>
          <w:szCs w:val="24"/>
        </w:rPr>
        <w:t>A</w:t>
      </w:r>
      <w:r w:rsidRPr="000F3292">
        <w:rPr>
          <w:rFonts w:eastAsia="Arial"/>
          <w:szCs w:val="24"/>
        </w:rPr>
        <w:t xml:space="preserve">cuerdo de </w:t>
      </w:r>
      <w:r w:rsidR="00AB2201">
        <w:rPr>
          <w:rFonts w:eastAsia="Arial"/>
          <w:szCs w:val="24"/>
        </w:rPr>
        <w:t>C</w:t>
      </w:r>
      <w:r w:rsidRPr="000F3292">
        <w:rPr>
          <w:rFonts w:eastAsia="Arial"/>
          <w:szCs w:val="24"/>
        </w:rPr>
        <w:t xml:space="preserve">ooperación el INDOTEL cede en calidad de préstamo al Consejo Nacional para la Niñez y la Adolescencia (CONANI) el inmueble denominado Club Recreativo y Deportivo </w:t>
      </w:r>
      <w:r w:rsidR="00AB2201">
        <w:rPr>
          <w:rFonts w:eastAsia="Arial"/>
          <w:szCs w:val="24"/>
        </w:rPr>
        <w:t>INDOTEL</w:t>
      </w:r>
      <w:r w:rsidRPr="000F3292">
        <w:rPr>
          <w:rFonts w:eastAsia="Arial"/>
          <w:szCs w:val="24"/>
        </w:rPr>
        <w:t xml:space="preserve"> para la instalación y </w:t>
      </w:r>
      <w:r w:rsidRPr="000F3292">
        <w:rPr>
          <w:rFonts w:eastAsia="Arial"/>
          <w:szCs w:val="24"/>
        </w:rPr>
        <w:lastRenderedPageBreak/>
        <w:t xml:space="preserve">operación de un centro de primera acogida para niños, niñas y adolescentes en situación de vulnerabilidad. </w:t>
      </w:r>
    </w:p>
    <w:p w:rsidR="000F3292" w:rsidRPr="000F3292" w:rsidRDefault="000F3292" w:rsidP="000F3292">
      <w:pPr>
        <w:spacing w:after="0" w:line="360" w:lineRule="auto"/>
        <w:rPr>
          <w:rFonts w:eastAsiaTheme="minorHAnsi"/>
          <w:color w:val="777777"/>
          <w:szCs w:val="23"/>
          <w:shd w:val="clear" w:color="auto" w:fill="F6F6F6"/>
          <w:lang w:eastAsia="en-US"/>
        </w:rPr>
      </w:pPr>
    </w:p>
    <w:p w:rsidR="000F3292" w:rsidRPr="000F3292" w:rsidRDefault="000F3292" w:rsidP="000F3292">
      <w:pPr>
        <w:spacing w:after="0" w:line="360" w:lineRule="auto"/>
        <w:rPr>
          <w:rFonts w:eastAsiaTheme="minorHAnsi"/>
          <w:b/>
          <w:szCs w:val="24"/>
          <w:lang w:eastAsia="es-ES"/>
        </w:rPr>
      </w:pPr>
      <w:r w:rsidRPr="000F3292">
        <w:rPr>
          <w:rFonts w:eastAsiaTheme="minorHAnsi"/>
          <w:b/>
          <w:szCs w:val="24"/>
          <w:lang w:eastAsia="es-ES"/>
        </w:rPr>
        <w:t>Convenio de Cooperación Técnica entre el Instituto Dominicano de las Telecomunicaciones (INDOTEL) y la Armada de República Dominicana (ARD)</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 xml:space="preserve">Mediante este </w:t>
      </w:r>
      <w:r w:rsidR="00AB2201">
        <w:rPr>
          <w:rFonts w:eastAsia="Arial"/>
          <w:szCs w:val="24"/>
        </w:rPr>
        <w:t>C</w:t>
      </w:r>
      <w:r w:rsidRPr="000F3292">
        <w:rPr>
          <w:rFonts w:eastAsia="Arial"/>
          <w:szCs w:val="24"/>
        </w:rPr>
        <w:t>onvenio el INDOTEL y la ARD acuerdan establecer las pautas de cooperación técnica en materia de telecomunicaciones y seguridad marítima, asegurando la realización de las actividades necesarias para que el país, a través de la ARD, de cumplimiento a los convenios de Seguridad Marítima (</w:t>
      </w:r>
      <w:proofErr w:type="spellStart"/>
      <w:r w:rsidRPr="000F3292">
        <w:rPr>
          <w:rFonts w:eastAsia="Arial"/>
          <w:szCs w:val="24"/>
        </w:rPr>
        <w:t>The</w:t>
      </w:r>
      <w:proofErr w:type="spellEnd"/>
      <w:r w:rsidRPr="000F3292">
        <w:rPr>
          <w:rFonts w:eastAsia="Arial"/>
          <w:szCs w:val="24"/>
        </w:rPr>
        <w:t xml:space="preserve"> International </w:t>
      </w:r>
      <w:proofErr w:type="spellStart"/>
      <w:r w:rsidRPr="000F3292">
        <w:rPr>
          <w:rFonts w:eastAsia="Arial"/>
          <w:szCs w:val="24"/>
        </w:rPr>
        <w:t>Convention</w:t>
      </w:r>
      <w:proofErr w:type="spellEnd"/>
      <w:r w:rsidRPr="000F3292">
        <w:rPr>
          <w:rFonts w:eastAsia="Arial"/>
          <w:szCs w:val="24"/>
        </w:rPr>
        <w:t xml:space="preserve"> </w:t>
      </w:r>
      <w:proofErr w:type="spellStart"/>
      <w:r w:rsidRPr="000F3292">
        <w:rPr>
          <w:rFonts w:eastAsia="Arial"/>
          <w:szCs w:val="24"/>
        </w:rPr>
        <w:t>for</w:t>
      </w:r>
      <w:proofErr w:type="spellEnd"/>
      <w:r w:rsidRPr="000F3292">
        <w:rPr>
          <w:rFonts w:eastAsia="Arial"/>
          <w:szCs w:val="24"/>
        </w:rPr>
        <w:t xml:space="preserve"> </w:t>
      </w:r>
      <w:proofErr w:type="spellStart"/>
      <w:r w:rsidRPr="000F3292">
        <w:rPr>
          <w:rFonts w:eastAsia="Arial"/>
          <w:szCs w:val="24"/>
        </w:rPr>
        <w:t>the</w:t>
      </w:r>
      <w:proofErr w:type="spellEnd"/>
      <w:r w:rsidRPr="000F3292">
        <w:rPr>
          <w:rFonts w:eastAsia="Arial"/>
          <w:szCs w:val="24"/>
        </w:rPr>
        <w:t xml:space="preserve"> Safety of </w:t>
      </w:r>
      <w:proofErr w:type="spellStart"/>
      <w:r w:rsidRPr="000F3292">
        <w:rPr>
          <w:rFonts w:eastAsia="Arial"/>
          <w:szCs w:val="24"/>
        </w:rPr>
        <w:t>Life</w:t>
      </w:r>
      <w:proofErr w:type="spellEnd"/>
      <w:r w:rsidRPr="000F3292">
        <w:rPr>
          <w:rFonts w:eastAsia="Arial"/>
          <w:szCs w:val="24"/>
        </w:rPr>
        <w:t xml:space="preserve"> at Sea, SOLAS), así como la puesta en ejecución de los sistemas de radiocomunicación de socorro, incluyendo los equipos relacionados al Sistema Mundial de Socorro y Seguridad Marítimos (SMSSM). </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Theme="minorHAnsi"/>
          <w:b/>
          <w:color w:val="777777"/>
          <w:szCs w:val="23"/>
          <w:shd w:val="clear" w:color="auto" w:fill="F6F6F6"/>
          <w:lang w:eastAsia="en-US"/>
        </w:rPr>
      </w:pPr>
      <w:r w:rsidRPr="000F3292">
        <w:rPr>
          <w:rFonts w:eastAsiaTheme="minorHAnsi"/>
          <w:b/>
          <w:szCs w:val="24"/>
          <w:lang w:eastAsia="es-ES"/>
        </w:rPr>
        <w:t>Acuerdo de Cooperación para Ceder en Calidad de Préstamo Inmuebles a ser Utilizados en la Implementación de Centros de Atención Integral a la Primera Infancia (CAIPI), Centros de Atención a la Infancia y Familia de Gestión Directa (CAFI GD) del Programa de Base Familiar y Comunitaria (PBFC) y/o sus Oficinas Regionales en Locales del INDOTEL</w:t>
      </w:r>
    </w:p>
    <w:p w:rsidR="000F3292" w:rsidRPr="000F3292" w:rsidRDefault="000F3292" w:rsidP="000F3292">
      <w:pPr>
        <w:spacing w:after="0" w:line="360" w:lineRule="auto"/>
        <w:rPr>
          <w:rFonts w:eastAsiaTheme="minorHAnsi"/>
          <w:b/>
          <w:color w:val="777777"/>
          <w:szCs w:val="23"/>
          <w:shd w:val="clear" w:color="auto" w:fill="F6F6F6"/>
          <w:lang w:eastAsia="en-US"/>
        </w:rPr>
      </w:pPr>
    </w:p>
    <w:p w:rsidR="000F3292" w:rsidRPr="000F3292" w:rsidRDefault="000F3292" w:rsidP="000F3292">
      <w:pPr>
        <w:spacing w:after="0" w:line="360" w:lineRule="auto"/>
        <w:rPr>
          <w:rFonts w:eastAsia="Arial"/>
          <w:szCs w:val="24"/>
        </w:rPr>
      </w:pPr>
      <w:r w:rsidRPr="000F3292">
        <w:rPr>
          <w:rFonts w:eastAsia="Arial"/>
          <w:szCs w:val="24"/>
        </w:rPr>
        <w:t xml:space="preserve">A través de este Acuerdo el INDOTEL cede en calidad de préstamo al INAIPI, la gestión, mantenimiento y supervisión de los locales en favor del INSTITUTO NACIONAL DE ATENCIÓN INTEGRAL A LA PRIMERA INFANCIA (INAIPI), para la instalación y operación de Centros de Atención Integral a la Primera Infancia (CAIPI), Centros de Atención a la Infancia y Familia de Gestión Directa (CAFI GD) del Programa de Base Familiar y Comunitaria (PBFC) y/o sus </w:t>
      </w:r>
      <w:r w:rsidRPr="000F3292">
        <w:rPr>
          <w:rFonts w:eastAsia="Arial"/>
          <w:szCs w:val="24"/>
        </w:rPr>
        <w:lastRenderedPageBreak/>
        <w:t>oficinas regionales. Igualmente, INAIPI se compromete a asumir la sostenibilidad, dirección y administración de los Centros que tenga a bien instalar.</w:t>
      </w:r>
    </w:p>
    <w:p w:rsidR="00FB3911" w:rsidRDefault="00FB3911" w:rsidP="00B3628C"/>
    <w:p w:rsidR="00FB3911" w:rsidRDefault="00FB3911"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603214" w:rsidRDefault="00603214" w:rsidP="00B3628C"/>
    <w:p w:rsidR="00E724BE" w:rsidRPr="003E70B2" w:rsidRDefault="00E724BE" w:rsidP="00E724BE">
      <w:pPr>
        <w:pStyle w:val="Ttulo3"/>
        <w:rPr>
          <w:szCs w:val="28"/>
        </w:rPr>
      </w:pPr>
      <w:bookmarkStart w:id="75" w:name="_Toc90936660"/>
      <w:r w:rsidRPr="003E70B2">
        <w:rPr>
          <w:szCs w:val="28"/>
        </w:rPr>
        <w:lastRenderedPageBreak/>
        <w:t>Relaciones Internacionales</w:t>
      </w:r>
      <w:bookmarkEnd w:id="75"/>
    </w:p>
    <w:p w:rsidR="00E724BE" w:rsidRDefault="00E724BE" w:rsidP="00E724BE">
      <w:pPr>
        <w:pStyle w:val="Sinespaciado"/>
      </w:pP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El Instituto Dominicano de las Telecomunicaciones (INDOTEL), como órgano regulador de las telecomunicaciones y responsable de las políticas adoptadas por el gobierno dominicano en esta materia, representa al país en diferentes foros, eventos internacionales y regionales, mantiene relaciones activas de trabajo y cooperación, tanto a nivel internacional como regional. A estos fines, el INDOTEL se relaciona a nivel internacional con diversas instituciones intergubernamentales, multilaterales y de la sociedad civil y la comunidad técnica de internet. En este sentido, en materia de gestión y coordinación de actividades internacionales, INDOTEL ha representado a la República Dominicana en los ámbitos de telecomunicaciones/TIC y de la sociedad de la Información, para lo cual presentamos un resumen de las actividades más relevantes durante el periodo enero–noviembre de 2021.</w:t>
      </w:r>
    </w:p>
    <w:p w:rsidR="000A5B99" w:rsidRPr="000A5B99" w:rsidRDefault="000A5B99" w:rsidP="000A5B99">
      <w:pPr>
        <w:spacing w:after="0" w:line="240" w:lineRule="auto"/>
        <w:jc w:val="left"/>
        <w:rPr>
          <w:rFonts w:eastAsiaTheme="minorHAnsi"/>
          <w:color w:val="auto"/>
          <w:szCs w:val="24"/>
        </w:rPr>
      </w:pPr>
    </w:p>
    <w:p w:rsidR="000A5B99" w:rsidRPr="000A5B99" w:rsidRDefault="000A5B99" w:rsidP="000A5B99">
      <w:pPr>
        <w:spacing w:line="360" w:lineRule="auto"/>
        <w:rPr>
          <w:rFonts w:eastAsiaTheme="minorHAnsi"/>
          <w:b/>
          <w:szCs w:val="24"/>
          <w:lang w:val="es-ES" w:eastAsia="en-US"/>
        </w:rPr>
      </w:pPr>
      <w:r w:rsidRPr="000A5B99">
        <w:rPr>
          <w:rFonts w:eastAsiaTheme="minorHAnsi"/>
          <w:b/>
          <w:szCs w:val="24"/>
          <w:lang w:val="es-ES" w:eastAsia="en-US"/>
        </w:rPr>
        <w:t xml:space="preserve">Secretaría Ejecutiva de Comisión Técnica Regional de Telecomunicaciones (COMTELCA)  </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El 12 de marzo fue sometida por parte del INDOTEL, la postulación de un candidato para la Secretaría Ejecutiva de la Comisión Técnica Regional de Telecomunicaciones (COMTELCA). Luego de un riguroso proceso fue seleccionada la Ingeniera Telemática, </w:t>
      </w:r>
      <w:proofErr w:type="spellStart"/>
      <w:r w:rsidRPr="000A5B99">
        <w:rPr>
          <w:rFonts w:eastAsiaTheme="minorHAnsi"/>
          <w:szCs w:val="24"/>
          <w:lang w:val="es-ES" w:eastAsia="en-US"/>
        </w:rPr>
        <w:t>Lizania</w:t>
      </w:r>
      <w:proofErr w:type="spellEnd"/>
      <w:r w:rsidRPr="000A5B99">
        <w:rPr>
          <w:rFonts w:eastAsiaTheme="minorHAnsi"/>
          <w:szCs w:val="24"/>
          <w:lang w:val="es-ES" w:eastAsia="en-US"/>
        </w:rPr>
        <w:t xml:space="preserve"> Margarita Pérez Rodríguez, primera mujer que es nombrada en dicho organismo y primera persona de la República Dominicana en ocupar la posición.</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COMTELCA es una institución especializada del Sistema de la Integración Centroamericana (SICA), que coordina, apoya y armoniza el desarrollo de la industria de las telecomunicaciones y las Tecnologías de la Información y las Comunicaciones en la región. COMTELCA está constituida por Guatemala, el </w:t>
      </w:r>
      <w:r w:rsidRPr="000A5B99">
        <w:rPr>
          <w:rFonts w:eastAsiaTheme="minorHAnsi"/>
          <w:szCs w:val="24"/>
          <w:lang w:val="es-ES" w:eastAsia="en-US"/>
        </w:rPr>
        <w:lastRenderedPageBreak/>
        <w:t>Salvador, Honduras, Nicaragua, México, Costa Rica, Panamá y República Dominicana.</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rPr>
          <w:rFonts w:eastAsiaTheme="minorHAnsi"/>
          <w:b/>
          <w:szCs w:val="24"/>
          <w:lang w:val="es-ES" w:eastAsia="en-US"/>
        </w:rPr>
      </w:pPr>
      <w:r w:rsidRPr="000A5B99">
        <w:rPr>
          <w:rFonts w:eastAsiaTheme="minorHAnsi"/>
          <w:b/>
          <w:szCs w:val="24"/>
          <w:lang w:val="es-ES" w:eastAsia="en-US"/>
        </w:rPr>
        <w:t>37 Reunión Virtual del Comité Consultivo Permanente II (CCPII) de la Comisión Interamericana de Telecomunicaciones  (CITEL)</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Del 5 al 9 de abril se llevó a cabo la 37 reunión virtual del Comité Consultivo Permanente II (CCPII) donde se realizaron los trabajos de preparación y coordinación de los grupos de trabajo con miras a la Cumbre Mundial de Radiocomunicación del 2023. Por parte del INDOTEL, la participación estuvo encabezada por la Dirección del Espectro Radioeléctrico y la Dirección de Regulación y Defensa de la Competencia.</w:t>
      </w:r>
    </w:p>
    <w:p w:rsidR="000A5B99" w:rsidRPr="000A5B99" w:rsidRDefault="000A5B99" w:rsidP="000A5B99">
      <w:pPr>
        <w:spacing w:after="0" w:line="240" w:lineRule="auto"/>
        <w:jc w:val="left"/>
        <w:rPr>
          <w:rFonts w:eastAsiaTheme="minorHAnsi"/>
          <w:color w:val="auto"/>
          <w:szCs w:val="24"/>
          <w:lang w:val="es-ES" w:eastAsia="en-US"/>
        </w:rPr>
      </w:pPr>
    </w:p>
    <w:p w:rsidR="000A5B99" w:rsidRPr="000A5B99" w:rsidRDefault="000A5B99" w:rsidP="000A5B99">
      <w:pPr>
        <w:spacing w:line="360" w:lineRule="auto"/>
        <w:jc w:val="left"/>
        <w:rPr>
          <w:rFonts w:eastAsiaTheme="minorHAnsi"/>
          <w:b/>
          <w:szCs w:val="24"/>
          <w:lang w:val="es-ES" w:eastAsia="en-US"/>
        </w:rPr>
      </w:pPr>
      <w:r w:rsidRPr="000A5B99">
        <w:rPr>
          <w:rFonts w:eastAsiaTheme="minorHAnsi"/>
          <w:b/>
          <w:szCs w:val="24"/>
          <w:lang w:val="es-ES" w:eastAsia="en-US"/>
        </w:rPr>
        <w:t xml:space="preserve">Memorando de Entendimiento Con Haití </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El 16 de abril se llevó a cabo la firma del Memorando de Entendimiento para la cooperación en el ámbito de telecomunicaciones, tecnologías de la información y comunicación entre el Consejo Nacional de Telecomunicaciones de la República de Haití (CONATEL) y el Instituto Dominicano de las Telecomunicaciones (INDOTEL), mediante el cual ambos reguladores se comprometieron a trabajar juntos para resolver los problemas de interferencias de radiofrecuencias encontrados a lo largo de la frontera. </w:t>
      </w:r>
    </w:p>
    <w:p w:rsidR="000A5B99" w:rsidRPr="000A5B99" w:rsidRDefault="000A5B99" w:rsidP="000A5B99">
      <w:pPr>
        <w:spacing w:after="0" w:line="240" w:lineRule="auto"/>
        <w:jc w:val="left"/>
        <w:rPr>
          <w:rFonts w:eastAsiaTheme="minorHAnsi"/>
          <w:color w:val="auto"/>
          <w:szCs w:val="24"/>
          <w:lang w:val="es-ES" w:eastAsia="en-US"/>
        </w:rPr>
      </w:pPr>
    </w:p>
    <w:p w:rsidR="000A5B99" w:rsidRPr="000A5B99" w:rsidRDefault="000A5B99" w:rsidP="000A5B99">
      <w:pPr>
        <w:spacing w:line="360" w:lineRule="auto"/>
        <w:rPr>
          <w:rFonts w:eastAsiaTheme="minorHAnsi"/>
          <w:b/>
          <w:bCs/>
          <w:szCs w:val="24"/>
          <w:lang w:val="es-ES" w:eastAsia="en-US"/>
        </w:rPr>
      </w:pPr>
      <w:r w:rsidRPr="000A5B99">
        <w:rPr>
          <w:rFonts w:eastAsiaTheme="minorHAnsi"/>
          <w:b/>
          <w:bCs/>
          <w:color w:val="767171" w:themeColor="background2" w:themeShade="80"/>
          <w:szCs w:val="24"/>
          <w:lang w:val="es-ES" w:eastAsia="en-US"/>
        </w:rPr>
        <w:t xml:space="preserve">Seminario Regional de Radiocomunicaciones de la Unión Internacional de Telecomunicaciones (UIT) para la Región de las Américas 2021 (SRR-21-AMERICAS) </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El SRR-21-Américas se celebró en línea del 26 de abril al 7 de mayo de 2021 y contó con la participación de las Direcciones de Espectro Radioeléctrico, Regulación y Defensa de la Competencia y de Relaciones Internacionales. El Seminario trató los conceptos relacionados con la gestión internacional del espectro </w:t>
      </w:r>
      <w:r w:rsidRPr="000A5B99">
        <w:rPr>
          <w:rFonts w:eastAsiaTheme="minorHAnsi"/>
          <w:szCs w:val="24"/>
          <w:lang w:val="es-ES" w:eastAsia="en-US"/>
        </w:rPr>
        <w:lastRenderedPageBreak/>
        <w:t>y los procedimientos para la inscripción de asignaciones de frecuencias en el Registro Internacional de Frecuencias (MIFR). Esto seguido de un examen de las modificaciones introducidas en el Reglamento de Radiocomunicación, las Resoluciones de la Conferencia Mundial de Radiocomunicaciones (CMR) y las Resoluciones del UIT-R adoptadas por la última CMR (CMR-19) y la Asamblea de Radiocomunicaciones (AR-19), así como el examen del orden del día de la próxima CMR-23. También se trató el actual marco reglamentario de la gestión internacional de frecuencias, las recomendaciones del UIT-R y las prácticas óptimas relativas a la utilización del espectro para los servicios terrenales y espaciales.</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jc w:val="left"/>
        <w:rPr>
          <w:rFonts w:eastAsiaTheme="minorHAnsi"/>
          <w:b/>
          <w:szCs w:val="24"/>
          <w:lang w:val="es-ES" w:eastAsia="en-US"/>
        </w:rPr>
      </w:pPr>
      <w:r w:rsidRPr="000A5B99">
        <w:rPr>
          <w:rFonts w:eastAsiaTheme="minorHAnsi"/>
          <w:b/>
          <w:szCs w:val="24"/>
          <w:lang w:val="es-ES" w:eastAsia="en-US"/>
        </w:rPr>
        <w:t>INDOTEL - Regulador Innovador del Año</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El Instituto Dominicano de las Telecomunicaciones (INDOTEL) fue premiado en fecha 27 de abril de 2021 como “Regulador Innovador del Año” durante el evento “5G </w:t>
      </w:r>
      <w:proofErr w:type="spellStart"/>
      <w:r w:rsidRPr="000A5B99">
        <w:rPr>
          <w:rFonts w:eastAsiaTheme="minorHAnsi"/>
          <w:szCs w:val="24"/>
          <w:lang w:val="es-ES" w:eastAsia="en-US"/>
        </w:rPr>
        <w:t>Latin</w:t>
      </w:r>
      <w:proofErr w:type="spellEnd"/>
      <w:r w:rsidRPr="000A5B99">
        <w:rPr>
          <w:rFonts w:eastAsiaTheme="minorHAnsi"/>
          <w:szCs w:val="24"/>
          <w:lang w:val="es-ES" w:eastAsia="en-US"/>
        </w:rPr>
        <w:t xml:space="preserve"> </w:t>
      </w:r>
      <w:proofErr w:type="spellStart"/>
      <w:r w:rsidRPr="000A5B99">
        <w:rPr>
          <w:rFonts w:eastAsiaTheme="minorHAnsi"/>
          <w:szCs w:val="24"/>
          <w:lang w:val="es-ES" w:eastAsia="en-US"/>
        </w:rPr>
        <w:t>America</w:t>
      </w:r>
      <w:proofErr w:type="spellEnd"/>
      <w:r w:rsidRPr="000A5B99">
        <w:rPr>
          <w:rFonts w:eastAsiaTheme="minorHAnsi"/>
          <w:szCs w:val="24"/>
          <w:lang w:val="es-ES" w:eastAsia="en-US"/>
        </w:rPr>
        <w:t xml:space="preserve">: Digital </w:t>
      </w:r>
      <w:proofErr w:type="spellStart"/>
      <w:r w:rsidRPr="000A5B99">
        <w:rPr>
          <w:rFonts w:eastAsiaTheme="minorHAnsi"/>
          <w:szCs w:val="24"/>
          <w:lang w:val="es-ES" w:eastAsia="en-US"/>
        </w:rPr>
        <w:t>Symposium</w:t>
      </w:r>
      <w:proofErr w:type="spellEnd"/>
      <w:r w:rsidRPr="000A5B99">
        <w:rPr>
          <w:rFonts w:eastAsiaTheme="minorHAnsi"/>
          <w:szCs w:val="24"/>
          <w:lang w:val="es-ES" w:eastAsia="en-US"/>
        </w:rPr>
        <w:t xml:space="preserve">” por el proyecto de licitación de las bandas de los 700 </w:t>
      </w:r>
      <w:proofErr w:type="spellStart"/>
      <w:r w:rsidRPr="000A5B99">
        <w:rPr>
          <w:rFonts w:eastAsiaTheme="minorHAnsi"/>
          <w:szCs w:val="24"/>
          <w:lang w:val="es-ES" w:eastAsia="en-US"/>
        </w:rPr>
        <w:t>Mhz</w:t>
      </w:r>
      <w:proofErr w:type="spellEnd"/>
      <w:r w:rsidRPr="000A5B99">
        <w:rPr>
          <w:rFonts w:eastAsiaTheme="minorHAnsi"/>
          <w:szCs w:val="24"/>
          <w:lang w:val="es-ES" w:eastAsia="en-US"/>
        </w:rPr>
        <w:t xml:space="preserve"> y 3.5 </w:t>
      </w:r>
      <w:proofErr w:type="spellStart"/>
      <w:r w:rsidRPr="000A5B99">
        <w:rPr>
          <w:rFonts w:eastAsiaTheme="minorHAnsi"/>
          <w:szCs w:val="24"/>
          <w:lang w:val="es-ES" w:eastAsia="en-US"/>
        </w:rPr>
        <w:t>Ghz</w:t>
      </w:r>
      <w:proofErr w:type="spellEnd"/>
      <w:r w:rsidRPr="000A5B99">
        <w:rPr>
          <w:rFonts w:eastAsiaTheme="minorHAnsi"/>
          <w:szCs w:val="24"/>
          <w:lang w:val="es-ES" w:eastAsia="en-US"/>
        </w:rPr>
        <w:t xml:space="preserve"> que se realiza en la República Dominicana. </w:t>
      </w:r>
    </w:p>
    <w:p w:rsidR="000A5B99" w:rsidRPr="004F3359" w:rsidRDefault="000A5B99" w:rsidP="004F3359">
      <w:pPr>
        <w:spacing w:line="360" w:lineRule="auto"/>
        <w:rPr>
          <w:rFonts w:eastAsiaTheme="minorHAnsi"/>
          <w:szCs w:val="24"/>
          <w:lang w:val="es-ES" w:eastAsia="en-US"/>
        </w:rPr>
      </w:pPr>
      <w:r w:rsidRPr="000A5B99">
        <w:rPr>
          <w:rFonts w:eastAsiaTheme="minorHAnsi"/>
          <w:szCs w:val="24"/>
          <w:lang w:val="es-ES" w:eastAsia="en-US"/>
        </w:rPr>
        <w:t>El órgano regulador de las telecomunicaciones en el país estuvo compitiendo junto a otros homólogos de la región de Centroamérica y el Caribe (CEACA), dentro de los que se incluyen la Subsecretaría de Telecomunicaciones (SUBTEL) de Chile y el Ministerio de Tecnologías de la Información y Comunicaciones (MINTIC) de Colombia.  El INDOTEL fue propuesto con el tema “Licitación Internacional para operación de r</w:t>
      </w:r>
      <w:r w:rsidR="004F3359">
        <w:rPr>
          <w:rFonts w:eastAsiaTheme="minorHAnsi"/>
          <w:szCs w:val="24"/>
          <w:lang w:val="es-ES" w:eastAsia="en-US"/>
        </w:rPr>
        <w:t>ed 5G a nivel nacional”.</w:t>
      </w:r>
    </w:p>
    <w:p w:rsid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El haber sido galardonado con este premio coloca al INDOTEL en una posición importante entre los reguladores que están trabajando en la implementación de una red 5G en sus respectivos países de la región de las Américas.</w:t>
      </w:r>
    </w:p>
    <w:p w:rsidR="004F3359" w:rsidRPr="000A5B99" w:rsidRDefault="004F3359" w:rsidP="000A5B99">
      <w:pPr>
        <w:spacing w:line="360" w:lineRule="auto"/>
        <w:rPr>
          <w:rFonts w:eastAsiaTheme="minorHAnsi"/>
          <w:szCs w:val="24"/>
          <w:lang w:val="es-ES" w:eastAsia="en-US"/>
        </w:rPr>
      </w:pPr>
    </w:p>
    <w:p w:rsidR="000A5B99" w:rsidRPr="000A5B99" w:rsidRDefault="000A5B99" w:rsidP="000A5B99">
      <w:pPr>
        <w:spacing w:after="0" w:line="240" w:lineRule="auto"/>
        <w:jc w:val="left"/>
        <w:rPr>
          <w:rFonts w:eastAsiaTheme="minorHAnsi"/>
          <w:color w:val="auto"/>
          <w:szCs w:val="24"/>
          <w:lang w:val="es-ES" w:eastAsia="en-US"/>
        </w:rPr>
      </w:pPr>
    </w:p>
    <w:p w:rsidR="000A5B99" w:rsidRPr="000A5B99" w:rsidRDefault="000A5B99" w:rsidP="000A5B99">
      <w:pPr>
        <w:spacing w:line="360" w:lineRule="auto"/>
        <w:rPr>
          <w:rFonts w:eastAsiaTheme="minorHAnsi"/>
          <w:b/>
          <w:szCs w:val="24"/>
          <w:lang w:val="es-ES" w:eastAsia="en-US"/>
        </w:rPr>
      </w:pPr>
      <w:r w:rsidRPr="000A5B99">
        <w:rPr>
          <w:rFonts w:eastAsiaTheme="minorHAnsi"/>
          <w:b/>
          <w:szCs w:val="24"/>
          <w:lang w:val="es-ES" w:eastAsia="en-US"/>
        </w:rPr>
        <w:lastRenderedPageBreak/>
        <w:t>38 Reunión Virtual del Comité Consultivo Permanente I (CCPI) de la Comisión Interamericana de Telecomunicaciones (CITEL)</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Del 28 al 30 de abril se llevó a cabo la 38 reunión virtual del Comité Consultivo Permanente I  (CCPI) con la finalidad de promover el debate, la cooperación y la coordinación regional en cuestiones relacionadas con políticas, desarrollo y normalización de telecomunicaciones/tecnologías de la información y la comunicación (TIC), con miras a mejorar el desarrollo social, económico, cultural y ambiental en las Américas, y contribuir con la implementación de la Agenda 2030 de desarrollo sostenible. En esta reunión como responsables de la relatoría sobre banda ancha, universalización del acceso, la inclusión digital y la equidad de género, la directora ejecutiva, Julissa Cruz, presentó un informe sobre el desarrollo de acciones para conectar a los no conectados en zonas rurales y alejadas.</w:t>
      </w:r>
    </w:p>
    <w:p w:rsidR="000A5B99" w:rsidRPr="000A5B99" w:rsidRDefault="000A5B99" w:rsidP="000A5B99">
      <w:pPr>
        <w:spacing w:after="0" w:line="240" w:lineRule="auto"/>
        <w:jc w:val="left"/>
        <w:rPr>
          <w:rFonts w:eastAsiaTheme="minorHAnsi"/>
          <w:color w:val="auto"/>
          <w:szCs w:val="24"/>
          <w:lang w:val="es-ES" w:eastAsia="en-US"/>
        </w:rPr>
      </w:pPr>
    </w:p>
    <w:p w:rsidR="000A5B99" w:rsidRPr="000A5B99" w:rsidRDefault="000A5B99" w:rsidP="000A5B99">
      <w:pPr>
        <w:spacing w:line="360" w:lineRule="auto"/>
        <w:jc w:val="left"/>
        <w:rPr>
          <w:rFonts w:eastAsiaTheme="minorHAnsi"/>
          <w:b/>
          <w:szCs w:val="24"/>
          <w:lang w:val="es-ES" w:eastAsia="en-US"/>
        </w:rPr>
      </w:pPr>
      <w:r w:rsidRPr="000A5B99">
        <w:rPr>
          <w:rFonts w:eastAsiaTheme="minorHAnsi"/>
          <w:b/>
          <w:szCs w:val="24"/>
          <w:lang w:val="es-ES" w:eastAsia="en-US"/>
        </w:rPr>
        <w:t>Foro de la Cumbre Mundial Sobre la Sociedad de la Información  (CMSI) 2021</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Durante el Foro Virtual de la CMSI 2021 que se realizó del 17 al 21 de mayo de 2021, con un segmento de apertura, una mesa redonda ministerial y diálogos de alto nivel, participó el presidente del Consejo Directivo, Nelson Arroyo, el cual destacó la importancia de la inversión en TIC para cerrar la brecha digital y enfatizó la importancia de contar con una infraestructura </w:t>
      </w:r>
      <w:proofErr w:type="spellStart"/>
      <w:r w:rsidRPr="000A5B99">
        <w:rPr>
          <w:rFonts w:eastAsiaTheme="minorHAnsi"/>
          <w:szCs w:val="24"/>
          <w:lang w:val="es-ES" w:eastAsia="en-US"/>
        </w:rPr>
        <w:t>resiliente</w:t>
      </w:r>
      <w:proofErr w:type="spellEnd"/>
      <w:r w:rsidRPr="000A5B99">
        <w:rPr>
          <w:rFonts w:eastAsiaTheme="minorHAnsi"/>
          <w:szCs w:val="24"/>
          <w:lang w:val="es-ES" w:eastAsia="en-US"/>
        </w:rPr>
        <w:t xml:space="preserve"> y segura en la lucha contra el COVID-19.</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Este es un foro clave para debatir el papel de las TIC como medio de aplicación de los Objetivos de Desarrollo Sostenible (ODS) y sus metas, teniendo en cuenta el mecanismo mundial de seguimiento y revisión de la aplicación de la Agenda 2030 para el Desarrollo Sostenible (Resolución A/70/1 de la AGNU). El Foro de la CMSI también proporciona una plataforma para seguir los logros de las líneas de acción de la CMSI en colaboración con los organismos de las Naciones Unidas implicados </w:t>
      </w:r>
      <w:r w:rsidRPr="000A5B99">
        <w:rPr>
          <w:rFonts w:eastAsiaTheme="minorHAnsi"/>
          <w:szCs w:val="24"/>
          <w:lang w:val="es-ES" w:eastAsia="en-US"/>
        </w:rPr>
        <w:lastRenderedPageBreak/>
        <w:t>y proporciona información y análisis de la aplicación de las líneas de acción de la CMSI desde 2005.</w:t>
      </w:r>
    </w:p>
    <w:p w:rsidR="000A5B99" w:rsidRPr="000A5B99" w:rsidRDefault="000A5B99" w:rsidP="000A5B99">
      <w:pPr>
        <w:spacing w:after="0" w:line="240" w:lineRule="auto"/>
        <w:jc w:val="left"/>
        <w:rPr>
          <w:rFonts w:eastAsiaTheme="minorHAnsi"/>
          <w:color w:val="auto"/>
          <w:szCs w:val="24"/>
          <w:lang w:val="es-ES" w:eastAsia="en-US"/>
        </w:rPr>
      </w:pPr>
    </w:p>
    <w:p w:rsidR="000A5B99" w:rsidRPr="000A5B99" w:rsidRDefault="000A5B99" w:rsidP="000A5B99">
      <w:pPr>
        <w:spacing w:line="360" w:lineRule="auto"/>
        <w:rPr>
          <w:rFonts w:eastAsiaTheme="minorHAnsi"/>
          <w:b/>
          <w:szCs w:val="24"/>
          <w:lang w:val="es-ES" w:eastAsia="en-US"/>
        </w:rPr>
      </w:pPr>
      <w:r w:rsidRPr="000A5B99">
        <w:rPr>
          <w:rFonts w:eastAsiaTheme="minorHAnsi"/>
          <w:b/>
          <w:szCs w:val="24"/>
          <w:lang w:val="es-ES" w:eastAsia="en-US"/>
        </w:rPr>
        <w:t xml:space="preserve">Desarrollo de una Política en Materia de Residuos de Aparatos Eléctricos y Electrónicos </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 xml:space="preserve">Cada vez más personas se están incorporando a la sociedad mundial de la información y se están beneficiando de las oportunidades que esta conlleva. Paralelamente, el aumento de los niveles de desarrollo y de industrialización está ocasionando un aumento de los residuos. Por esta razón, desde principio del 2021, el Instituto Dominicano de Telecomunicaciones (INDOTEL) y el Ministerio de Ambiente y Recursos Naturales (MARENA), con el apoyo de la Unión Internacional de Telecomunicaciones (UIT), han estado trabajando en el diseño y posterior implementación de una regulación sobre residuos de aparatos eléctricos y electrónicos (RAEE) en este país. </w:t>
      </w:r>
    </w:p>
    <w:p w:rsidR="000A5B99" w:rsidRPr="000A5B99" w:rsidRDefault="000A5B99" w:rsidP="000A5B99">
      <w:pPr>
        <w:spacing w:line="360" w:lineRule="auto"/>
        <w:rPr>
          <w:rFonts w:eastAsiaTheme="minorHAnsi"/>
          <w:szCs w:val="24"/>
          <w:lang w:val="es-ES" w:eastAsia="en-US"/>
        </w:rPr>
      </w:pPr>
      <w:r w:rsidRPr="000A5B99">
        <w:rPr>
          <w:rFonts w:eastAsiaTheme="minorHAnsi"/>
          <w:szCs w:val="24"/>
          <w:lang w:val="es-ES" w:eastAsia="en-US"/>
        </w:rPr>
        <w:t>La Hoja de Ruta considera las siguientes fases:</w:t>
      </w:r>
    </w:p>
    <w:p w:rsidR="000A5B99" w:rsidRPr="000A5B99" w:rsidRDefault="000A5B99" w:rsidP="000A5B99">
      <w:pPr>
        <w:spacing w:line="360" w:lineRule="auto"/>
        <w:ind w:firstLine="284"/>
        <w:rPr>
          <w:rFonts w:eastAsiaTheme="minorHAnsi"/>
          <w:szCs w:val="24"/>
          <w:lang w:val="es-ES" w:eastAsia="en-US"/>
        </w:rPr>
      </w:pPr>
      <w:r w:rsidRPr="000A5B99">
        <w:rPr>
          <w:rFonts w:eastAsiaTheme="minorHAnsi"/>
          <w:szCs w:val="24"/>
          <w:lang w:val="es-ES" w:eastAsia="en-US"/>
        </w:rPr>
        <w:t>Fase Uno:</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val="es-ES" w:eastAsia="en-US"/>
        </w:rPr>
        <w:tab/>
        <w:t>Organización de una consulta en línea, con las partes interesadas del gobierno nacional y local, sobre la gestión integral de RAEE para ayudar a comprender las funciones y responsabilidades de los actores involucrados.</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eastAsia="en-US"/>
        </w:rPr>
        <w:tab/>
      </w:r>
      <w:r w:rsidRPr="000A5B99">
        <w:rPr>
          <w:rFonts w:eastAsiaTheme="minorHAnsi"/>
          <w:szCs w:val="24"/>
          <w:lang w:val="es-ES" w:eastAsia="en-US"/>
        </w:rPr>
        <w:t>Entrega de un curso de aprendizaje electrónico en línea (en inglés y en español) a las partes interesadas del gobierno nacional y local, como introducción al desarrollo de una política sobre RAEE.</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eastAsia="en-US"/>
        </w:rPr>
        <w:tab/>
      </w:r>
      <w:r w:rsidRPr="000A5B99">
        <w:rPr>
          <w:rFonts w:eastAsiaTheme="minorHAnsi"/>
          <w:szCs w:val="24"/>
          <w:lang w:val="es-ES" w:eastAsia="en-US"/>
        </w:rPr>
        <w:t>Establecimiento de un Grupo Nacional de Trabajo sobre RAEE en República Dominicana.</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eastAsia="en-US"/>
        </w:rPr>
        <w:tab/>
      </w:r>
      <w:r w:rsidRPr="000A5B99">
        <w:rPr>
          <w:rFonts w:eastAsiaTheme="minorHAnsi"/>
          <w:szCs w:val="24"/>
          <w:lang w:val="es-ES" w:eastAsia="en-US"/>
        </w:rPr>
        <w:t>Redacción y revisión del borrador de la regulación sobre RAEE, con las partes interesadas claves, incluidas consultas bilaterales.</w:t>
      </w:r>
    </w:p>
    <w:p w:rsidR="000A5B99" w:rsidRPr="000A5B99" w:rsidRDefault="000A5B99" w:rsidP="000A5B99">
      <w:pPr>
        <w:spacing w:line="360" w:lineRule="auto"/>
        <w:ind w:left="360"/>
        <w:rPr>
          <w:rFonts w:eastAsiaTheme="minorHAnsi"/>
          <w:szCs w:val="24"/>
          <w:lang w:eastAsia="en-US"/>
        </w:rPr>
      </w:pPr>
      <w:r w:rsidRPr="000A5B99">
        <w:rPr>
          <w:rFonts w:eastAsiaTheme="minorHAnsi"/>
          <w:szCs w:val="24"/>
          <w:lang w:eastAsia="en-US"/>
        </w:rPr>
        <w:lastRenderedPageBreak/>
        <w:t>Fase Dos:</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eastAsia="en-US"/>
        </w:rPr>
        <w:tab/>
      </w:r>
      <w:r w:rsidRPr="000A5B99">
        <w:rPr>
          <w:rFonts w:eastAsiaTheme="minorHAnsi"/>
          <w:szCs w:val="24"/>
          <w:lang w:val="es-ES" w:eastAsia="en-US"/>
        </w:rPr>
        <w:t>Compromiso del sector privado, incluyendo a las asociaciones de productores y a los gestores de residuos electrónicos.</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eastAsia="en-US"/>
        </w:rPr>
        <w:tab/>
      </w:r>
      <w:r w:rsidRPr="000A5B99">
        <w:rPr>
          <w:rFonts w:eastAsiaTheme="minorHAnsi"/>
          <w:szCs w:val="24"/>
          <w:lang w:val="es-ES" w:eastAsia="en-US"/>
        </w:rPr>
        <w:t>Realización de un taller nacional en línea relacionado con datos y estadísticas de RAEE, para ayudar a monitorear y medir cantidades y flujos de residuos electrónicos en República Dominicana.</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w:t>
      </w:r>
      <w:r w:rsidRPr="000A5B99">
        <w:rPr>
          <w:rFonts w:eastAsiaTheme="minorHAnsi"/>
          <w:szCs w:val="24"/>
          <w:lang w:eastAsia="en-US"/>
        </w:rPr>
        <w:tab/>
      </w:r>
      <w:r w:rsidRPr="000A5B99">
        <w:rPr>
          <w:rFonts w:eastAsiaTheme="minorHAnsi"/>
          <w:szCs w:val="24"/>
          <w:lang w:val="es-ES" w:eastAsia="en-US"/>
        </w:rPr>
        <w:t>Organización de un taller de consulta en línea (o en persona, si las restricciones de COVID-19 lo permiten) con el sector privado para todos los gestores y productores de residuos / RAEE, reconocidos y registrados en República Dominicana.</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Como parte de la primera fase, se programó y ejecutó “una consulta en línea con las partes interesadas del gobierno nacional y local sobre la gestión integral de RAEE”, los días 15 y 16 de junio de 2021, donde participaron 16 instituciones.</w:t>
      </w:r>
    </w:p>
    <w:p w:rsidR="000A5B99" w:rsidRPr="000A5B99" w:rsidRDefault="000A5B99" w:rsidP="000A5B99">
      <w:pPr>
        <w:spacing w:after="0" w:line="240" w:lineRule="auto"/>
        <w:jc w:val="left"/>
        <w:rPr>
          <w:rFonts w:eastAsiaTheme="minorHAnsi"/>
          <w:color w:val="auto"/>
          <w:szCs w:val="24"/>
          <w:lang w:val="es-ES" w:eastAsia="en-US"/>
        </w:rPr>
      </w:pPr>
    </w:p>
    <w:p w:rsidR="000A5B99" w:rsidRPr="000A5B99" w:rsidRDefault="000A5B99" w:rsidP="000A5B99">
      <w:pPr>
        <w:spacing w:line="360" w:lineRule="auto"/>
        <w:ind w:left="360"/>
        <w:jc w:val="left"/>
        <w:rPr>
          <w:rFonts w:eastAsiaTheme="minorHAnsi"/>
          <w:b/>
          <w:szCs w:val="24"/>
          <w:lang w:val="es-ES" w:eastAsia="en-US"/>
        </w:rPr>
      </w:pPr>
      <w:r w:rsidRPr="000A5B99">
        <w:rPr>
          <w:rFonts w:eastAsiaTheme="minorHAnsi"/>
          <w:b/>
          <w:szCs w:val="24"/>
          <w:lang w:val="es-ES" w:eastAsia="en-US"/>
        </w:rPr>
        <w:t xml:space="preserve">Mobile </w:t>
      </w:r>
      <w:proofErr w:type="spellStart"/>
      <w:r w:rsidRPr="000A5B99">
        <w:rPr>
          <w:rFonts w:eastAsiaTheme="minorHAnsi"/>
          <w:b/>
          <w:szCs w:val="24"/>
          <w:lang w:val="es-ES" w:eastAsia="en-US"/>
        </w:rPr>
        <w:t>World</w:t>
      </w:r>
      <w:proofErr w:type="spellEnd"/>
      <w:r w:rsidRPr="000A5B99">
        <w:rPr>
          <w:rFonts w:eastAsiaTheme="minorHAnsi"/>
          <w:b/>
          <w:szCs w:val="24"/>
          <w:lang w:val="es-ES" w:eastAsia="en-US"/>
        </w:rPr>
        <w:t xml:space="preserve"> </w:t>
      </w:r>
      <w:proofErr w:type="spellStart"/>
      <w:r w:rsidRPr="000A5B99">
        <w:rPr>
          <w:rFonts w:eastAsiaTheme="minorHAnsi"/>
          <w:b/>
          <w:szCs w:val="24"/>
          <w:lang w:val="es-ES" w:eastAsia="en-US"/>
        </w:rPr>
        <w:t>Congress</w:t>
      </w:r>
      <w:proofErr w:type="spellEnd"/>
      <w:r w:rsidRPr="000A5B99">
        <w:rPr>
          <w:rFonts w:eastAsiaTheme="minorHAnsi"/>
          <w:b/>
          <w:szCs w:val="24"/>
          <w:lang w:val="es-ES" w:eastAsia="en-US"/>
        </w:rPr>
        <w:t xml:space="preserve"> 2021 </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 xml:space="preserve">Durante el desarrollo del Mobile </w:t>
      </w:r>
      <w:proofErr w:type="spellStart"/>
      <w:r w:rsidRPr="000A5B99">
        <w:rPr>
          <w:rFonts w:eastAsiaTheme="minorHAnsi"/>
          <w:szCs w:val="24"/>
          <w:lang w:val="es-ES" w:eastAsia="en-US"/>
        </w:rPr>
        <w:t>World</w:t>
      </w:r>
      <w:proofErr w:type="spellEnd"/>
      <w:r w:rsidRPr="000A5B99">
        <w:rPr>
          <w:rFonts w:eastAsiaTheme="minorHAnsi"/>
          <w:szCs w:val="24"/>
          <w:lang w:val="es-ES" w:eastAsia="en-US"/>
        </w:rPr>
        <w:t xml:space="preserve"> </w:t>
      </w:r>
      <w:proofErr w:type="spellStart"/>
      <w:r w:rsidRPr="000A5B99">
        <w:rPr>
          <w:rFonts w:eastAsiaTheme="minorHAnsi"/>
          <w:szCs w:val="24"/>
          <w:lang w:val="es-ES" w:eastAsia="en-US"/>
        </w:rPr>
        <w:t>Congress</w:t>
      </w:r>
      <w:proofErr w:type="spellEnd"/>
      <w:r w:rsidRPr="000A5B99">
        <w:rPr>
          <w:rFonts w:eastAsiaTheme="minorHAnsi"/>
          <w:szCs w:val="24"/>
          <w:lang w:val="es-ES" w:eastAsia="en-US"/>
        </w:rPr>
        <w:t xml:space="preserve"> (MWC) 2021, el cual tuvo lugar del 28 de junio al 1ro. de julio, el presidente del Consejo Directivo, Nelson Arroyo, llevó a cabo importantes encuentros  con representantes de reguladores y organismos relacionados al campo de las tecnologías de la información y comunicación, de los cuales resaltan el sostenido con </w:t>
      </w:r>
      <w:proofErr w:type="spellStart"/>
      <w:r w:rsidRPr="000A5B99">
        <w:rPr>
          <w:rFonts w:eastAsiaTheme="minorHAnsi"/>
          <w:szCs w:val="24"/>
          <w:lang w:val="es-ES" w:eastAsia="en-US"/>
        </w:rPr>
        <w:t>Doreen</w:t>
      </w:r>
      <w:proofErr w:type="spellEnd"/>
      <w:r w:rsidRPr="000A5B99">
        <w:rPr>
          <w:rFonts w:eastAsiaTheme="minorHAnsi"/>
          <w:szCs w:val="24"/>
          <w:lang w:val="es-ES" w:eastAsia="en-US"/>
        </w:rPr>
        <w:t xml:space="preserve"> </w:t>
      </w:r>
      <w:proofErr w:type="spellStart"/>
      <w:r w:rsidRPr="000A5B99">
        <w:rPr>
          <w:rFonts w:eastAsiaTheme="minorHAnsi"/>
          <w:szCs w:val="24"/>
          <w:lang w:val="es-ES" w:eastAsia="en-US"/>
        </w:rPr>
        <w:t>Bogdan</w:t>
      </w:r>
      <w:proofErr w:type="spellEnd"/>
      <w:r w:rsidRPr="000A5B99">
        <w:rPr>
          <w:rFonts w:eastAsiaTheme="minorHAnsi"/>
          <w:szCs w:val="24"/>
          <w:lang w:val="es-ES" w:eastAsia="en-US"/>
        </w:rPr>
        <w:t xml:space="preserve">-Martin, directora de la Oficina de Desarrollo de las Telecomunicaciones de la Unión Internacional de Telecomunicaciones (UIT); también con Claudio </w:t>
      </w:r>
      <w:proofErr w:type="spellStart"/>
      <w:r w:rsidRPr="000A5B99">
        <w:rPr>
          <w:rFonts w:eastAsiaTheme="minorHAnsi"/>
          <w:szCs w:val="24"/>
          <w:lang w:val="es-ES" w:eastAsia="en-US"/>
        </w:rPr>
        <w:t>Ambrosini</w:t>
      </w:r>
      <w:proofErr w:type="spellEnd"/>
      <w:r w:rsidRPr="000A5B99">
        <w:rPr>
          <w:rFonts w:eastAsiaTheme="minorHAnsi"/>
          <w:szCs w:val="24"/>
          <w:lang w:val="es-ES" w:eastAsia="en-US"/>
        </w:rPr>
        <w:t xml:space="preserve">, presidente del Ente Nacional de Comunicaciones (ENACOM) de la República de Argentina; con Lucas </w:t>
      </w:r>
      <w:proofErr w:type="spellStart"/>
      <w:r w:rsidRPr="000A5B99">
        <w:rPr>
          <w:rFonts w:eastAsiaTheme="minorHAnsi"/>
          <w:szCs w:val="24"/>
          <w:lang w:val="es-ES" w:eastAsia="en-US"/>
        </w:rPr>
        <w:t>Gallitto</w:t>
      </w:r>
      <w:proofErr w:type="spellEnd"/>
      <w:r w:rsidRPr="000A5B99">
        <w:rPr>
          <w:rFonts w:eastAsiaTheme="minorHAnsi"/>
          <w:szCs w:val="24"/>
          <w:lang w:val="es-ES" w:eastAsia="en-US"/>
        </w:rPr>
        <w:t>, director de Políticas Públicas de la GSMA.</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792ACF">
      <w:pPr>
        <w:spacing w:line="360" w:lineRule="auto"/>
        <w:ind w:left="360"/>
        <w:rPr>
          <w:rFonts w:eastAsiaTheme="minorHAnsi"/>
          <w:szCs w:val="24"/>
          <w:lang w:val="es-ES" w:eastAsia="en-US"/>
        </w:rPr>
      </w:pPr>
      <w:r w:rsidRPr="000A5B99">
        <w:rPr>
          <w:rFonts w:eastAsiaTheme="minorHAnsi"/>
          <w:szCs w:val="24"/>
          <w:lang w:val="es-ES" w:eastAsia="en-US"/>
        </w:rPr>
        <w:lastRenderedPageBreak/>
        <w:t>En estos encuentros se trató principalmente sobre las iniciativas que desde el INDOTEL se están llevando a cabo y cómo se pudieran aprovechar las experiencias y el apoyo de dichos organismos para l</w:t>
      </w:r>
      <w:r w:rsidR="00792ACF">
        <w:rPr>
          <w:rFonts w:eastAsiaTheme="minorHAnsi"/>
          <w:szCs w:val="24"/>
          <w:lang w:val="es-ES" w:eastAsia="en-US"/>
        </w:rPr>
        <w:t>a implementación de las mismas.</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ind w:left="360"/>
        <w:rPr>
          <w:rFonts w:eastAsiaTheme="minorHAnsi"/>
          <w:b/>
          <w:szCs w:val="24"/>
          <w:lang w:val="es-ES" w:eastAsia="en-US"/>
        </w:rPr>
      </w:pPr>
      <w:r w:rsidRPr="000A5B99">
        <w:rPr>
          <w:rFonts w:eastAsiaTheme="minorHAnsi"/>
          <w:b/>
          <w:szCs w:val="24"/>
          <w:lang w:val="es-ES" w:eastAsia="en-US"/>
        </w:rPr>
        <w:t>Agencia Latinoamericana y Caribeña del Espacio (ALCE)</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INDOTEL participó en el Ministerio de Relaciones Exteriores, con motivo de la creación de la Agencia Latinoamericana y Caribeña del Espacio (ALCE), la cual se llevó a cabo el 15 de agosto de 2021. Este organismo internacional es el encargado de coordinar las actividades de cooperación en el ámbito espacial de los países latinoamericanos y caribeños para el uso y exploración pacífica del espacio ultraterrestre, la Luna y otros cuerpos celestes.</w:t>
      </w:r>
    </w:p>
    <w:p w:rsidR="000A5B99" w:rsidRPr="000A5B99" w:rsidRDefault="000A5B99" w:rsidP="000A5B99">
      <w:pPr>
        <w:spacing w:line="360" w:lineRule="auto"/>
        <w:ind w:left="360"/>
        <w:rPr>
          <w:rFonts w:eastAsiaTheme="minorHAnsi"/>
          <w:b/>
          <w:bCs/>
          <w:szCs w:val="24"/>
          <w:lang w:val="es-ES" w:eastAsia="en-US"/>
        </w:rPr>
      </w:pPr>
      <w:r w:rsidRPr="000A5B99">
        <w:rPr>
          <w:rFonts w:eastAsiaTheme="minorHAnsi"/>
          <w:b/>
          <w:bCs/>
          <w:color w:val="767171" w:themeColor="background2" w:themeShade="80"/>
          <w:szCs w:val="24"/>
          <w:lang w:val="es-ES" w:eastAsia="en-US"/>
        </w:rPr>
        <w:t xml:space="preserve">Visita oficial del presidente del Consejo Directivo, Nelson Arroyo, a las instalaciones de la Universidad Texas A&amp;M International </w:t>
      </w:r>
      <w:proofErr w:type="spellStart"/>
      <w:r w:rsidRPr="000A5B99">
        <w:rPr>
          <w:rFonts w:eastAsiaTheme="minorHAnsi"/>
          <w:b/>
          <w:bCs/>
          <w:color w:val="767171" w:themeColor="background2" w:themeShade="80"/>
          <w:szCs w:val="24"/>
          <w:lang w:val="es-ES" w:eastAsia="en-US"/>
        </w:rPr>
        <w:t>University</w:t>
      </w:r>
      <w:proofErr w:type="spellEnd"/>
      <w:r w:rsidRPr="000A5B99">
        <w:rPr>
          <w:rFonts w:eastAsiaTheme="minorHAnsi"/>
          <w:b/>
          <w:bCs/>
          <w:color w:val="767171" w:themeColor="background2" w:themeShade="80"/>
          <w:szCs w:val="24"/>
          <w:lang w:val="es-ES" w:eastAsia="en-US"/>
        </w:rPr>
        <w:t>.</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El presidente del Consejo Directivo, Nelson Arroyo, estuvo visitando el campus de la Universidad de Texas A&amp;M International </w:t>
      </w:r>
      <w:proofErr w:type="spellStart"/>
      <w:r w:rsidRPr="000A5B99">
        <w:rPr>
          <w:rFonts w:eastAsiaTheme="minorHAnsi"/>
          <w:color w:val="767171" w:themeColor="background2" w:themeShade="80"/>
          <w:szCs w:val="24"/>
          <w:lang w:val="es-ES" w:eastAsia="en-US"/>
        </w:rPr>
        <w:t>University</w:t>
      </w:r>
      <w:proofErr w:type="spellEnd"/>
      <w:r w:rsidRPr="000A5B99">
        <w:rPr>
          <w:rFonts w:eastAsiaTheme="minorHAnsi"/>
          <w:color w:val="767171" w:themeColor="background2" w:themeShade="80"/>
          <w:szCs w:val="24"/>
          <w:lang w:val="es-ES" w:eastAsia="en-US"/>
        </w:rPr>
        <w:t xml:space="preserve"> (TAMIU) en el Puerto Terrestre de Laredo, Texas, desde el 26 de septiembre al 1 de octubre, con la finalidad de conocer a fondo la dinámica de este Puerto fronterizo y la infraestructura digital que agiliza todos sus trámites. Durante su visita el presidente del Consejo pudo observar la infraestructura de gobierno y las entidades privadas que manejan toda su tramitología de manera digital.</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ind w:left="360"/>
        <w:rPr>
          <w:rFonts w:eastAsiaTheme="minorHAnsi"/>
          <w:b/>
          <w:szCs w:val="24"/>
          <w:lang w:val="es-ES" w:eastAsia="en-US"/>
        </w:rPr>
      </w:pPr>
      <w:r w:rsidRPr="000A5B99">
        <w:rPr>
          <w:rFonts w:eastAsiaTheme="minorHAnsi"/>
          <w:b/>
          <w:szCs w:val="24"/>
          <w:lang w:val="es-ES" w:eastAsia="en-US"/>
        </w:rPr>
        <w:t xml:space="preserve">Digital </w:t>
      </w:r>
      <w:proofErr w:type="spellStart"/>
      <w:r w:rsidRPr="000A5B99">
        <w:rPr>
          <w:rFonts w:eastAsiaTheme="minorHAnsi"/>
          <w:b/>
          <w:szCs w:val="24"/>
          <w:lang w:val="es-ES" w:eastAsia="en-US"/>
        </w:rPr>
        <w:t>Innovation</w:t>
      </w:r>
      <w:proofErr w:type="spellEnd"/>
      <w:r w:rsidRPr="000A5B99">
        <w:rPr>
          <w:rFonts w:eastAsiaTheme="minorHAnsi"/>
          <w:b/>
          <w:szCs w:val="24"/>
          <w:lang w:val="es-ES" w:eastAsia="en-US"/>
        </w:rPr>
        <w:t xml:space="preserve"> Day (DID) 2021</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szCs w:val="24"/>
          <w:lang w:val="es-ES" w:eastAsia="en-US"/>
        </w:rPr>
        <w:t xml:space="preserve">El Digital </w:t>
      </w:r>
      <w:proofErr w:type="spellStart"/>
      <w:r w:rsidRPr="000A5B99">
        <w:rPr>
          <w:rFonts w:eastAsiaTheme="minorHAnsi"/>
          <w:szCs w:val="24"/>
          <w:lang w:val="es-ES" w:eastAsia="en-US"/>
        </w:rPr>
        <w:t>Innovation</w:t>
      </w:r>
      <w:proofErr w:type="spellEnd"/>
      <w:r w:rsidRPr="000A5B99">
        <w:rPr>
          <w:rFonts w:eastAsiaTheme="minorHAnsi"/>
          <w:szCs w:val="24"/>
          <w:lang w:val="es-ES" w:eastAsia="en-US"/>
        </w:rPr>
        <w:t xml:space="preserve"> Day fue realizado del 29 al 30 de septiembre, el cual reunió a varias autoridades y expertos de diferentes sectores con el propósito de debatir sobre la transición a la economía digital, la transformación de las </w:t>
      </w:r>
      <w:r w:rsidRPr="000A5B99">
        <w:rPr>
          <w:rFonts w:eastAsiaTheme="minorHAnsi"/>
          <w:szCs w:val="24"/>
          <w:lang w:val="es-ES" w:eastAsia="en-US"/>
        </w:rPr>
        <w:lastRenderedPageBreak/>
        <w:t>industrias, las políticas públicas que incentivan la inversión y los casos de uso más relevantes para la región de América Latina y el Caribe.</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ind w:left="360"/>
        <w:rPr>
          <w:rFonts w:eastAsiaTheme="minorHAnsi"/>
          <w:szCs w:val="24"/>
          <w:lang w:val="es-ES" w:eastAsia="en-US"/>
        </w:rPr>
      </w:pPr>
      <w:r w:rsidRPr="000A5B99">
        <w:rPr>
          <w:rFonts w:eastAsiaTheme="minorHAnsi"/>
          <w:color w:val="767171" w:themeColor="background2" w:themeShade="80"/>
          <w:szCs w:val="24"/>
          <w:lang w:val="es-ES" w:eastAsia="en-US"/>
        </w:rPr>
        <w:t xml:space="preserve">Este evento contó con la participación de la directora ejecutiva, Julissa Cruz, en el panel de regulación inteligente para el desarrollo de la economía digital, la cual relató algunas de las experiencias que hemos tenido en el tema. </w:t>
      </w:r>
    </w:p>
    <w:p w:rsidR="000A5B99" w:rsidRPr="000A5B99" w:rsidRDefault="000A5B99" w:rsidP="000A5B99">
      <w:pPr>
        <w:spacing w:after="0" w:line="240" w:lineRule="auto"/>
        <w:jc w:val="left"/>
        <w:rPr>
          <w:rFonts w:eastAsiaTheme="minorHAnsi"/>
          <w:szCs w:val="24"/>
          <w:lang w:val="es-ES" w:eastAsia="en-US"/>
        </w:rPr>
      </w:pPr>
    </w:p>
    <w:p w:rsidR="000A5B99" w:rsidRPr="000A5B99" w:rsidRDefault="000A5B99" w:rsidP="000A5B99">
      <w:pPr>
        <w:spacing w:line="360" w:lineRule="auto"/>
        <w:ind w:left="360"/>
        <w:rPr>
          <w:rFonts w:eastAsiaTheme="minorHAnsi"/>
          <w:b/>
          <w:szCs w:val="24"/>
          <w:lang w:val="es-ES" w:eastAsia="en-US"/>
        </w:rPr>
      </w:pPr>
      <w:r w:rsidRPr="000A5B99">
        <w:rPr>
          <w:rFonts w:eastAsiaTheme="minorHAnsi"/>
          <w:b/>
          <w:szCs w:val="24"/>
          <w:lang w:val="es-ES" w:eastAsia="en-US"/>
        </w:rPr>
        <w:t>Diálogo sobre transformación digital sostenible en América Latina</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En América Latina, durante la última década la transformación digital ha cobrado un impulso significativo. Debido a la pandemia mundial, se ha acelerado la urgencia de la región para invertir en la digitalización. Al mismo tiempo, la región se enfrenta a un conjunto único de desafíos que no se pueden ignorar. Este evento tuvo como objetivo dar a conocer los últimos desarrollos en digitalización en América Latina. </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color w:val="767171" w:themeColor="background2" w:themeShade="80"/>
          <w:szCs w:val="24"/>
          <w:lang w:val="es-ES" w:eastAsia="en-US"/>
        </w:rPr>
        <w:t>El 30 de septiembre, durante la primera sesión del evento, se trató sobre los retos y oportunidades de la transformación digital sostenible en América Latina. Contamos con la participación de la directora ejecutiva, Julissa Cruz, la cual relató la experiencia que posee el INDOTEL en materia de Proyectos de Conectividad para la Transformación Digital de la República Dominicana.</w:t>
      </w:r>
    </w:p>
    <w:p w:rsidR="000A5B99" w:rsidRPr="000A5B99" w:rsidRDefault="000A5B99" w:rsidP="000A5B99">
      <w:pPr>
        <w:spacing w:line="360" w:lineRule="auto"/>
        <w:ind w:left="360"/>
        <w:rPr>
          <w:rFonts w:eastAsiaTheme="minorHAnsi"/>
          <w:b/>
          <w:bCs/>
          <w:szCs w:val="24"/>
          <w:lang w:val="es-ES" w:eastAsia="en-US"/>
        </w:rPr>
      </w:pPr>
      <w:r w:rsidRPr="000A5B99">
        <w:rPr>
          <w:rFonts w:eastAsiaTheme="minorHAnsi"/>
          <w:b/>
          <w:bCs/>
          <w:color w:val="767171" w:themeColor="background2" w:themeShade="80"/>
          <w:szCs w:val="24"/>
          <w:lang w:val="es-ES" w:eastAsia="en-US"/>
        </w:rPr>
        <w:t>Comisión Interamericana de Telecomunicaciones (CITEL), Reunión 39 del Comité Consultivo Permanente (CCPI)</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color w:val="767171" w:themeColor="background2" w:themeShade="80"/>
          <w:szCs w:val="24"/>
          <w:lang w:val="es-ES" w:eastAsia="en-US"/>
        </w:rPr>
        <w:t xml:space="preserve">La reunión del Comité Consultivo Permanente (CCPI) tuvo lugar del 4 al 6 de octubre, el cual tiene como objetivo principal promover el debate, la cooperación y la coordinación regional en cuestiones relacionadas con políticas, desarrollo y normalización de telecomunicaciones/tecnologías de la información y la comunicación (TIC), con miras a mejorar el desarrollo social, económico, cultural y ambiental en las Américas, y contribuir con la </w:t>
      </w:r>
      <w:r w:rsidRPr="000A5B99">
        <w:rPr>
          <w:rFonts w:eastAsiaTheme="minorHAnsi"/>
          <w:color w:val="767171" w:themeColor="background2" w:themeShade="80"/>
          <w:szCs w:val="24"/>
          <w:lang w:val="es-ES" w:eastAsia="en-US"/>
        </w:rPr>
        <w:lastRenderedPageBreak/>
        <w:t>implementación de la Agenda 2030 de desarrollo sostenible. Como responsables de la relatoría sobre banda ancha, universalización del acceso, la inclusión digital y la equidad de género, presentamos un informe sobre el avance y acciones del plan de trabajo 2018-2022 y se analizaron los siguientes documentos:</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Proyecto de decisión: cuestionario sobre el acceso y uso de servicios de telecomunicaciones y banda ancha para las personas con discapacidad y con necesidades específicas.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Proyecto de resolución: mesas de trabajo para el diálogo regional sobre los avances y desafíos de políticas públicas y regulación para el desarrollo de infraestructura e innovación.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Compromisos sociales en el otorgamiento y renovación de licencias - Paraguay.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Documento informativo: Reporte final – memorándum de entendimiento </w:t>
      </w:r>
      <w:proofErr w:type="spellStart"/>
      <w:r w:rsidRPr="000A5B99">
        <w:rPr>
          <w:rFonts w:eastAsiaTheme="minorHAnsi"/>
          <w:color w:val="767171" w:themeColor="background2" w:themeShade="80"/>
          <w:szCs w:val="24"/>
          <w:lang w:val="es-ES" w:eastAsia="en-US"/>
        </w:rPr>
        <w:t>Citel</w:t>
      </w:r>
      <w:proofErr w:type="spellEnd"/>
      <w:r w:rsidRPr="000A5B99">
        <w:rPr>
          <w:rFonts w:eastAsiaTheme="minorHAnsi"/>
          <w:color w:val="767171" w:themeColor="background2" w:themeShade="80"/>
          <w:szCs w:val="24"/>
          <w:lang w:val="es-ES" w:eastAsia="en-US"/>
        </w:rPr>
        <w:t xml:space="preserve"> – internet </w:t>
      </w:r>
      <w:proofErr w:type="spellStart"/>
      <w:r w:rsidRPr="000A5B99">
        <w:rPr>
          <w:rFonts w:eastAsiaTheme="minorHAnsi"/>
          <w:color w:val="767171" w:themeColor="background2" w:themeShade="80"/>
          <w:szCs w:val="24"/>
          <w:lang w:val="es-ES" w:eastAsia="en-US"/>
        </w:rPr>
        <w:t>society</w:t>
      </w:r>
      <w:proofErr w:type="spellEnd"/>
      <w:r w:rsidRPr="000A5B99">
        <w:rPr>
          <w:rFonts w:eastAsiaTheme="minorHAnsi"/>
          <w:color w:val="767171" w:themeColor="background2" w:themeShade="80"/>
          <w:szCs w:val="24"/>
          <w:lang w:val="es-ES" w:eastAsia="en-US"/>
        </w:rPr>
        <w:t xml:space="preserve">.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Documento informativo: Recopilación de historias de éxito de redes comunitarias.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Documento informativo: Experiencias para la reducción de la brecha digital de género en los países de (COMTELCA).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Documento informativo: Invitación para participar en el seminario regional de accesibilidad tic. </w:t>
      </w:r>
    </w:p>
    <w:p w:rsidR="000A5B99" w:rsidRPr="000A5B99" w:rsidRDefault="000A5B99" w:rsidP="00792ACF">
      <w:pPr>
        <w:numPr>
          <w:ilvl w:val="0"/>
          <w:numId w:val="34"/>
        </w:numPr>
        <w:spacing w:line="360" w:lineRule="auto"/>
        <w:contextualSpacing/>
        <w:rPr>
          <w:rFonts w:asciiTheme="minorHAnsi" w:eastAsiaTheme="minorEastAsia" w:hAnsiTheme="minorHAnsi" w:cstheme="minorBidi"/>
          <w:bCs/>
          <w:color w:val="767171" w:themeColor="background2" w:themeShade="80"/>
          <w:szCs w:val="24"/>
          <w:lang w:val="es-ES" w:eastAsia="en-US"/>
        </w:rPr>
      </w:pPr>
      <w:r w:rsidRPr="000A5B99">
        <w:rPr>
          <w:rFonts w:eastAsiaTheme="minorHAnsi"/>
          <w:color w:val="767171" w:themeColor="background2" w:themeShade="80"/>
          <w:szCs w:val="24"/>
          <w:lang w:val="es-ES" w:eastAsia="en-US"/>
        </w:rPr>
        <w:t>Documento informativo: Informe del periodo de trabajo 2018-2022; relatoría sobre banda ancha, universalización del acceso, la inclusión digital y la equidad de género</w:t>
      </w:r>
      <w:r w:rsidRPr="000A5B99">
        <w:rPr>
          <w:rFonts w:eastAsiaTheme="minorHAnsi"/>
          <w:bCs/>
          <w:color w:val="767171" w:themeColor="background2" w:themeShade="80"/>
          <w:szCs w:val="24"/>
          <w:lang w:val="es-ES" w:eastAsia="en-US"/>
        </w:rPr>
        <w:t xml:space="preserve">. </w:t>
      </w:r>
    </w:p>
    <w:p w:rsidR="000A5B99" w:rsidRPr="000A5B99" w:rsidRDefault="000A5B99" w:rsidP="000A5B99">
      <w:pPr>
        <w:spacing w:after="0" w:line="240" w:lineRule="auto"/>
        <w:jc w:val="left"/>
        <w:rPr>
          <w:rFonts w:eastAsiaTheme="minorEastAsia"/>
          <w:bCs/>
          <w:color w:val="767171" w:themeColor="background2" w:themeShade="80"/>
          <w:szCs w:val="24"/>
          <w:lang w:val="es-ES" w:eastAsia="en-US"/>
        </w:rPr>
      </w:pPr>
    </w:p>
    <w:p w:rsidR="000A5B99" w:rsidRPr="000A5B99" w:rsidRDefault="000A5B99" w:rsidP="000A5B99">
      <w:pPr>
        <w:spacing w:line="360" w:lineRule="auto"/>
        <w:ind w:left="360"/>
        <w:rPr>
          <w:rFonts w:eastAsiaTheme="minorHAnsi"/>
          <w:b/>
          <w:szCs w:val="24"/>
          <w:lang w:val="es-ES" w:eastAsia="en-US"/>
        </w:rPr>
      </w:pPr>
      <w:r w:rsidRPr="000A5B99">
        <w:rPr>
          <w:rFonts w:eastAsiaTheme="minorHAnsi"/>
          <w:b/>
          <w:szCs w:val="24"/>
          <w:lang w:val="es-ES" w:eastAsia="en-US"/>
        </w:rPr>
        <w:t>Mesa Redonda</w:t>
      </w:r>
      <w:r w:rsidRPr="000A5B99">
        <w:rPr>
          <w:rFonts w:eastAsiaTheme="minorHAnsi"/>
          <w:b/>
          <w:szCs w:val="24"/>
          <w:shd w:val="clear" w:color="auto" w:fill="FFFFFF"/>
          <w:lang w:eastAsia="en-US"/>
        </w:rPr>
        <w:t xml:space="preserve"> del  Foro Latinoamericano de Entes Reguladores de Telecomunicaciones</w:t>
      </w:r>
      <w:r w:rsidRPr="000A5B99">
        <w:rPr>
          <w:rFonts w:eastAsiaTheme="minorHAnsi"/>
          <w:b/>
          <w:szCs w:val="24"/>
          <w:lang w:val="es-ES" w:eastAsia="en-US"/>
        </w:rPr>
        <w:t xml:space="preserve"> (REGULATEL) – ASIET</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color w:val="767171" w:themeColor="background2" w:themeShade="80"/>
          <w:szCs w:val="24"/>
          <w:lang w:val="es-ES" w:eastAsia="en-US"/>
        </w:rPr>
        <w:t xml:space="preserve">El 20 de octubre participamos en la Mesa Redonda REGULATEL bajo la representación de la directora ejecutiva, Julissa Cruz, como panelista. El </w:t>
      </w:r>
      <w:r w:rsidRPr="000A5B99">
        <w:rPr>
          <w:rFonts w:eastAsiaTheme="minorHAnsi"/>
          <w:color w:val="767171" w:themeColor="background2" w:themeShade="80"/>
          <w:szCs w:val="24"/>
          <w:lang w:val="es-ES" w:eastAsia="en-US"/>
        </w:rPr>
        <w:lastRenderedPageBreak/>
        <w:t>objetivo de este panel fue identificar acciones o propuestas para la implementación, regulación y despliegue de la tecnología 5G en casos nacionales. Los temas orientadores de la Mesa Redonda fueron: Acciones necesarias o realizadas de administración del espectro radioeléctrico para la implementación de 5G, políticas de infraestructura e inversiones en redes 5G y actualización de regulaciones.</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b/>
          <w:bCs/>
          <w:color w:val="767171" w:themeColor="background2" w:themeShade="80"/>
          <w:szCs w:val="24"/>
          <w:lang w:val="es-ES" w:eastAsia="en-US"/>
        </w:rPr>
      </w:pPr>
      <w:r w:rsidRPr="000A5B99">
        <w:rPr>
          <w:rFonts w:eastAsiaTheme="minorHAnsi"/>
          <w:b/>
          <w:bCs/>
          <w:color w:val="767171" w:themeColor="background2" w:themeShade="80"/>
          <w:szCs w:val="24"/>
          <w:lang w:val="es-ES" w:eastAsia="en-US"/>
        </w:rPr>
        <w:t>Congreso Latinoamericano de Transformación Digital 2021</w:t>
      </w:r>
    </w:p>
    <w:p w:rsidR="000A5B99" w:rsidRPr="000A5B99" w:rsidRDefault="000A5B99" w:rsidP="000A5B99">
      <w:pPr>
        <w:spacing w:line="360" w:lineRule="auto"/>
        <w:ind w:left="360"/>
        <w:rPr>
          <w:rFonts w:eastAsiaTheme="minorHAnsi"/>
          <w:szCs w:val="24"/>
          <w:lang w:val="es-ES" w:eastAsia="en-US"/>
        </w:rPr>
      </w:pPr>
      <w:r w:rsidRPr="000A5B99">
        <w:rPr>
          <w:rFonts w:eastAsiaTheme="minorHAnsi"/>
          <w:color w:val="767171" w:themeColor="background2" w:themeShade="80"/>
          <w:szCs w:val="24"/>
          <w:lang w:val="es-ES" w:eastAsia="en-US"/>
        </w:rPr>
        <w:t>Con la participación de gobiernos, reguladores, organismos internacionales, academia e industrias, se llevó a cabo la octava edición del Congreso Latinoamericano de Transformación Digital. Esta nueva edición del evento centró sus debates en la recuperación económica a través de la digitalización, el desarrollo de la economía digital, la transformación industrial y la inclusión digital. El 28 de octubre participamos en este evento bajo la representación del encargado de regulación, Bryan Guzmán Espina, el cual formó parte de la mesa redonda sobre el impacto de las políticas regulatorias: ¿de qué hablamos cuando decimos “regular internet”?</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b/>
          <w:bCs/>
          <w:color w:val="767171" w:themeColor="background2" w:themeShade="80"/>
          <w:szCs w:val="24"/>
          <w:lang w:val="es-ES" w:eastAsia="en-US"/>
        </w:rPr>
      </w:pPr>
      <w:r w:rsidRPr="000A5B99">
        <w:rPr>
          <w:rFonts w:eastAsiaTheme="minorHAnsi"/>
          <w:b/>
          <w:bCs/>
          <w:color w:val="767171" w:themeColor="background2" w:themeShade="80"/>
          <w:szCs w:val="24"/>
          <w:lang w:val="es-ES" w:eastAsia="en-US"/>
        </w:rPr>
        <w:t>Primera Reunión del Mecanismo de Coordinación Interinstitucional del Sistema de la Integración Centroamericana (SICA)</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El 28 de octubre se sostuvo la Primera Reunión del Mecanismo de Coordinación Interinstitucional del Sistema de La Integración Centroamericana (SICA) la cual tuvo como objetivo principal dar seguimiento a los trabajos que se han estado realizando en el marco del Sistema de la Integración Centroamericana (SICA). En esta reunión contamos con la representación de Christian Victoria, coordinador de Relaciones Multilaterales de la Dirección de Relaciones Internacionales del INDOTEL.</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b/>
          <w:bCs/>
          <w:color w:val="767171" w:themeColor="background2" w:themeShade="80"/>
          <w:szCs w:val="24"/>
          <w:lang w:val="es-ES" w:eastAsia="en-US"/>
        </w:rPr>
      </w:pPr>
      <w:r w:rsidRPr="000A5B99">
        <w:rPr>
          <w:rFonts w:eastAsiaTheme="minorHAnsi"/>
          <w:b/>
          <w:bCs/>
          <w:color w:val="767171" w:themeColor="background2" w:themeShade="80"/>
          <w:szCs w:val="24"/>
          <w:lang w:val="es-ES" w:eastAsia="en-US"/>
        </w:rPr>
        <w:lastRenderedPageBreak/>
        <w:t xml:space="preserve">Comisión Interamericana de Telecomunicaciones (CITEL), Reunión 38 del Comité Consultivo Permanente (CCPII) </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Del 8 al 12 de noviembre tuvo lugar el Comité Consultivo Permanente (CCPII) el cual tiene como objetivo promover el debate y la cooperación regional en cuestiones relacionadas con la planificación, coordinación, armonización y uso eficiente del espectro radioeléctrico, así como de las órbitas de satélites geoestacionarios y no geoestacionarios, para servicios de radiocomunicaciones. </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En esta se retomaron los asuntos establecidos en los términos de referencia del grupo de trabajo de Gestión del Espectro y se indicaron tres líneas que podrían servir de referencia para el trabajo futuro del grupo, como se lista a continuación:</w:t>
      </w:r>
    </w:p>
    <w:p w:rsidR="000A5B99" w:rsidRPr="000A5B99" w:rsidRDefault="000A5B99" w:rsidP="00792ACF">
      <w:pPr>
        <w:numPr>
          <w:ilvl w:val="0"/>
          <w:numId w:val="40"/>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Cuadros de Atribución de Bandas de Frecuencias Nacionales.</w:t>
      </w:r>
    </w:p>
    <w:p w:rsidR="000A5B99" w:rsidRPr="000A5B99" w:rsidRDefault="000A5B99" w:rsidP="00792ACF">
      <w:pPr>
        <w:numPr>
          <w:ilvl w:val="0"/>
          <w:numId w:val="39"/>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Intercambio de información referente a los Cuadros de Atribución de Frecuencias nacionales, enlaces de acceso y fechas de actualización. </w:t>
      </w:r>
    </w:p>
    <w:p w:rsidR="000A5B99" w:rsidRPr="000A5B99" w:rsidRDefault="000A5B99" w:rsidP="00792ACF">
      <w:pPr>
        <w:numPr>
          <w:ilvl w:val="0"/>
          <w:numId w:val="38"/>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Radiaciones No Ionizantes, regulación en la región.</w:t>
      </w:r>
    </w:p>
    <w:p w:rsidR="000A5B99" w:rsidRPr="000A5B99" w:rsidRDefault="000A5B99" w:rsidP="00792ACF">
      <w:pPr>
        <w:numPr>
          <w:ilvl w:val="0"/>
          <w:numId w:val="37"/>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Intercambio de información en relación con la regulación nacional aplicada y experiencias de casos. </w:t>
      </w:r>
    </w:p>
    <w:p w:rsidR="000A5B99" w:rsidRPr="000A5B99" w:rsidRDefault="000A5B99" w:rsidP="00792ACF">
      <w:pPr>
        <w:numPr>
          <w:ilvl w:val="0"/>
          <w:numId w:val="36"/>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Estrategias económicas y valoración de espectro.</w:t>
      </w:r>
    </w:p>
    <w:p w:rsidR="000A5B99" w:rsidRPr="000A5B99" w:rsidRDefault="000A5B99" w:rsidP="00792ACF">
      <w:pPr>
        <w:numPr>
          <w:ilvl w:val="0"/>
          <w:numId w:val="35"/>
        </w:numPr>
        <w:spacing w:line="360" w:lineRule="auto"/>
        <w:contextualSpacing/>
        <w:rPr>
          <w:rFonts w:asciiTheme="minorHAnsi" w:eastAsiaTheme="minorEastAsia" w:hAnsiTheme="minorHAnsi" w:cstheme="minorBidi"/>
          <w:color w:val="767171" w:themeColor="background2" w:themeShade="80"/>
          <w:szCs w:val="24"/>
          <w:lang w:val="es-ES" w:eastAsia="en-US"/>
        </w:rPr>
      </w:pPr>
      <w:r w:rsidRPr="000A5B99">
        <w:rPr>
          <w:rFonts w:eastAsiaTheme="minorHAnsi"/>
          <w:color w:val="767171" w:themeColor="background2" w:themeShade="80"/>
          <w:szCs w:val="24"/>
          <w:lang w:val="es-ES" w:eastAsia="en-US"/>
        </w:rPr>
        <w:t>Intercambio de información en relación con los procesos aplicados al otorgamiento de bandas de frecuencias para nuevas tecnologías.</w:t>
      </w:r>
    </w:p>
    <w:p w:rsidR="000A5B99" w:rsidRPr="000A5B99" w:rsidRDefault="000A5B99" w:rsidP="00792ACF">
      <w:pPr>
        <w:spacing w:line="360" w:lineRule="auto"/>
        <w:contextualSpacing/>
        <w:jc w:val="left"/>
        <w:rPr>
          <w:rFonts w:asciiTheme="minorHAnsi" w:eastAsiaTheme="minorEastAsia" w:hAnsiTheme="minorHAnsi" w:cstheme="minorBidi"/>
          <w:color w:val="767171" w:themeColor="background2" w:themeShade="80"/>
          <w:szCs w:val="24"/>
          <w:lang w:val="es-ES" w:eastAsia="en-US"/>
        </w:rPr>
      </w:pPr>
    </w:p>
    <w:p w:rsidR="000A5B99" w:rsidRPr="000A5B99" w:rsidRDefault="000A5B99" w:rsidP="000A5B99">
      <w:pPr>
        <w:spacing w:after="0" w:line="240" w:lineRule="auto"/>
        <w:jc w:val="left"/>
        <w:rPr>
          <w:rFonts w:asciiTheme="minorHAnsi" w:eastAsiaTheme="minorEastAsia" w:hAnsiTheme="minorHAnsi" w:cstheme="minorBidi"/>
          <w:color w:val="767171" w:themeColor="background2" w:themeShade="80"/>
          <w:szCs w:val="24"/>
          <w:lang w:val="es-ES" w:eastAsia="en-US"/>
        </w:rPr>
      </w:pPr>
    </w:p>
    <w:p w:rsidR="000A5B99" w:rsidRPr="000A5B99" w:rsidRDefault="000A5B99" w:rsidP="000A5B99">
      <w:pPr>
        <w:spacing w:line="360" w:lineRule="auto"/>
        <w:ind w:left="360"/>
        <w:rPr>
          <w:rFonts w:eastAsiaTheme="minorHAnsi"/>
          <w:b/>
          <w:bCs/>
          <w:color w:val="767171" w:themeColor="background2" w:themeShade="80"/>
          <w:szCs w:val="24"/>
          <w:lang w:val="es-ES" w:eastAsia="en-US"/>
        </w:rPr>
      </w:pPr>
      <w:r w:rsidRPr="000A5B99">
        <w:rPr>
          <w:rFonts w:eastAsiaTheme="minorHAnsi"/>
          <w:b/>
          <w:bCs/>
          <w:color w:val="767171" w:themeColor="background2" w:themeShade="80"/>
          <w:szCs w:val="24"/>
          <w:lang w:val="es-ES" w:eastAsia="en-US"/>
        </w:rPr>
        <w:t>La 29ª reunión del Grupo Asesor de Desarrollo de las Telecomunicaciones (GADT)</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Del 8 al 12 de noviembre participamos de forma virtual en la 29ª reunión del Grupo Asesor de Desarrollo de las Telecomunicaciones (GADT) donde se examinaron las prioridades, estrategias, operaciones y cuestiones financieras </w:t>
      </w:r>
      <w:r w:rsidRPr="000A5B99">
        <w:rPr>
          <w:rFonts w:eastAsiaTheme="minorHAnsi"/>
          <w:color w:val="767171" w:themeColor="background2" w:themeShade="80"/>
          <w:szCs w:val="24"/>
          <w:lang w:val="es-ES" w:eastAsia="en-US"/>
        </w:rPr>
        <w:lastRenderedPageBreak/>
        <w:t xml:space="preserve">del Sector de Desarrollo de las Telecomunicaciones de la UIT, para asesorar al director de la Oficina de Desarrollo de las Telecomunicaciones (BDT) sobre la ejecución del Plan de Acción de la Conferencia Mundial de Desarrollo de las Telecomunicaciones (CMDT), la cual tendrá lugar del 6 al 15 de junio de 2022 en Etiopía, incluidas las cuestiones relativas al presupuesto y al Plan Operacional del Sector. </w:t>
      </w:r>
    </w:p>
    <w:p w:rsidR="000A5B99" w:rsidRPr="000A5B99" w:rsidRDefault="000A5B99" w:rsidP="000A5B99">
      <w:pPr>
        <w:spacing w:line="360" w:lineRule="auto"/>
        <w:ind w:left="360"/>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b/>
          <w:szCs w:val="24"/>
          <w:lang w:val="es-ES" w:eastAsia="en-US"/>
        </w:rPr>
      </w:pPr>
      <w:r w:rsidRPr="000A5B99">
        <w:rPr>
          <w:rFonts w:eastAsiaTheme="minorHAnsi"/>
          <w:b/>
          <w:bCs/>
          <w:color w:val="767171" w:themeColor="background2" w:themeShade="80"/>
          <w:szCs w:val="24"/>
          <w:lang w:val="es-ES" w:eastAsia="en-US"/>
        </w:rPr>
        <w:t>Taller de consulta con el sector privado y la sociedad civil</w:t>
      </w:r>
      <w:r w:rsidRPr="000A5B99">
        <w:rPr>
          <w:rFonts w:eastAsiaTheme="minorHAnsi"/>
          <w:b/>
          <w:color w:val="767171" w:themeColor="background2" w:themeShade="80"/>
          <w:szCs w:val="24"/>
          <w:lang w:val="es-ES" w:eastAsia="en-US"/>
        </w:rPr>
        <w:t xml:space="preserve"> - </w:t>
      </w:r>
      <w:r w:rsidRPr="000A5B99">
        <w:rPr>
          <w:rFonts w:eastAsiaTheme="minorHAnsi"/>
          <w:b/>
          <w:bCs/>
          <w:color w:val="767171" w:themeColor="background2" w:themeShade="80"/>
          <w:szCs w:val="24"/>
          <w:lang w:val="es-ES" w:eastAsia="en-US"/>
        </w:rPr>
        <w:t>Gestión integral de residuos de aparatos eléctricos y electrónicos (RAEE) de República Dominicana</w:t>
      </w: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 xml:space="preserve">El taller de consulta con el sector privado y la sociedad civil se llevó a cabo del 10 al 11 de noviembre con la participación de 19 empresas y organizaciones. Los objetivos del taller fueron los siguientes: </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A) Dar a conocer las disposiciones que servirán de base para la elaboración del borrador de la regulación sobre Residuos de Aparatos Eléctricos y Electrónicos - RAEE, como norma reglamentaria de la Ley 225-20.</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B) Sensibilizar a los actores claves del sector privado y la sociedad civil respecto a la importancia de contar con una reglamentación que garantice la correcta gestión de los Residuos de Aparatos Eléctricos y Electrónicos - RAEE.</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P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t>C) Conocer las opiniones, observaciones y sugerencias de los asistentes al taller, con el fin de ajustar y complementar la regulación sobre RAEE, antes de su expedición.</w:t>
      </w:r>
    </w:p>
    <w:p w:rsidR="000A5B99" w:rsidRPr="000A5B99" w:rsidRDefault="000A5B99" w:rsidP="000A5B99">
      <w:pPr>
        <w:spacing w:after="0" w:line="240" w:lineRule="auto"/>
        <w:jc w:val="left"/>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r w:rsidRPr="000A5B99">
        <w:rPr>
          <w:rFonts w:eastAsiaTheme="minorHAnsi"/>
          <w:color w:val="767171" w:themeColor="background2" w:themeShade="80"/>
          <w:szCs w:val="24"/>
          <w:lang w:val="es-ES" w:eastAsia="en-US"/>
        </w:rPr>
        <w:lastRenderedPageBreak/>
        <w:t>D) Involucrar y obtener el compromiso de los actores claves del sector privado y la sociedad civil, en la asunción de sus responsabilidades, que permitan la correcta gestión integral de los RAEE.</w:t>
      </w: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0A5B99" w:rsidRDefault="000A5B99" w:rsidP="000A5B99">
      <w:pPr>
        <w:spacing w:line="360" w:lineRule="auto"/>
        <w:ind w:left="360"/>
        <w:rPr>
          <w:rFonts w:eastAsiaTheme="minorHAnsi"/>
          <w:color w:val="767171" w:themeColor="background2" w:themeShade="80"/>
          <w:szCs w:val="24"/>
          <w:lang w:val="es-ES" w:eastAsia="en-US"/>
        </w:rPr>
      </w:pPr>
    </w:p>
    <w:p w:rsidR="00792ACF" w:rsidRDefault="00792ACF" w:rsidP="000A5B99">
      <w:pPr>
        <w:spacing w:line="360" w:lineRule="auto"/>
        <w:ind w:left="360"/>
        <w:rPr>
          <w:rFonts w:eastAsiaTheme="minorHAnsi"/>
          <w:color w:val="767171" w:themeColor="background2" w:themeShade="80"/>
          <w:szCs w:val="24"/>
          <w:lang w:val="es-ES" w:eastAsia="en-US"/>
        </w:rPr>
      </w:pPr>
    </w:p>
    <w:p w:rsidR="00792ACF" w:rsidRDefault="00792ACF" w:rsidP="000A5B99">
      <w:pPr>
        <w:spacing w:line="360" w:lineRule="auto"/>
        <w:ind w:left="360"/>
        <w:rPr>
          <w:rFonts w:eastAsiaTheme="minorHAnsi"/>
          <w:color w:val="767171" w:themeColor="background2" w:themeShade="80"/>
          <w:szCs w:val="24"/>
          <w:lang w:val="es-ES" w:eastAsia="en-US"/>
        </w:rPr>
      </w:pPr>
    </w:p>
    <w:p w:rsidR="00792ACF" w:rsidRPr="000A5B99" w:rsidRDefault="00792ACF" w:rsidP="000A5B99">
      <w:pPr>
        <w:spacing w:line="360" w:lineRule="auto"/>
        <w:ind w:left="360"/>
        <w:rPr>
          <w:rFonts w:eastAsiaTheme="minorHAnsi"/>
          <w:color w:val="767171" w:themeColor="background2" w:themeShade="80"/>
          <w:szCs w:val="24"/>
          <w:lang w:val="es-ES" w:eastAsia="en-US"/>
        </w:rPr>
      </w:pPr>
    </w:p>
    <w:p w:rsidR="002C627A" w:rsidRPr="00DE5EC3" w:rsidRDefault="002C627A" w:rsidP="002C627A">
      <w:pPr>
        <w:pStyle w:val="Ttulo3"/>
        <w:rPr>
          <w:szCs w:val="28"/>
        </w:rPr>
      </w:pPr>
      <w:bookmarkStart w:id="76" w:name="_Toc90936661"/>
      <w:r w:rsidRPr="00DE5EC3">
        <w:rPr>
          <w:szCs w:val="28"/>
        </w:rPr>
        <w:lastRenderedPageBreak/>
        <w:t>Centro INDOTEL</w:t>
      </w:r>
      <w:bookmarkEnd w:id="76"/>
    </w:p>
    <w:p w:rsidR="00DE5EC3" w:rsidRPr="00DE5EC3" w:rsidRDefault="00DE5EC3" w:rsidP="00DE5EC3">
      <w:pPr>
        <w:spacing w:after="0" w:line="240" w:lineRule="auto"/>
        <w:jc w:val="left"/>
        <w:rPr>
          <w:rFonts w:asciiTheme="minorHAnsi" w:eastAsiaTheme="minorHAnsi" w:hAnsiTheme="minorHAnsi" w:cstheme="minorBidi"/>
          <w:sz w:val="22"/>
          <w:lang w:eastAsia="en-US"/>
        </w:rPr>
      </w:pP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El Centro INDOTEL es un punto de encuentro y un espacio abierto para conectar, crear proyectos, experiencias, y formar personas y agentes del cambio y de la transformación digital, a través de una amplia oferta de actividades educativas que incluyen talleres y cursos especializados en tecnologías digitales y charlas educativas que fomentan y promueven la cultura digital en niñas, niños, adolescentes y jóvenes, para de esta forma potenciar el uso de las herramientas de las tecnologías de la información y la comunicación. Dada las restricciones de la pandemia, el Centro se ha orientado a la celebración de eventos híbridos, donde se combina la </w:t>
      </w:r>
      <w:proofErr w:type="spellStart"/>
      <w:r w:rsidRPr="00892597">
        <w:rPr>
          <w:rFonts w:eastAsiaTheme="minorHAnsi"/>
          <w:color w:val="767171" w:themeColor="background2" w:themeShade="80"/>
          <w:szCs w:val="24"/>
          <w:lang w:val="es-ES" w:eastAsia="en-US"/>
        </w:rPr>
        <w:t>presencialidad</w:t>
      </w:r>
      <w:proofErr w:type="spellEnd"/>
      <w:r w:rsidRPr="00892597">
        <w:rPr>
          <w:rFonts w:eastAsiaTheme="minorHAnsi"/>
          <w:color w:val="767171" w:themeColor="background2" w:themeShade="80"/>
          <w:szCs w:val="24"/>
          <w:lang w:val="es-ES" w:eastAsia="en-US"/>
        </w:rPr>
        <w:t>, siguiendo los protocolos de seguridad ante el COVID, con la participación de los que se unen en línea.</w:t>
      </w:r>
    </w:p>
    <w:p w:rsidR="00892597" w:rsidRPr="00892597" w:rsidRDefault="00892597" w:rsidP="00792ACF">
      <w:pPr>
        <w:pStyle w:val="Textonotasalpie"/>
        <w:rPr>
          <w:lang w:eastAsia="en-US"/>
        </w:rPr>
      </w:pPr>
    </w:p>
    <w:p w:rsidR="00892597" w:rsidRPr="00892597" w:rsidRDefault="00892597" w:rsidP="00892597">
      <w:pPr>
        <w:spacing w:line="360" w:lineRule="auto"/>
        <w:rPr>
          <w:rFonts w:eastAsiaTheme="minorHAnsi"/>
          <w:b/>
          <w:bCs/>
          <w:color w:val="767171" w:themeColor="background2" w:themeShade="80"/>
          <w:szCs w:val="24"/>
          <w:lang w:eastAsia="en-US"/>
        </w:rPr>
      </w:pPr>
      <w:r w:rsidRPr="00892597">
        <w:rPr>
          <w:rFonts w:eastAsiaTheme="minorHAnsi"/>
          <w:b/>
          <w:bCs/>
          <w:color w:val="767171" w:themeColor="background2" w:themeShade="80"/>
          <w:szCs w:val="24"/>
          <w:lang w:eastAsia="en-US"/>
        </w:rPr>
        <w:t>Exhibiciones y Virtualizaciones Educativas y Tecnológicas</w:t>
      </w:r>
    </w:p>
    <w:p w:rsidR="00892597" w:rsidRPr="00892597" w:rsidRDefault="00892597" w:rsidP="00792ACF">
      <w:pPr>
        <w:pStyle w:val="Textonotasalpie"/>
        <w:rPr>
          <w:lang w:eastAsia="en-US"/>
        </w:rPr>
      </w:pPr>
    </w:p>
    <w:p w:rsidR="00892597"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b/>
          <w:bCs/>
          <w:color w:val="767171" w:themeColor="background2" w:themeShade="80"/>
          <w:szCs w:val="24"/>
          <w:lang w:eastAsia="en-US"/>
        </w:rPr>
        <w:t>Virtualización del Museo de las Telecomunicaciones</w:t>
      </w:r>
    </w:p>
    <w:p w:rsidR="00165A75"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color w:val="767171" w:themeColor="background2" w:themeShade="80"/>
          <w:szCs w:val="24"/>
          <w:lang w:eastAsia="en-US"/>
        </w:rPr>
        <w:t>Se llevó a cabo el proyecto de la virtualización del Museo de las Telecomunicaciones, para su proyección en las plataformas en línea y utilización de la misma para centros educativos. La finalidad de esta es la inclusión de la población en el uso de la tecnología para la conexión con el museo para la visualización de las piezas de las telecomunicaciones, así como e</w:t>
      </w:r>
      <w:r w:rsidR="00792ACF">
        <w:rPr>
          <w:rFonts w:eastAsiaTheme="minorHAnsi"/>
          <w:color w:val="767171" w:themeColor="background2" w:themeShade="80"/>
          <w:szCs w:val="24"/>
          <w:lang w:eastAsia="en-US"/>
        </w:rPr>
        <w:t>xhibiciones educativas futuras.</w:t>
      </w:r>
    </w:p>
    <w:p w:rsidR="00892597" w:rsidRPr="00892597" w:rsidRDefault="00892597" w:rsidP="00892597">
      <w:pPr>
        <w:spacing w:line="360" w:lineRule="auto"/>
        <w:rPr>
          <w:rFonts w:eastAsiaTheme="minorHAnsi"/>
          <w:b/>
          <w:color w:val="767171" w:themeColor="background2" w:themeShade="80"/>
          <w:szCs w:val="24"/>
          <w:lang w:eastAsia="en-US"/>
        </w:rPr>
      </w:pPr>
      <w:r w:rsidRPr="00892597">
        <w:rPr>
          <w:rFonts w:eastAsiaTheme="minorHAnsi"/>
          <w:b/>
          <w:color w:val="767171" w:themeColor="background2" w:themeShade="80"/>
          <w:szCs w:val="24"/>
          <w:lang w:eastAsia="en-US"/>
        </w:rPr>
        <w:t>Exposición de las Mujeres en la Ciencia</w:t>
      </w:r>
    </w:p>
    <w:p w:rsidR="00892597"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color w:val="767171" w:themeColor="background2" w:themeShade="80"/>
          <w:szCs w:val="24"/>
          <w:lang w:eastAsia="en-US"/>
        </w:rPr>
        <w:t xml:space="preserve">La “Exposición de las Mujeres en la Ciencia”, dedicada a mujeres destacadas en la tecnología y la ciencia, presentada de manera física mediante pancartas durante el año 2021 y de forma virtual mediante el museo virtual www.centroindotel.gob.do/evento/startup-weekend-woman/. El Centro invita colegios del interior del país con la finalidad de fomentar la necesidad de más niñas, </w:t>
      </w:r>
      <w:r w:rsidRPr="00892597">
        <w:rPr>
          <w:rFonts w:eastAsiaTheme="minorHAnsi"/>
          <w:color w:val="767171" w:themeColor="background2" w:themeShade="80"/>
          <w:szCs w:val="24"/>
          <w:lang w:eastAsia="en-US"/>
        </w:rPr>
        <w:lastRenderedPageBreak/>
        <w:t xml:space="preserve">niños y jóvenes en la Ciencia, Tecnología, Ingeniería y Matemáticas y en el ámbito del apoyo de la mujer en la ciencia. </w:t>
      </w:r>
    </w:p>
    <w:p w:rsidR="00892597" w:rsidRPr="00892597" w:rsidRDefault="00892597" w:rsidP="00165A75">
      <w:pPr>
        <w:pStyle w:val="Textonotasalpie"/>
        <w:rPr>
          <w:lang w:eastAsia="en-US"/>
        </w:rPr>
      </w:pPr>
    </w:p>
    <w:p w:rsidR="00892597" w:rsidRPr="00892597" w:rsidRDefault="00892597" w:rsidP="00892597">
      <w:pPr>
        <w:spacing w:line="360" w:lineRule="auto"/>
        <w:rPr>
          <w:rFonts w:eastAsiaTheme="minorHAnsi"/>
          <w:b/>
          <w:bCs/>
          <w:color w:val="767171" w:themeColor="background2" w:themeShade="80"/>
          <w:szCs w:val="24"/>
          <w:lang w:eastAsia="en-US"/>
        </w:rPr>
      </w:pPr>
      <w:r w:rsidRPr="00892597">
        <w:rPr>
          <w:rFonts w:eastAsiaTheme="minorHAnsi"/>
          <w:b/>
          <w:bCs/>
          <w:color w:val="767171" w:themeColor="background2" w:themeShade="80"/>
          <w:szCs w:val="24"/>
          <w:lang w:eastAsia="en-US"/>
        </w:rPr>
        <w:t>Eventos Conmemorativos y Homenajes</w:t>
      </w:r>
    </w:p>
    <w:p w:rsidR="00892597" w:rsidRPr="00892597" w:rsidRDefault="00892597" w:rsidP="00165A75">
      <w:pPr>
        <w:pStyle w:val="Textonotasalpie"/>
        <w:rPr>
          <w:lang w:eastAsia="en-US"/>
        </w:rPr>
      </w:pPr>
    </w:p>
    <w:p w:rsidR="00892597"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b/>
          <w:bCs/>
          <w:color w:val="767171" w:themeColor="background2" w:themeShade="80"/>
          <w:szCs w:val="24"/>
          <w:lang w:eastAsia="en-US"/>
        </w:rPr>
        <w:t xml:space="preserve">Conmemoración del Día de la Mujer y Homenaje a Socorro Castellanos </w:t>
      </w:r>
    </w:p>
    <w:p w:rsidR="00892597" w:rsidRPr="00892597" w:rsidRDefault="00892597" w:rsidP="00892597">
      <w:pPr>
        <w:spacing w:line="360" w:lineRule="auto"/>
        <w:rPr>
          <w:rFonts w:eastAsiaTheme="minorHAnsi"/>
          <w:color w:val="FF0000"/>
          <w:szCs w:val="24"/>
          <w:lang w:eastAsia="en-US"/>
        </w:rPr>
      </w:pPr>
      <w:r w:rsidRPr="00892597">
        <w:rPr>
          <w:rFonts w:eastAsiaTheme="minorHAnsi"/>
          <w:color w:val="767171" w:themeColor="background2" w:themeShade="80"/>
          <w:szCs w:val="24"/>
          <w:lang w:eastAsia="en-US"/>
        </w:rPr>
        <w:t>Se conmemoró en fecha 11 de marzo del año 2021, el Día Internacional de la Mujer, rindiéndole homenaje a Socorro Castellanos. En este se desveló el mural en honor a la misma a quien se le considera la primera mujer en ser productora de televisión en la República Dominicana, rompiendo barreras y estereotipos. También se le reconoció por elevar la calidad de los contenidos, por crear productos televisivos de alto nivel cultural y por ser un ejemplo para todas las mujeres del país.</w:t>
      </w:r>
      <w:r w:rsidRPr="00892597">
        <w:rPr>
          <w:rFonts w:eastAsiaTheme="minorHAnsi"/>
          <w:color w:val="FF0000"/>
          <w:szCs w:val="24"/>
          <w:lang w:eastAsia="en-US"/>
        </w:rPr>
        <w:t xml:space="preserve"> </w:t>
      </w:r>
    </w:p>
    <w:p w:rsidR="00892597" w:rsidRPr="00892597" w:rsidRDefault="00892597" w:rsidP="00165A75">
      <w:pPr>
        <w:pStyle w:val="Textonotasalpie"/>
        <w:rPr>
          <w:lang w:eastAsia="en-US"/>
        </w:rPr>
      </w:pPr>
    </w:p>
    <w:p w:rsidR="00892597" w:rsidRPr="00892597" w:rsidRDefault="00892597" w:rsidP="00892597">
      <w:pPr>
        <w:spacing w:line="360" w:lineRule="auto"/>
        <w:rPr>
          <w:rFonts w:eastAsiaTheme="minorHAnsi"/>
          <w:b/>
          <w:bCs/>
          <w:color w:val="767171" w:themeColor="background2" w:themeShade="80"/>
          <w:szCs w:val="24"/>
          <w:lang w:eastAsia="en-US"/>
        </w:rPr>
      </w:pPr>
      <w:r w:rsidRPr="00892597">
        <w:rPr>
          <w:rFonts w:eastAsiaTheme="minorHAnsi"/>
          <w:b/>
          <w:bCs/>
          <w:color w:val="767171" w:themeColor="background2" w:themeShade="80"/>
          <w:szCs w:val="24"/>
          <w:lang w:eastAsia="en-US"/>
        </w:rPr>
        <w:t xml:space="preserve">Celebración del Día Mundial de la </w:t>
      </w:r>
      <w:proofErr w:type="spellStart"/>
      <w:r w:rsidRPr="00892597">
        <w:rPr>
          <w:rFonts w:eastAsiaTheme="minorHAnsi"/>
          <w:b/>
          <w:bCs/>
          <w:color w:val="767171" w:themeColor="background2" w:themeShade="80"/>
          <w:szCs w:val="24"/>
          <w:lang w:eastAsia="en-US"/>
        </w:rPr>
        <w:t>Radioafición</w:t>
      </w:r>
      <w:proofErr w:type="spellEnd"/>
    </w:p>
    <w:p w:rsidR="00892597" w:rsidRDefault="00892597" w:rsidP="00892597">
      <w:pPr>
        <w:spacing w:line="360" w:lineRule="auto"/>
        <w:rPr>
          <w:rFonts w:eastAsiaTheme="minorHAnsi"/>
          <w:color w:val="767171" w:themeColor="background2" w:themeShade="80"/>
          <w:szCs w:val="24"/>
          <w:lang w:eastAsia="en-US"/>
        </w:rPr>
      </w:pPr>
      <w:r w:rsidRPr="00892597">
        <w:rPr>
          <w:rFonts w:eastAsiaTheme="minorHAnsi"/>
          <w:color w:val="767171" w:themeColor="background2" w:themeShade="80"/>
          <w:szCs w:val="24"/>
          <w:lang w:eastAsia="en-US"/>
        </w:rPr>
        <w:t xml:space="preserve"> Desde el Centro INDOTEL fue celebrado en fecha 21 de abril de 2021 el Día Mundial de la </w:t>
      </w:r>
      <w:proofErr w:type="spellStart"/>
      <w:r w:rsidRPr="00892597">
        <w:rPr>
          <w:rFonts w:eastAsiaTheme="minorHAnsi"/>
          <w:color w:val="767171" w:themeColor="background2" w:themeShade="80"/>
          <w:szCs w:val="24"/>
          <w:lang w:eastAsia="en-US"/>
        </w:rPr>
        <w:t>Radioafición</w:t>
      </w:r>
      <w:proofErr w:type="spellEnd"/>
      <w:r w:rsidRPr="00892597">
        <w:rPr>
          <w:rFonts w:eastAsiaTheme="minorHAnsi"/>
          <w:color w:val="767171" w:themeColor="background2" w:themeShade="80"/>
          <w:szCs w:val="24"/>
          <w:lang w:eastAsia="en-US"/>
        </w:rPr>
        <w:t xml:space="preserve">. El Centro reunió a expertos en República Dominicana para tratar el tema de la </w:t>
      </w:r>
      <w:proofErr w:type="spellStart"/>
      <w:r w:rsidRPr="00892597">
        <w:rPr>
          <w:rFonts w:eastAsiaTheme="minorHAnsi"/>
          <w:color w:val="767171" w:themeColor="background2" w:themeShade="80"/>
          <w:szCs w:val="24"/>
          <w:lang w:eastAsia="en-US"/>
        </w:rPr>
        <w:t>radioafición</w:t>
      </w:r>
      <w:proofErr w:type="spellEnd"/>
      <w:r w:rsidRPr="00892597">
        <w:rPr>
          <w:rFonts w:eastAsiaTheme="minorHAnsi"/>
          <w:color w:val="767171" w:themeColor="background2" w:themeShade="80"/>
          <w:szCs w:val="24"/>
          <w:lang w:eastAsia="en-US"/>
        </w:rPr>
        <w:t xml:space="preserve"> en la era digital. En este se otorgaron reconocimientos y se compartieron recuerdos para la memoria.</w:t>
      </w:r>
      <w:r w:rsidR="00165A75">
        <w:rPr>
          <w:rFonts w:eastAsiaTheme="minorHAnsi"/>
          <w:color w:val="767171" w:themeColor="background2" w:themeShade="80"/>
          <w:szCs w:val="24"/>
          <w:lang w:eastAsia="en-US"/>
        </w:rPr>
        <w:t xml:space="preserve"> </w:t>
      </w:r>
    </w:p>
    <w:p w:rsidR="00165A75" w:rsidRPr="00892597" w:rsidRDefault="00165A75" w:rsidP="00892597">
      <w:pPr>
        <w:spacing w:line="360" w:lineRule="auto"/>
        <w:rPr>
          <w:rFonts w:eastAsiaTheme="minorHAnsi"/>
          <w:color w:val="767171" w:themeColor="background2" w:themeShade="80"/>
          <w:szCs w:val="24"/>
          <w:lang w:eastAsia="en-US"/>
        </w:rPr>
      </w:pPr>
    </w:p>
    <w:p w:rsidR="00892597" w:rsidRPr="00892597" w:rsidRDefault="00892597" w:rsidP="00892597">
      <w:pPr>
        <w:spacing w:line="360" w:lineRule="auto"/>
        <w:rPr>
          <w:rFonts w:eastAsiaTheme="minorHAnsi"/>
          <w:b/>
          <w:bCs/>
          <w:color w:val="767171" w:themeColor="background2" w:themeShade="80"/>
          <w:szCs w:val="24"/>
          <w:lang w:eastAsia="en-US"/>
        </w:rPr>
      </w:pPr>
      <w:r w:rsidRPr="00892597">
        <w:rPr>
          <w:rFonts w:eastAsiaTheme="minorHAnsi"/>
          <w:b/>
          <w:bCs/>
          <w:color w:val="767171" w:themeColor="background2" w:themeShade="80"/>
          <w:szCs w:val="24"/>
          <w:lang w:eastAsia="en-US"/>
        </w:rPr>
        <w:t xml:space="preserve">Eventos Educativos y Tecnológicos </w:t>
      </w:r>
    </w:p>
    <w:p w:rsidR="00892597" w:rsidRPr="00892597" w:rsidRDefault="00892597" w:rsidP="00792ACF">
      <w:pPr>
        <w:pStyle w:val="Textonotasalpie"/>
        <w:rPr>
          <w:lang w:eastAsia="en-US"/>
        </w:rPr>
      </w:pPr>
    </w:p>
    <w:p w:rsidR="00892597"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b/>
          <w:bCs/>
          <w:color w:val="767171" w:themeColor="background2" w:themeShade="80"/>
          <w:szCs w:val="24"/>
          <w:lang w:eastAsia="en-US"/>
        </w:rPr>
        <w:t>Emprendedoras Digitales</w:t>
      </w:r>
    </w:p>
    <w:p w:rsidR="00892597" w:rsidRPr="00892597" w:rsidRDefault="00892597" w:rsidP="00892597">
      <w:pPr>
        <w:spacing w:line="360" w:lineRule="auto"/>
        <w:rPr>
          <w:rFonts w:eastAsiaTheme="minorHAnsi"/>
          <w:bCs/>
          <w:color w:val="767171" w:themeColor="background2" w:themeShade="80"/>
          <w:szCs w:val="24"/>
          <w:lang w:eastAsia="en-US"/>
        </w:rPr>
      </w:pPr>
      <w:r w:rsidRPr="00892597">
        <w:rPr>
          <w:rFonts w:eastAsiaTheme="minorHAnsi"/>
          <w:color w:val="767171" w:themeColor="background2" w:themeShade="80"/>
          <w:szCs w:val="24"/>
          <w:lang w:eastAsia="en-US"/>
        </w:rPr>
        <w:t xml:space="preserve">Se realizó el evento en fecha 16 de abril de 2021 de Emprendedoras Digitales, el cual fue llevado de forma híbrida. Este unió a 4 mujeres destacadas en el Emprendimiento y el uso de la tecnología y/o plataformas digitales para impulsar su negocio. Estas se vieron invitadas a contar sus experiencias, avances y su camino </w:t>
      </w:r>
      <w:r w:rsidRPr="00892597">
        <w:rPr>
          <w:rFonts w:eastAsiaTheme="minorHAnsi"/>
          <w:color w:val="767171" w:themeColor="background2" w:themeShade="80"/>
          <w:szCs w:val="24"/>
          <w:lang w:eastAsia="en-US"/>
        </w:rPr>
        <w:lastRenderedPageBreak/>
        <w:t>en el emprendimiento, la definición de sus actividades y la razón de por qué se dedican a lo que hacen. Las expositoras invitadas fueron Lorena Cabrera de Zoila, la cual creó una aplicación para la comunicación con jóvenes sobre temas femeninos y sobre la sexualidad, Paola Tineo de Zero RD, representa una de las pioneras en el país que cree en el reciclaje y sus posibilidades y Gema Herrera de La Piel de Gema, desde las bases del emprendimiento creó su tienda y sus servicios en el cuidado de la piel.</w:t>
      </w:r>
    </w:p>
    <w:p w:rsidR="00892597" w:rsidRPr="00892597" w:rsidRDefault="00165A75" w:rsidP="00892597">
      <w:pPr>
        <w:spacing w:line="360" w:lineRule="auto"/>
        <w:rPr>
          <w:rFonts w:eastAsiaTheme="minorHAnsi"/>
          <w:b/>
          <w:bCs/>
          <w:color w:val="767171" w:themeColor="background2" w:themeShade="80"/>
          <w:szCs w:val="24"/>
          <w:lang w:eastAsia="en-US"/>
        </w:rPr>
      </w:pPr>
      <w:r>
        <w:rPr>
          <w:rFonts w:eastAsiaTheme="minorHAnsi"/>
          <w:b/>
          <w:bCs/>
          <w:color w:val="767171" w:themeColor="background2" w:themeShade="80"/>
          <w:szCs w:val="24"/>
          <w:lang w:eastAsia="en-US"/>
        </w:rPr>
        <w:t>Inauguración del Punto WI-FI</w:t>
      </w:r>
      <w:r w:rsidR="00892597" w:rsidRPr="00892597">
        <w:rPr>
          <w:rFonts w:eastAsiaTheme="minorHAnsi"/>
          <w:b/>
          <w:bCs/>
          <w:color w:val="767171" w:themeColor="background2" w:themeShade="80"/>
          <w:szCs w:val="24"/>
          <w:lang w:eastAsia="en-US"/>
        </w:rPr>
        <w:t xml:space="preserve"> en Santa Bárbara</w:t>
      </w:r>
    </w:p>
    <w:p w:rsidR="00892597" w:rsidRPr="00892597" w:rsidRDefault="00892597" w:rsidP="00892597">
      <w:pPr>
        <w:spacing w:line="360" w:lineRule="auto"/>
        <w:rPr>
          <w:rFonts w:eastAsiaTheme="minorHAnsi"/>
          <w:color w:val="FF0000"/>
          <w:szCs w:val="24"/>
          <w:lang w:eastAsia="en-US"/>
        </w:rPr>
      </w:pPr>
      <w:r w:rsidRPr="00892597">
        <w:rPr>
          <w:rFonts w:eastAsiaTheme="minorHAnsi"/>
          <w:color w:val="767171" w:themeColor="background2" w:themeShade="80"/>
          <w:szCs w:val="24"/>
          <w:lang w:eastAsia="en-US"/>
        </w:rPr>
        <w:t>Se llevó a cabo la inauguración en fecha 17 de mayo de 2021 del primer punto W</w:t>
      </w:r>
      <w:r w:rsidR="00165A75">
        <w:rPr>
          <w:rFonts w:eastAsiaTheme="minorHAnsi"/>
          <w:color w:val="767171" w:themeColor="background2" w:themeShade="80"/>
          <w:szCs w:val="24"/>
          <w:lang w:eastAsia="en-US"/>
        </w:rPr>
        <w:t>I-FI</w:t>
      </w:r>
      <w:r w:rsidRPr="00892597">
        <w:rPr>
          <w:rFonts w:eastAsiaTheme="minorHAnsi"/>
          <w:color w:val="767171" w:themeColor="background2" w:themeShade="80"/>
          <w:szCs w:val="24"/>
          <w:lang w:eastAsia="en-US"/>
        </w:rPr>
        <w:t xml:space="preserve"> en el barrio de Santa Bárbara. Este fue otorgado por el INDOTEL, en asociación con </w:t>
      </w:r>
      <w:proofErr w:type="spellStart"/>
      <w:r w:rsidRPr="00892597">
        <w:rPr>
          <w:rFonts w:eastAsiaTheme="minorHAnsi"/>
          <w:color w:val="767171" w:themeColor="background2" w:themeShade="80"/>
          <w:szCs w:val="24"/>
          <w:lang w:eastAsia="en-US"/>
        </w:rPr>
        <w:t>Altice</w:t>
      </w:r>
      <w:proofErr w:type="spellEnd"/>
      <w:r w:rsidRPr="00892597">
        <w:rPr>
          <w:rFonts w:eastAsiaTheme="minorHAnsi"/>
          <w:color w:val="767171" w:themeColor="background2" w:themeShade="80"/>
          <w:szCs w:val="24"/>
          <w:lang w:eastAsia="en-US"/>
        </w:rPr>
        <w:t xml:space="preserve">. Constituye uno de los primeros puntos instalados, con la finalidad de crear una comunicación extensiva en el uso del internet y las herramientas de la tecnología y la información y de expandir los conocimientos de la población a nivel educativo, artístico y turístico. </w:t>
      </w:r>
    </w:p>
    <w:p w:rsidR="00892597" w:rsidRPr="00892597" w:rsidRDefault="00892597" w:rsidP="00792ACF">
      <w:pPr>
        <w:pStyle w:val="Textonotasalpie"/>
        <w:rPr>
          <w:lang w:eastAsia="en-US"/>
        </w:rPr>
      </w:pPr>
    </w:p>
    <w:p w:rsidR="00892597"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b/>
          <w:bCs/>
          <w:color w:val="767171" w:themeColor="background2" w:themeShade="80"/>
          <w:szCs w:val="24"/>
          <w:lang w:eastAsia="en-US"/>
        </w:rPr>
        <w:t>Un Día con Tecnología de la Información y Comunicación</w:t>
      </w:r>
    </w:p>
    <w:p w:rsidR="00892597" w:rsidRPr="00892597" w:rsidRDefault="00892597" w:rsidP="00892597">
      <w:pPr>
        <w:spacing w:line="360" w:lineRule="auto"/>
        <w:rPr>
          <w:rFonts w:eastAsiaTheme="minorHAnsi"/>
          <w:color w:val="767171" w:themeColor="background2" w:themeShade="80"/>
          <w:szCs w:val="24"/>
          <w:lang w:eastAsia="en-US"/>
        </w:rPr>
      </w:pPr>
      <w:r w:rsidRPr="00892597">
        <w:rPr>
          <w:rFonts w:eastAsiaTheme="minorHAnsi"/>
          <w:color w:val="767171" w:themeColor="background2" w:themeShade="80"/>
          <w:szCs w:val="24"/>
          <w:lang w:eastAsia="en-US"/>
        </w:rPr>
        <w:t xml:space="preserve">Se conmemoró en fecha 29 de mayo de 2021 el Día Internacional de las Niñas en las Tecnología de la Información y Comunicación, el cual fue un evento dirigido a las chicas de República Dominicana para orientarlas al camino del desarrollo de la Ciencia, Tecnología, Ingeniería y Matemáticas. Recibimos 40 chicas del interior del país para celebrar este día tan especial y logramos brindarles y educarlas en el conocimiento de herramientas tecnológicas con talleres educativos y charlas sobre herramientas digitales, la seguridad del internet y el camino de las mujeres en estas áreas. Los talleres fueron desde el proceso de </w:t>
      </w:r>
      <w:proofErr w:type="spellStart"/>
      <w:r w:rsidRPr="00892597">
        <w:rPr>
          <w:rFonts w:eastAsiaTheme="minorHAnsi"/>
          <w:color w:val="767171" w:themeColor="background2" w:themeShade="80"/>
          <w:szCs w:val="24"/>
          <w:lang w:eastAsia="en-US"/>
        </w:rPr>
        <w:t>Design</w:t>
      </w:r>
      <w:proofErr w:type="spellEnd"/>
      <w:r w:rsidRPr="00892597">
        <w:rPr>
          <w:rFonts w:eastAsiaTheme="minorHAnsi"/>
          <w:color w:val="767171" w:themeColor="background2" w:themeShade="80"/>
          <w:szCs w:val="24"/>
          <w:lang w:eastAsia="en-US"/>
        </w:rPr>
        <w:t xml:space="preserve"> </w:t>
      </w:r>
      <w:proofErr w:type="spellStart"/>
      <w:r w:rsidRPr="00892597">
        <w:rPr>
          <w:rFonts w:eastAsiaTheme="minorHAnsi"/>
          <w:color w:val="767171" w:themeColor="background2" w:themeShade="80"/>
          <w:szCs w:val="24"/>
          <w:lang w:eastAsia="en-US"/>
        </w:rPr>
        <w:t>Thinking</w:t>
      </w:r>
      <w:proofErr w:type="spellEnd"/>
      <w:r w:rsidRPr="00892597">
        <w:rPr>
          <w:rFonts w:eastAsiaTheme="minorHAnsi"/>
          <w:color w:val="767171" w:themeColor="background2" w:themeShade="80"/>
          <w:szCs w:val="24"/>
          <w:lang w:eastAsia="en-US"/>
        </w:rPr>
        <w:t xml:space="preserve"> con la </w:t>
      </w:r>
      <w:proofErr w:type="spellStart"/>
      <w:r w:rsidRPr="00892597">
        <w:rPr>
          <w:rFonts w:eastAsiaTheme="minorHAnsi"/>
          <w:color w:val="767171" w:themeColor="background2" w:themeShade="80"/>
          <w:szCs w:val="24"/>
          <w:lang w:eastAsia="en-US"/>
        </w:rPr>
        <w:t>app</w:t>
      </w:r>
      <w:proofErr w:type="spellEnd"/>
      <w:r w:rsidRPr="00892597">
        <w:rPr>
          <w:rFonts w:eastAsiaTheme="minorHAnsi"/>
          <w:color w:val="767171" w:themeColor="background2" w:themeShade="80"/>
          <w:szCs w:val="24"/>
          <w:lang w:eastAsia="en-US"/>
        </w:rPr>
        <w:t xml:space="preserve"> Zoila, creaciones de aplicaciones hasta realizar su propia página web. Contamos con el apoyo de </w:t>
      </w:r>
      <w:proofErr w:type="spellStart"/>
      <w:r w:rsidRPr="00892597">
        <w:rPr>
          <w:rFonts w:eastAsiaTheme="minorHAnsi"/>
          <w:color w:val="767171" w:themeColor="background2" w:themeShade="80"/>
          <w:szCs w:val="24"/>
          <w:lang w:eastAsia="en-US"/>
        </w:rPr>
        <w:t>Girls</w:t>
      </w:r>
      <w:proofErr w:type="spellEnd"/>
      <w:r w:rsidRPr="00892597">
        <w:rPr>
          <w:rFonts w:eastAsiaTheme="minorHAnsi"/>
          <w:color w:val="767171" w:themeColor="background2" w:themeShade="80"/>
          <w:szCs w:val="24"/>
          <w:lang w:eastAsia="en-US"/>
        </w:rPr>
        <w:t xml:space="preserve"> in </w:t>
      </w:r>
      <w:proofErr w:type="spellStart"/>
      <w:r w:rsidRPr="00892597">
        <w:rPr>
          <w:rFonts w:eastAsiaTheme="minorHAnsi"/>
          <w:color w:val="767171" w:themeColor="background2" w:themeShade="80"/>
          <w:szCs w:val="24"/>
          <w:lang w:eastAsia="en-US"/>
        </w:rPr>
        <w:t>Tech</w:t>
      </w:r>
      <w:proofErr w:type="spellEnd"/>
      <w:r w:rsidRPr="00892597">
        <w:rPr>
          <w:rFonts w:eastAsiaTheme="minorHAnsi"/>
          <w:color w:val="767171" w:themeColor="background2" w:themeShade="80"/>
          <w:szCs w:val="24"/>
          <w:lang w:eastAsia="en-US"/>
        </w:rPr>
        <w:t xml:space="preserve">, </w:t>
      </w:r>
      <w:proofErr w:type="spellStart"/>
      <w:r w:rsidRPr="00892597">
        <w:rPr>
          <w:rFonts w:eastAsiaTheme="minorHAnsi"/>
          <w:color w:val="767171" w:themeColor="background2" w:themeShade="80"/>
          <w:szCs w:val="24"/>
          <w:lang w:eastAsia="en-US"/>
        </w:rPr>
        <w:t>The</w:t>
      </w:r>
      <w:proofErr w:type="spellEnd"/>
      <w:r w:rsidRPr="00892597">
        <w:rPr>
          <w:rFonts w:eastAsiaTheme="minorHAnsi"/>
          <w:color w:val="767171" w:themeColor="background2" w:themeShade="80"/>
          <w:szCs w:val="24"/>
          <w:lang w:eastAsia="en-US"/>
        </w:rPr>
        <w:t xml:space="preserve"> </w:t>
      </w:r>
      <w:proofErr w:type="spellStart"/>
      <w:r w:rsidRPr="00892597">
        <w:rPr>
          <w:rFonts w:eastAsiaTheme="minorHAnsi"/>
          <w:color w:val="767171" w:themeColor="background2" w:themeShade="80"/>
          <w:szCs w:val="24"/>
          <w:lang w:eastAsia="en-US"/>
        </w:rPr>
        <w:t>Coding</w:t>
      </w:r>
      <w:proofErr w:type="spellEnd"/>
      <w:r w:rsidRPr="00892597">
        <w:rPr>
          <w:rFonts w:eastAsiaTheme="minorHAnsi"/>
          <w:color w:val="767171" w:themeColor="background2" w:themeShade="80"/>
          <w:szCs w:val="24"/>
          <w:lang w:eastAsia="en-US"/>
        </w:rPr>
        <w:t xml:space="preserve"> </w:t>
      </w:r>
      <w:proofErr w:type="spellStart"/>
      <w:r w:rsidRPr="00892597">
        <w:rPr>
          <w:rFonts w:eastAsiaTheme="minorHAnsi"/>
          <w:color w:val="767171" w:themeColor="background2" w:themeShade="80"/>
          <w:szCs w:val="24"/>
          <w:lang w:eastAsia="en-US"/>
        </w:rPr>
        <w:t>Space</w:t>
      </w:r>
      <w:proofErr w:type="spellEnd"/>
      <w:r w:rsidRPr="00892597">
        <w:rPr>
          <w:rFonts w:eastAsiaTheme="minorHAnsi"/>
          <w:color w:val="767171" w:themeColor="background2" w:themeShade="80"/>
          <w:szCs w:val="24"/>
          <w:lang w:eastAsia="en-US"/>
        </w:rPr>
        <w:t xml:space="preserve">, Lorena Cabrera, Plan Internacional y Centro de Investigación para la Acción Femenina.   </w:t>
      </w: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bCs/>
          <w:color w:val="767171" w:themeColor="background2" w:themeShade="80"/>
          <w:szCs w:val="24"/>
          <w:lang w:val="es-ES" w:eastAsia="en-US"/>
        </w:rPr>
        <w:lastRenderedPageBreak/>
        <w:t>Series “Soluciones Digitales”</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Soluciones Digitales es una serie de transmisiones en vivo que se llevan a cabo desde el Auditorio del Centro INDOTEL, en las cuales se exponen diferentes tecnologías digitales que impactan de manera disruptiva a la sociedad en general y se destacan las soluciones novedosas y creativas de dichas tecnologías en los diferentes espacios del accionar humano.</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Hasta el momento, dentro de esas series hemos desarrollado varios eventos denominados como:</w:t>
      </w:r>
    </w:p>
    <w:p w:rsidR="00892597" w:rsidRPr="00892597" w:rsidRDefault="00892597" w:rsidP="00BB4634">
      <w:pPr>
        <w:pStyle w:val="Textonotasalpie"/>
        <w:rPr>
          <w:lang w:val="es-ES" w:eastAsia="en-US"/>
        </w:rPr>
      </w:pPr>
    </w:p>
    <w:p w:rsidR="00892597" w:rsidRPr="00892597" w:rsidRDefault="00892597" w:rsidP="00892597">
      <w:pPr>
        <w:spacing w:line="360" w:lineRule="auto"/>
        <w:contextualSpacing/>
        <w:jc w:val="left"/>
        <w:rPr>
          <w:rFonts w:eastAsiaTheme="minorHAnsi"/>
          <w:color w:val="767171" w:themeColor="background2" w:themeShade="80"/>
          <w:szCs w:val="24"/>
          <w:lang w:val="es-ES" w:eastAsia="en-US"/>
        </w:rPr>
      </w:pPr>
      <w:r w:rsidRPr="00892597">
        <w:rPr>
          <w:rFonts w:eastAsiaTheme="minorHAnsi"/>
          <w:b/>
          <w:bCs/>
          <w:color w:val="767171" w:themeColor="background2" w:themeShade="80"/>
          <w:szCs w:val="24"/>
          <w:lang w:val="es-ES" w:eastAsia="en-US"/>
        </w:rPr>
        <w:t xml:space="preserve">Reciclaje de </w:t>
      </w:r>
      <w:r w:rsidR="00BB4634">
        <w:rPr>
          <w:rFonts w:eastAsiaTheme="minorHAnsi"/>
          <w:b/>
          <w:bCs/>
          <w:color w:val="767171" w:themeColor="background2" w:themeShade="80"/>
          <w:szCs w:val="24"/>
          <w:lang w:val="es-ES" w:eastAsia="en-US"/>
        </w:rPr>
        <w:t>E</w:t>
      </w:r>
      <w:r w:rsidRPr="00892597">
        <w:rPr>
          <w:rFonts w:eastAsiaTheme="minorHAnsi"/>
          <w:b/>
          <w:bCs/>
          <w:color w:val="767171" w:themeColor="background2" w:themeShade="80"/>
          <w:szCs w:val="24"/>
          <w:lang w:val="es-ES" w:eastAsia="en-US"/>
        </w:rPr>
        <w:t xml:space="preserve">quipos </w:t>
      </w:r>
      <w:r w:rsidR="00BB4634">
        <w:rPr>
          <w:rFonts w:eastAsiaTheme="minorHAnsi"/>
          <w:b/>
          <w:bCs/>
          <w:color w:val="767171" w:themeColor="background2" w:themeShade="80"/>
          <w:szCs w:val="24"/>
          <w:lang w:val="es-ES" w:eastAsia="en-US"/>
        </w:rPr>
        <w:t>E</w:t>
      </w:r>
      <w:r w:rsidRPr="00892597">
        <w:rPr>
          <w:rFonts w:eastAsiaTheme="minorHAnsi"/>
          <w:b/>
          <w:bCs/>
          <w:color w:val="767171" w:themeColor="background2" w:themeShade="80"/>
          <w:szCs w:val="24"/>
          <w:lang w:val="es-ES" w:eastAsia="en-US"/>
        </w:rPr>
        <w:t>lectrónicos</w:t>
      </w:r>
      <w:r>
        <w:rPr>
          <w:rFonts w:eastAsiaTheme="minorHAnsi"/>
          <w:color w:val="767171" w:themeColor="background2" w:themeShade="80"/>
          <w:szCs w:val="24"/>
          <w:lang w:val="es-ES" w:eastAsia="en-US"/>
        </w:rPr>
        <w:br/>
      </w: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color w:val="767171" w:themeColor="background2" w:themeShade="80"/>
          <w:szCs w:val="24"/>
          <w:lang w:val="es-ES" w:eastAsia="en-US"/>
        </w:rPr>
        <w:t xml:space="preserve">Esta actividad tiene como objetivos principales: </w:t>
      </w:r>
    </w:p>
    <w:p w:rsidR="00892597" w:rsidRPr="00892597" w:rsidRDefault="00892597" w:rsidP="00BB4634">
      <w:pPr>
        <w:numPr>
          <w:ilvl w:val="0"/>
          <w:numId w:val="28"/>
        </w:numPr>
        <w:spacing w:line="360" w:lineRule="auto"/>
        <w:contextualSpacing/>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Promover y potencializar el manejo responsable de los desechos electrónicos y tecnológicos que existen en nuestro país.  </w:t>
      </w:r>
    </w:p>
    <w:p w:rsidR="00892597" w:rsidRPr="00892597" w:rsidRDefault="00892597" w:rsidP="00BB4634">
      <w:pPr>
        <w:numPr>
          <w:ilvl w:val="0"/>
          <w:numId w:val="28"/>
        </w:numPr>
        <w:spacing w:line="360" w:lineRule="auto"/>
        <w:contextualSpacing/>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Motivar a las instituciones y empresa</w:t>
      </w:r>
      <w:r w:rsidR="00BB4634">
        <w:rPr>
          <w:rFonts w:eastAsiaTheme="minorHAnsi"/>
          <w:color w:val="767171" w:themeColor="background2" w:themeShade="80"/>
          <w:szCs w:val="24"/>
          <w:lang w:val="es-ES" w:eastAsia="en-US"/>
        </w:rPr>
        <w:t>s</w:t>
      </w:r>
      <w:r w:rsidRPr="00892597">
        <w:rPr>
          <w:rFonts w:eastAsiaTheme="minorHAnsi"/>
          <w:color w:val="767171" w:themeColor="background2" w:themeShade="80"/>
          <w:szCs w:val="24"/>
          <w:lang w:val="es-ES" w:eastAsia="en-US"/>
        </w:rPr>
        <w:t xml:space="preserve"> al uso adecuado de estos desechos. </w:t>
      </w:r>
    </w:p>
    <w:p w:rsidR="00892597" w:rsidRPr="00892597" w:rsidRDefault="00892597" w:rsidP="00BB4634">
      <w:pPr>
        <w:numPr>
          <w:ilvl w:val="0"/>
          <w:numId w:val="28"/>
        </w:numPr>
        <w:spacing w:line="360" w:lineRule="auto"/>
        <w:contextualSpacing/>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Poner en conocimiento soluciones locales e innovadora en el manejo de los desechos electrónicos y tecnológicos.  </w:t>
      </w:r>
    </w:p>
    <w:p w:rsidR="00892597" w:rsidRDefault="00892597" w:rsidP="00BB4634">
      <w:pPr>
        <w:numPr>
          <w:ilvl w:val="0"/>
          <w:numId w:val="28"/>
        </w:numPr>
        <w:spacing w:line="360" w:lineRule="auto"/>
        <w:contextualSpacing/>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Destacar y dar a conocer los acuerdos que se han hecho en este sentido </w:t>
      </w:r>
      <w:r w:rsidR="00BB4634">
        <w:rPr>
          <w:rFonts w:eastAsiaTheme="minorHAnsi"/>
          <w:color w:val="767171" w:themeColor="background2" w:themeShade="80"/>
          <w:szCs w:val="24"/>
          <w:lang w:val="es-ES" w:eastAsia="en-US"/>
        </w:rPr>
        <w:t xml:space="preserve">entre </w:t>
      </w:r>
      <w:r w:rsidRPr="00892597">
        <w:rPr>
          <w:rFonts w:eastAsiaTheme="minorHAnsi"/>
          <w:color w:val="767171" w:themeColor="background2" w:themeShade="80"/>
          <w:szCs w:val="24"/>
          <w:lang w:val="es-ES" w:eastAsia="en-US"/>
        </w:rPr>
        <w:t>INDOTEL y el Ministerio de Medio Ambiente.</w:t>
      </w:r>
    </w:p>
    <w:p w:rsidR="00892597" w:rsidRPr="00892597" w:rsidRDefault="00892597" w:rsidP="00892597">
      <w:pPr>
        <w:spacing w:line="360" w:lineRule="auto"/>
        <w:ind w:left="720"/>
        <w:contextualSpacing/>
        <w:jc w:val="left"/>
        <w:rPr>
          <w:rFonts w:eastAsiaTheme="minorHAnsi"/>
          <w:color w:val="767171" w:themeColor="background2" w:themeShade="80"/>
          <w:szCs w:val="24"/>
          <w:lang w:val="es-ES" w:eastAsia="en-US"/>
        </w:rPr>
      </w:pP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color w:val="767171" w:themeColor="background2" w:themeShade="80"/>
          <w:szCs w:val="24"/>
          <w:lang w:val="es-ES" w:eastAsia="en-US"/>
        </w:rPr>
        <w:t xml:space="preserve">Discapacidad y </w:t>
      </w:r>
      <w:r w:rsidR="00BB4634">
        <w:rPr>
          <w:rFonts w:eastAsiaTheme="minorHAnsi"/>
          <w:b/>
          <w:color w:val="767171" w:themeColor="background2" w:themeShade="80"/>
          <w:szCs w:val="24"/>
          <w:lang w:val="es-ES" w:eastAsia="en-US"/>
        </w:rPr>
        <w:t>T</w:t>
      </w:r>
      <w:r w:rsidRPr="00892597">
        <w:rPr>
          <w:rFonts w:eastAsiaTheme="minorHAnsi"/>
          <w:b/>
          <w:color w:val="767171" w:themeColor="background2" w:themeShade="80"/>
          <w:szCs w:val="24"/>
          <w:lang w:val="es-ES" w:eastAsia="en-US"/>
        </w:rPr>
        <w:t xml:space="preserve">ecnología </w:t>
      </w:r>
      <w:r w:rsidR="00BB4634">
        <w:rPr>
          <w:rFonts w:eastAsiaTheme="minorHAnsi"/>
          <w:b/>
          <w:color w:val="767171" w:themeColor="background2" w:themeShade="80"/>
          <w:szCs w:val="24"/>
          <w:lang w:val="es-ES" w:eastAsia="en-US"/>
        </w:rPr>
        <w:t>A</w:t>
      </w:r>
      <w:r w:rsidRPr="00892597">
        <w:rPr>
          <w:rFonts w:eastAsiaTheme="minorHAnsi"/>
          <w:b/>
          <w:color w:val="767171" w:themeColor="background2" w:themeShade="80"/>
          <w:szCs w:val="24"/>
          <w:lang w:val="es-ES" w:eastAsia="en-US"/>
        </w:rPr>
        <w:t xml:space="preserve">ccesible </w:t>
      </w:r>
    </w:p>
    <w:p w:rsidR="00892597" w:rsidRPr="00BB4634"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Este evento fue realizado en fecha 3 de noviembre de 2021</w:t>
      </w:r>
      <w:r w:rsidR="00BB4634">
        <w:rPr>
          <w:rFonts w:eastAsiaTheme="minorHAnsi"/>
          <w:color w:val="767171" w:themeColor="background2" w:themeShade="80"/>
          <w:szCs w:val="24"/>
          <w:lang w:val="es-ES" w:eastAsia="en-US"/>
        </w:rPr>
        <w:t>.</w:t>
      </w:r>
      <w:r w:rsidRPr="00892597">
        <w:rPr>
          <w:rFonts w:eastAsiaTheme="minorHAnsi"/>
          <w:color w:val="767171" w:themeColor="background2" w:themeShade="80"/>
          <w:szCs w:val="24"/>
          <w:lang w:val="es-ES" w:eastAsia="en-US"/>
        </w:rPr>
        <w:t xml:space="preserve"> Es un esfuerzo coordinado desde el Centro INDOTEL que busca visibilizar las tecnologías accesibles, que mejoran la calidad de vida y de formación de las personas con discapacidad y la difusión de los criterios que debemos tomar en cuenta todas las instituciones, empresas y actores sociales en general al momento de realizar publicaciones en Internet y diseñar </w:t>
      </w:r>
      <w:proofErr w:type="spellStart"/>
      <w:r w:rsidRPr="00892597">
        <w:rPr>
          <w:rFonts w:eastAsiaTheme="minorHAnsi"/>
          <w:color w:val="767171" w:themeColor="background2" w:themeShade="80"/>
          <w:szCs w:val="24"/>
          <w:lang w:val="es-ES" w:eastAsia="en-US"/>
        </w:rPr>
        <w:t>Website</w:t>
      </w:r>
      <w:proofErr w:type="spellEnd"/>
      <w:r w:rsidRPr="00892597">
        <w:rPr>
          <w:rFonts w:eastAsiaTheme="minorHAnsi"/>
          <w:color w:val="767171" w:themeColor="background2" w:themeShade="80"/>
          <w:szCs w:val="24"/>
          <w:lang w:val="es-ES" w:eastAsia="en-US"/>
        </w:rPr>
        <w:t>.</w:t>
      </w: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bCs/>
          <w:color w:val="767171" w:themeColor="background2" w:themeShade="80"/>
          <w:szCs w:val="24"/>
          <w:lang w:val="es-ES" w:eastAsia="en-US"/>
        </w:rPr>
        <w:lastRenderedPageBreak/>
        <w:t>Objetivos del encuentro:</w:t>
      </w:r>
    </w:p>
    <w:p w:rsidR="00892597" w:rsidRPr="00892597" w:rsidRDefault="00892597" w:rsidP="00A17C7C">
      <w:pPr>
        <w:numPr>
          <w:ilvl w:val="0"/>
          <w:numId w:val="29"/>
        </w:numPr>
        <w:spacing w:line="360" w:lineRule="auto"/>
        <w:contextualSpacing/>
        <w:jc w:val="left"/>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Identificar cuáles son las tecnologías más usadas por los colectivos con deficiencia visual y auditivas, mostrar cuáles otras existen y pueden ser utilizadas. </w:t>
      </w:r>
    </w:p>
    <w:p w:rsidR="00892597" w:rsidRPr="00892597" w:rsidRDefault="00892597" w:rsidP="00A17C7C">
      <w:pPr>
        <w:numPr>
          <w:ilvl w:val="0"/>
          <w:numId w:val="29"/>
        </w:numPr>
        <w:spacing w:line="360" w:lineRule="auto"/>
        <w:contextualSpacing/>
        <w:jc w:val="left"/>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Constatar cómo las tecnologías accesibles mejoran la calidad de vida de las personas con discapacidad.</w:t>
      </w:r>
    </w:p>
    <w:p w:rsidR="00892597" w:rsidRPr="00892597" w:rsidRDefault="00892597" w:rsidP="00A17C7C">
      <w:pPr>
        <w:numPr>
          <w:ilvl w:val="0"/>
          <w:numId w:val="29"/>
        </w:numPr>
        <w:spacing w:line="360" w:lineRule="auto"/>
        <w:contextualSpacing/>
        <w:jc w:val="left"/>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Exponer y promover el uso de la guía de criterios de accesibilidad creada para la creación de </w:t>
      </w:r>
      <w:proofErr w:type="spellStart"/>
      <w:r w:rsidRPr="00892597">
        <w:rPr>
          <w:rFonts w:eastAsiaTheme="minorHAnsi"/>
          <w:color w:val="767171" w:themeColor="background2" w:themeShade="80"/>
          <w:szCs w:val="24"/>
          <w:lang w:val="es-ES" w:eastAsia="en-US"/>
        </w:rPr>
        <w:t>Website</w:t>
      </w:r>
      <w:proofErr w:type="spellEnd"/>
      <w:r w:rsidRPr="00892597">
        <w:rPr>
          <w:rFonts w:eastAsiaTheme="minorHAnsi"/>
          <w:color w:val="767171" w:themeColor="background2" w:themeShade="80"/>
          <w:szCs w:val="24"/>
          <w:lang w:val="es-ES" w:eastAsia="en-US"/>
        </w:rPr>
        <w:t xml:space="preserve"> y otras publicaciones en la red. </w:t>
      </w:r>
    </w:p>
    <w:p w:rsidR="00892597" w:rsidRPr="00892597" w:rsidRDefault="00892597" w:rsidP="00892597">
      <w:pPr>
        <w:spacing w:line="360" w:lineRule="auto"/>
        <w:rPr>
          <w:rFonts w:eastAsiaTheme="minorHAnsi"/>
          <w:color w:val="767171" w:themeColor="background2" w:themeShade="80"/>
          <w:szCs w:val="24"/>
          <w:lang w:val="es-ES" w:eastAsia="en-US"/>
        </w:rPr>
      </w:pP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b/>
          <w:color w:val="767171" w:themeColor="background2" w:themeShade="80"/>
          <w:szCs w:val="24"/>
          <w:lang w:val="es-ES" w:eastAsia="en-US"/>
        </w:rPr>
        <w:t xml:space="preserve">Sede de </w:t>
      </w:r>
      <w:r w:rsidR="00BB4634">
        <w:rPr>
          <w:rFonts w:eastAsiaTheme="minorHAnsi"/>
          <w:b/>
          <w:color w:val="767171" w:themeColor="background2" w:themeShade="80"/>
          <w:szCs w:val="24"/>
          <w:lang w:val="es-ES" w:eastAsia="en-US"/>
        </w:rPr>
        <w:t>E</w:t>
      </w:r>
      <w:r w:rsidRPr="00892597">
        <w:rPr>
          <w:rFonts w:eastAsiaTheme="minorHAnsi"/>
          <w:b/>
          <w:color w:val="767171" w:themeColor="background2" w:themeShade="80"/>
          <w:szCs w:val="24"/>
          <w:lang w:val="es-ES" w:eastAsia="en-US"/>
        </w:rPr>
        <w:t xml:space="preserve">ventos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Hemos sido sede y soporte para que además del INDOTEL, otras entidades y/o empresas puedan desarrollar sus eventos en los espacios del Centro INDOTEL, promoviendo así la integridad interinstitucional.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Desde enero a la fecha hemos sido sede de alrededor de 75 eventos. </w:t>
      </w:r>
    </w:p>
    <w:p w:rsidR="00892597" w:rsidRPr="00892597" w:rsidRDefault="00892597" w:rsidP="00892597">
      <w:pPr>
        <w:spacing w:line="360" w:lineRule="auto"/>
        <w:rPr>
          <w:rFonts w:eastAsiaTheme="minorHAnsi"/>
          <w:color w:val="767171" w:themeColor="background2" w:themeShade="80"/>
          <w:szCs w:val="24"/>
          <w:lang w:val="es-ES" w:eastAsia="en-US"/>
        </w:rPr>
      </w:pP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color w:val="767171" w:themeColor="background2" w:themeShade="80"/>
          <w:szCs w:val="24"/>
          <w:lang w:val="es-ES" w:eastAsia="en-US"/>
        </w:rPr>
        <w:t>Promoviendo la Cultura Digital</w:t>
      </w: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bCs/>
          <w:color w:val="767171" w:themeColor="background2" w:themeShade="80"/>
          <w:szCs w:val="24"/>
          <w:lang w:val="es-ES" w:eastAsia="en-US"/>
        </w:rPr>
        <w:t>Talentos TICS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Persigue promocionar las carreras TICS entre los jóvenes dominicanos a través de los testimonios de líderes positivos que presentan sus logros personales y cómo estas carreras abrieron puerta a su desarrollo personal.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Para elegir a los jóvenes participantes tomamos en cuenta logros profesionales y pasión por su carrera, que puedan comunicar esa pasión de manera efectiva y cree empatía en jóvenes que están en el momento de decidir su futuro profesional o si están dentro del colegio se esfuercen por aplicarse en la matemática y la lógica para entrar a carreras TICS una vez terminen esta fase de su preparación.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lastRenderedPageBreak/>
        <w:t xml:space="preserve">En todo el año hemos producido alrededor de 26 entrevistas de Talentos TICS.  </w:t>
      </w:r>
    </w:p>
    <w:p w:rsidR="00892597" w:rsidRPr="00892597" w:rsidRDefault="00892597" w:rsidP="00DA4FB5">
      <w:pPr>
        <w:pStyle w:val="Sinespaciado"/>
        <w:rPr>
          <w:rFonts w:eastAsiaTheme="minorHAnsi"/>
          <w:lang w:val="es-ES" w:eastAsia="en-US"/>
        </w:rPr>
      </w:pPr>
    </w:p>
    <w:p w:rsidR="00892597" w:rsidRPr="00892597" w:rsidRDefault="00892597" w:rsidP="00892597">
      <w:pPr>
        <w:spacing w:line="360" w:lineRule="auto"/>
        <w:rPr>
          <w:rFonts w:eastAsiaTheme="minorHAnsi"/>
          <w:color w:val="FF0000"/>
          <w:szCs w:val="24"/>
          <w:lang w:val="es-ES" w:eastAsia="en-US"/>
        </w:rPr>
      </w:pPr>
      <w:r w:rsidRPr="00892597">
        <w:rPr>
          <w:rFonts w:eastAsiaTheme="minorHAnsi"/>
          <w:b/>
          <w:bCs/>
          <w:color w:val="767171" w:themeColor="background2" w:themeShade="80"/>
          <w:szCs w:val="24"/>
          <w:lang w:val="es-ES" w:eastAsia="en-US"/>
        </w:rPr>
        <w:t>Proyecto Testimonio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Es un proyecto que persigue recoger las voces de los protagonistas de la radiodifusión, la televisión y el internet en República Dominicana. El proyecto testimonio trabaja en la grabación audiovisual y levantamiento de los recuerdos, vivencias, documentos e informaciones de quienes fueron las figuras relevantes en los diferentes períodos de la historia y desarrollo de los medios tecnológicos de información y comunicación en nuestro país, en especial, de la radio, la televisión y el internet.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El proyecto será parte del acervo cultural de la nación y se le enviará copia al Archivo General de la Nación para que pueda ser consultado por investigadores e historiadores del área de los medios de comunicación y estudiantes en general interesados en el tema. </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Durante este año 2021 se han producido alrededor de 19 Testimonios.  </w:t>
      </w:r>
    </w:p>
    <w:p w:rsidR="00DA4FB5" w:rsidRDefault="00DA4FB5" w:rsidP="00DA4FB5">
      <w:pPr>
        <w:pStyle w:val="Sinespaciado"/>
        <w:rPr>
          <w:rFonts w:eastAsiaTheme="minorHAnsi"/>
          <w:lang w:val="es-ES" w:eastAsia="en-US"/>
        </w:rPr>
      </w:pPr>
    </w:p>
    <w:p w:rsidR="00892597" w:rsidRPr="00892597" w:rsidRDefault="00892597" w:rsidP="00892597">
      <w:pPr>
        <w:spacing w:line="360" w:lineRule="auto"/>
        <w:rPr>
          <w:rFonts w:eastAsiaTheme="minorHAnsi"/>
          <w:b/>
          <w:color w:val="767171" w:themeColor="background2" w:themeShade="80"/>
          <w:szCs w:val="24"/>
          <w:lang w:val="es-ES" w:eastAsia="en-US"/>
        </w:rPr>
      </w:pPr>
      <w:r w:rsidRPr="00892597">
        <w:rPr>
          <w:rFonts w:eastAsiaTheme="minorHAnsi"/>
          <w:b/>
          <w:color w:val="767171" w:themeColor="background2" w:themeShade="80"/>
          <w:szCs w:val="24"/>
          <w:lang w:val="es-ES" w:eastAsia="en-US"/>
        </w:rPr>
        <w:t>Visitas presenciales al Museo de las Telecomunicaciones</w:t>
      </w:r>
    </w:p>
    <w:p w:rsidR="00892597" w:rsidRPr="00892597" w:rsidRDefault="00892597" w:rsidP="00892597">
      <w:pPr>
        <w:spacing w:line="360" w:lineRule="auto"/>
        <w:rPr>
          <w:rFonts w:eastAsiaTheme="minorHAnsi"/>
          <w:color w:val="767171" w:themeColor="background2" w:themeShade="80"/>
          <w:szCs w:val="24"/>
          <w:lang w:val="es-ES" w:eastAsia="en-US"/>
        </w:rPr>
      </w:pPr>
      <w:r w:rsidRPr="00892597">
        <w:rPr>
          <w:rFonts w:eastAsiaTheme="minorHAnsi"/>
          <w:color w:val="767171" w:themeColor="background2" w:themeShade="80"/>
          <w:szCs w:val="24"/>
          <w:lang w:val="es-ES" w:eastAsia="en-US"/>
        </w:rPr>
        <w:t xml:space="preserve">Producto de la pandemia </w:t>
      </w:r>
      <w:proofErr w:type="spellStart"/>
      <w:r w:rsidRPr="00892597">
        <w:rPr>
          <w:rFonts w:eastAsiaTheme="minorHAnsi"/>
          <w:color w:val="767171" w:themeColor="background2" w:themeShade="80"/>
          <w:szCs w:val="24"/>
          <w:lang w:val="es-ES" w:eastAsia="en-US"/>
        </w:rPr>
        <w:t>Covid</w:t>
      </w:r>
      <w:proofErr w:type="spellEnd"/>
      <w:r w:rsidRPr="00892597">
        <w:rPr>
          <w:rFonts w:eastAsiaTheme="minorHAnsi"/>
          <w:color w:val="767171" w:themeColor="background2" w:themeShade="80"/>
          <w:szCs w:val="24"/>
          <w:lang w:val="es-ES" w:eastAsia="en-US"/>
        </w:rPr>
        <w:t xml:space="preserve"> 19 que aún nos agobia, nos vimos obligados a cerrar el museo de manera presencial. Abrimos las puertas nuevamente en el mes de julio del presente año y desde entonces hemos recibido 295 visitantes con los cuales se ha manejado el debido protocolo de distanciamiento y demás, cuidando tanto nuestros visitantes como nuestros colaboradores. </w:t>
      </w:r>
    </w:p>
    <w:p w:rsidR="00892597" w:rsidRPr="00892597" w:rsidRDefault="00892597" w:rsidP="00892597">
      <w:pPr>
        <w:spacing w:line="360" w:lineRule="auto"/>
        <w:rPr>
          <w:rFonts w:eastAsiaTheme="minorHAnsi"/>
          <w:color w:val="767171" w:themeColor="background2" w:themeShade="80"/>
          <w:szCs w:val="24"/>
          <w:lang w:val="es-ES" w:eastAsia="en-US"/>
        </w:rPr>
      </w:pPr>
    </w:p>
    <w:p w:rsidR="00892597" w:rsidRPr="00892597" w:rsidRDefault="00892597" w:rsidP="00892597">
      <w:pPr>
        <w:spacing w:line="360" w:lineRule="auto"/>
        <w:rPr>
          <w:rFonts w:eastAsiaTheme="minorHAnsi"/>
          <w:color w:val="767171" w:themeColor="background2" w:themeShade="80"/>
          <w:szCs w:val="24"/>
          <w:lang w:val="es-ES" w:eastAsia="en-US"/>
        </w:rPr>
      </w:pPr>
    </w:p>
    <w:p w:rsidR="00892597" w:rsidRPr="00892597" w:rsidRDefault="00892597" w:rsidP="00892597">
      <w:pPr>
        <w:spacing w:line="360" w:lineRule="auto"/>
        <w:rPr>
          <w:rFonts w:eastAsiaTheme="minorHAnsi"/>
          <w:color w:val="767171" w:themeColor="background2" w:themeShade="80"/>
          <w:szCs w:val="24"/>
          <w:lang w:eastAsia="en-US"/>
        </w:rPr>
      </w:pPr>
    </w:p>
    <w:p w:rsidR="00892597" w:rsidRDefault="00892597" w:rsidP="00B3628C"/>
    <w:p w:rsidR="001C577F" w:rsidRDefault="000D727A" w:rsidP="001C577F">
      <w:pPr>
        <w:pStyle w:val="Ttulo3"/>
        <w:rPr>
          <w:szCs w:val="28"/>
        </w:rPr>
      </w:pPr>
      <w:bookmarkStart w:id="77" w:name="_Toc90936662"/>
      <w:r>
        <w:rPr>
          <w:szCs w:val="28"/>
        </w:rPr>
        <w:lastRenderedPageBreak/>
        <w:t>Comisión de Ética</w:t>
      </w:r>
      <w:r w:rsidR="001C577F">
        <w:rPr>
          <w:szCs w:val="28"/>
        </w:rPr>
        <w:t xml:space="preserve"> Pública (CEP) del INDOTEL</w:t>
      </w:r>
      <w:bookmarkEnd w:id="77"/>
    </w:p>
    <w:p w:rsidR="0073258A" w:rsidRPr="0073258A" w:rsidRDefault="0073258A" w:rsidP="0073258A">
      <w:pPr>
        <w:pStyle w:val="Sinespaciado"/>
      </w:pPr>
    </w:p>
    <w:p w:rsidR="004E28C1" w:rsidRPr="004E28C1" w:rsidRDefault="004E28C1" w:rsidP="004E28C1">
      <w:pPr>
        <w:spacing w:after="0" w:line="360" w:lineRule="auto"/>
        <w:rPr>
          <w:rFonts w:eastAsia="Times New Roman"/>
        </w:rPr>
      </w:pPr>
      <w:r w:rsidRPr="004E28C1">
        <w:rPr>
          <w:rFonts w:eastAsia="Times New Roman"/>
        </w:rPr>
        <w:t>La Comisión de Ética Pública (CEP) es el organismo responsable de promover el buen funcionamiento de la administración pública en las instituciones. Trabaja como ente consultivo, educativo, deliberativo y de intervención en los problemas éticos que se presenten en el ámbito laboral y profesional, garantizando así que la actuación institucional esté orientada hacia el interés general, previniendo acciones contrarias a los principios éticos. Tales atribuciones le son reconocidas en la Resolución Núm. 01/2019 de la DIGEIG, que crea el Reglamento e Instructivo para la Conformación y el Funcionamiento de las Comisiones de Ética Pública (CEP).</w:t>
      </w:r>
    </w:p>
    <w:p w:rsidR="004E28C1" w:rsidRPr="004E28C1" w:rsidRDefault="004E28C1" w:rsidP="004E28C1">
      <w:pPr>
        <w:spacing w:before="240" w:line="360" w:lineRule="auto"/>
        <w:rPr>
          <w:rFonts w:eastAsia="Times New Roman"/>
          <w:szCs w:val="24"/>
        </w:rPr>
      </w:pPr>
      <w:r w:rsidRPr="004E28C1">
        <w:rPr>
          <w:rFonts w:eastAsia="Times New Roman"/>
          <w:szCs w:val="24"/>
        </w:rPr>
        <w:t>Durante el periodo comprendido entre los meses de enero a junio de 2021 y de acuerdo a las actividades plasmadas en su Plan de Trabajo, fue actualizado el Código de Ética Institucional, el cual fue aprobado mediante la Resolución del Consejo Directivo, Núm. 008-2021.</w:t>
      </w:r>
    </w:p>
    <w:p w:rsidR="004E28C1" w:rsidRPr="004E28C1" w:rsidRDefault="004E28C1" w:rsidP="004E28C1">
      <w:pPr>
        <w:spacing w:before="240" w:line="360" w:lineRule="auto"/>
        <w:rPr>
          <w:rFonts w:eastAsia="Times New Roman"/>
          <w:szCs w:val="24"/>
        </w:rPr>
      </w:pPr>
      <w:r w:rsidRPr="004E28C1">
        <w:rPr>
          <w:rFonts w:eastAsia="Times New Roman"/>
          <w:szCs w:val="24"/>
        </w:rPr>
        <w:t>En fecha 18 de febrero de 2021, fue gestionada la firma del Compromiso Ético de los Altos Funcionarios Públicos con el Gobierno y la Sociedad del consejero Darío Adames, completando de esta forma la totalidad de funcionarios nombrados por Decreto que deben firmar dicho documento, y su posterior remisión a la DIGEIG en fecha 24 de febrero de 2021.</w:t>
      </w:r>
    </w:p>
    <w:p w:rsidR="004E28C1" w:rsidRPr="004E28C1" w:rsidRDefault="004E28C1" w:rsidP="004E28C1">
      <w:pPr>
        <w:spacing w:before="240" w:line="360" w:lineRule="auto"/>
        <w:rPr>
          <w:rFonts w:eastAsia="Times New Roman"/>
          <w:szCs w:val="24"/>
        </w:rPr>
      </w:pPr>
      <w:r w:rsidRPr="004E28C1">
        <w:rPr>
          <w:rFonts w:eastAsia="Times New Roman"/>
          <w:szCs w:val="24"/>
        </w:rPr>
        <w:t xml:space="preserve">La Comisión de Ética Pública del INDOTEL con el objetivo de dar cumplimiento a uno de los requerimientos establecidos en el  Plan de Trabajo 2021, acogió al llamado realizado de este órgano regulador para participar en el proceso de  análisis y reforma de las Comisiones de Ética Pública. Para tales fines, fue convocada una reunión con la señora </w:t>
      </w:r>
      <w:proofErr w:type="spellStart"/>
      <w:r w:rsidRPr="004E28C1">
        <w:rPr>
          <w:rFonts w:eastAsia="Times New Roman"/>
          <w:szCs w:val="24"/>
        </w:rPr>
        <w:t>Tahíra</w:t>
      </w:r>
      <w:proofErr w:type="spellEnd"/>
      <w:r w:rsidRPr="004E28C1">
        <w:rPr>
          <w:rFonts w:eastAsia="Times New Roman"/>
          <w:szCs w:val="24"/>
        </w:rPr>
        <w:t xml:space="preserve"> Vargas, en fecha 26 de abril de 2021, en la cual se levantó un análisis cualitativo sobre el funcionamiento como CEP, así como los desafíos y oportunidades de mejora que enfrentan en el ejercicio de sus funciones.</w:t>
      </w:r>
    </w:p>
    <w:p w:rsidR="004E28C1" w:rsidRPr="004E28C1" w:rsidRDefault="004E28C1" w:rsidP="004E28C1">
      <w:pPr>
        <w:spacing w:before="240" w:after="0" w:line="360" w:lineRule="auto"/>
        <w:rPr>
          <w:rFonts w:eastAsia="Times New Roman"/>
          <w:szCs w:val="24"/>
        </w:rPr>
      </w:pPr>
      <w:r w:rsidRPr="004E28C1">
        <w:rPr>
          <w:rFonts w:eastAsia="Times New Roman"/>
          <w:szCs w:val="24"/>
        </w:rPr>
        <w:lastRenderedPageBreak/>
        <w:t>La  Comisión de Ética Pública del INDOTEL se unió a la celebración de la Semana de la Ética, participando en la realización de diferentes acciones, dentro de las cuales podemos destacar el taller virtual "Conflictos de Intereses en la Administración Pública", impartido por la Dra. Teodora Castro, en fecha 27 de abril de 2021 para los colaboradores del INDOTEL. En ese mismo orden, se llevó a cabo una actividad el 29 de abril, conmemorando el Día Nacional de la Ética Ciudadana y resaltando la figura de Ulises Francisco Espaillat como Padre de la Ética. También, fueron publicadas diferentes cápsulas, tanto por redes sociales como a nivel institucional, con temas alusivos a la conmemoración.</w:t>
      </w:r>
    </w:p>
    <w:p w:rsidR="004E28C1" w:rsidRPr="004E28C1" w:rsidRDefault="004E28C1" w:rsidP="004E28C1">
      <w:pPr>
        <w:spacing w:before="240" w:line="360" w:lineRule="auto"/>
        <w:rPr>
          <w:rFonts w:eastAsia="Times New Roman"/>
          <w:szCs w:val="24"/>
        </w:rPr>
      </w:pPr>
      <w:r w:rsidRPr="004E28C1">
        <w:rPr>
          <w:rFonts w:eastAsia="Times New Roman"/>
          <w:szCs w:val="24"/>
        </w:rPr>
        <w:t xml:space="preserve">En los meses de enero a junio de 2021, fueron realizadas ocho (8) inducciones al personal de nuevo ingreso a la institución sobrepasando las cuatro (4) estipuladas en el Plan de Trabajo, impactando a un total  de 181 colaboradores. En estas inducciones </w:t>
      </w:r>
      <w:r w:rsidRPr="004E28C1">
        <w:rPr>
          <w:rFonts w:eastAsia="Times New Roman"/>
          <w:szCs w:val="24"/>
          <w:lang w:eastAsia="en-US"/>
        </w:rPr>
        <w:t xml:space="preserve">se incluye un apartado vinculado a las disposiciones que contempla el Código de Ética del INDOTEL respecto a los derechos y deberes del colaborador y las posibles consecuencias de su incumplimiento; a la vez, dicho espacio es aprovechado por el facilitador para sensibilizar a ese personal respecto de las funciones de la CEP del INDOTEL y el comportamiento que deben observar los colaboradores en su accionar en la institución. </w:t>
      </w:r>
    </w:p>
    <w:p w:rsidR="004E28C1" w:rsidRPr="004E28C1" w:rsidRDefault="004E28C1" w:rsidP="004E28C1">
      <w:pPr>
        <w:spacing w:before="240" w:after="0" w:line="360" w:lineRule="auto"/>
        <w:rPr>
          <w:rFonts w:eastAsia="Times New Roman"/>
          <w:szCs w:val="24"/>
        </w:rPr>
      </w:pPr>
      <w:r w:rsidRPr="004E28C1">
        <w:rPr>
          <w:rFonts w:eastAsia="Times New Roman"/>
          <w:szCs w:val="24"/>
        </w:rPr>
        <w:t>De igual forma, en el periodo comprendido entre los meses de enero a junio de 2021, fueron difundidos mediante correo electrónico dirigido a todo el personal, los medios disponibles para realizar asesorías en materia de ética e integridad. También, se han utilizado los medios electrónicos así como los murales institucionales localizados estratégicamente en áreas de fácil acceso para los colaboradores, para promocionar y sensibilizar sobre la forma en que deben presentar sus denuncias ante la Comisión de Ética Pública (CEP).</w:t>
      </w:r>
    </w:p>
    <w:p w:rsidR="004E28C1" w:rsidRPr="004E28C1" w:rsidRDefault="004E28C1" w:rsidP="004E28C1">
      <w:pPr>
        <w:spacing w:before="240" w:after="0" w:line="360" w:lineRule="auto"/>
        <w:rPr>
          <w:rFonts w:eastAsia="Times New Roman"/>
          <w:szCs w:val="24"/>
        </w:rPr>
      </w:pPr>
      <w:r w:rsidRPr="004E28C1">
        <w:rPr>
          <w:rFonts w:eastAsia="Times New Roman"/>
          <w:szCs w:val="24"/>
        </w:rPr>
        <w:t xml:space="preserve">Cabe destacar que en el mes de junio de 2021, fue remitida a todo el personal la Encuesta de Clima Ético. Un total de 224 colaboradores respondieron la misma, </w:t>
      </w:r>
      <w:r w:rsidRPr="004E28C1">
        <w:rPr>
          <w:rFonts w:eastAsia="Times New Roman"/>
          <w:szCs w:val="24"/>
        </w:rPr>
        <w:lastRenderedPageBreak/>
        <w:t>sobrepasando la meta programada en nuestro Plan de Trabajo de 193 colaboradores. Los resultados de dicha encuesta están siendo tabulados y analizados para su posterior difusión.</w:t>
      </w:r>
    </w:p>
    <w:p w:rsidR="004E28C1" w:rsidRPr="004E28C1" w:rsidRDefault="004E28C1" w:rsidP="004E28C1">
      <w:pPr>
        <w:spacing w:before="240" w:line="360" w:lineRule="auto"/>
        <w:rPr>
          <w:rFonts w:eastAsia="Times New Roman"/>
          <w:szCs w:val="24"/>
        </w:rPr>
      </w:pPr>
      <w:r w:rsidRPr="004E28C1">
        <w:rPr>
          <w:rFonts w:eastAsia="Times New Roman"/>
          <w:szCs w:val="24"/>
        </w:rPr>
        <w:t>En otro orden, fue realizado un informe conteniendo los resultados del análisis de las disposiciones vigentes sobre compras y contrataciones públicas, el cual fue remitido a la DIGEIG, según lo estipulado en la Ley Núm. 340-06 sobre Compras y Contrataciones de Bienes, Servicios, Obras y Concesiones, para el periodo comprendido entre enero a junio de 2021, dando fiel cumplimiento a lo estipulado en el Plan de Trabajo.</w:t>
      </w:r>
    </w:p>
    <w:p w:rsidR="00BB4634" w:rsidRDefault="004E28C1" w:rsidP="00BB4634">
      <w:pPr>
        <w:spacing w:before="240" w:after="0" w:line="360" w:lineRule="auto"/>
        <w:rPr>
          <w:rFonts w:eastAsia="Times New Roman"/>
          <w:szCs w:val="24"/>
        </w:rPr>
      </w:pPr>
      <w:r w:rsidRPr="004E28C1">
        <w:rPr>
          <w:rFonts w:eastAsia="Times New Roman"/>
          <w:szCs w:val="24"/>
        </w:rPr>
        <w:t>Finalmente, los miembros de la Comisión de Ética Pública del INDOTEL han participado en las capacitaciones virtuales convocadas por la Dirección de Capacitación en Ética y Transparencia de la DIGEIG, dentro de las cuales podemos citar las siguientes:</w:t>
      </w:r>
    </w:p>
    <w:p w:rsidR="00BB4634" w:rsidRPr="00DA4FB5" w:rsidRDefault="00BB4634" w:rsidP="00DA4FB5">
      <w:pPr>
        <w:pStyle w:val="Sinespaciado"/>
      </w:pPr>
    </w:p>
    <w:p w:rsidR="004E28C1" w:rsidRPr="004E28C1" w:rsidRDefault="004E28C1" w:rsidP="00A17C7C">
      <w:pPr>
        <w:numPr>
          <w:ilvl w:val="0"/>
          <w:numId w:val="31"/>
        </w:numPr>
        <w:spacing w:before="240" w:after="0" w:line="360" w:lineRule="auto"/>
        <w:contextualSpacing/>
        <w:jc w:val="left"/>
        <w:rPr>
          <w:rFonts w:eastAsia="Times New Roman"/>
          <w:szCs w:val="24"/>
        </w:rPr>
      </w:pPr>
      <w:r w:rsidRPr="004E28C1">
        <w:rPr>
          <w:rFonts w:eastAsia="Times New Roman"/>
          <w:szCs w:val="24"/>
        </w:rPr>
        <w:t>El Valor de la Ética en una Sociedad de Cambio</w:t>
      </w:r>
    </w:p>
    <w:p w:rsidR="004E28C1" w:rsidRPr="004E28C1" w:rsidRDefault="004E28C1" w:rsidP="00A17C7C">
      <w:pPr>
        <w:numPr>
          <w:ilvl w:val="0"/>
          <w:numId w:val="31"/>
        </w:numPr>
        <w:spacing w:before="240" w:after="0" w:line="360" w:lineRule="auto"/>
        <w:contextualSpacing/>
        <w:jc w:val="left"/>
        <w:rPr>
          <w:rFonts w:eastAsia="Times New Roman"/>
          <w:szCs w:val="24"/>
        </w:rPr>
      </w:pPr>
      <w:r w:rsidRPr="004E28C1">
        <w:rPr>
          <w:rFonts w:eastAsia="Times New Roman"/>
          <w:szCs w:val="24"/>
        </w:rPr>
        <w:t>Panel sobre el Sistema de Integridad en la Administración Pública</w:t>
      </w:r>
    </w:p>
    <w:p w:rsidR="004E28C1" w:rsidRPr="004E28C1" w:rsidRDefault="004E28C1" w:rsidP="00A17C7C">
      <w:pPr>
        <w:numPr>
          <w:ilvl w:val="0"/>
          <w:numId w:val="31"/>
        </w:numPr>
        <w:spacing w:before="240" w:after="0" w:line="360" w:lineRule="auto"/>
        <w:contextualSpacing/>
        <w:jc w:val="left"/>
        <w:rPr>
          <w:rFonts w:eastAsia="Times New Roman"/>
          <w:szCs w:val="24"/>
        </w:rPr>
      </w:pPr>
      <w:r w:rsidRPr="004E28C1">
        <w:rPr>
          <w:rFonts w:eastAsia="Times New Roman"/>
          <w:szCs w:val="24"/>
        </w:rPr>
        <w:t>La Ética en las Instituciones Públicas</w:t>
      </w:r>
    </w:p>
    <w:p w:rsidR="004E28C1" w:rsidRDefault="004E28C1" w:rsidP="00A17C7C">
      <w:pPr>
        <w:numPr>
          <w:ilvl w:val="0"/>
          <w:numId w:val="31"/>
        </w:numPr>
        <w:spacing w:before="240" w:after="0" w:line="360" w:lineRule="auto"/>
        <w:contextualSpacing/>
        <w:jc w:val="left"/>
        <w:rPr>
          <w:rFonts w:eastAsia="Times New Roman"/>
          <w:szCs w:val="24"/>
        </w:rPr>
      </w:pPr>
      <w:r w:rsidRPr="004E28C1">
        <w:rPr>
          <w:rFonts w:eastAsia="Times New Roman"/>
          <w:szCs w:val="24"/>
        </w:rPr>
        <w:t>Investigación y Buzones de Denuncias</w:t>
      </w:r>
    </w:p>
    <w:p w:rsidR="00DA4FB5" w:rsidRPr="004E28C1" w:rsidRDefault="00DA4FB5" w:rsidP="00DA4FB5">
      <w:pPr>
        <w:pStyle w:val="Sinespaciado"/>
      </w:pPr>
    </w:p>
    <w:p w:rsidR="004E28C1" w:rsidRPr="004E28C1" w:rsidRDefault="004E28C1" w:rsidP="004E28C1">
      <w:pPr>
        <w:spacing w:before="240" w:after="0" w:line="360" w:lineRule="auto"/>
        <w:ind w:right="142"/>
        <w:rPr>
          <w:rFonts w:eastAsia="Times New Roman"/>
          <w:b/>
          <w:szCs w:val="28"/>
        </w:rPr>
      </w:pPr>
      <w:r w:rsidRPr="004E28C1">
        <w:rPr>
          <w:rFonts w:eastAsia="Times New Roman"/>
          <w:b/>
          <w:szCs w:val="28"/>
        </w:rPr>
        <w:t>Declaración Jurada de Patrimonio</w:t>
      </w:r>
    </w:p>
    <w:p w:rsidR="004E28C1" w:rsidRPr="004E28C1" w:rsidRDefault="004E28C1" w:rsidP="004E28C1">
      <w:pPr>
        <w:spacing w:before="240" w:after="0" w:line="360" w:lineRule="auto"/>
        <w:rPr>
          <w:rFonts w:eastAsia="Times New Roman"/>
          <w:szCs w:val="24"/>
        </w:rPr>
      </w:pPr>
      <w:r w:rsidRPr="004E28C1">
        <w:rPr>
          <w:rFonts w:eastAsia="Times New Roman"/>
          <w:szCs w:val="24"/>
        </w:rPr>
        <w:t xml:space="preserve">De acuerdo al marco normativo que rige el accionar de la Comisión de Ética Pública, es su deber promover la presentación de la Declaración Jurada de Patrimonio y demás compromisos en el marco de la transparencia y la rendición, es por esto, que la CEP-INDOTEL ha procurado que los miembros del Consejo Directivo y demás servidores públicos obligados por Ley, cumplan con presentar su Declaración Jurada Patrimonial, en atención a lo estipulado en la Ley Núm. 311-04 sobre Declaración Jurada de Patrimonio, que instituye el Sistema Nacional </w:t>
      </w:r>
      <w:r w:rsidRPr="004E28C1">
        <w:rPr>
          <w:rFonts w:eastAsia="Times New Roman"/>
          <w:szCs w:val="24"/>
        </w:rPr>
        <w:lastRenderedPageBreak/>
        <w:t>Automatizado y Uniforme de Declaraciones Juradas de Patrimonio de los Funcionarios y Servidores Públicos y su Reglamento de Aplicación.</w:t>
      </w:r>
    </w:p>
    <w:p w:rsidR="004E28C1" w:rsidRPr="004E28C1" w:rsidRDefault="004E28C1" w:rsidP="004E28C1">
      <w:pPr>
        <w:spacing w:before="240" w:after="0" w:line="360" w:lineRule="auto"/>
        <w:rPr>
          <w:rFonts w:eastAsia="Times New Roman"/>
          <w:szCs w:val="24"/>
        </w:rPr>
      </w:pPr>
      <w:r w:rsidRPr="004E28C1">
        <w:rPr>
          <w:rFonts w:eastAsia="Times New Roman"/>
          <w:szCs w:val="24"/>
        </w:rPr>
        <w:t xml:space="preserve">Los integrantes del Consejo Directivo a que hacemos referencia son: Nelson de Jesús Arroyo Perdomo, presidente; Pavel Ernesto Isa Contreras, viceministro de Planificación e Inversión Pública, representante del ministro de Economía, Planificación y Desarrollo ante el Consejo Directivo; Hilda Patricia Polanco Morales, miembro del Consejo Directivo; Príamo Rafael Ramírez </w:t>
      </w:r>
      <w:proofErr w:type="spellStart"/>
      <w:r w:rsidRPr="004E28C1">
        <w:rPr>
          <w:rFonts w:eastAsia="Times New Roman"/>
          <w:szCs w:val="24"/>
        </w:rPr>
        <w:t>Ubiera</w:t>
      </w:r>
      <w:proofErr w:type="spellEnd"/>
      <w:r w:rsidRPr="004E28C1">
        <w:rPr>
          <w:rFonts w:eastAsia="Times New Roman"/>
          <w:szCs w:val="24"/>
        </w:rPr>
        <w:t xml:space="preserve">, miembro del Consejo Directivo; Darío Adames, miembro del Consejo Directivo; y Julissa Cruz Abreu, directora ejecutiva. Asimismo, los siguientes funcionarios han presentado su Declaración: </w:t>
      </w:r>
      <w:proofErr w:type="spellStart"/>
      <w:r w:rsidRPr="004E28C1">
        <w:rPr>
          <w:rFonts w:eastAsia="Times New Roman"/>
          <w:szCs w:val="24"/>
        </w:rPr>
        <w:t>Roseiby</w:t>
      </w:r>
      <w:proofErr w:type="spellEnd"/>
      <w:r w:rsidRPr="004E28C1">
        <w:rPr>
          <w:rFonts w:eastAsia="Times New Roman"/>
          <w:szCs w:val="24"/>
        </w:rPr>
        <w:t xml:space="preserve"> Joselyn Cruz Campillo, directora financiera; Yanira Bueno, directora administrativa y Johanna Peguero, gerente de Compras y Contrataciones.</w:t>
      </w:r>
    </w:p>
    <w:p w:rsidR="004E28C1" w:rsidRPr="004E28C1" w:rsidRDefault="004E28C1" w:rsidP="004E28C1">
      <w:pPr>
        <w:spacing w:before="240" w:after="0" w:line="360" w:lineRule="auto"/>
        <w:rPr>
          <w:rFonts w:eastAsia="Times New Roman"/>
          <w:b/>
          <w:szCs w:val="28"/>
        </w:rPr>
      </w:pPr>
      <w:r w:rsidRPr="004E28C1">
        <w:rPr>
          <w:rFonts w:eastAsia="Times New Roman"/>
          <w:b/>
          <w:szCs w:val="28"/>
        </w:rPr>
        <w:t>Sensibilización a Personal</w:t>
      </w:r>
    </w:p>
    <w:p w:rsidR="00DA4FB5" w:rsidRDefault="004E28C1" w:rsidP="004E28C1">
      <w:pPr>
        <w:spacing w:before="240" w:after="0" w:line="360" w:lineRule="auto"/>
        <w:rPr>
          <w:rFonts w:eastAsia="Times New Roman"/>
          <w:szCs w:val="24"/>
        </w:rPr>
      </w:pPr>
      <w:r w:rsidRPr="004E28C1">
        <w:rPr>
          <w:rFonts w:eastAsia="Times New Roman"/>
          <w:szCs w:val="24"/>
        </w:rPr>
        <w:t xml:space="preserve">La Comisión de Ética Pública (CEP), tuvo a su cargo la organización de la conferencia titulada “La Moral Social y la Ética o el Arte del Buen Vivir”, impartida por el Dr. Luis </w:t>
      </w:r>
      <w:proofErr w:type="spellStart"/>
      <w:r w:rsidRPr="004E28C1">
        <w:rPr>
          <w:rFonts w:eastAsia="Times New Roman"/>
          <w:szCs w:val="24"/>
        </w:rPr>
        <w:t>Scheker</w:t>
      </w:r>
      <w:proofErr w:type="spellEnd"/>
      <w:r w:rsidRPr="004E28C1">
        <w:rPr>
          <w:rFonts w:eastAsia="Times New Roman"/>
          <w:szCs w:val="24"/>
        </w:rPr>
        <w:t xml:space="preserve"> Ortiz,</w:t>
      </w:r>
      <w:r w:rsidRPr="004E28C1">
        <w:rPr>
          <w:rFonts w:eastAsia="Times New Roman"/>
          <w:sz w:val="28"/>
          <w:szCs w:val="28"/>
        </w:rPr>
        <w:t xml:space="preserve"> </w:t>
      </w:r>
      <w:r w:rsidRPr="004E28C1">
        <w:rPr>
          <w:rFonts w:eastAsia="Times New Roman"/>
          <w:szCs w:val="24"/>
        </w:rPr>
        <w:t>presidente de la Academia de Ciencias de la República Dominicana llevada a cabo el día 31 del mes de agosto. La misma se llevó a cabo en las instalaciones del Centro INDOTEL, ubicado en la Zona Colonial.</w:t>
      </w:r>
    </w:p>
    <w:p w:rsidR="004E28C1" w:rsidRPr="004E28C1" w:rsidRDefault="004E28C1" w:rsidP="00DA4FB5">
      <w:pPr>
        <w:pStyle w:val="Sinespaciado"/>
      </w:pPr>
      <w:r w:rsidRPr="004E28C1">
        <w:t xml:space="preserve"> </w:t>
      </w:r>
    </w:p>
    <w:p w:rsidR="00DA4FB5" w:rsidRDefault="004E28C1" w:rsidP="004E28C1">
      <w:pPr>
        <w:spacing w:line="360" w:lineRule="auto"/>
        <w:rPr>
          <w:rFonts w:eastAsia="Times New Roman"/>
          <w:szCs w:val="24"/>
        </w:rPr>
      </w:pPr>
      <w:r w:rsidRPr="004E28C1">
        <w:rPr>
          <w:rFonts w:eastAsia="Times New Roman"/>
          <w:szCs w:val="24"/>
        </w:rPr>
        <w:t>En esta actividad, participaron de manera presencial un total de 70 colaboradores y colaboradoras y fue transmitida en vivo vía la plataforma YouTube del Centro INDOTEL al resto del personal de la institución.</w:t>
      </w:r>
      <w:r w:rsidRPr="004E28C1">
        <w:rPr>
          <w:rFonts w:asciiTheme="minorHAnsi" w:eastAsiaTheme="minorHAnsi" w:hAnsiTheme="minorHAnsi" w:cstheme="minorBidi"/>
          <w:color w:val="auto"/>
          <w:sz w:val="22"/>
          <w:vertAlign w:val="superscript"/>
          <w:lang w:eastAsia="en-US"/>
        </w:rPr>
        <w:t xml:space="preserve"> </w:t>
      </w:r>
      <w:r w:rsidRPr="004E28C1">
        <w:rPr>
          <w:rFonts w:eastAsia="Times New Roman"/>
          <w:szCs w:val="24"/>
        </w:rPr>
        <w:t>El tema central de la actividad fue la lucha contra la corrupción y la impunidad, así como la necesidad de actuar con integridad y rectitud en el ejercicio de la función pública.</w:t>
      </w:r>
    </w:p>
    <w:p w:rsidR="004E28C1" w:rsidRPr="004E28C1" w:rsidRDefault="004E28C1" w:rsidP="00DA4FB5">
      <w:pPr>
        <w:pStyle w:val="Sinespaciado"/>
      </w:pPr>
      <w:r w:rsidRPr="004E28C1">
        <w:t xml:space="preserve"> </w:t>
      </w:r>
    </w:p>
    <w:p w:rsidR="004E28C1" w:rsidRDefault="004E28C1" w:rsidP="004E28C1">
      <w:pPr>
        <w:spacing w:line="360" w:lineRule="auto"/>
        <w:rPr>
          <w:rFonts w:eastAsia="Times New Roman"/>
          <w:szCs w:val="24"/>
        </w:rPr>
      </w:pPr>
      <w:r w:rsidRPr="004E28C1">
        <w:rPr>
          <w:rFonts w:eastAsia="Times New Roman"/>
          <w:szCs w:val="24"/>
        </w:rPr>
        <w:t xml:space="preserve">Junto al Dr. </w:t>
      </w:r>
      <w:proofErr w:type="spellStart"/>
      <w:r w:rsidRPr="004E28C1">
        <w:rPr>
          <w:rFonts w:eastAsia="Times New Roman"/>
          <w:szCs w:val="24"/>
        </w:rPr>
        <w:t>Scheker</w:t>
      </w:r>
      <w:proofErr w:type="spellEnd"/>
      <w:r w:rsidRPr="004E28C1">
        <w:rPr>
          <w:rFonts w:eastAsia="Times New Roman"/>
          <w:szCs w:val="24"/>
        </w:rPr>
        <w:t xml:space="preserve">, participó como ponente el consejero Fausto Rosario Adames, miembro del Consejo Directivo del INDOTEL en representación de los usuarios y </w:t>
      </w:r>
      <w:r w:rsidRPr="004E28C1">
        <w:rPr>
          <w:rFonts w:eastAsia="Times New Roman"/>
          <w:szCs w:val="24"/>
        </w:rPr>
        <w:lastRenderedPageBreak/>
        <w:t xml:space="preserve">destacado periodista de la nación. El consejero Fausto Rosario Adames, inició su intervención con las palabras introductorias del evento y posteriormente realizó comentarios reflexivos sobre la ponencia magistral impartida por el Dr. </w:t>
      </w:r>
      <w:proofErr w:type="spellStart"/>
      <w:r w:rsidRPr="004E28C1">
        <w:rPr>
          <w:rFonts w:eastAsia="Times New Roman"/>
          <w:szCs w:val="24"/>
        </w:rPr>
        <w:t>Scheker</w:t>
      </w:r>
      <w:proofErr w:type="spellEnd"/>
      <w:r w:rsidRPr="004E28C1">
        <w:rPr>
          <w:rFonts w:eastAsia="Times New Roman"/>
          <w:szCs w:val="24"/>
        </w:rPr>
        <w:t xml:space="preserve">. La moderación de la conferencia estuvo a cargo de </w:t>
      </w:r>
      <w:proofErr w:type="spellStart"/>
      <w:r w:rsidRPr="004E28C1">
        <w:rPr>
          <w:rFonts w:eastAsia="Times New Roman"/>
          <w:szCs w:val="24"/>
        </w:rPr>
        <w:t>Vianny</w:t>
      </w:r>
      <w:proofErr w:type="spellEnd"/>
      <w:r w:rsidRPr="004E28C1">
        <w:rPr>
          <w:rFonts w:eastAsia="Times New Roman"/>
          <w:szCs w:val="24"/>
        </w:rPr>
        <w:t xml:space="preserve"> Uribe </w:t>
      </w:r>
      <w:proofErr w:type="spellStart"/>
      <w:r w:rsidRPr="004E28C1">
        <w:rPr>
          <w:rFonts w:eastAsia="Times New Roman"/>
          <w:szCs w:val="24"/>
        </w:rPr>
        <w:t>Duval</w:t>
      </w:r>
      <w:proofErr w:type="spellEnd"/>
      <w:r w:rsidRPr="004E28C1">
        <w:rPr>
          <w:rFonts w:eastAsia="Times New Roman"/>
          <w:szCs w:val="24"/>
        </w:rPr>
        <w:t>, coordinadora general de la Comisión de Ética, quien destacó el perfil ético de los expositores y exhortó a los colaboradores  y colaboradoras del INDOTEL a tomar las enseñanzas y poner en práctica lo aprendido.</w:t>
      </w:r>
    </w:p>
    <w:p w:rsidR="00DA4FB5" w:rsidRPr="004E28C1" w:rsidRDefault="00DA4FB5" w:rsidP="00DA4FB5">
      <w:pPr>
        <w:pStyle w:val="Sinespaciado"/>
      </w:pPr>
    </w:p>
    <w:p w:rsidR="004E28C1" w:rsidRDefault="004E28C1" w:rsidP="004E28C1">
      <w:pPr>
        <w:spacing w:line="360" w:lineRule="auto"/>
        <w:rPr>
          <w:rFonts w:eastAsia="Times New Roman"/>
          <w:szCs w:val="24"/>
        </w:rPr>
      </w:pPr>
      <w:r w:rsidRPr="004E28C1">
        <w:rPr>
          <w:rFonts w:eastAsia="Times New Roman"/>
          <w:szCs w:val="24"/>
        </w:rPr>
        <w:t>En los meses de septiembre y octubre, se dio inicio a la promoción y envío vía correo electrónico  a todo el personal de la institución</w:t>
      </w:r>
      <w:r w:rsidR="00944984">
        <w:rPr>
          <w:rFonts w:eastAsia="Times New Roman"/>
          <w:szCs w:val="24"/>
        </w:rPr>
        <w:t xml:space="preserve"> de</w:t>
      </w:r>
      <w:r w:rsidRPr="004E28C1">
        <w:rPr>
          <w:rFonts w:eastAsia="Times New Roman"/>
          <w:szCs w:val="24"/>
        </w:rPr>
        <w:t xml:space="preserve"> la sección educativa “Capsula de Ética”, la cual tiene como objetivo promover el contenido del Código de Ética del INDOTEL, instando a su constante lectura y cumplimiento. A través de la Cápsula de Ética del mes de septiembre, se promovió como valor la “Honestidad” y en el mes de octubre, fue dedicada a la promoción de los Principios Rectores del Régimen Ético y Disciplinario de la Administración Pública.</w:t>
      </w:r>
    </w:p>
    <w:p w:rsidR="00DA4FB5" w:rsidRPr="004E28C1" w:rsidRDefault="00DA4FB5" w:rsidP="00DA4FB5">
      <w:pPr>
        <w:pStyle w:val="Sinespaciado"/>
      </w:pPr>
    </w:p>
    <w:p w:rsidR="00DA4FB5" w:rsidRDefault="004E28C1" w:rsidP="004E28C1">
      <w:pPr>
        <w:spacing w:line="360" w:lineRule="auto"/>
        <w:rPr>
          <w:rFonts w:eastAsia="Times New Roman"/>
          <w:szCs w:val="24"/>
        </w:rPr>
      </w:pPr>
      <w:r w:rsidRPr="004E28C1">
        <w:rPr>
          <w:rFonts w:eastAsia="Times New Roman"/>
          <w:szCs w:val="24"/>
        </w:rPr>
        <w:t>El jueves 30 de septiembre, la Comisión de Ética, impartió junto a la Dirección de Gestión Humana, el taller de actualización de las políticas internas de la institución. El mismo se desarrolló de manera virtual y contó con la asistencia de 47 colaboradores.</w:t>
      </w:r>
    </w:p>
    <w:p w:rsidR="004E28C1" w:rsidRPr="004E28C1" w:rsidRDefault="004E28C1" w:rsidP="00DA4FB5">
      <w:pPr>
        <w:pStyle w:val="Sinespaciado"/>
      </w:pPr>
      <w:r w:rsidRPr="004E28C1">
        <w:t xml:space="preserve"> </w:t>
      </w:r>
    </w:p>
    <w:p w:rsidR="004E28C1" w:rsidRDefault="004E28C1" w:rsidP="004E28C1">
      <w:pPr>
        <w:spacing w:line="360" w:lineRule="auto"/>
        <w:rPr>
          <w:rFonts w:eastAsia="Times New Roman"/>
          <w:szCs w:val="24"/>
        </w:rPr>
      </w:pPr>
      <w:r w:rsidRPr="004E28C1">
        <w:rPr>
          <w:rFonts w:eastAsia="Times New Roman"/>
          <w:szCs w:val="24"/>
        </w:rPr>
        <w:t xml:space="preserve">En fecha 27 de octubre, la Comisión de Ética del INDOTEL participó de la conferencia virtual, “Denuncias y Seguimientos de Denuncias”, impartida por la Dirección General de Ética e Integridad Gubernamental (DIGEIG). Asistieron a la misma, </w:t>
      </w:r>
      <w:proofErr w:type="spellStart"/>
      <w:r w:rsidRPr="004E28C1">
        <w:rPr>
          <w:rFonts w:eastAsia="Times New Roman"/>
          <w:szCs w:val="24"/>
        </w:rPr>
        <w:t>Vianny</w:t>
      </w:r>
      <w:proofErr w:type="spellEnd"/>
      <w:r w:rsidRPr="004E28C1">
        <w:rPr>
          <w:rFonts w:eastAsia="Times New Roman"/>
          <w:szCs w:val="24"/>
        </w:rPr>
        <w:t xml:space="preserve"> Uribe </w:t>
      </w:r>
      <w:proofErr w:type="spellStart"/>
      <w:r w:rsidRPr="004E28C1">
        <w:rPr>
          <w:rFonts w:eastAsia="Times New Roman"/>
          <w:szCs w:val="24"/>
        </w:rPr>
        <w:t>Duval</w:t>
      </w:r>
      <w:proofErr w:type="spellEnd"/>
      <w:r w:rsidRPr="004E28C1">
        <w:rPr>
          <w:rFonts w:eastAsia="Times New Roman"/>
          <w:szCs w:val="24"/>
        </w:rPr>
        <w:t xml:space="preserve">, coordinadora general y Carmen </w:t>
      </w:r>
      <w:proofErr w:type="spellStart"/>
      <w:r w:rsidRPr="004E28C1">
        <w:rPr>
          <w:rFonts w:eastAsia="Times New Roman"/>
          <w:szCs w:val="24"/>
        </w:rPr>
        <w:t>Yunes</w:t>
      </w:r>
      <w:proofErr w:type="spellEnd"/>
      <w:r w:rsidRPr="004E28C1">
        <w:rPr>
          <w:rFonts w:eastAsia="Times New Roman"/>
          <w:szCs w:val="24"/>
        </w:rPr>
        <w:t xml:space="preserve">, coordinadora de Ética. </w:t>
      </w:r>
    </w:p>
    <w:p w:rsidR="00DA4FB5" w:rsidRPr="004E28C1" w:rsidRDefault="00DA4FB5" w:rsidP="00DA4FB5">
      <w:pPr>
        <w:pStyle w:val="Sinespaciado"/>
      </w:pPr>
    </w:p>
    <w:p w:rsidR="00264A4E" w:rsidRDefault="004E28C1" w:rsidP="00BB4634">
      <w:pPr>
        <w:spacing w:line="360" w:lineRule="auto"/>
        <w:rPr>
          <w:rFonts w:eastAsia="Times New Roman"/>
          <w:szCs w:val="24"/>
        </w:rPr>
      </w:pPr>
      <w:r w:rsidRPr="004E28C1">
        <w:rPr>
          <w:rFonts w:eastAsia="Times New Roman"/>
          <w:szCs w:val="24"/>
        </w:rPr>
        <w:t>El jueves 11 de noviembre de 2021, fue realizado un Cine-</w:t>
      </w:r>
      <w:proofErr w:type="spellStart"/>
      <w:r w:rsidRPr="004E28C1">
        <w:rPr>
          <w:rFonts w:eastAsia="Times New Roman"/>
          <w:szCs w:val="24"/>
        </w:rPr>
        <w:t>Forúm</w:t>
      </w:r>
      <w:proofErr w:type="spellEnd"/>
      <w:r w:rsidRPr="004E28C1">
        <w:rPr>
          <w:rFonts w:eastAsia="Times New Roman"/>
          <w:szCs w:val="24"/>
        </w:rPr>
        <w:t xml:space="preserve"> con la proyección de la película “Cuestión de Honor”. Esta actividad se desarrolló en las instalaciones </w:t>
      </w:r>
      <w:r w:rsidRPr="004E28C1">
        <w:rPr>
          <w:rFonts w:eastAsia="Times New Roman"/>
          <w:szCs w:val="24"/>
        </w:rPr>
        <w:lastRenderedPageBreak/>
        <w:t>de la sede del INDOTEL y su objetivo fue trasmitir a los colaboradores lo importante de actuar con apego a la verdad, justicia y la integridad en la administración pública.</w:t>
      </w: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Default="00DA4FB5" w:rsidP="00BB4634">
      <w:pPr>
        <w:spacing w:line="360" w:lineRule="auto"/>
        <w:rPr>
          <w:rFonts w:eastAsia="Times New Roman"/>
          <w:szCs w:val="24"/>
        </w:rPr>
      </w:pPr>
    </w:p>
    <w:p w:rsidR="00DA4FB5" w:rsidRPr="00BB4634" w:rsidRDefault="00DA4FB5" w:rsidP="00BB4634">
      <w:pPr>
        <w:spacing w:line="360" w:lineRule="auto"/>
        <w:rPr>
          <w:rFonts w:eastAsia="Times New Roman"/>
          <w:szCs w:val="24"/>
        </w:rPr>
      </w:pPr>
    </w:p>
    <w:p w:rsidR="00264A4E" w:rsidRPr="002B3E80" w:rsidRDefault="00264A4E" w:rsidP="00A17C7C">
      <w:pPr>
        <w:pStyle w:val="Ttulo1"/>
        <w:numPr>
          <w:ilvl w:val="0"/>
          <w:numId w:val="25"/>
        </w:numPr>
        <w:ind w:left="90"/>
        <w:rPr>
          <w:sz w:val="28"/>
        </w:rPr>
      </w:pPr>
      <w:bookmarkStart w:id="78" w:name="_Toc90936663"/>
      <w:r>
        <w:rPr>
          <w:color w:val="767171"/>
          <w:sz w:val="28"/>
        </w:rPr>
        <w:lastRenderedPageBreak/>
        <w:t xml:space="preserve">SERVICIO AL CIUDADANO </w:t>
      </w:r>
      <w:r>
        <w:rPr>
          <w:color w:val="767171"/>
          <w:sz w:val="28"/>
        </w:rPr>
        <w:br/>
        <w:t>Y TRANSPARENCIA INSTITUCIONAL</w:t>
      </w:r>
      <w:bookmarkEnd w:id="78"/>
    </w:p>
    <w:p w:rsidR="001076E8" w:rsidRPr="006F0C62" w:rsidRDefault="001076E8" w:rsidP="001076E8">
      <w:r w:rsidRPr="006F0C62">
        <w:rPr>
          <w:noProof/>
          <w:lang w:val="en-US" w:eastAsia="en-US"/>
        </w:rPr>
        <mc:AlternateContent>
          <mc:Choice Requires="wps">
            <w:drawing>
              <wp:anchor distT="0" distB="0" distL="114300" distR="114300" simplePos="0" relativeHeight="251673600" behindDoc="0" locked="1" layoutInCell="1" allowOverlap="1" wp14:anchorId="1590168E" wp14:editId="53BE0B32">
                <wp:simplePos x="0" y="0"/>
                <wp:positionH relativeFrom="margin">
                  <wp:posOffset>2280285</wp:posOffset>
                </wp:positionH>
                <wp:positionV relativeFrom="paragraph">
                  <wp:posOffset>15875</wp:posOffset>
                </wp:positionV>
                <wp:extent cx="463550" cy="0"/>
                <wp:effectExtent l="22860" t="20320" r="18415" b="17780"/>
                <wp:wrapNone/>
                <wp:docPr id="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9830C" id="Conector recto 4"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gT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DjpogTLQIAAEoEAAAOAAAAAAAAAAAAAAAAAC4CAABkcnMv&#10;ZTJvRG9jLnhtbFBLAQItABQABgAIAAAAIQADZ9h23AAAAAcBAAAPAAAAAAAAAAAAAAAAAIcEAABk&#10;cnMvZG93bnJldi54bWxQSwUGAAAAAAQABADzAAAAkAUAAAAA&#10;" strokecolor="#ee2a24" strokeweight="2.25pt">
                <v:stroke joinstyle="miter"/>
                <w10:wrap anchorx="margin"/>
                <w10:anchorlock/>
              </v:line>
            </w:pict>
          </mc:Fallback>
        </mc:AlternateContent>
      </w:r>
    </w:p>
    <w:p w:rsidR="001076E8" w:rsidRDefault="00E715BA" w:rsidP="001076E8">
      <w:pPr>
        <w:jc w:val="center"/>
      </w:pPr>
      <w:r>
        <w:t>Memoria Institucional 2021</w:t>
      </w:r>
    </w:p>
    <w:p w:rsidR="001076E8" w:rsidRPr="001076E8" w:rsidRDefault="001076E8" w:rsidP="001076E8"/>
    <w:p w:rsidR="009D4C58" w:rsidRPr="004A568A" w:rsidRDefault="00E874F6" w:rsidP="004A568A">
      <w:pPr>
        <w:pStyle w:val="Ttulo3"/>
      </w:pPr>
      <w:bookmarkStart w:id="79" w:name="_Toc90936664"/>
      <w:r w:rsidRPr="00315F06">
        <w:t xml:space="preserve">Nivel de la </w:t>
      </w:r>
      <w:r w:rsidR="00C96273" w:rsidRPr="00315F06">
        <w:t>S</w:t>
      </w:r>
      <w:r w:rsidRPr="00315F06">
        <w:t xml:space="preserve">atisfacción con el </w:t>
      </w:r>
      <w:r w:rsidR="00C96273" w:rsidRPr="00315F06">
        <w:t>S</w:t>
      </w:r>
      <w:r w:rsidRPr="00315F06">
        <w:t>ervicio</w:t>
      </w:r>
      <w:bookmarkEnd w:id="79"/>
    </w:p>
    <w:p w:rsidR="009D4C58" w:rsidRPr="009D4C58" w:rsidRDefault="009D4C58" w:rsidP="00FF5321">
      <w:pPr>
        <w:pStyle w:val="Sinespaciado"/>
      </w:pPr>
    </w:p>
    <w:p w:rsidR="004C0BC7" w:rsidRPr="004C0BC7" w:rsidRDefault="004C0BC7" w:rsidP="004C0BC7">
      <w:pPr>
        <w:spacing w:after="0" w:line="360" w:lineRule="auto"/>
        <w:rPr>
          <w:rFonts w:eastAsiaTheme="minorEastAsia"/>
          <w:kern w:val="24"/>
          <w:szCs w:val="24"/>
          <w:lang w:eastAsia="en-US"/>
        </w:rPr>
      </w:pPr>
      <w:r w:rsidRPr="004C0BC7">
        <w:rPr>
          <w:rFonts w:eastAsiaTheme="minorEastAsia"/>
          <w:kern w:val="24"/>
          <w:szCs w:val="24"/>
          <w:lang w:eastAsia="en-US"/>
        </w:rPr>
        <w:t xml:space="preserve">El </w:t>
      </w:r>
      <w:r w:rsidR="00E30869" w:rsidRPr="004C0BC7">
        <w:rPr>
          <w:rFonts w:eastAsiaTheme="minorEastAsia"/>
          <w:kern w:val="24"/>
          <w:szCs w:val="24"/>
          <w:lang w:eastAsia="en-US"/>
        </w:rPr>
        <w:t xml:space="preserve">INDOTEL </w:t>
      </w:r>
      <w:r w:rsidRPr="004C0BC7">
        <w:rPr>
          <w:rFonts w:eastAsiaTheme="minorEastAsia"/>
          <w:kern w:val="24"/>
          <w:szCs w:val="24"/>
          <w:lang w:eastAsia="en-US"/>
        </w:rPr>
        <w:t xml:space="preserve">elaboró su primera Carta Compromiso al Ciudadano, la cual fue aprobada mediante </w:t>
      </w:r>
      <w:proofErr w:type="spellStart"/>
      <w:r w:rsidRPr="004C0BC7">
        <w:rPr>
          <w:rFonts w:eastAsiaTheme="minorEastAsia"/>
          <w:kern w:val="24"/>
          <w:szCs w:val="24"/>
          <w:lang w:eastAsia="en-US"/>
        </w:rPr>
        <w:t>Resoluciؚón</w:t>
      </w:r>
      <w:proofErr w:type="spellEnd"/>
      <w:r w:rsidRPr="004C0BC7">
        <w:rPr>
          <w:rFonts w:eastAsiaTheme="minorEastAsia"/>
          <w:kern w:val="24"/>
          <w:szCs w:val="24"/>
          <w:lang w:eastAsia="en-US"/>
        </w:rPr>
        <w:t xml:space="preserve"> N</w:t>
      </w:r>
      <w:r w:rsidR="00E30869">
        <w:rPr>
          <w:rFonts w:eastAsiaTheme="minorEastAsia"/>
          <w:kern w:val="24"/>
          <w:szCs w:val="24"/>
          <w:lang w:eastAsia="en-US"/>
        </w:rPr>
        <w:t>úm</w:t>
      </w:r>
      <w:r w:rsidRPr="004C0BC7">
        <w:rPr>
          <w:rFonts w:eastAsiaTheme="minorEastAsia"/>
          <w:kern w:val="24"/>
          <w:szCs w:val="24"/>
          <w:lang w:eastAsia="en-US"/>
        </w:rPr>
        <w:t>. 046-20 por el Ministerio de Administración Pública</w:t>
      </w:r>
      <w:r w:rsidR="00E30869">
        <w:rPr>
          <w:rFonts w:eastAsiaTheme="minorEastAsia"/>
          <w:kern w:val="24"/>
          <w:szCs w:val="24"/>
          <w:lang w:eastAsia="en-US"/>
        </w:rPr>
        <w:t xml:space="preserve"> (MAP) el </w:t>
      </w:r>
      <w:r w:rsidRPr="004C0BC7">
        <w:rPr>
          <w:rFonts w:eastAsiaTheme="minorEastAsia"/>
          <w:kern w:val="24"/>
          <w:szCs w:val="24"/>
          <w:lang w:eastAsia="en-US"/>
        </w:rPr>
        <w:t>9</w:t>
      </w:r>
      <w:r w:rsidR="00E30869">
        <w:rPr>
          <w:rFonts w:eastAsiaTheme="minorEastAsia"/>
          <w:kern w:val="24"/>
          <w:szCs w:val="24"/>
          <w:lang w:eastAsia="en-US"/>
        </w:rPr>
        <w:t xml:space="preserve"> de marzo de 2020</w:t>
      </w:r>
      <w:r w:rsidRPr="004C0BC7">
        <w:rPr>
          <w:rFonts w:eastAsiaTheme="minorEastAsia"/>
          <w:kern w:val="24"/>
          <w:szCs w:val="24"/>
          <w:lang w:eastAsia="en-US"/>
        </w:rPr>
        <w:t xml:space="preserve">. </w:t>
      </w:r>
    </w:p>
    <w:p w:rsidR="004C0BC7" w:rsidRPr="004C0BC7" w:rsidRDefault="004C0BC7" w:rsidP="004C0BC7">
      <w:pPr>
        <w:spacing w:before="100" w:beforeAutospacing="1" w:after="0" w:afterAutospacing="1" w:line="360" w:lineRule="auto"/>
        <w:rPr>
          <w:rFonts w:eastAsiaTheme="minorEastAsia"/>
          <w:kern w:val="24"/>
          <w:szCs w:val="24"/>
          <w:lang w:eastAsia="en-US"/>
        </w:rPr>
      </w:pPr>
      <w:r w:rsidRPr="004C0BC7">
        <w:rPr>
          <w:rFonts w:eastAsiaTheme="minorEastAsia"/>
          <w:kern w:val="24"/>
          <w:szCs w:val="24"/>
          <w:lang w:eastAsia="en-US"/>
        </w:rPr>
        <w:t xml:space="preserve">Los servicios que se comprometieron por ser los de mayor frecuencia de solicitud, fueron los siguientes: </w:t>
      </w:r>
    </w:p>
    <w:p w:rsidR="004C0BC7" w:rsidRPr="00E30869" w:rsidRDefault="004C0BC7" w:rsidP="00A17C7C">
      <w:pPr>
        <w:pStyle w:val="Prrafodelista"/>
        <w:numPr>
          <w:ilvl w:val="0"/>
          <w:numId w:val="22"/>
        </w:numPr>
        <w:spacing w:after="0" w:line="360" w:lineRule="auto"/>
        <w:rPr>
          <w:rFonts w:eastAsiaTheme="minorHAnsi"/>
          <w:szCs w:val="24"/>
          <w:lang w:eastAsia="en-US"/>
        </w:rPr>
      </w:pPr>
      <w:r w:rsidRPr="00E30869">
        <w:rPr>
          <w:rFonts w:eastAsiaTheme="minorHAnsi"/>
          <w:szCs w:val="24"/>
          <w:lang w:eastAsia="en-US"/>
        </w:rPr>
        <w:t>Homologación de Equipos y Aparatos</w:t>
      </w:r>
    </w:p>
    <w:p w:rsidR="004C0BC7" w:rsidRPr="00E30869" w:rsidRDefault="004C0BC7" w:rsidP="00A17C7C">
      <w:pPr>
        <w:pStyle w:val="Prrafodelista"/>
        <w:numPr>
          <w:ilvl w:val="0"/>
          <w:numId w:val="22"/>
        </w:numPr>
        <w:spacing w:after="0" w:line="360" w:lineRule="auto"/>
        <w:rPr>
          <w:rFonts w:eastAsiaTheme="minorHAnsi"/>
          <w:szCs w:val="24"/>
          <w:lang w:eastAsia="en-US"/>
        </w:rPr>
      </w:pPr>
      <w:r w:rsidRPr="00E30869">
        <w:rPr>
          <w:rFonts w:eastAsiaTheme="minorHAnsi"/>
          <w:szCs w:val="24"/>
          <w:lang w:eastAsia="en-US"/>
        </w:rPr>
        <w:t>No Objeción para Retirar Equipos Aduanas</w:t>
      </w:r>
    </w:p>
    <w:p w:rsidR="004C0BC7" w:rsidRPr="00E30869" w:rsidRDefault="004C0BC7" w:rsidP="00A17C7C">
      <w:pPr>
        <w:pStyle w:val="Prrafodelista"/>
        <w:numPr>
          <w:ilvl w:val="0"/>
          <w:numId w:val="22"/>
        </w:numPr>
        <w:spacing w:after="0" w:line="360" w:lineRule="auto"/>
        <w:rPr>
          <w:rFonts w:eastAsiaTheme="minorHAnsi"/>
          <w:szCs w:val="24"/>
          <w:lang w:eastAsia="en-US"/>
        </w:rPr>
      </w:pPr>
      <w:r w:rsidRPr="00E30869">
        <w:rPr>
          <w:rFonts w:eastAsiaTheme="minorHAnsi"/>
          <w:szCs w:val="24"/>
          <w:lang w:eastAsia="en-US"/>
        </w:rPr>
        <w:t>Otorgar una Inscripción en Registro Especial para Radioaficionados</w:t>
      </w:r>
    </w:p>
    <w:p w:rsidR="004C0BC7" w:rsidRPr="00E30869" w:rsidRDefault="004C0BC7" w:rsidP="00A17C7C">
      <w:pPr>
        <w:pStyle w:val="Prrafodelista"/>
        <w:numPr>
          <w:ilvl w:val="0"/>
          <w:numId w:val="22"/>
        </w:numPr>
        <w:spacing w:after="0" w:line="360" w:lineRule="auto"/>
        <w:rPr>
          <w:rFonts w:eastAsiaTheme="minorHAnsi"/>
          <w:szCs w:val="24"/>
          <w:lang w:eastAsia="en-US"/>
        </w:rPr>
      </w:pPr>
      <w:r w:rsidRPr="00E30869">
        <w:rPr>
          <w:rFonts w:eastAsiaTheme="minorHAnsi"/>
          <w:szCs w:val="24"/>
          <w:lang w:eastAsia="en-US"/>
        </w:rPr>
        <w:t>Renovar una Inscripción en Registro Especial para Radioaficionados</w:t>
      </w:r>
    </w:p>
    <w:p w:rsidR="004C0BC7" w:rsidRPr="00E30869" w:rsidRDefault="004C0BC7" w:rsidP="00A17C7C">
      <w:pPr>
        <w:pStyle w:val="Prrafodelista"/>
        <w:numPr>
          <w:ilvl w:val="0"/>
          <w:numId w:val="22"/>
        </w:numPr>
        <w:spacing w:after="0" w:line="360" w:lineRule="auto"/>
        <w:rPr>
          <w:rFonts w:eastAsiaTheme="minorHAnsi"/>
          <w:szCs w:val="24"/>
          <w:lang w:eastAsia="en-US"/>
        </w:rPr>
      </w:pPr>
      <w:r w:rsidRPr="00E30869">
        <w:rPr>
          <w:rFonts w:eastAsiaTheme="minorHAnsi"/>
          <w:szCs w:val="24"/>
          <w:lang w:eastAsia="en-US"/>
        </w:rPr>
        <w:t>Atención de Reclamaciones de Usuarios de Servicios de Telecomunicaciones:</w:t>
      </w:r>
    </w:p>
    <w:p w:rsidR="004C0BC7" w:rsidRPr="004C0BC7" w:rsidRDefault="004C0BC7" w:rsidP="00A17C7C">
      <w:pPr>
        <w:numPr>
          <w:ilvl w:val="0"/>
          <w:numId w:val="21"/>
        </w:numPr>
        <w:spacing w:after="0" w:line="360" w:lineRule="auto"/>
        <w:jc w:val="left"/>
        <w:rPr>
          <w:rFonts w:eastAsiaTheme="minorHAnsi"/>
          <w:szCs w:val="24"/>
          <w:lang w:eastAsia="en-US"/>
        </w:rPr>
      </w:pPr>
      <w:r w:rsidRPr="004C0BC7">
        <w:rPr>
          <w:rFonts w:eastAsiaTheme="minorHAnsi"/>
          <w:szCs w:val="24"/>
          <w:lang w:eastAsia="en-US"/>
        </w:rPr>
        <w:t>Pre Formalización, Recursos de Quejas (RDQ), Casos de Quejas (CQ) y Casos de Denuncias (CD)</w:t>
      </w:r>
    </w:p>
    <w:p w:rsidR="004C0BC7" w:rsidRPr="00E30869" w:rsidRDefault="004C0BC7" w:rsidP="00A17C7C">
      <w:pPr>
        <w:pStyle w:val="Prrafodelista"/>
        <w:numPr>
          <w:ilvl w:val="0"/>
          <w:numId w:val="23"/>
        </w:numPr>
        <w:spacing w:after="0" w:line="360" w:lineRule="auto"/>
        <w:rPr>
          <w:rFonts w:eastAsiaTheme="minorHAnsi"/>
          <w:szCs w:val="24"/>
          <w:lang w:eastAsia="en-US"/>
        </w:rPr>
      </w:pPr>
      <w:r w:rsidRPr="00E30869">
        <w:rPr>
          <w:rFonts w:eastAsiaTheme="minorHAnsi"/>
          <w:szCs w:val="24"/>
          <w:lang w:eastAsia="en-US"/>
        </w:rPr>
        <w:t>Atención de Consulta y Orientación de Temas de Servicios de Telecomunicaciones:</w:t>
      </w:r>
    </w:p>
    <w:p w:rsidR="004C0BC7" w:rsidRPr="004C0BC7" w:rsidRDefault="004C0BC7" w:rsidP="00A17C7C">
      <w:pPr>
        <w:numPr>
          <w:ilvl w:val="0"/>
          <w:numId w:val="20"/>
        </w:numPr>
        <w:spacing w:after="0" w:line="360" w:lineRule="auto"/>
        <w:ind w:left="1089"/>
        <w:jc w:val="left"/>
        <w:rPr>
          <w:rFonts w:eastAsiaTheme="minorHAnsi"/>
          <w:szCs w:val="24"/>
          <w:lang w:eastAsia="en-US"/>
        </w:rPr>
      </w:pPr>
      <w:r w:rsidRPr="004C0BC7">
        <w:rPr>
          <w:rFonts w:eastAsiaTheme="minorHAnsi"/>
          <w:szCs w:val="24"/>
          <w:lang w:eastAsia="en-US"/>
        </w:rPr>
        <w:t xml:space="preserve"> Casos de Información (CI) y Casos Referidos a Prestadoras</w:t>
      </w:r>
    </w:p>
    <w:p w:rsidR="004C0BC7" w:rsidRPr="004C0BC7" w:rsidRDefault="004C0BC7" w:rsidP="004C0BC7">
      <w:pPr>
        <w:spacing w:after="0" w:line="360" w:lineRule="auto"/>
        <w:rPr>
          <w:rFonts w:eastAsiaTheme="minorHAnsi"/>
          <w:szCs w:val="24"/>
          <w:lang w:eastAsia="en-US"/>
        </w:rPr>
      </w:pPr>
    </w:p>
    <w:p w:rsidR="004C0BC7" w:rsidRPr="004C0BC7" w:rsidRDefault="004C0BC7" w:rsidP="004C0BC7">
      <w:pPr>
        <w:spacing w:line="360" w:lineRule="auto"/>
        <w:rPr>
          <w:rFonts w:eastAsiaTheme="minorHAnsi"/>
          <w:szCs w:val="24"/>
          <w:lang w:eastAsia="en-US"/>
        </w:rPr>
      </w:pPr>
      <w:r w:rsidRPr="004C0BC7">
        <w:rPr>
          <w:rFonts w:eastAsiaTheme="minorHAnsi"/>
          <w:szCs w:val="24"/>
          <w:lang w:eastAsia="en-US"/>
        </w:rPr>
        <w:t xml:space="preserve">Los Atributos de Calidad cuantitativos y cualitativos con los cuales nos comprometimos fueron: </w:t>
      </w:r>
    </w:p>
    <w:p w:rsidR="004C0BC7" w:rsidRPr="004C0BC7" w:rsidRDefault="004C0BC7" w:rsidP="004C0BC7">
      <w:pPr>
        <w:spacing w:line="360" w:lineRule="auto"/>
        <w:rPr>
          <w:rFonts w:eastAsiaTheme="minorHAnsi"/>
          <w:szCs w:val="24"/>
          <w:lang w:eastAsia="en-US"/>
        </w:rPr>
      </w:pPr>
      <w:r w:rsidRPr="00410BA5">
        <w:rPr>
          <w:rFonts w:eastAsiaTheme="minorHAnsi"/>
          <w:b/>
          <w:szCs w:val="24"/>
          <w:lang w:eastAsia="en-US"/>
        </w:rPr>
        <w:t>Tiempo de Respuesta:</w:t>
      </w:r>
      <w:r w:rsidRPr="004C0BC7">
        <w:rPr>
          <w:rFonts w:eastAsiaTheme="minorHAnsi"/>
          <w:szCs w:val="24"/>
          <w:lang w:eastAsia="en-US"/>
        </w:rPr>
        <w:t xml:space="preserve"> Es el plazo máximo en el cual la institución va a otorgar respuesta a una solicitud.</w:t>
      </w:r>
    </w:p>
    <w:p w:rsidR="004C0BC7" w:rsidRPr="004C0BC7" w:rsidRDefault="004C0BC7" w:rsidP="004C0BC7">
      <w:pPr>
        <w:spacing w:line="360" w:lineRule="auto"/>
        <w:rPr>
          <w:rFonts w:eastAsiaTheme="minorHAnsi"/>
          <w:szCs w:val="24"/>
          <w:lang w:eastAsia="en-US"/>
        </w:rPr>
      </w:pPr>
      <w:r w:rsidRPr="00410BA5">
        <w:rPr>
          <w:rFonts w:eastAsiaTheme="minorHAnsi"/>
          <w:b/>
          <w:szCs w:val="24"/>
          <w:lang w:eastAsia="en-US"/>
        </w:rPr>
        <w:lastRenderedPageBreak/>
        <w:t>Amabilidad:</w:t>
      </w:r>
      <w:r w:rsidRPr="004C0BC7">
        <w:rPr>
          <w:rFonts w:eastAsiaTheme="minorHAnsi"/>
          <w:szCs w:val="24"/>
          <w:lang w:eastAsia="en-US"/>
        </w:rPr>
        <w:t xml:space="preserve"> Consiste en ofrecer un trato cortés y respetuoso a los solicitantes al momento de brindar un servicio.</w:t>
      </w:r>
    </w:p>
    <w:p w:rsidR="004C0BC7" w:rsidRPr="004C0BC7" w:rsidRDefault="004C0BC7" w:rsidP="004C0BC7">
      <w:pPr>
        <w:spacing w:line="360" w:lineRule="auto"/>
        <w:rPr>
          <w:rFonts w:eastAsiaTheme="minorHAnsi"/>
          <w:szCs w:val="24"/>
          <w:lang w:eastAsia="en-US"/>
        </w:rPr>
      </w:pPr>
      <w:r w:rsidRPr="00410BA5">
        <w:rPr>
          <w:rFonts w:eastAsiaTheme="minorHAnsi"/>
          <w:b/>
          <w:szCs w:val="24"/>
          <w:lang w:eastAsia="en-US"/>
        </w:rPr>
        <w:t>Fiabilidad:</w:t>
      </w:r>
      <w:r w:rsidRPr="004C0BC7">
        <w:rPr>
          <w:rFonts w:eastAsiaTheme="minorHAnsi"/>
          <w:szCs w:val="24"/>
          <w:lang w:eastAsia="en-US"/>
        </w:rPr>
        <w:t xml:space="preserve"> Toda información otorgada por el </w:t>
      </w:r>
      <w:r w:rsidR="00410BA5" w:rsidRPr="004C0BC7">
        <w:rPr>
          <w:rFonts w:eastAsiaTheme="minorHAnsi"/>
          <w:szCs w:val="24"/>
          <w:lang w:eastAsia="en-US"/>
        </w:rPr>
        <w:t>INDOTEL</w:t>
      </w:r>
      <w:r w:rsidRPr="004C0BC7">
        <w:rPr>
          <w:rFonts w:eastAsiaTheme="minorHAnsi"/>
          <w:szCs w:val="24"/>
          <w:lang w:eastAsia="en-US"/>
        </w:rPr>
        <w:t xml:space="preserve"> es segura, veraz y confiable. Nivel de confianza que tienen los ciudadanos, usuarios y prestadoras de servicios sobre la información otorgada por el personal del </w:t>
      </w:r>
      <w:r w:rsidR="00410BA5" w:rsidRPr="004C0BC7">
        <w:rPr>
          <w:rFonts w:eastAsiaTheme="minorHAnsi"/>
          <w:szCs w:val="24"/>
          <w:lang w:eastAsia="en-US"/>
        </w:rPr>
        <w:t>INDOTEL</w:t>
      </w:r>
      <w:r w:rsidRPr="004C0BC7">
        <w:rPr>
          <w:rFonts w:eastAsiaTheme="minorHAnsi"/>
          <w:szCs w:val="24"/>
          <w:lang w:eastAsia="en-US"/>
        </w:rPr>
        <w:t>.</w:t>
      </w:r>
    </w:p>
    <w:p w:rsidR="004C0BC7" w:rsidRPr="004C0BC7" w:rsidRDefault="004C0BC7" w:rsidP="004C0BC7">
      <w:pPr>
        <w:spacing w:line="360" w:lineRule="auto"/>
        <w:rPr>
          <w:rFonts w:eastAsiaTheme="minorHAnsi"/>
          <w:szCs w:val="24"/>
          <w:lang w:eastAsia="en-US"/>
        </w:rPr>
      </w:pPr>
      <w:r w:rsidRPr="00410BA5">
        <w:rPr>
          <w:rFonts w:eastAsiaTheme="minorHAnsi"/>
          <w:b/>
          <w:szCs w:val="24"/>
          <w:lang w:eastAsia="en-US"/>
        </w:rPr>
        <w:t>Profesionalidad:</w:t>
      </w:r>
      <w:r w:rsidRPr="004C0BC7">
        <w:rPr>
          <w:rFonts w:eastAsiaTheme="minorHAnsi"/>
          <w:szCs w:val="24"/>
          <w:lang w:eastAsia="en-US"/>
        </w:rPr>
        <w:t xml:space="preserve"> Nivel de conocimiento técnico y experiencia que tiene el personal del </w:t>
      </w:r>
      <w:r w:rsidR="00410BA5" w:rsidRPr="004C0BC7">
        <w:rPr>
          <w:rFonts w:eastAsiaTheme="minorHAnsi"/>
          <w:szCs w:val="24"/>
          <w:lang w:eastAsia="en-US"/>
        </w:rPr>
        <w:t>INDOTEL</w:t>
      </w:r>
      <w:r w:rsidRPr="004C0BC7">
        <w:rPr>
          <w:rFonts w:eastAsiaTheme="minorHAnsi"/>
          <w:szCs w:val="24"/>
          <w:lang w:eastAsia="en-US"/>
        </w:rPr>
        <w:t xml:space="preserve"> para atender oportunamente las necesidades de los ciudadanos, usuarios y prestadoras de servicios.</w:t>
      </w:r>
    </w:p>
    <w:p w:rsidR="004C0BC7" w:rsidRPr="004C0BC7" w:rsidRDefault="004C0BC7" w:rsidP="004C0BC7">
      <w:pPr>
        <w:spacing w:line="360" w:lineRule="auto"/>
        <w:rPr>
          <w:rFonts w:eastAsiaTheme="minorHAnsi"/>
          <w:szCs w:val="24"/>
          <w:lang w:eastAsia="en-US"/>
        </w:rPr>
      </w:pPr>
      <w:r w:rsidRPr="00410BA5">
        <w:rPr>
          <w:rFonts w:eastAsiaTheme="minorHAnsi"/>
          <w:b/>
          <w:szCs w:val="24"/>
          <w:lang w:eastAsia="en-US"/>
        </w:rPr>
        <w:t>Accesibilidad:</w:t>
      </w:r>
      <w:r w:rsidRPr="004C0BC7">
        <w:rPr>
          <w:rFonts w:eastAsiaTheme="minorHAnsi"/>
          <w:szCs w:val="24"/>
          <w:lang w:eastAsia="en-US"/>
        </w:rPr>
        <w:t xml:space="preserve"> Es la forma en la que el ciudadano, usuario y prestadora de servicios pueden acceder a los servicios ofrecidos por el </w:t>
      </w:r>
      <w:r w:rsidR="00410BA5" w:rsidRPr="004C0BC7">
        <w:rPr>
          <w:rFonts w:eastAsiaTheme="minorHAnsi"/>
          <w:szCs w:val="24"/>
          <w:lang w:eastAsia="en-US"/>
        </w:rPr>
        <w:t>INDOTEL</w:t>
      </w:r>
      <w:r w:rsidRPr="004C0BC7">
        <w:rPr>
          <w:rFonts w:eastAsiaTheme="minorHAnsi"/>
          <w:szCs w:val="24"/>
          <w:lang w:eastAsia="en-US"/>
        </w:rPr>
        <w:t>.</w:t>
      </w:r>
    </w:p>
    <w:p w:rsidR="006F7A42" w:rsidRDefault="004C0BC7" w:rsidP="004C0BC7">
      <w:pPr>
        <w:rPr>
          <w:rFonts w:eastAsiaTheme="minorHAnsi"/>
          <w:szCs w:val="24"/>
          <w:lang w:eastAsia="en-US"/>
        </w:rPr>
      </w:pPr>
      <w:r w:rsidRPr="004C0BC7">
        <w:rPr>
          <w:rFonts w:eastAsiaTheme="minorHAnsi"/>
          <w:szCs w:val="24"/>
          <w:lang w:eastAsia="en-US"/>
        </w:rPr>
        <w:t xml:space="preserve">Los compromisos asumidos por el </w:t>
      </w:r>
      <w:r w:rsidR="00410BA5" w:rsidRPr="004C0BC7">
        <w:rPr>
          <w:rFonts w:eastAsiaTheme="minorHAnsi"/>
          <w:szCs w:val="24"/>
          <w:lang w:eastAsia="en-US"/>
        </w:rPr>
        <w:t>INDOTEL</w:t>
      </w:r>
      <w:r w:rsidRPr="004C0BC7">
        <w:rPr>
          <w:rFonts w:eastAsiaTheme="minorHAnsi"/>
          <w:szCs w:val="24"/>
          <w:lang w:eastAsia="en-US"/>
        </w:rPr>
        <w:t xml:space="preserve"> en la Carta Compromiso, son los siguientes: </w:t>
      </w:r>
    </w:p>
    <w:p w:rsidR="0073258A" w:rsidRPr="004C0BC7" w:rsidRDefault="0073258A" w:rsidP="004C0BC7">
      <w:pPr>
        <w:rPr>
          <w:rFonts w:eastAsiaTheme="minorHAnsi"/>
          <w:szCs w:val="24"/>
          <w:lang w:eastAsia="en-US"/>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0"/>
        <w:gridCol w:w="2120"/>
        <w:gridCol w:w="2840"/>
        <w:gridCol w:w="2380"/>
      </w:tblGrid>
      <w:tr w:rsidR="00605050" w:rsidRPr="00605050" w:rsidTr="0063671D">
        <w:trPr>
          <w:trHeight w:val="690"/>
          <w:jc w:val="center"/>
        </w:trPr>
        <w:tc>
          <w:tcPr>
            <w:tcW w:w="9600" w:type="dxa"/>
            <w:gridSpan w:val="4"/>
            <w:shd w:val="clear" w:color="auto" w:fill="003876"/>
            <w:noWrap/>
            <w:vAlign w:val="center"/>
            <w:hideMark/>
          </w:tcPr>
          <w:p w:rsidR="00605050" w:rsidRPr="00605050" w:rsidRDefault="00605050" w:rsidP="00605050">
            <w:pPr>
              <w:spacing w:after="0" w:line="240" w:lineRule="auto"/>
              <w:jc w:val="center"/>
              <w:rPr>
                <w:rFonts w:eastAsia="Times New Roman"/>
                <w:b/>
                <w:bCs/>
                <w:color w:val="FFFFFF"/>
                <w:szCs w:val="24"/>
              </w:rPr>
            </w:pPr>
            <w:r w:rsidRPr="00605050">
              <w:rPr>
                <w:rFonts w:eastAsia="Times New Roman"/>
                <w:b/>
                <w:bCs/>
                <w:color w:val="FFFFFF"/>
                <w:szCs w:val="24"/>
              </w:rPr>
              <w:t>Compromisos Asumidos en la Carta Compromiso al Ciudadano</w:t>
            </w:r>
          </w:p>
        </w:tc>
      </w:tr>
      <w:tr w:rsidR="00605050" w:rsidRPr="00605050" w:rsidTr="0063671D">
        <w:trPr>
          <w:trHeight w:val="690"/>
          <w:jc w:val="center"/>
        </w:trPr>
        <w:tc>
          <w:tcPr>
            <w:tcW w:w="2260" w:type="dxa"/>
            <w:shd w:val="clear" w:color="auto" w:fill="003876"/>
            <w:vAlign w:val="center"/>
            <w:hideMark/>
          </w:tcPr>
          <w:p w:rsidR="00605050" w:rsidRPr="00605050" w:rsidRDefault="00605050" w:rsidP="00605050">
            <w:pPr>
              <w:spacing w:after="0" w:line="240" w:lineRule="auto"/>
              <w:jc w:val="center"/>
              <w:rPr>
                <w:rFonts w:eastAsia="Times New Roman"/>
                <w:b/>
                <w:bCs/>
                <w:color w:val="FFFFFF"/>
                <w:szCs w:val="24"/>
              </w:rPr>
            </w:pPr>
            <w:r w:rsidRPr="00605050">
              <w:rPr>
                <w:rFonts w:eastAsia="Times New Roman"/>
                <w:b/>
                <w:bCs/>
                <w:color w:val="FFFFFF"/>
                <w:szCs w:val="24"/>
              </w:rPr>
              <w:t>Servicio</w:t>
            </w:r>
          </w:p>
        </w:tc>
        <w:tc>
          <w:tcPr>
            <w:tcW w:w="2120" w:type="dxa"/>
            <w:shd w:val="clear" w:color="auto" w:fill="003876"/>
            <w:vAlign w:val="center"/>
            <w:hideMark/>
          </w:tcPr>
          <w:p w:rsidR="00605050" w:rsidRPr="00605050" w:rsidRDefault="00605050" w:rsidP="00605050">
            <w:pPr>
              <w:spacing w:after="0" w:line="240" w:lineRule="auto"/>
              <w:jc w:val="center"/>
              <w:rPr>
                <w:rFonts w:eastAsia="Times New Roman"/>
                <w:b/>
                <w:bCs/>
                <w:color w:val="FFFFFF"/>
                <w:szCs w:val="24"/>
              </w:rPr>
            </w:pPr>
            <w:r w:rsidRPr="00605050">
              <w:rPr>
                <w:rFonts w:eastAsia="Times New Roman"/>
                <w:b/>
                <w:bCs/>
                <w:color w:val="FFFFFF"/>
                <w:szCs w:val="24"/>
              </w:rPr>
              <w:t>Atributo de Calidad</w:t>
            </w:r>
          </w:p>
        </w:tc>
        <w:tc>
          <w:tcPr>
            <w:tcW w:w="2840" w:type="dxa"/>
            <w:shd w:val="clear" w:color="auto" w:fill="003876"/>
            <w:vAlign w:val="center"/>
            <w:hideMark/>
          </w:tcPr>
          <w:p w:rsidR="00605050" w:rsidRPr="00605050" w:rsidRDefault="00605050" w:rsidP="00605050">
            <w:pPr>
              <w:spacing w:after="0" w:line="240" w:lineRule="auto"/>
              <w:jc w:val="center"/>
              <w:rPr>
                <w:rFonts w:eastAsia="Times New Roman"/>
                <w:b/>
                <w:bCs/>
                <w:color w:val="FFFFFF"/>
                <w:szCs w:val="24"/>
              </w:rPr>
            </w:pPr>
            <w:r w:rsidRPr="00605050">
              <w:rPr>
                <w:rFonts w:eastAsia="Times New Roman"/>
                <w:b/>
                <w:bCs/>
                <w:color w:val="FFFFFF"/>
                <w:szCs w:val="24"/>
              </w:rPr>
              <w:t>Estándar</w:t>
            </w:r>
          </w:p>
        </w:tc>
        <w:tc>
          <w:tcPr>
            <w:tcW w:w="2380" w:type="dxa"/>
            <w:shd w:val="clear" w:color="auto" w:fill="003876"/>
            <w:vAlign w:val="center"/>
            <w:hideMark/>
          </w:tcPr>
          <w:p w:rsidR="00605050" w:rsidRPr="00605050" w:rsidRDefault="00605050" w:rsidP="00605050">
            <w:pPr>
              <w:spacing w:after="0" w:line="240" w:lineRule="auto"/>
              <w:jc w:val="center"/>
              <w:rPr>
                <w:rFonts w:eastAsia="Times New Roman"/>
                <w:b/>
                <w:bCs/>
                <w:color w:val="FFFFFF"/>
                <w:szCs w:val="24"/>
              </w:rPr>
            </w:pPr>
            <w:r w:rsidRPr="00605050">
              <w:rPr>
                <w:rFonts w:eastAsia="Times New Roman"/>
                <w:b/>
                <w:bCs/>
                <w:color w:val="FFFFFF"/>
                <w:szCs w:val="24"/>
              </w:rPr>
              <w:t>Indicador</w:t>
            </w:r>
          </w:p>
        </w:tc>
      </w:tr>
      <w:tr w:rsidR="00605050" w:rsidRPr="00605050" w:rsidTr="00E129B1">
        <w:trPr>
          <w:trHeight w:val="2565"/>
          <w:jc w:val="center"/>
        </w:trPr>
        <w:tc>
          <w:tcPr>
            <w:tcW w:w="226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Inscripción en Registro Especial para el Servicio de Radioaficionado</w:t>
            </w:r>
          </w:p>
        </w:tc>
        <w:tc>
          <w:tcPr>
            <w:tcW w:w="212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Tiempo de respuesta</w:t>
            </w:r>
          </w:p>
        </w:tc>
        <w:tc>
          <w:tcPr>
            <w:tcW w:w="284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Las solicitudes deben ser respondidas en un plazo no mayor de 30 días calendario, a partir de haberse tomado el examen.  Nota: A los solicitantes que no requieran tomar el examen, les serán respondidas sus solicitudes en un plazo no mayor de 30 días calendario, a partir de que se encuentren completas.</w:t>
            </w:r>
          </w:p>
        </w:tc>
        <w:tc>
          <w:tcPr>
            <w:tcW w:w="238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Cantidad de solicitudes respondidas en plazo</w:t>
            </w:r>
          </w:p>
        </w:tc>
      </w:tr>
      <w:tr w:rsidR="00605050" w:rsidRPr="00605050" w:rsidTr="00E129B1">
        <w:trPr>
          <w:trHeight w:val="3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vMerge/>
            <w:hideMark/>
          </w:tcPr>
          <w:p w:rsidR="00605050" w:rsidRPr="00E129B1" w:rsidRDefault="00605050" w:rsidP="000116C8">
            <w:pPr>
              <w:spacing w:after="0" w:line="240" w:lineRule="auto"/>
              <w:jc w:val="left"/>
              <w:rPr>
                <w:rFonts w:eastAsia="Times New Roman"/>
                <w:szCs w:val="24"/>
              </w:rPr>
            </w:pPr>
          </w:p>
        </w:tc>
        <w:tc>
          <w:tcPr>
            <w:tcW w:w="2840" w:type="dxa"/>
            <w:vMerge/>
            <w:hideMark/>
          </w:tcPr>
          <w:p w:rsidR="00605050" w:rsidRPr="00E129B1" w:rsidRDefault="00605050" w:rsidP="000116C8">
            <w:pPr>
              <w:spacing w:after="0" w:line="240" w:lineRule="auto"/>
              <w:jc w:val="left"/>
              <w:rPr>
                <w:rFonts w:eastAsia="Times New Roman"/>
                <w:szCs w:val="24"/>
              </w:rPr>
            </w:pPr>
          </w:p>
        </w:tc>
        <w:tc>
          <w:tcPr>
            <w:tcW w:w="2380" w:type="dxa"/>
            <w:vMerge/>
            <w:hideMark/>
          </w:tcPr>
          <w:p w:rsidR="00605050" w:rsidRPr="00E129B1" w:rsidRDefault="00605050" w:rsidP="000116C8">
            <w:pPr>
              <w:spacing w:after="0" w:line="240" w:lineRule="auto"/>
              <w:jc w:val="left"/>
              <w:rPr>
                <w:rFonts w:eastAsia="Times New Roman"/>
                <w:szCs w:val="24"/>
              </w:rPr>
            </w:pPr>
          </w:p>
        </w:tc>
      </w:tr>
      <w:tr w:rsidR="00605050" w:rsidRPr="00605050" w:rsidTr="00E129B1">
        <w:trPr>
          <w:trHeight w:val="3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vMerge/>
            <w:hideMark/>
          </w:tcPr>
          <w:p w:rsidR="00605050" w:rsidRPr="00E129B1" w:rsidRDefault="00605050" w:rsidP="000116C8">
            <w:pPr>
              <w:spacing w:after="0" w:line="240" w:lineRule="auto"/>
              <w:jc w:val="left"/>
              <w:rPr>
                <w:rFonts w:eastAsia="Times New Roman"/>
                <w:szCs w:val="24"/>
              </w:rPr>
            </w:pPr>
          </w:p>
        </w:tc>
        <w:tc>
          <w:tcPr>
            <w:tcW w:w="2840" w:type="dxa"/>
            <w:vMerge/>
            <w:hideMark/>
          </w:tcPr>
          <w:p w:rsidR="00605050" w:rsidRPr="00E129B1" w:rsidRDefault="00605050" w:rsidP="000116C8">
            <w:pPr>
              <w:spacing w:after="0" w:line="240" w:lineRule="auto"/>
              <w:jc w:val="left"/>
              <w:rPr>
                <w:rFonts w:eastAsia="Times New Roman"/>
                <w:szCs w:val="24"/>
              </w:rPr>
            </w:pPr>
          </w:p>
        </w:tc>
        <w:tc>
          <w:tcPr>
            <w:tcW w:w="2380" w:type="dxa"/>
            <w:vMerge/>
            <w:hideMark/>
          </w:tcPr>
          <w:p w:rsidR="00605050" w:rsidRPr="00E129B1" w:rsidRDefault="00605050" w:rsidP="000116C8">
            <w:pPr>
              <w:spacing w:after="0" w:line="240" w:lineRule="auto"/>
              <w:jc w:val="left"/>
              <w:rPr>
                <w:rFonts w:eastAsia="Times New Roman"/>
                <w:szCs w:val="24"/>
              </w:rPr>
            </w:pPr>
          </w:p>
        </w:tc>
      </w:tr>
      <w:tr w:rsidR="00605050" w:rsidRPr="00605050" w:rsidTr="00E129B1">
        <w:trPr>
          <w:trHeight w:val="276"/>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vMerge/>
            <w:hideMark/>
          </w:tcPr>
          <w:p w:rsidR="00605050" w:rsidRPr="00E129B1" w:rsidRDefault="00605050" w:rsidP="000116C8">
            <w:pPr>
              <w:spacing w:after="0" w:line="240" w:lineRule="auto"/>
              <w:jc w:val="left"/>
              <w:rPr>
                <w:rFonts w:eastAsia="Times New Roman"/>
                <w:szCs w:val="24"/>
              </w:rPr>
            </w:pPr>
          </w:p>
        </w:tc>
        <w:tc>
          <w:tcPr>
            <w:tcW w:w="2840" w:type="dxa"/>
            <w:vMerge/>
            <w:hideMark/>
          </w:tcPr>
          <w:p w:rsidR="00605050" w:rsidRPr="00E129B1" w:rsidRDefault="00605050" w:rsidP="000116C8">
            <w:pPr>
              <w:spacing w:after="0" w:line="240" w:lineRule="auto"/>
              <w:jc w:val="left"/>
              <w:rPr>
                <w:rFonts w:eastAsia="Times New Roman"/>
                <w:szCs w:val="24"/>
              </w:rPr>
            </w:pPr>
          </w:p>
        </w:tc>
        <w:tc>
          <w:tcPr>
            <w:tcW w:w="2380" w:type="dxa"/>
            <w:vMerge/>
            <w:hideMark/>
          </w:tcPr>
          <w:p w:rsidR="00605050" w:rsidRPr="00E129B1" w:rsidRDefault="00605050" w:rsidP="000116C8">
            <w:pPr>
              <w:spacing w:after="0" w:line="240" w:lineRule="auto"/>
              <w:jc w:val="left"/>
              <w:rPr>
                <w:rFonts w:eastAsia="Times New Roman"/>
                <w:szCs w:val="24"/>
              </w:rPr>
            </w:pPr>
          </w:p>
        </w:tc>
      </w:tr>
      <w:tr w:rsidR="00605050" w:rsidRPr="00605050" w:rsidTr="00E129B1">
        <w:trPr>
          <w:trHeight w:val="6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Fiabilidad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90 %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6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Accesibilidad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90 %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1755"/>
          <w:jc w:val="center"/>
        </w:trPr>
        <w:tc>
          <w:tcPr>
            <w:tcW w:w="226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Renovación de una  Inscripción en Registro Especial para el Servicio de Radioaficionado</w:t>
            </w:r>
          </w:p>
        </w:tc>
        <w:tc>
          <w:tcPr>
            <w:tcW w:w="212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Tiempo de respuesta</w:t>
            </w:r>
          </w:p>
        </w:tc>
        <w:tc>
          <w:tcPr>
            <w:tcW w:w="284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Las solicitudes deben ser respondidas en un plazo no mayor de 30 días calendario, a partir de que se encuentren completas.</w:t>
            </w:r>
          </w:p>
        </w:tc>
        <w:tc>
          <w:tcPr>
            <w:tcW w:w="238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Cantidad de solicitudes respondidas en plazo</w:t>
            </w:r>
          </w:p>
        </w:tc>
      </w:tr>
      <w:tr w:rsidR="00605050" w:rsidRPr="00605050" w:rsidTr="00E129B1">
        <w:trPr>
          <w:trHeight w:val="3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vMerge/>
            <w:hideMark/>
          </w:tcPr>
          <w:p w:rsidR="00605050" w:rsidRPr="00E129B1" w:rsidRDefault="00605050" w:rsidP="000116C8">
            <w:pPr>
              <w:spacing w:after="0" w:line="240" w:lineRule="auto"/>
              <w:jc w:val="left"/>
              <w:rPr>
                <w:rFonts w:eastAsia="Times New Roman"/>
                <w:szCs w:val="24"/>
              </w:rPr>
            </w:pPr>
          </w:p>
        </w:tc>
        <w:tc>
          <w:tcPr>
            <w:tcW w:w="2840" w:type="dxa"/>
            <w:vMerge/>
            <w:hideMark/>
          </w:tcPr>
          <w:p w:rsidR="00605050" w:rsidRPr="00E129B1" w:rsidRDefault="00605050" w:rsidP="000116C8">
            <w:pPr>
              <w:spacing w:after="0" w:line="240" w:lineRule="auto"/>
              <w:jc w:val="left"/>
              <w:rPr>
                <w:rFonts w:eastAsia="Times New Roman"/>
                <w:szCs w:val="24"/>
              </w:rPr>
            </w:pPr>
          </w:p>
        </w:tc>
        <w:tc>
          <w:tcPr>
            <w:tcW w:w="2380" w:type="dxa"/>
            <w:vMerge/>
            <w:hideMark/>
          </w:tcPr>
          <w:p w:rsidR="00605050" w:rsidRPr="00E129B1" w:rsidRDefault="00605050" w:rsidP="000116C8">
            <w:pPr>
              <w:spacing w:after="0" w:line="240" w:lineRule="auto"/>
              <w:jc w:val="left"/>
              <w:rPr>
                <w:rFonts w:eastAsia="Times New Roman"/>
                <w:szCs w:val="24"/>
              </w:rPr>
            </w:pPr>
          </w:p>
        </w:tc>
      </w:tr>
      <w:tr w:rsidR="00605050" w:rsidRPr="00605050" w:rsidTr="00E129B1">
        <w:trPr>
          <w:trHeight w:val="6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Fiabilidad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90 %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105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Accesibilidad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90 %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1620"/>
          <w:jc w:val="center"/>
        </w:trPr>
        <w:tc>
          <w:tcPr>
            <w:tcW w:w="226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Homologación de Equipos y Aparatos</w:t>
            </w: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Tiempo de respuesta</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Las solicitudes deben ser respondidas en un plazo no mayor de 18 días hábiles, a partir de que se haya realizado el pago.</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Cantidad de solicitudes respondidas en plazo</w:t>
            </w:r>
          </w:p>
        </w:tc>
      </w:tr>
      <w:tr w:rsidR="00605050" w:rsidRPr="00605050" w:rsidTr="00E129B1">
        <w:trPr>
          <w:trHeight w:val="84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Profesionalidad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85 %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855"/>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Fiabilidad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85 %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1635"/>
          <w:jc w:val="center"/>
        </w:trPr>
        <w:tc>
          <w:tcPr>
            <w:tcW w:w="226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No Objeción para Retirar Equipos de Aduanas</w:t>
            </w: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Tiempo de respuesta</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Las solicitudes en línea deben ser respondidas en un plazo no mayor de 3 días hábiles, a partir de que haya sido realizado el pago.</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Cantidad de solicitudes respondidas en plazo</w:t>
            </w:r>
          </w:p>
        </w:tc>
      </w:tr>
      <w:tr w:rsidR="00605050" w:rsidRPr="00605050" w:rsidTr="00E129B1">
        <w:trPr>
          <w:trHeight w:val="900"/>
          <w:jc w:val="center"/>
        </w:trPr>
        <w:tc>
          <w:tcPr>
            <w:tcW w:w="226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xml:space="preserve">Atención a Reclamaciones en Torno a los Servicios </w:t>
            </w:r>
            <w:r w:rsidRPr="00E129B1">
              <w:rPr>
                <w:rFonts w:eastAsia="Times New Roman"/>
                <w:szCs w:val="24"/>
              </w:rPr>
              <w:lastRenderedPageBreak/>
              <w:t>de Telecomunicaciones Contratados por un Usuario Ante una Prestadora de Servicios Públicos de Telecomunicaciones</w:t>
            </w:r>
          </w:p>
        </w:tc>
        <w:tc>
          <w:tcPr>
            <w:tcW w:w="212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lastRenderedPageBreak/>
              <w:t>Tiempo de respuesta</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Casos de Pre Formalización (CPF) 5 días calendario.</w:t>
            </w:r>
          </w:p>
        </w:tc>
        <w:tc>
          <w:tcPr>
            <w:tcW w:w="238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Cantidad de solicitudes respondidas en plazo</w:t>
            </w:r>
          </w:p>
        </w:tc>
      </w:tr>
      <w:tr w:rsidR="00605050" w:rsidRPr="00605050" w:rsidTr="00E129B1">
        <w:trPr>
          <w:trHeight w:val="537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vMerge/>
            <w:hideMark/>
          </w:tcPr>
          <w:p w:rsidR="00605050" w:rsidRPr="00E129B1" w:rsidRDefault="00605050" w:rsidP="000116C8">
            <w:pPr>
              <w:spacing w:after="0" w:line="240" w:lineRule="auto"/>
              <w:jc w:val="left"/>
              <w:rPr>
                <w:rFonts w:eastAsia="Times New Roman"/>
                <w:szCs w:val="24"/>
              </w:rPr>
            </w:pP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Casos de Recursos de Queja (RDQ) Si el usuario acepta la propuesta formulada por la prestadora, la respuesta será otorgada en un plazo no mayor de 23 días calendario.                    Si el usuario no acepta la propuesta formulada por la prestadora, la respuesta será otorgada en un plazo no mayor de 43 días calendario.                      Si el proceso llega a Cuerpos Colegiados, la respuesta será otorgada en un plazo no mayor de 63 días calendario y 30 días hábiles para la homologación del Consejo Directivo.</w:t>
            </w:r>
          </w:p>
        </w:tc>
        <w:tc>
          <w:tcPr>
            <w:tcW w:w="2380" w:type="dxa"/>
            <w:vMerge/>
            <w:hideMark/>
          </w:tcPr>
          <w:p w:rsidR="00605050" w:rsidRPr="00E129B1" w:rsidRDefault="00605050" w:rsidP="000116C8">
            <w:pPr>
              <w:spacing w:after="0" w:line="240" w:lineRule="auto"/>
              <w:jc w:val="left"/>
              <w:rPr>
                <w:rFonts w:eastAsia="Times New Roman"/>
                <w:szCs w:val="24"/>
              </w:rPr>
            </w:pPr>
          </w:p>
        </w:tc>
      </w:tr>
      <w:tr w:rsidR="00605050" w:rsidRPr="00605050" w:rsidTr="00E129B1">
        <w:trPr>
          <w:trHeight w:val="120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vMerge/>
            <w:hideMark/>
          </w:tcPr>
          <w:p w:rsidR="00605050" w:rsidRPr="00E129B1" w:rsidRDefault="00605050" w:rsidP="000116C8">
            <w:pPr>
              <w:spacing w:after="0" w:line="240" w:lineRule="auto"/>
              <w:jc w:val="left"/>
              <w:rPr>
                <w:rFonts w:eastAsia="Times New Roman"/>
                <w:szCs w:val="24"/>
              </w:rPr>
            </w:pP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Casos de Quejas (CQ) La respuesta será otorgada en un plazo no mayor de 20 días calendario.</w:t>
            </w:r>
          </w:p>
        </w:tc>
        <w:tc>
          <w:tcPr>
            <w:tcW w:w="2380" w:type="dxa"/>
            <w:vMerge/>
            <w:hideMark/>
          </w:tcPr>
          <w:p w:rsidR="00605050" w:rsidRPr="00E129B1" w:rsidRDefault="00605050" w:rsidP="000116C8">
            <w:pPr>
              <w:spacing w:after="0" w:line="240" w:lineRule="auto"/>
              <w:jc w:val="left"/>
              <w:rPr>
                <w:rFonts w:eastAsia="Times New Roman"/>
                <w:szCs w:val="24"/>
              </w:rPr>
            </w:pPr>
          </w:p>
        </w:tc>
      </w:tr>
      <w:tr w:rsidR="00605050" w:rsidRPr="00605050" w:rsidTr="00E129B1">
        <w:trPr>
          <w:trHeight w:val="72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Amabilidad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90 %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615"/>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Fiabilidad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85 %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1020"/>
          <w:jc w:val="center"/>
        </w:trPr>
        <w:tc>
          <w:tcPr>
            <w:tcW w:w="2260" w:type="dxa"/>
            <w:vMerge w:val="restart"/>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Atención de Consultas y Orientación en Temas de Telecomunicaciones</w:t>
            </w: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Amabilidad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90 %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114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Profesionalidad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85 %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r w:rsidR="00605050" w:rsidRPr="00605050" w:rsidTr="00E129B1">
        <w:trPr>
          <w:trHeight w:val="990"/>
          <w:jc w:val="center"/>
        </w:trPr>
        <w:tc>
          <w:tcPr>
            <w:tcW w:w="2260" w:type="dxa"/>
            <w:vMerge/>
            <w:hideMark/>
          </w:tcPr>
          <w:p w:rsidR="00605050" w:rsidRPr="00E129B1" w:rsidRDefault="00605050" w:rsidP="000116C8">
            <w:pPr>
              <w:spacing w:after="0" w:line="240" w:lineRule="auto"/>
              <w:jc w:val="left"/>
              <w:rPr>
                <w:rFonts w:eastAsia="Times New Roman"/>
                <w:szCs w:val="24"/>
              </w:rPr>
            </w:pPr>
          </w:p>
        </w:tc>
        <w:tc>
          <w:tcPr>
            <w:tcW w:w="212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Accesibilidad</w:t>
            </w:r>
          </w:p>
        </w:tc>
        <w:tc>
          <w:tcPr>
            <w:tcW w:w="284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85 % de satisfacción</w:t>
            </w:r>
          </w:p>
        </w:tc>
        <w:tc>
          <w:tcPr>
            <w:tcW w:w="2380" w:type="dxa"/>
            <w:shd w:val="clear" w:color="auto" w:fill="auto"/>
            <w:hideMark/>
          </w:tcPr>
          <w:p w:rsidR="00605050" w:rsidRPr="00E129B1" w:rsidRDefault="00605050" w:rsidP="000116C8">
            <w:pPr>
              <w:spacing w:after="0" w:line="240" w:lineRule="auto"/>
              <w:jc w:val="left"/>
              <w:rPr>
                <w:rFonts w:eastAsia="Times New Roman"/>
                <w:szCs w:val="24"/>
              </w:rPr>
            </w:pPr>
            <w:r w:rsidRPr="00E129B1">
              <w:rPr>
                <w:rFonts w:eastAsia="Times New Roman"/>
                <w:szCs w:val="24"/>
              </w:rPr>
              <w:t>% de satisfacción en encuesta semestral</w:t>
            </w:r>
          </w:p>
        </w:tc>
      </w:tr>
    </w:tbl>
    <w:p w:rsidR="004B7985" w:rsidRPr="000116C8" w:rsidRDefault="009C1ED7" w:rsidP="00605050">
      <w:pPr>
        <w:pStyle w:val="Sinespaciado"/>
        <w:ind w:left="-900"/>
        <w:rPr>
          <w:color w:val="767171"/>
          <w:sz w:val="18"/>
        </w:rPr>
      </w:pPr>
      <w:r>
        <w:rPr>
          <w:b/>
          <w:color w:val="767171"/>
          <w:sz w:val="18"/>
        </w:rPr>
        <w:t xml:space="preserve"> </w:t>
      </w:r>
      <w:r w:rsidR="00605050" w:rsidRPr="000116C8">
        <w:rPr>
          <w:b/>
          <w:color w:val="767171"/>
          <w:sz w:val="18"/>
        </w:rPr>
        <w:t>Fuente:</w:t>
      </w:r>
      <w:r w:rsidR="00605050" w:rsidRPr="000116C8">
        <w:rPr>
          <w:color w:val="767171"/>
          <w:sz w:val="18"/>
        </w:rPr>
        <w:t xml:space="preserve"> Carta Compromiso al Ciudadano del INDOTEL</w:t>
      </w:r>
    </w:p>
    <w:p w:rsidR="003E1DA6" w:rsidRDefault="003E1DA6" w:rsidP="00FF5321">
      <w:pPr>
        <w:spacing w:line="360" w:lineRule="auto"/>
      </w:pPr>
    </w:p>
    <w:p w:rsidR="003E1DA6" w:rsidRPr="003E1DA6" w:rsidRDefault="003E1DA6" w:rsidP="003E1DA6">
      <w:pPr>
        <w:spacing w:line="360" w:lineRule="auto"/>
        <w:rPr>
          <w:rFonts w:eastAsiaTheme="minorHAnsi"/>
          <w:szCs w:val="24"/>
          <w:lang w:eastAsia="en-US"/>
        </w:rPr>
      </w:pPr>
      <w:r w:rsidRPr="003E1DA6">
        <w:rPr>
          <w:rFonts w:eastAsiaTheme="minorHAnsi"/>
          <w:szCs w:val="24"/>
          <w:lang w:eastAsia="en-US"/>
        </w:rPr>
        <w:lastRenderedPageBreak/>
        <w:t>El Ministerio de Administración Pública (MAP) realizó una auditoria en el mes de marzo para verificar el cumplimiento de los compromisos que asumimos en la Carta Compromiso al Ciudadano</w:t>
      </w:r>
      <w:r w:rsidR="000742F3">
        <w:rPr>
          <w:rFonts w:eastAsiaTheme="minorHAnsi"/>
          <w:szCs w:val="24"/>
          <w:lang w:eastAsia="en-US"/>
        </w:rPr>
        <w:t>.</w:t>
      </w:r>
      <w:r w:rsidRPr="003E1DA6">
        <w:rPr>
          <w:rFonts w:eastAsiaTheme="minorHAnsi"/>
          <w:szCs w:val="24"/>
          <w:lang w:eastAsia="en-US"/>
        </w:rPr>
        <w:t xml:space="preserve"> </w:t>
      </w:r>
      <w:r w:rsidR="000742F3" w:rsidRPr="003E1DA6">
        <w:rPr>
          <w:rFonts w:eastAsiaTheme="minorHAnsi"/>
          <w:szCs w:val="24"/>
          <w:lang w:eastAsia="en-US"/>
        </w:rPr>
        <w:t>En</w:t>
      </w:r>
      <w:r w:rsidRPr="003E1DA6">
        <w:rPr>
          <w:rFonts w:eastAsiaTheme="minorHAnsi"/>
          <w:szCs w:val="24"/>
          <w:lang w:eastAsia="en-US"/>
        </w:rPr>
        <w:t xml:space="preserve"> dicha auditoria obtuvimos una calificación de un  98% de cumplimiento motivo por el cual fuimos invitados por el MAP a participar como exponentes en el </w:t>
      </w:r>
      <w:proofErr w:type="spellStart"/>
      <w:r w:rsidRPr="003E1DA6">
        <w:rPr>
          <w:rFonts w:eastAsiaTheme="minorHAnsi"/>
          <w:szCs w:val="24"/>
          <w:lang w:eastAsia="en-US"/>
        </w:rPr>
        <w:t>Webinar</w:t>
      </w:r>
      <w:proofErr w:type="spellEnd"/>
      <w:r w:rsidRPr="003E1DA6">
        <w:rPr>
          <w:rFonts w:eastAsiaTheme="minorHAnsi"/>
          <w:szCs w:val="24"/>
          <w:lang w:eastAsia="en-US"/>
        </w:rPr>
        <w:t xml:space="preserve"> </w:t>
      </w:r>
      <w:proofErr w:type="spellStart"/>
      <w:r w:rsidRPr="003E1DA6">
        <w:rPr>
          <w:rFonts w:eastAsiaTheme="minorHAnsi"/>
          <w:szCs w:val="24"/>
          <w:shd w:val="clear" w:color="auto" w:fill="FFFFFF"/>
          <w:lang w:eastAsia="en-US"/>
        </w:rPr>
        <w:t>Benchlearning</w:t>
      </w:r>
      <w:proofErr w:type="spellEnd"/>
      <w:r w:rsidRPr="003E1DA6">
        <w:rPr>
          <w:rFonts w:eastAsiaTheme="minorHAnsi"/>
          <w:szCs w:val="24"/>
          <w:shd w:val="clear" w:color="auto" w:fill="FFFFFF"/>
          <w:lang w:eastAsia="en-US"/>
        </w:rPr>
        <w:t xml:space="preserve"> sobre Carta Compromiso al Ciudadano cuyo objetivo </w:t>
      </w:r>
      <w:r w:rsidR="000742F3">
        <w:rPr>
          <w:rFonts w:eastAsiaTheme="minorHAnsi"/>
          <w:szCs w:val="24"/>
          <w:shd w:val="clear" w:color="auto" w:fill="FFFFFF"/>
          <w:lang w:eastAsia="en-US"/>
        </w:rPr>
        <w:t>fue</w:t>
      </w:r>
      <w:r w:rsidRPr="003E1DA6">
        <w:rPr>
          <w:rFonts w:eastAsiaTheme="minorHAnsi"/>
          <w:szCs w:val="24"/>
          <w:shd w:val="clear" w:color="auto" w:fill="FFFFFF"/>
          <w:lang w:eastAsia="en-US"/>
        </w:rPr>
        <w:t xml:space="preserve"> dar a conocer las innovaciones implementadas en las instituciones para garantizar la continuidad, el acceso y el cumplimiento de los compromisos de calidad asumidos en el tiempo de Covid-19. </w:t>
      </w:r>
    </w:p>
    <w:p w:rsidR="003E1DA6" w:rsidRPr="003E1DA6" w:rsidRDefault="003E1DA6" w:rsidP="000116C8">
      <w:pPr>
        <w:pStyle w:val="Sinespaciado"/>
        <w:rPr>
          <w:rFonts w:eastAsiaTheme="minorHAnsi"/>
          <w:lang w:eastAsia="en-US"/>
        </w:rPr>
      </w:pPr>
    </w:p>
    <w:p w:rsidR="003E1DA6" w:rsidRDefault="003E1DA6" w:rsidP="003E1DA6">
      <w:pPr>
        <w:spacing w:line="360" w:lineRule="auto"/>
        <w:rPr>
          <w:rFonts w:eastAsiaTheme="minorHAnsi"/>
          <w:szCs w:val="24"/>
          <w:lang w:eastAsia="en-US"/>
        </w:rPr>
      </w:pPr>
      <w:r w:rsidRPr="003E1DA6">
        <w:rPr>
          <w:rFonts w:eastAsiaTheme="minorHAnsi"/>
          <w:szCs w:val="24"/>
          <w:lang w:eastAsia="en-US"/>
        </w:rPr>
        <w:t xml:space="preserve">La institución </w:t>
      </w:r>
      <w:r w:rsidR="000742F3">
        <w:rPr>
          <w:rFonts w:eastAsiaTheme="minorHAnsi"/>
          <w:szCs w:val="24"/>
          <w:lang w:eastAsia="en-US"/>
        </w:rPr>
        <w:t>en</w:t>
      </w:r>
      <w:r w:rsidRPr="003E1DA6">
        <w:rPr>
          <w:rFonts w:eastAsiaTheme="minorHAnsi"/>
          <w:szCs w:val="24"/>
          <w:lang w:eastAsia="en-US"/>
        </w:rPr>
        <w:t xml:space="preserve"> el período</w:t>
      </w:r>
      <w:r w:rsidR="001659A0">
        <w:rPr>
          <w:rFonts w:eastAsiaTheme="minorHAnsi"/>
          <w:szCs w:val="24"/>
          <w:lang w:eastAsia="en-US"/>
        </w:rPr>
        <w:t xml:space="preserve"> auditado</w:t>
      </w:r>
      <w:r w:rsidR="000C4133">
        <w:rPr>
          <w:rFonts w:eastAsiaTheme="minorHAnsi"/>
          <w:szCs w:val="24"/>
          <w:lang w:eastAsia="en-US"/>
        </w:rPr>
        <w:t xml:space="preserve"> por </w:t>
      </w:r>
      <w:r w:rsidR="001659A0">
        <w:rPr>
          <w:rFonts w:eastAsiaTheme="minorHAnsi"/>
          <w:szCs w:val="24"/>
          <w:lang w:eastAsia="en-US"/>
        </w:rPr>
        <w:t xml:space="preserve">el </w:t>
      </w:r>
      <w:r w:rsidR="000C4133">
        <w:rPr>
          <w:rFonts w:eastAsiaTheme="minorHAnsi"/>
          <w:szCs w:val="24"/>
          <w:lang w:eastAsia="en-US"/>
        </w:rPr>
        <w:t>Ministerio de Administración Pública (MAP)</w:t>
      </w:r>
      <w:r w:rsidR="001659A0">
        <w:rPr>
          <w:rFonts w:eastAsiaTheme="minorHAnsi"/>
          <w:szCs w:val="24"/>
          <w:lang w:eastAsia="en-US"/>
        </w:rPr>
        <w:t>,</w:t>
      </w:r>
      <w:r w:rsidR="000742F3">
        <w:rPr>
          <w:rFonts w:eastAsiaTheme="minorHAnsi"/>
          <w:szCs w:val="24"/>
          <w:lang w:eastAsia="en-US"/>
        </w:rPr>
        <w:t xml:space="preserve"> comprendido entre marzo de 2020 y marzo de 2021</w:t>
      </w:r>
      <w:r w:rsidR="001659A0">
        <w:rPr>
          <w:rFonts w:eastAsiaTheme="minorHAnsi"/>
          <w:szCs w:val="24"/>
          <w:lang w:eastAsia="en-US"/>
        </w:rPr>
        <w:t>,</w:t>
      </w:r>
      <w:r w:rsidRPr="003E1DA6">
        <w:rPr>
          <w:rFonts w:eastAsiaTheme="minorHAnsi"/>
          <w:szCs w:val="24"/>
          <w:lang w:eastAsia="en-US"/>
        </w:rPr>
        <w:t xml:space="preserve"> atendió un total 12,684 </w:t>
      </w:r>
      <w:r w:rsidR="00CF2475">
        <w:rPr>
          <w:rFonts w:eastAsiaTheme="minorHAnsi"/>
          <w:szCs w:val="24"/>
          <w:lang w:eastAsia="en-US"/>
        </w:rPr>
        <w:t>solicitudes de las cuales 12,545</w:t>
      </w:r>
      <w:r>
        <w:rPr>
          <w:rFonts w:eastAsiaTheme="minorHAnsi"/>
          <w:szCs w:val="24"/>
          <w:lang w:eastAsia="en-US"/>
        </w:rPr>
        <w:t xml:space="preserve"> </w:t>
      </w:r>
      <w:r w:rsidR="000742F3">
        <w:rPr>
          <w:rFonts w:eastAsiaTheme="minorHAnsi"/>
          <w:szCs w:val="24"/>
          <w:lang w:eastAsia="en-US"/>
        </w:rPr>
        <w:t>fueron</w:t>
      </w:r>
      <w:r w:rsidRPr="003E1DA6">
        <w:rPr>
          <w:rFonts w:eastAsiaTheme="minorHAnsi"/>
          <w:szCs w:val="24"/>
          <w:lang w:eastAsia="en-US"/>
        </w:rPr>
        <w:t xml:space="preserve"> resueltas dentro de los plazos establecidos, lo que equivale</w:t>
      </w:r>
      <w:r w:rsidR="000742F3">
        <w:rPr>
          <w:rFonts w:eastAsiaTheme="minorHAnsi"/>
          <w:szCs w:val="24"/>
          <w:lang w:eastAsia="en-US"/>
        </w:rPr>
        <w:t xml:space="preserve"> a un nivel de cumplimiento de</w:t>
      </w:r>
      <w:r w:rsidRPr="003E1DA6">
        <w:rPr>
          <w:rFonts w:eastAsiaTheme="minorHAnsi"/>
          <w:szCs w:val="24"/>
          <w:lang w:eastAsia="en-US"/>
        </w:rPr>
        <w:t xml:space="preserve"> un 9</w:t>
      </w:r>
      <w:r w:rsidR="00CF2475">
        <w:rPr>
          <w:rFonts w:eastAsiaTheme="minorHAnsi"/>
          <w:szCs w:val="24"/>
          <w:lang w:eastAsia="en-US"/>
        </w:rPr>
        <w:t>9</w:t>
      </w:r>
      <w:r w:rsidRPr="003E1DA6">
        <w:rPr>
          <w:rFonts w:eastAsiaTheme="minorHAnsi"/>
          <w:szCs w:val="24"/>
          <w:lang w:eastAsia="en-US"/>
        </w:rPr>
        <w:t>.</w:t>
      </w:r>
      <w:r w:rsidR="00CF2475">
        <w:rPr>
          <w:rFonts w:eastAsiaTheme="minorHAnsi"/>
          <w:szCs w:val="24"/>
          <w:lang w:eastAsia="en-US"/>
        </w:rPr>
        <w:t>00</w:t>
      </w:r>
      <w:r w:rsidRPr="003E1DA6">
        <w:rPr>
          <w:rFonts w:eastAsiaTheme="minorHAnsi"/>
          <w:szCs w:val="24"/>
          <w:lang w:eastAsia="en-US"/>
        </w:rPr>
        <w:t xml:space="preserve"> % de las solicitudes respondidas</w:t>
      </w:r>
      <w:r w:rsidR="000742F3">
        <w:rPr>
          <w:rFonts w:eastAsiaTheme="minorHAnsi"/>
          <w:szCs w:val="24"/>
          <w:lang w:eastAsia="en-US"/>
        </w:rPr>
        <w:t>,</w:t>
      </w:r>
      <w:r w:rsidRPr="003E1DA6">
        <w:rPr>
          <w:rFonts w:eastAsiaTheme="minorHAnsi"/>
          <w:szCs w:val="24"/>
          <w:lang w:eastAsia="en-US"/>
        </w:rPr>
        <w:t xml:space="preserve"> l</w:t>
      </w:r>
      <w:r w:rsidR="000742F3">
        <w:rPr>
          <w:rFonts w:eastAsiaTheme="minorHAnsi"/>
          <w:szCs w:val="24"/>
          <w:lang w:eastAsia="en-US"/>
        </w:rPr>
        <w:t>a</w:t>
      </w:r>
      <w:r w:rsidRPr="003E1DA6">
        <w:rPr>
          <w:rFonts w:eastAsiaTheme="minorHAnsi"/>
          <w:szCs w:val="24"/>
          <w:lang w:eastAsia="en-US"/>
        </w:rPr>
        <w:t xml:space="preserve">s cuales se encuentran desglosados </w:t>
      </w:r>
      <w:r w:rsidR="000742F3">
        <w:rPr>
          <w:rFonts w:eastAsiaTheme="minorHAnsi"/>
          <w:szCs w:val="24"/>
          <w:lang w:eastAsia="en-US"/>
        </w:rPr>
        <w:t>de</w:t>
      </w:r>
      <w:r w:rsidRPr="003E1DA6">
        <w:rPr>
          <w:rFonts w:eastAsiaTheme="minorHAnsi"/>
          <w:szCs w:val="24"/>
          <w:lang w:eastAsia="en-US"/>
        </w:rPr>
        <w:t xml:space="preserve"> la siguiente manera</w:t>
      </w:r>
      <w:r w:rsidR="000742F3">
        <w:rPr>
          <w:rFonts w:eastAsiaTheme="minorHAnsi"/>
          <w:szCs w:val="24"/>
          <w:lang w:eastAsia="en-US"/>
        </w:rPr>
        <w:t>:</w:t>
      </w:r>
      <w:r w:rsidR="0073258A">
        <w:rPr>
          <w:rFonts w:eastAsiaTheme="minorHAnsi"/>
          <w:szCs w:val="24"/>
          <w:lang w:eastAsia="en-US"/>
        </w:rPr>
        <w:br/>
      </w:r>
    </w:p>
    <w:tbl>
      <w:tblPr>
        <w:tblW w:w="8820" w:type="dxa"/>
        <w:tblCellMar>
          <w:left w:w="70" w:type="dxa"/>
          <w:right w:w="70" w:type="dxa"/>
        </w:tblCellMar>
        <w:tblLook w:val="04A0" w:firstRow="1" w:lastRow="0" w:firstColumn="1" w:lastColumn="0" w:noHBand="0" w:noVBand="1"/>
      </w:tblPr>
      <w:tblGrid>
        <w:gridCol w:w="2313"/>
        <w:gridCol w:w="1647"/>
        <w:gridCol w:w="2880"/>
        <w:gridCol w:w="1980"/>
      </w:tblGrid>
      <w:tr w:rsidR="00CF2475" w:rsidRPr="00CF2475" w:rsidTr="0063671D">
        <w:trPr>
          <w:trHeight w:val="315"/>
        </w:trPr>
        <w:tc>
          <w:tcPr>
            <w:tcW w:w="8820" w:type="dxa"/>
            <w:gridSpan w:val="4"/>
            <w:tcBorders>
              <w:top w:val="single" w:sz="4" w:space="0" w:color="auto"/>
              <w:left w:val="single" w:sz="4" w:space="0" w:color="auto"/>
              <w:bottom w:val="single" w:sz="4" w:space="0" w:color="auto"/>
              <w:right w:val="single" w:sz="4" w:space="0" w:color="auto"/>
            </w:tcBorders>
            <w:shd w:val="clear" w:color="auto" w:fill="003876"/>
            <w:noWrap/>
            <w:vAlign w:val="bottom"/>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 xml:space="preserve">Cantidad de Solicitudes Respondidas </w:t>
            </w:r>
          </w:p>
        </w:tc>
      </w:tr>
      <w:tr w:rsidR="00CF2475" w:rsidRPr="00CF2475" w:rsidTr="0063671D">
        <w:trPr>
          <w:trHeight w:val="315"/>
        </w:trPr>
        <w:tc>
          <w:tcPr>
            <w:tcW w:w="2313" w:type="dxa"/>
            <w:vMerge w:val="restart"/>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Servicio</w:t>
            </w:r>
          </w:p>
        </w:tc>
        <w:tc>
          <w:tcPr>
            <w:tcW w:w="1647" w:type="dxa"/>
            <w:vMerge w:val="restart"/>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Atributo de Calidad</w:t>
            </w:r>
          </w:p>
        </w:tc>
        <w:tc>
          <w:tcPr>
            <w:tcW w:w="2880" w:type="dxa"/>
            <w:vMerge w:val="restart"/>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Meta</w:t>
            </w:r>
          </w:p>
        </w:tc>
        <w:tc>
          <w:tcPr>
            <w:tcW w:w="1980" w:type="dxa"/>
            <w:tcBorders>
              <w:top w:val="nil"/>
              <w:left w:val="nil"/>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Resultado</w:t>
            </w:r>
          </w:p>
        </w:tc>
      </w:tr>
      <w:tr w:rsidR="00CF2475" w:rsidRPr="00CF2475" w:rsidTr="0063671D">
        <w:trPr>
          <w:trHeight w:val="450"/>
        </w:trPr>
        <w:tc>
          <w:tcPr>
            <w:tcW w:w="2313" w:type="dxa"/>
            <w:vMerge/>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left"/>
              <w:rPr>
                <w:rFonts w:eastAsia="Times New Roman"/>
                <w:b/>
                <w:bCs/>
                <w:color w:val="FFFFFF"/>
                <w:szCs w:val="24"/>
              </w:rPr>
            </w:pPr>
          </w:p>
        </w:tc>
        <w:tc>
          <w:tcPr>
            <w:tcW w:w="1647" w:type="dxa"/>
            <w:vMerge/>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left"/>
              <w:rPr>
                <w:rFonts w:eastAsia="Times New Roman"/>
                <w:b/>
                <w:bCs/>
                <w:color w:val="FFFFFF"/>
                <w:szCs w:val="24"/>
              </w:rPr>
            </w:pPr>
          </w:p>
        </w:tc>
        <w:tc>
          <w:tcPr>
            <w:tcW w:w="2880" w:type="dxa"/>
            <w:vMerge/>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left"/>
              <w:rPr>
                <w:rFonts w:eastAsia="Times New Roman"/>
                <w:b/>
                <w:bCs/>
                <w:color w:val="FFFFFF"/>
                <w:szCs w:val="24"/>
              </w:rPr>
            </w:pPr>
          </w:p>
        </w:tc>
        <w:tc>
          <w:tcPr>
            <w:tcW w:w="1980" w:type="dxa"/>
            <w:tcBorders>
              <w:top w:val="nil"/>
              <w:left w:val="nil"/>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(Marzo 2020-Febrero 2021)</w:t>
            </w:r>
          </w:p>
        </w:tc>
      </w:tr>
      <w:tr w:rsidR="00CF2475" w:rsidRPr="00CF2475" w:rsidTr="00E129B1">
        <w:trPr>
          <w:trHeight w:val="1875"/>
        </w:trPr>
        <w:tc>
          <w:tcPr>
            <w:tcW w:w="2313" w:type="dxa"/>
            <w:vMerge w:val="restart"/>
            <w:tcBorders>
              <w:top w:val="nil"/>
              <w:left w:val="single" w:sz="4" w:space="0" w:color="auto"/>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 xml:space="preserve">Atención a Reclamaciones en Torno a los Servicios de Telecomunicaciones Contratados por un Usuario Ante una Prestadora de Servicios Públicos de Telecomunicaciones o Ante la alegada violación a una disposición </w:t>
            </w:r>
            <w:r w:rsidRPr="00CF2475">
              <w:rPr>
                <w:rFonts w:eastAsia="Times New Roman"/>
                <w:szCs w:val="24"/>
              </w:rPr>
              <w:lastRenderedPageBreak/>
              <w:t xml:space="preserve">establecida en la Ley o en las reglamentaciones, resoluciones o disposiciones emitidas por el </w:t>
            </w:r>
            <w:r w:rsidR="00D76AF0" w:rsidRPr="00CF2475">
              <w:rPr>
                <w:rFonts w:eastAsia="Times New Roman"/>
                <w:szCs w:val="24"/>
              </w:rPr>
              <w:t>INDOTEL</w:t>
            </w:r>
            <w:r w:rsidRPr="00CF2475">
              <w:rPr>
                <w:rFonts w:eastAsia="Times New Roman"/>
                <w:szCs w:val="24"/>
              </w:rPr>
              <w:t xml:space="preserve"> o ante las reclamaciones no solucionadas en los Casos de Pre formalización (CPF) por motivo de avería</w:t>
            </w:r>
          </w:p>
        </w:tc>
        <w:tc>
          <w:tcPr>
            <w:tcW w:w="1647" w:type="dxa"/>
            <w:vMerge w:val="restart"/>
            <w:tcBorders>
              <w:top w:val="nil"/>
              <w:left w:val="single" w:sz="4" w:space="0" w:color="auto"/>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lastRenderedPageBreak/>
              <w:t>Tiempo de respuesta</w:t>
            </w: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Casos de Pre Formalización (CPF)                                        Responder los CPF en un plazo no mayor de 5 días calendario.</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3,258 Casos de Pre Formalización (CPF) respondidos, todos se emitieron en plazo                                         100% en plazo</w:t>
            </w:r>
          </w:p>
        </w:tc>
      </w:tr>
      <w:tr w:rsidR="00CF2475" w:rsidRPr="00CF2475" w:rsidTr="00E129B1">
        <w:trPr>
          <w:trHeight w:val="174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Casos de Recursos de Queja (RDQ)</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862 Recursos de Quejas (RDQ) respondidos, de los cuales 817 se emitieron en plazo                             95% en plazo</w:t>
            </w:r>
          </w:p>
        </w:tc>
      </w:tr>
      <w:tr w:rsidR="00CF2475" w:rsidRPr="00CF2475" w:rsidTr="00E129B1">
        <w:trPr>
          <w:trHeight w:val="1935"/>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 Si el usuario acepta la propuesta formulada por la prestadora, la respuesta será otorgada en un plazo no mayor de 23 días calendario.</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p>
        </w:tc>
      </w:tr>
      <w:tr w:rsidR="00CF2475" w:rsidRPr="00CF2475" w:rsidTr="00E129B1">
        <w:trPr>
          <w:trHeight w:val="204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 Si el usuario no acepta la propuesta formulada por la prestadora, la respuesta será otorgada en un plazo no mayor de 43 días calendario.</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ascii="Calibri" w:eastAsia="Times New Roman" w:hAnsi="Calibri" w:cs="Calibri"/>
                <w:color w:val="000000"/>
                <w:szCs w:val="24"/>
              </w:rPr>
            </w:pPr>
          </w:p>
        </w:tc>
      </w:tr>
      <w:tr w:rsidR="00CF2475" w:rsidRPr="00CF2475" w:rsidTr="00E129B1">
        <w:trPr>
          <w:trHeight w:val="264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 Si el proceso llega a los Cuerpos Colegiados, la respuesta será otorgada en un plazo no mayor de 63 días calendario y 30 días hábiles para la homologación del Consejo Directivo.</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ascii="Calibri" w:eastAsia="Times New Roman" w:hAnsi="Calibri" w:cs="Calibri"/>
                <w:color w:val="000000"/>
                <w:szCs w:val="24"/>
              </w:rPr>
            </w:pPr>
          </w:p>
        </w:tc>
      </w:tr>
      <w:tr w:rsidR="00CF2475" w:rsidRPr="00CF2475" w:rsidTr="00E129B1">
        <w:trPr>
          <w:trHeight w:val="141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Casos de Quejas (CQ)</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540 Casos de Quejas (CQ) respondidos, de los cuales 534 se emitieron en plazo</w:t>
            </w:r>
          </w:p>
        </w:tc>
      </w:tr>
      <w:tr w:rsidR="00CF2475" w:rsidRPr="00CF2475" w:rsidTr="00E129B1">
        <w:trPr>
          <w:trHeight w:val="126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Responder los CQ en un plazo no mayor de 20 días calendario.</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99% en plazo</w:t>
            </w:r>
          </w:p>
        </w:tc>
      </w:tr>
      <w:tr w:rsidR="00CF2475" w:rsidRPr="00CF2475" w:rsidTr="00E129B1">
        <w:trPr>
          <w:trHeight w:val="69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Amabilidad</w:t>
            </w: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90% de satisfacción</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96%</w:t>
            </w:r>
          </w:p>
        </w:tc>
      </w:tr>
      <w:tr w:rsidR="00CF2475" w:rsidRPr="00CF2475" w:rsidTr="00E129B1">
        <w:trPr>
          <w:trHeight w:val="675"/>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val="restart"/>
            <w:tcBorders>
              <w:top w:val="nil"/>
              <w:left w:val="single" w:sz="4" w:space="0" w:color="auto"/>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Fiabilidad</w:t>
            </w:r>
          </w:p>
        </w:tc>
        <w:tc>
          <w:tcPr>
            <w:tcW w:w="2880" w:type="dxa"/>
            <w:vMerge w:val="restart"/>
            <w:tcBorders>
              <w:top w:val="nil"/>
              <w:left w:val="single" w:sz="4" w:space="0" w:color="auto"/>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85% de satisfacción</w:t>
            </w:r>
          </w:p>
        </w:tc>
        <w:tc>
          <w:tcPr>
            <w:tcW w:w="1980" w:type="dxa"/>
            <w:vMerge w:val="restart"/>
            <w:tcBorders>
              <w:top w:val="nil"/>
              <w:left w:val="single" w:sz="4" w:space="0" w:color="auto"/>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87%</w:t>
            </w:r>
          </w:p>
        </w:tc>
      </w:tr>
      <w:tr w:rsidR="00CF2475" w:rsidRPr="00CF2475" w:rsidTr="00E129B1">
        <w:trPr>
          <w:trHeight w:val="408"/>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2880"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980"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r>
      <w:tr w:rsidR="00CF2475" w:rsidRPr="00CF2475" w:rsidTr="00E129B1">
        <w:trPr>
          <w:trHeight w:val="765"/>
        </w:trPr>
        <w:tc>
          <w:tcPr>
            <w:tcW w:w="2313" w:type="dxa"/>
            <w:vMerge w:val="restart"/>
            <w:tcBorders>
              <w:top w:val="nil"/>
              <w:left w:val="single" w:sz="4" w:space="0" w:color="auto"/>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 xml:space="preserve">Atención de Consultas y </w:t>
            </w:r>
            <w:r w:rsidRPr="00CF2475">
              <w:rPr>
                <w:rFonts w:eastAsia="Times New Roman"/>
                <w:szCs w:val="24"/>
              </w:rPr>
              <w:lastRenderedPageBreak/>
              <w:t>Orientación en Temas de Telecomunicaciones (Casos Referidos a Prestadoras y Casos de Información)</w:t>
            </w:r>
          </w:p>
        </w:tc>
        <w:tc>
          <w:tcPr>
            <w:tcW w:w="1647"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lastRenderedPageBreak/>
              <w:t>Amabilidad</w:t>
            </w: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90% de satisfacción</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93%</w:t>
            </w:r>
          </w:p>
        </w:tc>
      </w:tr>
      <w:tr w:rsidR="00CF2475" w:rsidRPr="00CF2475" w:rsidTr="00E129B1">
        <w:trPr>
          <w:trHeight w:val="72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Profesionalidad</w:t>
            </w: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85% de satisfacción</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88%</w:t>
            </w:r>
          </w:p>
        </w:tc>
      </w:tr>
      <w:tr w:rsidR="00CF2475" w:rsidRPr="00CF2475" w:rsidTr="00E129B1">
        <w:trPr>
          <w:trHeight w:val="630"/>
        </w:trPr>
        <w:tc>
          <w:tcPr>
            <w:tcW w:w="2313" w:type="dxa"/>
            <w:vMerge/>
            <w:tcBorders>
              <w:top w:val="nil"/>
              <w:left w:val="single" w:sz="4" w:space="0" w:color="auto"/>
              <w:bottom w:val="single" w:sz="4" w:space="0" w:color="auto"/>
              <w:right w:val="single" w:sz="4" w:space="0" w:color="auto"/>
            </w:tcBorders>
            <w:hideMark/>
          </w:tcPr>
          <w:p w:rsidR="00CF2475" w:rsidRPr="00CF2475" w:rsidRDefault="00CF2475" w:rsidP="00E129B1">
            <w:pPr>
              <w:spacing w:after="0" w:line="240" w:lineRule="auto"/>
              <w:jc w:val="left"/>
              <w:rPr>
                <w:rFonts w:eastAsia="Times New Roman"/>
                <w:szCs w:val="24"/>
              </w:rPr>
            </w:pPr>
          </w:p>
        </w:tc>
        <w:tc>
          <w:tcPr>
            <w:tcW w:w="1647"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Accesibilidad</w:t>
            </w:r>
          </w:p>
        </w:tc>
        <w:tc>
          <w:tcPr>
            <w:tcW w:w="28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85% de satisfacción</w:t>
            </w:r>
          </w:p>
        </w:tc>
        <w:tc>
          <w:tcPr>
            <w:tcW w:w="1980" w:type="dxa"/>
            <w:tcBorders>
              <w:top w:val="nil"/>
              <w:left w:val="nil"/>
              <w:bottom w:val="single" w:sz="4" w:space="0" w:color="auto"/>
              <w:right w:val="single" w:sz="4" w:space="0" w:color="auto"/>
            </w:tcBorders>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87%</w:t>
            </w:r>
          </w:p>
        </w:tc>
      </w:tr>
    </w:tbl>
    <w:p w:rsidR="00CF2475" w:rsidRPr="00D76AF0" w:rsidRDefault="00CF2475" w:rsidP="00CF2475">
      <w:pPr>
        <w:spacing w:after="0" w:line="240" w:lineRule="auto"/>
        <w:rPr>
          <w:rFonts w:eastAsia="Times New Roman"/>
          <w:sz w:val="18"/>
          <w:szCs w:val="24"/>
        </w:rPr>
      </w:pPr>
      <w:r w:rsidRPr="00CF2475">
        <w:rPr>
          <w:rFonts w:eastAsia="Times New Roman"/>
          <w:b/>
          <w:sz w:val="18"/>
          <w:szCs w:val="24"/>
        </w:rPr>
        <w:t>Fuente:</w:t>
      </w:r>
      <w:r w:rsidRPr="00CF2475">
        <w:rPr>
          <w:rFonts w:eastAsia="Times New Roman"/>
          <w:sz w:val="18"/>
          <w:szCs w:val="24"/>
        </w:rPr>
        <w:t xml:space="preserve"> Matrices de </w:t>
      </w:r>
      <w:r w:rsidRPr="00D76AF0">
        <w:rPr>
          <w:rFonts w:eastAsia="Times New Roman"/>
          <w:sz w:val="18"/>
          <w:szCs w:val="24"/>
        </w:rPr>
        <w:t>Indicadores Gerencia de Calidad</w:t>
      </w:r>
      <w:r w:rsidR="00DB7256">
        <w:rPr>
          <w:rFonts w:eastAsia="Times New Roman"/>
          <w:sz w:val="18"/>
          <w:szCs w:val="24"/>
        </w:rPr>
        <w:t xml:space="preserve"> e Informe de Auditoría del MAP </w:t>
      </w:r>
    </w:p>
    <w:p w:rsidR="00CF2475" w:rsidRDefault="00CF2475" w:rsidP="00CF2475">
      <w:pPr>
        <w:spacing w:after="0" w:line="240" w:lineRule="auto"/>
        <w:rPr>
          <w:rFonts w:eastAsia="Times New Roman"/>
          <w:szCs w:val="24"/>
        </w:rPr>
      </w:pPr>
    </w:p>
    <w:p w:rsidR="00640DAE" w:rsidRDefault="00640DAE" w:rsidP="00640DAE">
      <w:pPr>
        <w:pStyle w:val="Sinespaciado"/>
      </w:pPr>
    </w:p>
    <w:p w:rsidR="00CF2475" w:rsidRDefault="00CF2475" w:rsidP="00CF2475">
      <w:pPr>
        <w:spacing w:after="0" w:line="240" w:lineRule="auto"/>
        <w:rPr>
          <w:color w:val="auto"/>
          <w:sz w:val="20"/>
          <w:szCs w:val="20"/>
        </w:rPr>
      </w:pPr>
      <w:r>
        <w:fldChar w:fldCharType="begin"/>
      </w:r>
      <w:r>
        <w:instrText xml:space="preserve"> LINK Excel.Sheet.12 "C:\\Users\\rsalazar\\Downloads\\Tabla 2.xlsx" "Hoja4!F1C1:F6C4" \a \f 4 \h  \* MERGEFORMAT </w:instrText>
      </w:r>
      <w:r>
        <w:fldChar w:fldCharType="separate"/>
      </w:r>
    </w:p>
    <w:tbl>
      <w:tblPr>
        <w:tblW w:w="8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5"/>
        <w:gridCol w:w="2065"/>
        <w:gridCol w:w="2135"/>
        <w:gridCol w:w="2368"/>
      </w:tblGrid>
      <w:tr w:rsidR="00CF2475" w:rsidRPr="00CF2475" w:rsidTr="0063671D">
        <w:trPr>
          <w:trHeight w:val="331"/>
        </w:trPr>
        <w:tc>
          <w:tcPr>
            <w:tcW w:w="8703" w:type="dxa"/>
            <w:gridSpan w:val="4"/>
            <w:shd w:val="clear" w:color="auto" w:fill="003876"/>
            <w:noWrap/>
            <w:vAlign w:val="bottom"/>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 xml:space="preserve">Cantidad de Solicitudes Respondidas </w:t>
            </w:r>
          </w:p>
        </w:tc>
      </w:tr>
      <w:tr w:rsidR="00CF2475" w:rsidRPr="00CF2475" w:rsidTr="0063671D">
        <w:trPr>
          <w:trHeight w:val="993"/>
        </w:trPr>
        <w:tc>
          <w:tcPr>
            <w:tcW w:w="2135" w:type="dxa"/>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Servicio</w:t>
            </w:r>
          </w:p>
        </w:tc>
        <w:tc>
          <w:tcPr>
            <w:tcW w:w="2065" w:type="dxa"/>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Atributo de Calidad</w:t>
            </w:r>
          </w:p>
        </w:tc>
        <w:tc>
          <w:tcPr>
            <w:tcW w:w="2135" w:type="dxa"/>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Meta</w:t>
            </w:r>
          </w:p>
        </w:tc>
        <w:tc>
          <w:tcPr>
            <w:tcW w:w="2367" w:type="dxa"/>
            <w:shd w:val="clear" w:color="auto" w:fill="003876"/>
            <w:vAlign w:val="center"/>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Resultado                                  (Marzo 2020 - Febrero 2021)</w:t>
            </w:r>
          </w:p>
        </w:tc>
      </w:tr>
      <w:tr w:rsidR="00CF2475" w:rsidRPr="00CF2475" w:rsidTr="00E129B1">
        <w:trPr>
          <w:trHeight w:val="1844"/>
        </w:trPr>
        <w:tc>
          <w:tcPr>
            <w:tcW w:w="2135" w:type="dxa"/>
            <w:vMerge w:val="restart"/>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Homologación de Equipos y Aparatos</w:t>
            </w:r>
          </w:p>
        </w:tc>
        <w:tc>
          <w:tcPr>
            <w:tcW w:w="206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Tiempo de Respuesta</w:t>
            </w:r>
          </w:p>
        </w:tc>
        <w:tc>
          <w:tcPr>
            <w:tcW w:w="213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Responder en un plazo no mayor de 18 días hábiles, a partir de que se haya realizado el pago.</w:t>
            </w:r>
          </w:p>
        </w:tc>
        <w:tc>
          <w:tcPr>
            <w:tcW w:w="2367"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392 homologaciones respondidas, de las cuales 345 se emitieron en plazo                       88 % en plazo</w:t>
            </w:r>
          </w:p>
        </w:tc>
      </w:tr>
      <w:tr w:rsidR="00CF2475" w:rsidRPr="00CF2475" w:rsidTr="00E129B1">
        <w:trPr>
          <w:trHeight w:val="614"/>
        </w:trPr>
        <w:tc>
          <w:tcPr>
            <w:tcW w:w="2135" w:type="dxa"/>
            <w:vMerge/>
            <w:hideMark/>
          </w:tcPr>
          <w:p w:rsidR="00CF2475" w:rsidRPr="00CF2475" w:rsidRDefault="00CF2475" w:rsidP="00E129B1">
            <w:pPr>
              <w:spacing w:after="0" w:line="240" w:lineRule="auto"/>
              <w:jc w:val="left"/>
              <w:rPr>
                <w:rFonts w:eastAsia="Times New Roman"/>
                <w:szCs w:val="24"/>
              </w:rPr>
            </w:pPr>
          </w:p>
        </w:tc>
        <w:tc>
          <w:tcPr>
            <w:tcW w:w="206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Profesionalidad</w:t>
            </w:r>
          </w:p>
        </w:tc>
        <w:tc>
          <w:tcPr>
            <w:tcW w:w="213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85% de satisfacción</w:t>
            </w:r>
          </w:p>
        </w:tc>
        <w:tc>
          <w:tcPr>
            <w:tcW w:w="2367"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85%</w:t>
            </w:r>
          </w:p>
        </w:tc>
      </w:tr>
      <w:tr w:rsidR="00CF2475" w:rsidRPr="00CF2475" w:rsidTr="00E129B1">
        <w:trPr>
          <w:trHeight w:val="614"/>
        </w:trPr>
        <w:tc>
          <w:tcPr>
            <w:tcW w:w="2135" w:type="dxa"/>
            <w:vMerge/>
            <w:hideMark/>
          </w:tcPr>
          <w:p w:rsidR="00CF2475" w:rsidRPr="00CF2475" w:rsidRDefault="00CF2475" w:rsidP="00E129B1">
            <w:pPr>
              <w:spacing w:after="0" w:line="240" w:lineRule="auto"/>
              <w:jc w:val="left"/>
              <w:rPr>
                <w:rFonts w:eastAsia="Times New Roman"/>
                <w:szCs w:val="24"/>
              </w:rPr>
            </w:pPr>
          </w:p>
        </w:tc>
        <w:tc>
          <w:tcPr>
            <w:tcW w:w="206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Fiabilidad</w:t>
            </w:r>
          </w:p>
        </w:tc>
        <w:tc>
          <w:tcPr>
            <w:tcW w:w="213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85% de satisfacción</w:t>
            </w:r>
          </w:p>
        </w:tc>
        <w:tc>
          <w:tcPr>
            <w:tcW w:w="2367"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83%</w:t>
            </w:r>
          </w:p>
        </w:tc>
      </w:tr>
      <w:tr w:rsidR="00CF2475" w:rsidRPr="00CF2475" w:rsidTr="00E129B1">
        <w:trPr>
          <w:trHeight w:val="2632"/>
        </w:trPr>
        <w:tc>
          <w:tcPr>
            <w:tcW w:w="213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No Objeción para Retirar Equipos de Aduanas</w:t>
            </w:r>
          </w:p>
        </w:tc>
        <w:tc>
          <w:tcPr>
            <w:tcW w:w="206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Tiempo de respuesta</w:t>
            </w:r>
          </w:p>
        </w:tc>
        <w:tc>
          <w:tcPr>
            <w:tcW w:w="2135"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Responder en un plazo no mayor de 3 días hábiles, a partir de que haya sido realizado el pago.</w:t>
            </w:r>
          </w:p>
        </w:tc>
        <w:tc>
          <w:tcPr>
            <w:tcW w:w="2367" w:type="dxa"/>
            <w:shd w:val="clear" w:color="auto" w:fill="auto"/>
            <w:hideMark/>
          </w:tcPr>
          <w:p w:rsidR="00CF2475" w:rsidRPr="00CF2475" w:rsidRDefault="00CF2475" w:rsidP="00E129B1">
            <w:pPr>
              <w:spacing w:after="0" w:line="240" w:lineRule="auto"/>
              <w:jc w:val="left"/>
              <w:rPr>
                <w:rFonts w:eastAsia="Times New Roman"/>
                <w:szCs w:val="24"/>
              </w:rPr>
            </w:pPr>
            <w:r w:rsidRPr="00CF2475">
              <w:rPr>
                <w:rFonts w:eastAsia="Times New Roman"/>
                <w:szCs w:val="24"/>
              </w:rPr>
              <w:t>7,481 No Objeciones respondidas, todas se emitieron en plazo              100 % en plazo</w:t>
            </w:r>
          </w:p>
        </w:tc>
      </w:tr>
    </w:tbl>
    <w:p w:rsidR="00C14C3A" w:rsidRPr="00D76AF0" w:rsidRDefault="00CF2475" w:rsidP="00C14C3A">
      <w:pPr>
        <w:spacing w:after="0" w:line="240" w:lineRule="auto"/>
        <w:rPr>
          <w:rFonts w:eastAsia="Times New Roman"/>
          <w:sz w:val="18"/>
          <w:szCs w:val="24"/>
        </w:rPr>
      </w:pPr>
      <w:r>
        <w:rPr>
          <w:rFonts w:eastAsia="Times New Roman"/>
          <w:szCs w:val="24"/>
        </w:rPr>
        <w:fldChar w:fldCharType="end"/>
      </w:r>
      <w:r w:rsidRPr="00CF2475">
        <w:rPr>
          <w:rFonts w:eastAsia="Times New Roman"/>
          <w:b/>
          <w:sz w:val="18"/>
          <w:szCs w:val="24"/>
        </w:rPr>
        <w:t>Fuente:</w:t>
      </w:r>
      <w:r w:rsidRPr="00CF2475">
        <w:rPr>
          <w:rFonts w:eastAsia="Times New Roman"/>
          <w:sz w:val="18"/>
          <w:szCs w:val="24"/>
        </w:rPr>
        <w:t xml:space="preserve"> </w:t>
      </w:r>
      <w:r w:rsidR="00C14C3A" w:rsidRPr="00CF2475">
        <w:rPr>
          <w:rFonts w:eastAsia="Times New Roman"/>
          <w:sz w:val="18"/>
          <w:szCs w:val="24"/>
        </w:rPr>
        <w:t xml:space="preserve">Matrices de </w:t>
      </w:r>
      <w:r w:rsidR="00C14C3A" w:rsidRPr="00D76AF0">
        <w:rPr>
          <w:rFonts w:eastAsia="Times New Roman"/>
          <w:sz w:val="18"/>
          <w:szCs w:val="24"/>
        </w:rPr>
        <w:t>Indicadores Gerencia de Calidad</w:t>
      </w:r>
      <w:r w:rsidR="00C14C3A">
        <w:rPr>
          <w:rFonts w:eastAsia="Times New Roman"/>
          <w:sz w:val="18"/>
          <w:szCs w:val="24"/>
        </w:rPr>
        <w:t xml:space="preserve"> e Informe de Auditoría del MAP </w:t>
      </w: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rFonts w:eastAsia="Times New Roman"/>
          <w:szCs w:val="24"/>
        </w:rPr>
      </w:pPr>
    </w:p>
    <w:p w:rsidR="00CF2475" w:rsidRDefault="00CF2475" w:rsidP="00CF2475">
      <w:pPr>
        <w:spacing w:after="0" w:line="240" w:lineRule="auto"/>
        <w:rPr>
          <w:color w:val="auto"/>
          <w:sz w:val="20"/>
          <w:szCs w:val="20"/>
        </w:rPr>
      </w:pPr>
      <w:r>
        <w:fldChar w:fldCharType="begin"/>
      </w:r>
      <w:r>
        <w:instrText xml:space="preserve"> LINK Excel.Sheet.12 "C:\\Users\\rsalazar\\Downloads\\Tabla 2.xlsx" "Hoja5!F1C1:F8C4" \a \f 4 \h  \* MERGEFORMAT </w:instrText>
      </w:r>
      <w:r>
        <w:fldChar w:fldCharType="separate"/>
      </w:r>
    </w:p>
    <w:tbl>
      <w:tblPr>
        <w:tblW w:w="8077" w:type="dxa"/>
        <w:tblCellMar>
          <w:left w:w="70" w:type="dxa"/>
          <w:right w:w="70" w:type="dxa"/>
        </w:tblCellMar>
        <w:tblLook w:val="04A0" w:firstRow="1" w:lastRow="0" w:firstColumn="1" w:lastColumn="0" w:noHBand="0" w:noVBand="1"/>
      </w:tblPr>
      <w:tblGrid>
        <w:gridCol w:w="2298"/>
        <w:gridCol w:w="1997"/>
        <w:gridCol w:w="1783"/>
        <w:gridCol w:w="1999"/>
      </w:tblGrid>
      <w:tr w:rsidR="00CF2475" w:rsidRPr="00CF2475" w:rsidTr="0063671D">
        <w:trPr>
          <w:trHeight w:val="325"/>
        </w:trPr>
        <w:tc>
          <w:tcPr>
            <w:tcW w:w="8077" w:type="dxa"/>
            <w:gridSpan w:val="4"/>
            <w:tcBorders>
              <w:top w:val="single" w:sz="4" w:space="0" w:color="auto"/>
              <w:left w:val="single" w:sz="4" w:space="0" w:color="auto"/>
              <w:bottom w:val="single" w:sz="4" w:space="0" w:color="auto"/>
              <w:right w:val="single" w:sz="4" w:space="0" w:color="auto"/>
            </w:tcBorders>
            <w:shd w:val="clear" w:color="auto" w:fill="003876"/>
            <w:noWrap/>
            <w:vAlign w:val="bottom"/>
            <w:hideMark/>
          </w:tcPr>
          <w:p w:rsidR="00CF2475" w:rsidRPr="00CF2475" w:rsidRDefault="00CF2475" w:rsidP="00CF2475">
            <w:pPr>
              <w:spacing w:after="0" w:line="240" w:lineRule="auto"/>
              <w:jc w:val="center"/>
              <w:rPr>
                <w:rFonts w:eastAsia="Times New Roman"/>
                <w:b/>
                <w:bCs/>
                <w:color w:val="FFFFFF"/>
                <w:szCs w:val="24"/>
              </w:rPr>
            </w:pPr>
            <w:r w:rsidRPr="00CF2475">
              <w:rPr>
                <w:rFonts w:eastAsia="Times New Roman"/>
                <w:b/>
                <w:bCs/>
                <w:color w:val="FFFFFF"/>
                <w:szCs w:val="24"/>
              </w:rPr>
              <w:t xml:space="preserve">Cantidad de Solicitudes Respondidas </w:t>
            </w:r>
          </w:p>
        </w:tc>
      </w:tr>
      <w:tr w:rsidR="00CF2475" w:rsidRPr="00CF2475" w:rsidTr="00C14C3A">
        <w:trPr>
          <w:trHeight w:val="976"/>
        </w:trPr>
        <w:tc>
          <w:tcPr>
            <w:tcW w:w="2298" w:type="dxa"/>
            <w:tcBorders>
              <w:top w:val="nil"/>
              <w:left w:val="single" w:sz="4" w:space="0" w:color="auto"/>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color w:val="FFFFFF"/>
                <w:szCs w:val="24"/>
              </w:rPr>
            </w:pPr>
            <w:r w:rsidRPr="00CF2475">
              <w:rPr>
                <w:rFonts w:eastAsia="Times New Roman"/>
                <w:b/>
                <w:color w:val="FFFFFF"/>
                <w:szCs w:val="24"/>
              </w:rPr>
              <w:t>Servicio</w:t>
            </w:r>
          </w:p>
        </w:tc>
        <w:tc>
          <w:tcPr>
            <w:tcW w:w="1997" w:type="dxa"/>
            <w:tcBorders>
              <w:top w:val="nil"/>
              <w:left w:val="nil"/>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color w:val="FFFFFF"/>
                <w:szCs w:val="24"/>
              </w:rPr>
            </w:pPr>
            <w:r w:rsidRPr="00CF2475">
              <w:rPr>
                <w:rFonts w:eastAsia="Times New Roman"/>
                <w:b/>
                <w:color w:val="FFFFFF"/>
                <w:szCs w:val="24"/>
              </w:rPr>
              <w:t>Atributo de Calidad</w:t>
            </w:r>
          </w:p>
        </w:tc>
        <w:tc>
          <w:tcPr>
            <w:tcW w:w="1783" w:type="dxa"/>
            <w:tcBorders>
              <w:top w:val="nil"/>
              <w:left w:val="nil"/>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color w:val="FFFFFF"/>
                <w:szCs w:val="24"/>
              </w:rPr>
            </w:pPr>
            <w:r w:rsidRPr="00CF2475">
              <w:rPr>
                <w:rFonts w:eastAsia="Times New Roman"/>
                <w:b/>
                <w:color w:val="FFFFFF"/>
                <w:szCs w:val="24"/>
              </w:rPr>
              <w:t>Meta</w:t>
            </w:r>
          </w:p>
        </w:tc>
        <w:tc>
          <w:tcPr>
            <w:tcW w:w="1997" w:type="dxa"/>
            <w:tcBorders>
              <w:top w:val="nil"/>
              <w:left w:val="nil"/>
              <w:bottom w:val="single" w:sz="4" w:space="0" w:color="auto"/>
              <w:right w:val="single" w:sz="4" w:space="0" w:color="auto"/>
            </w:tcBorders>
            <w:shd w:val="clear" w:color="auto" w:fill="003876"/>
            <w:vAlign w:val="center"/>
            <w:hideMark/>
          </w:tcPr>
          <w:p w:rsidR="00CF2475" w:rsidRPr="00CF2475" w:rsidRDefault="00CF2475" w:rsidP="00CF2475">
            <w:pPr>
              <w:spacing w:after="0" w:line="240" w:lineRule="auto"/>
              <w:jc w:val="center"/>
              <w:rPr>
                <w:rFonts w:eastAsia="Times New Roman"/>
                <w:b/>
                <w:color w:val="FFFFFF"/>
                <w:szCs w:val="24"/>
              </w:rPr>
            </w:pPr>
            <w:r w:rsidRPr="00CF2475">
              <w:rPr>
                <w:rFonts w:eastAsia="Times New Roman"/>
                <w:b/>
                <w:color w:val="FFFFFF"/>
                <w:szCs w:val="24"/>
              </w:rPr>
              <w:t>Resultado                           (Marzo 2020-Febrero 2021)</w:t>
            </w:r>
          </w:p>
        </w:tc>
      </w:tr>
      <w:tr w:rsidR="00CF2475" w:rsidRPr="00CF2475" w:rsidTr="00CF2475">
        <w:trPr>
          <w:trHeight w:val="2496"/>
        </w:trPr>
        <w:tc>
          <w:tcPr>
            <w:tcW w:w="2298" w:type="dxa"/>
            <w:vMerge w:val="restart"/>
            <w:tcBorders>
              <w:top w:val="nil"/>
              <w:left w:val="single" w:sz="4" w:space="0" w:color="auto"/>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Inscripción en Registro Especial para el Servicio de Radioaficionado</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Tiempo de Respuesta</w:t>
            </w:r>
          </w:p>
        </w:tc>
        <w:tc>
          <w:tcPr>
            <w:tcW w:w="1783"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 xml:space="preserve">Responder en un plazo no mayor de 30 días calendario, a partir de haber tomado el examen. </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 xml:space="preserve">25 inscripciones respondidas, de las cuales 19 se emitieron en plazo         76 % en plazo </w:t>
            </w:r>
          </w:p>
        </w:tc>
      </w:tr>
      <w:tr w:rsidR="00CF2475" w:rsidRPr="00CF2475" w:rsidTr="00CF2475">
        <w:trPr>
          <w:trHeight w:val="961"/>
        </w:trPr>
        <w:tc>
          <w:tcPr>
            <w:tcW w:w="2298" w:type="dxa"/>
            <w:vMerge/>
            <w:tcBorders>
              <w:top w:val="nil"/>
              <w:left w:val="single" w:sz="4" w:space="0" w:color="auto"/>
              <w:bottom w:val="single" w:sz="4" w:space="0" w:color="auto"/>
              <w:right w:val="single" w:sz="4" w:space="0" w:color="auto"/>
            </w:tcBorders>
            <w:vAlign w:val="center"/>
            <w:hideMark/>
          </w:tcPr>
          <w:p w:rsidR="00CF2475" w:rsidRPr="00CF2475" w:rsidRDefault="00CF2475" w:rsidP="00CF2475">
            <w:pPr>
              <w:spacing w:after="0" w:line="240" w:lineRule="auto"/>
              <w:jc w:val="left"/>
              <w:rPr>
                <w:rFonts w:eastAsia="Times New Roman"/>
                <w:szCs w:val="24"/>
              </w:rPr>
            </w:pP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Fiabilidad</w:t>
            </w:r>
          </w:p>
        </w:tc>
        <w:tc>
          <w:tcPr>
            <w:tcW w:w="1783"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90% de satisfacción</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92%</w:t>
            </w:r>
          </w:p>
        </w:tc>
      </w:tr>
      <w:tr w:rsidR="00CF2475" w:rsidRPr="00CF2475" w:rsidTr="00CF2475">
        <w:trPr>
          <w:trHeight w:val="682"/>
        </w:trPr>
        <w:tc>
          <w:tcPr>
            <w:tcW w:w="2298" w:type="dxa"/>
            <w:vMerge/>
            <w:tcBorders>
              <w:top w:val="nil"/>
              <w:left w:val="single" w:sz="4" w:space="0" w:color="auto"/>
              <w:bottom w:val="single" w:sz="4" w:space="0" w:color="auto"/>
              <w:right w:val="single" w:sz="4" w:space="0" w:color="auto"/>
            </w:tcBorders>
            <w:vAlign w:val="center"/>
            <w:hideMark/>
          </w:tcPr>
          <w:p w:rsidR="00CF2475" w:rsidRPr="00CF2475" w:rsidRDefault="00CF2475" w:rsidP="00CF2475">
            <w:pPr>
              <w:spacing w:after="0" w:line="240" w:lineRule="auto"/>
              <w:jc w:val="left"/>
              <w:rPr>
                <w:rFonts w:eastAsia="Times New Roman"/>
                <w:szCs w:val="24"/>
              </w:rPr>
            </w:pP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Accesibilidad</w:t>
            </w:r>
          </w:p>
        </w:tc>
        <w:tc>
          <w:tcPr>
            <w:tcW w:w="1783"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90% de satisfacción</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96%</w:t>
            </w:r>
          </w:p>
        </w:tc>
      </w:tr>
      <w:tr w:rsidR="00CF2475" w:rsidRPr="00CF2475" w:rsidTr="00CF2475">
        <w:trPr>
          <w:trHeight w:val="1550"/>
        </w:trPr>
        <w:tc>
          <w:tcPr>
            <w:tcW w:w="2298" w:type="dxa"/>
            <w:vMerge w:val="restart"/>
            <w:tcBorders>
              <w:top w:val="nil"/>
              <w:left w:val="single" w:sz="4" w:space="0" w:color="auto"/>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Renovación de  Inscripción en Registro Especial para el Servicio de Radioaficionado</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Tiempo de Respuesta</w:t>
            </w:r>
          </w:p>
        </w:tc>
        <w:tc>
          <w:tcPr>
            <w:tcW w:w="1783"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 w:val="22"/>
              </w:rPr>
            </w:pPr>
            <w:r w:rsidRPr="00CF2475">
              <w:rPr>
                <w:rFonts w:eastAsia="Times New Roman"/>
                <w:sz w:val="22"/>
              </w:rPr>
              <w:t>Responder en un plazo no mayor de 30 días calendario, a partir de que las solicitudes se encuentren completas.</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 w:val="22"/>
              </w:rPr>
            </w:pPr>
            <w:r w:rsidRPr="00CF2475">
              <w:rPr>
                <w:rFonts w:eastAsia="Times New Roman"/>
                <w:sz w:val="22"/>
              </w:rPr>
              <w:t xml:space="preserve">126 renovaciones de inscripciones respondidas, de las cuales 91 se emitieron en plazo                 72 % en plazo </w:t>
            </w:r>
          </w:p>
        </w:tc>
      </w:tr>
      <w:tr w:rsidR="00CF2475" w:rsidRPr="00CF2475" w:rsidTr="00CF2475">
        <w:trPr>
          <w:trHeight w:val="713"/>
        </w:trPr>
        <w:tc>
          <w:tcPr>
            <w:tcW w:w="2298" w:type="dxa"/>
            <w:vMerge/>
            <w:tcBorders>
              <w:top w:val="nil"/>
              <w:left w:val="single" w:sz="4" w:space="0" w:color="auto"/>
              <w:bottom w:val="single" w:sz="4" w:space="0" w:color="auto"/>
              <w:right w:val="single" w:sz="4" w:space="0" w:color="auto"/>
            </w:tcBorders>
            <w:vAlign w:val="center"/>
            <w:hideMark/>
          </w:tcPr>
          <w:p w:rsidR="00CF2475" w:rsidRPr="00CF2475" w:rsidRDefault="00CF2475" w:rsidP="00CF2475">
            <w:pPr>
              <w:spacing w:after="0" w:line="240" w:lineRule="auto"/>
              <w:jc w:val="left"/>
              <w:rPr>
                <w:rFonts w:eastAsia="Times New Roman"/>
                <w:szCs w:val="24"/>
              </w:rPr>
            </w:pP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Fiabilidad</w:t>
            </w:r>
          </w:p>
        </w:tc>
        <w:tc>
          <w:tcPr>
            <w:tcW w:w="1783"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90% de satisfacción</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97%</w:t>
            </w:r>
          </w:p>
        </w:tc>
      </w:tr>
      <w:tr w:rsidR="00CF2475" w:rsidRPr="00CF2475" w:rsidTr="00CF2475">
        <w:trPr>
          <w:trHeight w:val="914"/>
        </w:trPr>
        <w:tc>
          <w:tcPr>
            <w:tcW w:w="2298" w:type="dxa"/>
            <w:vMerge/>
            <w:tcBorders>
              <w:top w:val="nil"/>
              <w:left w:val="single" w:sz="4" w:space="0" w:color="auto"/>
              <w:bottom w:val="single" w:sz="4" w:space="0" w:color="auto"/>
              <w:right w:val="single" w:sz="4" w:space="0" w:color="auto"/>
            </w:tcBorders>
            <w:vAlign w:val="center"/>
            <w:hideMark/>
          </w:tcPr>
          <w:p w:rsidR="00CF2475" w:rsidRPr="00CF2475" w:rsidRDefault="00CF2475" w:rsidP="00CF2475">
            <w:pPr>
              <w:spacing w:after="0" w:line="240" w:lineRule="auto"/>
              <w:jc w:val="left"/>
              <w:rPr>
                <w:rFonts w:eastAsia="Times New Roman"/>
                <w:szCs w:val="24"/>
              </w:rPr>
            </w:pP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Accesibilidad</w:t>
            </w:r>
          </w:p>
        </w:tc>
        <w:tc>
          <w:tcPr>
            <w:tcW w:w="1783"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90% de satisfacción</w:t>
            </w:r>
          </w:p>
        </w:tc>
        <w:tc>
          <w:tcPr>
            <w:tcW w:w="1997" w:type="dxa"/>
            <w:tcBorders>
              <w:top w:val="nil"/>
              <w:left w:val="nil"/>
              <w:bottom w:val="single" w:sz="4" w:space="0" w:color="auto"/>
              <w:right w:val="single" w:sz="4" w:space="0" w:color="auto"/>
            </w:tcBorders>
            <w:shd w:val="clear" w:color="auto" w:fill="auto"/>
            <w:vAlign w:val="center"/>
            <w:hideMark/>
          </w:tcPr>
          <w:p w:rsidR="00CF2475" w:rsidRPr="00CF2475" w:rsidRDefault="00CF2475" w:rsidP="00CF2475">
            <w:pPr>
              <w:spacing w:after="0" w:line="240" w:lineRule="auto"/>
              <w:jc w:val="left"/>
              <w:rPr>
                <w:rFonts w:eastAsia="Times New Roman"/>
                <w:szCs w:val="24"/>
              </w:rPr>
            </w:pPr>
            <w:r w:rsidRPr="00CF2475">
              <w:rPr>
                <w:rFonts w:eastAsia="Times New Roman"/>
                <w:szCs w:val="24"/>
              </w:rPr>
              <w:t>96%</w:t>
            </w:r>
          </w:p>
        </w:tc>
      </w:tr>
    </w:tbl>
    <w:p w:rsidR="00C14C3A" w:rsidRPr="00D76AF0" w:rsidRDefault="00CF2475" w:rsidP="00C14C3A">
      <w:pPr>
        <w:spacing w:after="0" w:line="240" w:lineRule="auto"/>
        <w:rPr>
          <w:rFonts w:eastAsia="Times New Roman"/>
          <w:sz w:val="18"/>
          <w:szCs w:val="24"/>
        </w:rPr>
      </w:pPr>
      <w:r>
        <w:rPr>
          <w:rFonts w:eastAsia="Times New Roman"/>
          <w:szCs w:val="24"/>
        </w:rPr>
        <w:fldChar w:fldCharType="end"/>
      </w:r>
      <w:r w:rsidRPr="00CF2475">
        <w:rPr>
          <w:rFonts w:eastAsia="Times New Roman"/>
          <w:b/>
          <w:sz w:val="18"/>
          <w:szCs w:val="24"/>
        </w:rPr>
        <w:t>Fuente:</w:t>
      </w:r>
      <w:r w:rsidRPr="00CF2475">
        <w:rPr>
          <w:rFonts w:eastAsia="Times New Roman"/>
          <w:sz w:val="18"/>
          <w:szCs w:val="24"/>
        </w:rPr>
        <w:t xml:space="preserve"> </w:t>
      </w:r>
      <w:r w:rsidR="00C14C3A" w:rsidRPr="00CF2475">
        <w:rPr>
          <w:rFonts w:eastAsia="Times New Roman"/>
          <w:sz w:val="18"/>
          <w:szCs w:val="24"/>
        </w:rPr>
        <w:t xml:space="preserve">Matrices de </w:t>
      </w:r>
      <w:r w:rsidR="00C14C3A" w:rsidRPr="00D76AF0">
        <w:rPr>
          <w:rFonts w:eastAsia="Times New Roman"/>
          <w:sz w:val="18"/>
          <w:szCs w:val="24"/>
        </w:rPr>
        <w:t>Indicadores Gerencia de Calidad</w:t>
      </w:r>
      <w:r w:rsidR="00C14C3A">
        <w:rPr>
          <w:rFonts w:eastAsia="Times New Roman"/>
          <w:sz w:val="18"/>
          <w:szCs w:val="24"/>
        </w:rPr>
        <w:t xml:space="preserve"> e Informe de Auditoría del MAP </w:t>
      </w:r>
    </w:p>
    <w:p w:rsidR="00CF2475" w:rsidRDefault="00CF2475" w:rsidP="00CF2475">
      <w:pPr>
        <w:spacing w:after="0" w:line="240" w:lineRule="auto"/>
        <w:rPr>
          <w:rFonts w:eastAsia="Times New Roman"/>
          <w:sz w:val="18"/>
          <w:szCs w:val="24"/>
        </w:rPr>
      </w:pPr>
    </w:p>
    <w:p w:rsidR="00C60394" w:rsidRDefault="00C60394" w:rsidP="00792ACF">
      <w:pPr>
        <w:spacing w:after="0" w:line="360" w:lineRule="auto"/>
        <w:rPr>
          <w:rFonts w:eastAsia="Times New Roman"/>
          <w:szCs w:val="24"/>
        </w:rPr>
      </w:pPr>
    </w:p>
    <w:p w:rsidR="00C14C3A" w:rsidRPr="00792ACF" w:rsidRDefault="00C14C3A" w:rsidP="00792ACF">
      <w:pPr>
        <w:spacing w:after="0" w:line="360" w:lineRule="auto"/>
        <w:rPr>
          <w:rFonts w:eastAsia="Times New Roman"/>
          <w:szCs w:val="24"/>
        </w:rPr>
      </w:pPr>
      <w:r w:rsidRPr="00792ACF">
        <w:rPr>
          <w:rFonts w:eastAsia="Times New Roman"/>
          <w:szCs w:val="24"/>
        </w:rPr>
        <w:t xml:space="preserve">La próxima auditoria del Ministerio de Administración </w:t>
      </w:r>
      <w:proofErr w:type="spellStart"/>
      <w:r w:rsidRPr="00792ACF">
        <w:rPr>
          <w:rFonts w:eastAsia="Times New Roman"/>
          <w:szCs w:val="24"/>
        </w:rPr>
        <w:t>Publica</w:t>
      </w:r>
      <w:proofErr w:type="spellEnd"/>
      <w:r w:rsidR="0001178F">
        <w:rPr>
          <w:rFonts w:eastAsia="Times New Roman"/>
          <w:szCs w:val="24"/>
        </w:rPr>
        <w:t xml:space="preserve"> (MAP)</w:t>
      </w:r>
      <w:r w:rsidRPr="00792ACF">
        <w:rPr>
          <w:rFonts w:eastAsia="Times New Roman"/>
          <w:szCs w:val="24"/>
        </w:rPr>
        <w:t xml:space="preserve"> será en </w:t>
      </w:r>
      <w:r w:rsidR="0001178F">
        <w:rPr>
          <w:rFonts w:eastAsia="Times New Roman"/>
          <w:szCs w:val="24"/>
        </w:rPr>
        <w:t>m</w:t>
      </w:r>
      <w:r w:rsidRPr="00792ACF">
        <w:rPr>
          <w:rFonts w:eastAsia="Times New Roman"/>
          <w:szCs w:val="24"/>
        </w:rPr>
        <w:t>arzo de 2022</w:t>
      </w:r>
      <w:r w:rsidR="0001178F">
        <w:rPr>
          <w:rFonts w:eastAsia="Times New Roman"/>
          <w:szCs w:val="24"/>
        </w:rPr>
        <w:t>.</w:t>
      </w:r>
    </w:p>
    <w:p w:rsidR="00CF2475" w:rsidRPr="003E1DA6" w:rsidRDefault="00CF2475" w:rsidP="003E1DA6">
      <w:pPr>
        <w:spacing w:line="360" w:lineRule="auto"/>
        <w:rPr>
          <w:rFonts w:eastAsiaTheme="minorHAnsi"/>
          <w:szCs w:val="24"/>
          <w:lang w:eastAsia="en-US"/>
        </w:rPr>
      </w:pPr>
    </w:p>
    <w:p w:rsidR="003E1DA6" w:rsidRPr="003E1DA6" w:rsidRDefault="003E1DA6" w:rsidP="00014FF4">
      <w:pPr>
        <w:spacing w:line="360" w:lineRule="auto"/>
        <w:rPr>
          <w:rFonts w:eastAsiaTheme="minorHAnsi"/>
          <w:szCs w:val="24"/>
          <w:lang w:eastAsia="en-US"/>
        </w:rPr>
      </w:pPr>
      <w:r w:rsidRPr="003E1DA6">
        <w:rPr>
          <w:rFonts w:eastAsiaTheme="minorHAnsi"/>
          <w:szCs w:val="24"/>
          <w:lang w:eastAsia="en-US"/>
        </w:rPr>
        <w:lastRenderedPageBreak/>
        <w:t>Con la finalidad de asegurar la prestación de los servicios que ofrece</w:t>
      </w:r>
      <w:r w:rsidR="000742F3">
        <w:rPr>
          <w:rFonts w:eastAsiaTheme="minorHAnsi"/>
          <w:szCs w:val="24"/>
          <w:lang w:eastAsia="en-US"/>
        </w:rPr>
        <w:t xml:space="preserve"> la institución</w:t>
      </w:r>
      <w:r w:rsidRPr="003E1DA6">
        <w:rPr>
          <w:rFonts w:eastAsiaTheme="minorHAnsi"/>
          <w:szCs w:val="24"/>
          <w:lang w:eastAsia="en-US"/>
        </w:rPr>
        <w:t xml:space="preserve">, durante la pandemia </w:t>
      </w:r>
      <w:r w:rsidR="000742F3">
        <w:rPr>
          <w:rFonts w:eastAsiaTheme="minorHAnsi"/>
          <w:szCs w:val="24"/>
          <w:lang w:eastAsia="en-US"/>
        </w:rPr>
        <w:t>han sido</w:t>
      </w:r>
      <w:r w:rsidRPr="003E1DA6">
        <w:rPr>
          <w:rFonts w:eastAsiaTheme="minorHAnsi"/>
          <w:szCs w:val="24"/>
          <w:lang w:eastAsia="en-US"/>
        </w:rPr>
        <w:t xml:space="preserve"> implementadas las siguientes medidas:  </w:t>
      </w:r>
    </w:p>
    <w:p w:rsidR="003E1DA6" w:rsidRPr="000742F3" w:rsidRDefault="003E1DA6" w:rsidP="00A17C7C">
      <w:pPr>
        <w:pStyle w:val="Prrafodelista"/>
        <w:numPr>
          <w:ilvl w:val="0"/>
          <w:numId w:val="20"/>
        </w:numPr>
        <w:spacing w:line="360" w:lineRule="auto"/>
        <w:rPr>
          <w:rFonts w:eastAsiaTheme="minorHAnsi"/>
          <w:szCs w:val="24"/>
          <w:lang w:eastAsia="en-US"/>
        </w:rPr>
      </w:pPr>
      <w:r w:rsidRPr="000742F3">
        <w:rPr>
          <w:rFonts w:eastAsiaTheme="minorHAnsi"/>
          <w:szCs w:val="24"/>
          <w:lang w:eastAsia="en-US"/>
        </w:rPr>
        <w:t xml:space="preserve">Elaboración de Política de Teletrabajo en la cual se establecieron los lineamientos a seguir por los colaboradores del INDOTEL para trabajar desde otras instalaciones o desde su domicilio utilizando las tecnologías de la información. </w:t>
      </w:r>
    </w:p>
    <w:p w:rsidR="003E1DA6" w:rsidRPr="000742F3" w:rsidRDefault="003E1DA6" w:rsidP="00A17C7C">
      <w:pPr>
        <w:pStyle w:val="Prrafodelista"/>
        <w:numPr>
          <w:ilvl w:val="0"/>
          <w:numId w:val="20"/>
        </w:numPr>
        <w:spacing w:line="360" w:lineRule="auto"/>
        <w:rPr>
          <w:rFonts w:eastAsiaTheme="minorHAnsi"/>
          <w:szCs w:val="24"/>
          <w:lang w:eastAsia="en-US"/>
        </w:rPr>
      </w:pPr>
      <w:r w:rsidRPr="000742F3">
        <w:rPr>
          <w:rFonts w:eastAsiaTheme="minorHAnsi"/>
          <w:szCs w:val="24"/>
          <w:lang w:eastAsia="en-US"/>
        </w:rPr>
        <w:t xml:space="preserve">Elaboración de Política Cuidado y Uso de Equipos de Cómputos pertenecientes al INDOTEL con la finalidad de salvaguardar la integridad, confidencialidad y disponibilidad de la información contenida en los mismos así como establecer las normas para el cuidado y correcto uso de los equipos de cómputos para asegurar su buen estado y correcto funcionamiento. </w:t>
      </w:r>
    </w:p>
    <w:p w:rsidR="003E1DA6" w:rsidRPr="002265E5" w:rsidRDefault="003E1DA6" w:rsidP="00A17C7C">
      <w:pPr>
        <w:pStyle w:val="Prrafodelista"/>
        <w:numPr>
          <w:ilvl w:val="0"/>
          <w:numId w:val="20"/>
        </w:numPr>
        <w:spacing w:line="360" w:lineRule="auto"/>
        <w:rPr>
          <w:rFonts w:eastAsiaTheme="minorHAnsi"/>
          <w:szCs w:val="24"/>
          <w:lang w:eastAsia="en-US"/>
        </w:rPr>
      </w:pPr>
      <w:r w:rsidRPr="002265E5">
        <w:rPr>
          <w:rFonts w:eastAsiaTheme="minorHAnsi"/>
          <w:szCs w:val="24"/>
          <w:lang w:eastAsia="en-US"/>
        </w:rPr>
        <w:t>Le fue asignada la responsabilidad a la Dirección Jurídica de comunicar de manera inmediata a todos los responsables de áreas las disposiciones externas de índole legal que fueran emitidas durante el teletrabajo y que tuvieran un impacto en la institución.</w:t>
      </w:r>
    </w:p>
    <w:p w:rsidR="003E1DA6" w:rsidRPr="00014FF4" w:rsidRDefault="003E1DA6" w:rsidP="00A17C7C">
      <w:pPr>
        <w:pStyle w:val="Prrafodelista"/>
        <w:numPr>
          <w:ilvl w:val="0"/>
          <w:numId w:val="20"/>
        </w:numPr>
        <w:spacing w:line="360" w:lineRule="auto"/>
        <w:rPr>
          <w:rFonts w:eastAsiaTheme="minorHAnsi"/>
          <w:szCs w:val="24"/>
          <w:lang w:eastAsia="en-US"/>
        </w:rPr>
      </w:pPr>
      <w:r w:rsidRPr="00014FF4">
        <w:rPr>
          <w:rFonts w:eastAsiaTheme="minorHAnsi"/>
          <w:szCs w:val="24"/>
          <w:lang w:eastAsia="en-US"/>
        </w:rPr>
        <w:t xml:space="preserve">Identificación de la situación de salud e informaciones sociodemográficas de los colaboradores, atendiendo a posibles condiciones de vulnerabilidad u otras limitaciones. </w:t>
      </w:r>
    </w:p>
    <w:p w:rsidR="003E1DA6" w:rsidRPr="00014FF4" w:rsidRDefault="003E1DA6" w:rsidP="00A17C7C">
      <w:pPr>
        <w:pStyle w:val="Prrafodelista"/>
        <w:numPr>
          <w:ilvl w:val="0"/>
          <w:numId w:val="20"/>
        </w:numPr>
        <w:spacing w:line="360" w:lineRule="auto"/>
        <w:rPr>
          <w:rFonts w:eastAsiaTheme="minorHAnsi"/>
          <w:szCs w:val="24"/>
          <w:lang w:eastAsia="en-US"/>
        </w:rPr>
      </w:pPr>
      <w:r w:rsidRPr="00014FF4">
        <w:rPr>
          <w:rFonts w:eastAsiaTheme="minorHAnsi"/>
          <w:szCs w:val="24"/>
          <w:lang w:eastAsia="en-US"/>
        </w:rPr>
        <w:t xml:space="preserve">Clasificación del personal con énfasis en la identificación de los colaboradores esenciales para el mantenimiento </w:t>
      </w:r>
      <w:proofErr w:type="gramStart"/>
      <w:r w:rsidRPr="00014FF4">
        <w:rPr>
          <w:rFonts w:eastAsiaTheme="minorHAnsi"/>
          <w:szCs w:val="24"/>
          <w:lang w:eastAsia="en-US"/>
        </w:rPr>
        <w:t>continuo</w:t>
      </w:r>
      <w:proofErr w:type="gramEnd"/>
      <w:r w:rsidRPr="00014FF4">
        <w:rPr>
          <w:rFonts w:eastAsiaTheme="minorHAnsi"/>
          <w:szCs w:val="24"/>
          <w:lang w:eastAsia="en-US"/>
        </w:rPr>
        <w:t xml:space="preserve"> del servicio.</w:t>
      </w:r>
    </w:p>
    <w:p w:rsidR="003E1DA6" w:rsidRPr="00014FF4" w:rsidRDefault="003E1DA6" w:rsidP="00A17C7C">
      <w:pPr>
        <w:pStyle w:val="Prrafodelista"/>
        <w:numPr>
          <w:ilvl w:val="0"/>
          <w:numId w:val="20"/>
        </w:numPr>
        <w:spacing w:line="360" w:lineRule="auto"/>
        <w:rPr>
          <w:rFonts w:eastAsiaTheme="minorHAnsi"/>
          <w:szCs w:val="24"/>
          <w:lang w:eastAsia="en-US"/>
        </w:rPr>
      </w:pPr>
      <w:r w:rsidRPr="00014FF4">
        <w:rPr>
          <w:rFonts w:eastAsiaTheme="minorHAnsi"/>
          <w:szCs w:val="24"/>
          <w:lang w:eastAsia="en-US"/>
        </w:rPr>
        <w:t xml:space="preserve">Realización de capacitaciones virtuales para el manejo de las tecnologías y plataformas digitales a utilizar durante el periodo de teletrabajo. </w:t>
      </w:r>
    </w:p>
    <w:p w:rsidR="003E1DA6" w:rsidRPr="00014FF4" w:rsidRDefault="003E1DA6" w:rsidP="00A17C7C">
      <w:pPr>
        <w:pStyle w:val="Prrafodelista"/>
        <w:numPr>
          <w:ilvl w:val="0"/>
          <w:numId w:val="20"/>
        </w:numPr>
        <w:spacing w:line="360" w:lineRule="auto"/>
        <w:rPr>
          <w:rFonts w:eastAsiaTheme="minorHAnsi"/>
          <w:szCs w:val="24"/>
          <w:lang w:eastAsia="en-US"/>
        </w:rPr>
      </w:pPr>
      <w:r w:rsidRPr="00014FF4">
        <w:rPr>
          <w:rFonts w:eastAsiaTheme="minorHAnsi"/>
          <w:szCs w:val="24"/>
          <w:lang w:eastAsia="en-US"/>
        </w:rPr>
        <w:t xml:space="preserve">La Dirección de Tecnología de la Información y Comunicaciones otorgó los permisos para el acceso remoto a los sistemas de </w:t>
      </w:r>
      <w:r w:rsidRPr="00014FF4">
        <w:rPr>
          <w:rFonts w:eastAsiaTheme="minorHAnsi"/>
          <w:szCs w:val="24"/>
          <w:lang w:eastAsia="en-US"/>
        </w:rPr>
        <w:lastRenderedPageBreak/>
        <w:t xml:space="preserve">información que soportan la operación de los servicios, además de reforzar  el soporte técnico a los colaboradores que se encontraban en teletrabajo.  </w:t>
      </w:r>
    </w:p>
    <w:p w:rsidR="003E1DA6" w:rsidRPr="00014FF4" w:rsidRDefault="003E1DA6" w:rsidP="00A17C7C">
      <w:pPr>
        <w:pStyle w:val="Prrafodelista"/>
        <w:numPr>
          <w:ilvl w:val="0"/>
          <w:numId w:val="20"/>
        </w:numPr>
        <w:spacing w:line="360" w:lineRule="auto"/>
        <w:rPr>
          <w:rFonts w:eastAsiaTheme="minorHAnsi"/>
          <w:szCs w:val="24"/>
          <w:lang w:eastAsia="en-US"/>
        </w:rPr>
      </w:pPr>
      <w:r w:rsidRPr="00014FF4">
        <w:rPr>
          <w:rFonts w:eastAsiaTheme="minorHAnsi"/>
          <w:szCs w:val="24"/>
          <w:lang w:eastAsia="en-US"/>
        </w:rPr>
        <w:t>Fortalecimiento de la disponibilidad de medios para la atención virtual de los distintos servicios, por ejemplo:</w:t>
      </w:r>
    </w:p>
    <w:p w:rsidR="003E1DA6" w:rsidRPr="00014FF4" w:rsidRDefault="003E1DA6" w:rsidP="00A17C7C">
      <w:pPr>
        <w:pStyle w:val="Prrafodelista"/>
        <w:numPr>
          <w:ilvl w:val="1"/>
          <w:numId w:val="20"/>
        </w:numPr>
        <w:spacing w:line="360" w:lineRule="auto"/>
        <w:rPr>
          <w:rFonts w:eastAsiaTheme="minorHAnsi"/>
          <w:szCs w:val="24"/>
          <w:lang w:eastAsia="en-US"/>
        </w:rPr>
      </w:pPr>
      <w:r w:rsidRPr="00014FF4">
        <w:rPr>
          <w:rFonts w:eastAsiaTheme="minorHAnsi"/>
          <w:szCs w:val="24"/>
          <w:lang w:eastAsia="en-US"/>
        </w:rPr>
        <w:t>Recepción y respuestas a las solicitudes de Homologaciones e Inscripciones en Registro Especial de los Radioaficionados de manera virtual.</w:t>
      </w:r>
    </w:p>
    <w:p w:rsidR="003E1DA6" w:rsidRPr="00014FF4" w:rsidRDefault="003E1DA6" w:rsidP="00A17C7C">
      <w:pPr>
        <w:pStyle w:val="Prrafodelista"/>
        <w:numPr>
          <w:ilvl w:val="1"/>
          <w:numId w:val="20"/>
        </w:numPr>
        <w:spacing w:line="360" w:lineRule="auto"/>
        <w:rPr>
          <w:rFonts w:eastAsiaTheme="minorHAnsi"/>
          <w:szCs w:val="24"/>
          <w:lang w:eastAsia="en-US"/>
        </w:rPr>
      </w:pPr>
      <w:r w:rsidRPr="00014FF4">
        <w:rPr>
          <w:rFonts w:eastAsiaTheme="minorHAnsi"/>
          <w:szCs w:val="24"/>
          <w:lang w:eastAsia="en-US"/>
        </w:rPr>
        <w:t>Instauración de medios de comunicación e interacción interna no presenciales: herramientas de ofimática en línea, herramienta de video conferencia, etc.</w:t>
      </w:r>
    </w:p>
    <w:p w:rsidR="003E1DA6" w:rsidRPr="00014FF4" w:rsidRDefault="003E1DA6" w:rsidP="00A17C7C">
      <w:pPr>
        <w:pStyle w:val="Prrafodelista"/>
        <w:numPr>
          <w:ilvl w:val="0"/>
          <w:numId w:val="24"/>
        </w:numPr>
        <w:spacing w:line="360" w:lineRule="auto"/>
        <w:rPr>
          <w:rFonts w:eastAsiaTheme="minorHAnsi"/>
          <w:szCs w:val="24"/>
          <w:lang w:eastAsia="en-US"/>
        </w:rPr>
      </w:pPr>
      <w:r w:rsidRPr="00014FF4">
        <w:rPr>
          <w:rFonts w:eastAsiaTheme="minorHAnsi"/>
          <w:szCs w:val="24"/>
          <w:lang w:eastAsia="en-US"/>
        </w:rPr>
        <w:t xml:space="preserve">Generalización del uso de la firma digital en los procesos, por ejemplo:  </w:t>
      </w:r>
    </w:p>
    <w:p w:rsidR="003E1DA6" w:rsidRPr="003E1DA6" w:rsidRDefault="003E1DA6" w:rsidP="00A17C7C">
      <w:pPr>
        <w:numPr>
          <w:ilvl w:val="1"/>
          <w:numId w:val="20"/>
        </w:numPr>
        <w:spacing w:line="360" w:lineRule="auto"/>
        <w:contextualSpacing/>
        <w:rPr>
          <w:rFonts w:eastAsiaTheme="minorHAnsi"/>
          <w:szCs w:val="24"/>
          <w:lang w:eastAsia="en-US"/>
        </w:rPr>
      </w:pPr>
      <w:r w:rsidRPr="003E1DA6">
        <w:rPr>
          <w:rFonts w:eastAsiaTheme="minorHAnsi"/>
          <w:szCs w:val="24"/>
          <w:lang w:eastAsia="en-US"/>
        </w:rPr>
        <w:t xml:space="preserve">Emisión digital del certificado por parte de la Dirección Ejecutiva de las Inscripciones en Registros Especiales de los Radioaficionados. </w:t>
      </w:r>
    </w:p>
    <w:p w:rsidR="003E1DA6" w:rsidRPr="0073258A" w:rsidRDefault="003E1DA6" w:rsidP="00A17C7C">
      <w:pPr>
        <w:numPr>
          <w:ilvl w:val="1"/>
          <w:numId w:val="20"/>
        </w:numPr>
        <w:spacing w:line="360" w:lineRule="auto"/>
        <w:contextualSpacing/>
        <w:rPr>
          <w:rFonts w:eastAsiaTheme="minorHAnsi"/>
          <w:szCs w:val="24"/>
          <w:lang w:eastAsia="en-US"/>
        </w:rPr>
      </w:pPr>
      <w:r w:rsidRPr="003E1DA6">
        <w:rPr>
          <w:rFonts w:eastAsiaTheme="minorHAnsi"/>
          <w:szCs w:val="24"/>
          <w:lang w:eastAsia="en-US"/>
        </w:rPr>
        <w:t>Habilitación de la firma digital a los Cuerpos Colegiados para las decisiones de los Recursos de Quejas (RDQ).</w:t>
      </w:r>
    </w:p>
    <w:p w:rsidR="003E1DA6" w:rsidRPr="00014FF4" w:rsidRDefault="003E1DA6" w:rsidP="00A17C7C">
      <w:pPr>
        <w:pStyle w:val="Prrafodelista"/>
        <w:numPr>
          <w:ilvl w:val="0"/>
          <w:numId w:val="24"/>
        </w:numPr>
        <w:spacing w:line="360" w:lineRule="auto"/>
        <w:rPr>
          <w:rFonts w:eastAsiaTheme="minorHAnsi"/>
          <w:szCs w:val="24"/>
          <w:lang w:eastAsia="en-US"/>
        </w:rPr>
      </w:pPr>
      <w:r w:rsidRPr="00014FF4">
        <w:rPr>
          <w:rFonts w:eastAsiaTheme="minorHAnsi"/>
          <w:szCs w:val="24"/>
          <w:lang w:eastAsia="en-US"/>
        </w:rPr>
        <w:t xml:space="preserve">Dotación de equipos móviles de trabajo (laptops, flota, entre otros). </w:t>
      </w:r>
    </w:p>
    <w:p w:rsidR="003E1DA6" w:rsidRPr="00014FF4" w:rsidRDefault="003E1DA6" w:rsidP="00A17C7C">
      <w:pPr>
        <w:pStyle w:val="Prrafodelista"/>
        <w:numPr>
          <w:ilvl w:val="0"/>
          <w:numId w:val="24"/>
        </w:numPr>
        <w:spacing w:line="360" w:lineRule="auto"/>
        <w:rPr>
          <w:rFonts w:eastAsiaTheme="minorHAnsi"/>
          <w:szCs w:val="24"/>
          <w:lang w:eastAsia="en-US"/>
        </w:rPr>
      </w:pPr>
      <w:r w:rsidRPr="00014FF4">
        <w:rPr>
          <w:rFonts w:eastAsiaTheme="minorHAnsi"/>
          <w:szCs w:val="24"/>
          <w:lang w:eastAsia="en-US"/>
        </w:rPr>
        <w:t>Realización de reuniones virtuales de seguimiento de la Alta Dirección con las diferentes dependencias para el control de la ejecución de sus planes de trabajo.</w:t>
      </w:r>
    </w:p>
    <w:p w:rsidR="00014FF4" w:rsidRPr="00C60394" w:rsidRDefault="003E1DA6" w:rsidP="00014FF4">
      <w:pPr>
        <w:pStyle w:val="Prrafodelista"/>
        <w:numPr>
          <w:ilvl w:val="0"/>
          <w:numId w:val="24"/>
        </w:numPr>
        <w:spacing w:line="360" w:lineRule="auto"/>
        <w:rPr>
          <w:rFonts w:eastAsiaTheme="minorHAnsi"/>
          <w:szCs w:val="24"/>
          <w:lang w:eastAsia="en-US"/>
        </w:rPr>
      </w:pPr>
      <w:r w:rsidRPr="00014FF4">
        <w:rPr>
          <w:rFonts w:eastAsiaTheme="minorHAnsi"/>
          <w:szCs w:val="24"/>
          <w:lang w:eastAsia="en-US"/>
        </w:rPr>
        <w:t>Ejecución de campañas informativas sobre la pandemia y divulgación a la ciudadanía a través de los medios digitales (portal web, redes sociales, etc.) sobre las medidas tomadas por la institución para garantizar el acceso de los servicios que se ofrecen.</w:t>
      </w:r>
    </w:p>
    <w:p w:rsidR="003E1DA6" w:rsidRPr="00014FF4" w:rsidRDefault="003E1DA6" w:rsidP="003E1DA6">
      <w:pPr>
        <w:spacing w:line="360" w:lineRule="auto"/>
        <w:rPr>
          <w:rFonts w:eastAsiaTheme="minorHAnsi"/>
          <w:b/>
          <w:szCs w:val="24"/>
          <w:lang w:eastAsia="en-US"/>
        </w:rPr>
      </w:pPr>
      <w:r w:rsidRPr="00014FF4">
        <w:rPr>
          <w:rFonts w:eastAsiaTheme="minorHAnsi"/>
          <w:b/>
          <w:szCs w:val="24"/>
          <w:lang w:eastAsia="en-US"/>
        </w:rPr>
        <w:lastRenderedPageBreak/>
        <w:t>L</w:t>
      </w:r>
      <w:r w:rsidR="00113804">
        <w:rPr>
          <w:rFonts w:eastAsiaTheme="minorHAnsi"/>
          <w:b/>
          <w:szCs w:val="24"/>
          <w:lang w:eastAsia="en-US"/>
        </w:rPr>
        <w:t>ecciones Aprendidas</w:t>
      </w:r>
    </w:p>
    <w:p w:rsidR="003E1DA6" w:rsidRPr="003E1DA6" w:rsidRDefault="003E1DA6" w:rsidP="003E1DA6">
      <w:pPr>
        <w:spacing w:line="360" w:lineRule="auto"/>
        <w:rPr>
          <w:rFonts w:eastAsiaTheme="minorHAnsi"/>
          <w:szCs w:val="24"/>
          <w:lang w:eastAsia="en-US"/>
        </w:rPr>
      </w:pPr>
      <w:r w:rsidRPr="003E1DA6">
        <w:rPr>
          <w:rFonts w:eastAsiaTheme="minorHAnsi"/>
          <w:szCs w:val="24"/>
          <w:lang w:eastAsia="en-US"/>
        </w:rPr>
        <w:t xml:space="preserve">1- Establecer una identificación estructurada de los colaboradores con énfasis en aquellos que realizan funciones claves de los procesos sustantivos asegurándoles las herramientas de trabajo que permitan la prestación del servicio de manera ininterrumpida ante cualquier situación de crisis o eventualidad. </w:t>
      </w:r>
    </w:p>
    <w:p w:rsidR="003E1DA6" w:rsidRPr="003E1DA6" w:rsidRDefault="003E1DA6" w:rsidP="003E1DA6">
      <w:pPr>
        <w:spacing w:line="360" w:lineRule="auto"/>
        <w:rPr>
          <w:rFonts w:eastAsiaTheme="minorHAnsi"/>
          <w:szCs w:val="24"/>
          <w:lang w:eastAsia="en-US"/>
        </w:rPr>
      </w:pPr>
      <w:r w:rsidRPr="003E1DA6">
        <w:rPr>
          <w:rFonts w:eastAsiaTheme="minorHAnsi"/>
          <w:szCs w:val="24"/>
          <w:lang w:eastAsia="en-US"/>
        </w:rPr>
        <w:t xml:space="preserve">2- Fortalecer la disponibilidad y la gestión de activos móviles que faciliten la realización del teletrabajo. </w:t>
      </w:r>
    </w:p>
    <w:p w:rsidR="003E1DA6" w:rsidRPr="003E1DA6" w:rsidRDefault="003E1DA6" w:rsidP="003E1DA6">
      <w:pPr>
        <w:spacing w:line="360" w:lineRule="auto"/>
        <w:rPr>
          <w:rFonts w:eastAsiaTheme="minorHAnsi"/>
          <w:szCs w:val="24"/>
          <w:lang w:eastAsia="en-US"/>
        </w:rPr>
      </w:pPr>
      <w:r w:rsidRPr="003E1DA6">
        <w:rPr>
          <w:rFonts w:eastAsiaTheme="minorHAnsi"/>
          <w:szCs w:val="24"/>
          <w:lang w:eastAsia="en-US"/>
        </w:rPr>
        <w:t xml:space="preserve">3- Implantar mecanismos para la recepción y atención virtual de las solicitudes de los usuarios y prestadoras de modo que los destinatarios de los servicios tengan la información y el hábito de la atención virtual como medio de satisfacer sus necesidades. </w:t>
      </w:r>
    </w:p>
    <w:p w:rsidR="003E1DA6" w:rsidRPr="003E1DA6" w:rsidRDefault="003E1DA6" w:rsidP="003E1DA6">
      <w:pPr>
        <w:spacing w:line="360" w:lineRule="auto"/>
        <w:rPr>
          <w:rFonts w:eastAsiaTheme="minorHAnsi"/>
          <w:szCs w:val="24"/>
          <w:lang w:eastAsia="en-US"/>
        </w:rPr>
      </w:pPr>
      <w:r w:rsidRPr="003E1DA6">
        <w:rPr>
          <w:rFonts w:eastAsiaTheme="minorHAnsi"/>
          <w:szCs w:val="24"/>
          <w:lang w:eastAsia="en-US"/>
        </w:rPr>
        <w:t xml:space="preserve">4- Sistematizar dentro de la institución el control de los servicios comprometidos asegurando mínimas desviaciones de las metas planteadas. </w:t>
      </w:r>
    </w:p>
    <w:p w:rsidR="009B7964" w:rsidRDefault="003E1DA6" w:rsidP="00FF5321">
      <w:pPr>
        <w:spacing w:line="360" w:lineRule="auto"/>
        <w:rPr>
          <w:rFonts w:eastAsiaTheme="minorHAnsi"/>
          <w:szCs w:val="24"/>
          <w:lang w:eastAsia="en-US"/>
        </w:rPr>
      </w:pPr>
      <w:r w:rsidRPr="003E1DA6">
        <w:rPr>
          <w:rFonts w:eastAsiaTheme="minorHAnsi"/>
          <w:szCs w:val="24"/>
          <w:lang w:eastAsia="en-US"/>
        </w:rPr>
        <w:t>5- Desarrollo de planes de continuidad de las labores que establezcan rutas de acción ante situaciones imprevistas o de emergencia</w:t>
      </w:r>
      <w:r w:rsidR="00E038E2">
        <w:rPr>
          <w:rFonts w:eastAsiaTheme="minorHAnsi"/>
          <w:szCs w:val="24"/>
          <w:lang w:eastAsia="en-US"/>
        </w:rPr>
        <w:t>.</w:t>
      </w:r>
    </w:p>
    <w:p w:rsidR="0073258A" w:rsidRDefault="0073258A" w:rsidP="00FF5321">
      <w:pPr>
        <w:spacing w:line="360" w:lineRule="auto"/>
        <w:rPr>
          <w:rFonts w:eastAsiaTheme="minorHAnsi"/>
          <w:szCs w:val="24"/>
          <w:lang w:eastAsia="en-US"/>
        </w:rPr>
      </w:pPr>
    </w:p>
    <w:p w:rsidR="0073258A" w:rsidRDefault="0073258A" w:rsidP="00FF5321">
      <w:pPr>
        <w:spacing w:line="360" w:lineRule="auto"/>
        <w:rPr>
          <w:rFonts w:eastAsiaTheme="minorHAnsi"/>
          <w:szCs w:val="24"/>
          <w:lang w:eastAsia="en-US"/>
        </w:rPr>
      </w:pPr>
    </w:p>
    <w:p w:rsidR="0073258A" w:rsidRDefault="0073258A" w:rsidP="00FF5321">
      <w:pPr>
        <w:spacing w:line="360" w:lineRule="auto"/>
        <w:rPr>
          <w:rFonts w:eastAsiaTheme="minorHAnsi"/>
          <w:szCs w:val="24"/>
          <w:lang w:eastAsia="en-US"/>
        </w:rPr>
      </w:pPr>
    </w:p>
    <w:p w:rsidR="0073258A" w:rsidRDefault="0073258A" w:rsidP="00FF5321">
      <w:pPr>
        <w:spacing w:line="360" w:lineRule="auto"/>
        <w:rPr>
          <w:rFonts w:eastAsiaTheme="minorHAnsi"/>
          <w:szCs w:val="24"/>
          <w:lang w:eastAsia="en-US"/>
        </w:rPr>
      </w:pPr>
    </w:p>
    <w:p w:rsidR="0073258A" w:rsidRDefault="0073258A" w:rsidP="00FF5321">
      <w:pPr>
        <w:spacing w:line="360" w:lineRule="auto"/>
        <w:rPr>
          <w:rFonts w:eastAsiaTheme="minorHAnsi"/>
          <w:szCs w:val="24"/>
          <w:lang w:eastAsia="en-US"/>
        </w:rPr>
      </w:pPr>
    </w:p>
    <w:p w:rsidR="0073258A" w:rsidRDefault="0073258A" w:rsidP="00FF5321">
      <w:pPr>
        <w:spacing w:line="360" w:lineRule="auto"/>
        <w:rPr>
          <w:rFonts w:eastAsiaTheme="minorHAnsi"/>
          <w:szCs w:val="24"/>
          <w:lang w:eastAsia="en-US"/>
        </w:rPr>
      </w:pPr>
    </w:p>
    <w:p w:rsidR="0001178F" w:rsidRDefault="0001178F" w:rsidP="00FF5321">
      <w:pPr>
        <w:spacing w:line="360" w:lineRule="auto"/>
        <w:rPr>
          <w:rFonts w:eastAsiaTheme="minorHAnsi"/>
          <w:szCs w:val="24"/>
          <w:lang w:eastAsia="en-US"/>
        </w:rPr>
      </w:pPr>
    </w:p>
    <w:p w:rsidR="00C60394" w:rsidRPr="00E038E2" w:rsidRDefault="00C60394" w:rsidP="00FF5321">
      <w:pPr>
        <w:spacing w:line="360" w:lineRule="auto"/>
        <w:rPr>
          <w:rFonts w:eastAsiaTheme="minorHAnsi"/>
          <w:szCs w:val="24"/>
          <w:lang w:eastAsia="en-US"/>
        </w:rPr>
      </w:pPr>
    </w:p>
    <w:p w:rsidR="00502FD3" w:rsidRDefault="00E874F6" w:rsidP="00502FD3">
      <w:pPr>
        <w:pStyle w:val="Ttulo3"/>
        <w:rPr>
          <w:szCs w:val="28"/>
        </w:rPr>
      </w:pPr>
      <w:bookmarkStart w:id="80" w:name="_Toc90936665"/>
      <w:r w:rsidRPr="00766264">
        <w:rPr>
          <w:szCs w:val="28"/>
        </w:rPr>
        <w:lastRenderedPageBreak/>
        <w:t xml:space="preserve">Nivel de </w:t>
      </w:r>
      <w:r w:rsidR="00C96273" w:rsidRPr="00766264">
        <w:rPr>
          <w:szCs w:val="28"/>
        </w:rPr>
        <w:t>C</w:t>
      </w:r>
      <w:r w:rsidRPr="00766264">
        <w:rPr>
          <w:szCs w:val="28"/>
        </w:rPr>
        <w:t xml:space="preserve">umplimiento </w:t>
      </w:r>
      <w:r w:rsidR="00C96273" w:rsidRPr="00766264">
        <w:rPr>
          <w:szCs w:val="28"/>
        </w:rPr>
        <w:t>A</w:t>
      </w:r>
      <w:r w:rsidRPr="00766264">
        <w:rPr>
          <w:szCs w:val="28"/>
        </w:rPr>
        <w:t xml:space="preserve">cceso a la </w:t>
      </w:r>
      <w:r w:rsidR="00C96273" w:rsidRPr="00766264">
        <w:rPr>
          <w:szCs w:val="28"/>
        </w:rPr>
        <w:t>I</w:t>
      </w:r>
      <w:r w:rsidRPr="00766264">
        <w:rPr>
          <w:szCs w:val="28"/>
        </w:rPr>
        <w:t>nformación</w:t>
      </w:r>
      <w:bookmarkEnd w:id="80"/>
    </w:p>
    <w:p w:rsidR="00502FD3" w:rsidRPr="00CB0E1A" w:rsidRDefault="00502FD3" w:rsidP="00CB0E1A">
      <w:pPr>
        <w:pStyle w:val="Sinespaciado"/>
      </w:pPr>
    </w:p>
    <w:p w:rsidR="00ED781A" w:rsidRPr="00570349" w:rsidRDefault="00ED781A" w:rsidP="00ED781A">
      <w:pPr>
        <w:spacing w:before="240" w:line="360" w:lineRule="auto"/>
        <w:rPr>
          <w:szCs w:val="24"/>
        </w:rPr>
      </w:pPr>
      <w:r w:rsidRPr="00570349">
        <w:rPr>
          <w:szCs w:val="24"/>
        </w:rPr>
        <w:t>En el periodo</w:t>
      </w:r>
      <w:r>
        <w:rPr>
          <w:szCs w:val="24"/>
        </w:rPr>
        <w:t xml:space="preserve"> enero - noviembre</w:t>
      </w:r>
      <w:r w:rsidRPr="00570349">
        <w:rPr>
          <w:szCs w:val="24"/>
        </w:rPr>
        <w:t xml:space="preserve"> de 2021 la Oficina de Acceso a la Información (OAI) ha recibido un total de </w:t>
      </w:r>
      <w:r>
        <w:rPr>
          <w:szCs w:val="24"/>
        </w:rPr>
        <w:t>123</w:t>
      </w:r>
      <w:r w:rsidRPr="00570349">
        <w:rPr>
          <w:szCs w:val="24"/>
        </w:rPr>
        <w:t xml:space="preserve"> solicitudes acogiéndose a la Ley Núm. 200-04 de Libre Acceso a la Información Pública, para un promedio de recepción de </w:t>
      </w:r>
      <w:r>
        <w:rPr>
          <w:szCs w:val="24"/>
        </w:rPr>
        <w:t>11.18</w:t>
      </w:r>
      <w:r w:rsidRPr="00570349">
        <w:rPr>
          <w:szCs w:val="24"/>
        </w:rPr>
        <w:t xml:space="preserve"> solicitudes por mes. La institución ha dado respuesta a las mismas cumpliendo con lo establecido en dicha Ley en los plazos que ella misma prevé. De igual manera, el promedio de días para responder en </w:t>
      </w:r>
      <w:r>
        <w:rPr>
          <w:szCs w:val="24"/>
        </w:rPr>
        <w:t>los meses</w:t>
      </w:r>
      <w:r w:rsidRPr="00570349">
        <w:rPr>
          <w:szCs w:val="24"/>
        </w:rPr>
        <w:t xml:space="preserve"> indicado</w:t>
      </w:r>
      <w:r>
        <w:rPr>
          <w:szCs w:val="24"/>
        </w:rPr>
        <w:t>s</w:t>
      </w:r>
      <w:r w:rsidRPr="00570349">
        <w:rPr>
          <w:szCs w:val="24"/>
        </w:rPr>
        <w:t xml:space="preserve"> es de </w:t>
      </w:r>
      <w:r>
        <w:rPr>
          <w:szCs w:val="24"/>
        </w:rPr>
        <w:t xml:space="preserve">5.4 </w:t>
      </w:r>
      <w:r w:rsidRPr="00570349">
        <w:rPr>
          <w:szCs w:val="24"/>
        </w:rPr>
        <w:t xml:space="preserve">días. </w:t>
      </w:r>
    </w:p>
    <w:p w:rsidR="00ED781A" w:rsidRPr="00570349" w:rsidRDefault="00ED781A" w:rsidP="00ED781A">
      <w:pPr>
        <w:spacing w:before="240" w:line="360" w:lineRule="auto"/>
        <w:rPr>
          <w:szCs w:val="24"/>
        </w:rPr>
      </w:pPr>
      <w:r w:rsidRPr="00570349">
        <w:rPr>
          <w:szCs w:val="24"/>
        </w:rPr>
        <w:t>A continuación, la distribución de la recepción de solicitudes en el periodo señalado:</w:t>
      </w:r>
    </w:p>
    <w:p w:rsidR="00ED781A" w:rsidRDefault="00ED781A" w:rsidP="00ED781A">
      <w:pPr>
        <w:spacing w:after="0" w:line="240" w:lineRule="auto"/>
        <w:rPr>
          <w:rFonts w:eastAsia="Times New Roman"/>
          <w:sz w:val="18"/>
        </w:rPr>
      </w:pPr>
      <w:r w:rsidRPr="00200756">
        <w:rPr>
          <w:noProof/>
          <w:color w:val="807171"/>
          <w:lang w:val="en-US" w:eastAsia="en-US"/>
        </w:rPr>
        <w:drawing>
          <wp:inline distT="0" distB="0" distL="0" distR="0" wp14:anchorId="6D76E1AF" wp14:editId="04BCD849">
            <wp:extent cx="5943600" cy="2994660"/>
            <wp:effectExtent l="0" t="0" r="0" b="152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570349">
        <w:rPr>
          <w:rFonts w:eastAsia="Times New Roman"/>
          <w:b/>
          <w:sz w:val="18"/>
        </w:rPr>
        <w:t xml:space="preserve"> Fuente:</w:t>
      </w:r>
      <w:r w:rsidRPr="00570349">
        <w:rPr>
          <w:rFonts w:eastAsia="Times New Roman"/>
          <w:sz w:val="18"/>
        </w:rPr>
        <w:t xml:space="preserve"> Oficina de Acceso a la Información (OAI)</w:t>
      </w:r>
    </w:p>
    <w:p w:rsidR="009B7964" w:rsidRPr="009B7964" w:rsidRDefault="009B7964" w:rsidP="009B7964">
      <w:pPr>
        <w:pStyle w:val="Sinespaciado"/>
      </w:pPr>
    </w:p>
    <w:p w:rsidR="00091520" w:rsidRDefault="00091520" w:rsidP="00091520">
      <w:pPr>
        <w:rPr>
          <w:rFonts w:eastAsia="Times New Roman"/>
          <w:b/>
          <w:bCs/>
          <w:szCs w:val="28"/>
        </w:rPr>
      </w:pPr>
    </w:p>
    <w:p w:rsidR="00091520" w:rsidRDefault="00091520" w:rsidP="00091520"/>
    <w:p w:rsidR="00CB0E1A" w:rsidRDefault="00CB0E1A" w:rsidP="00091520"/>
    <w:p w:rsidR="00CB0E1A" w:rsidRPr="00091520" w:rsidRDefault="00CB0E1A" w:rsidP="00091520"/>
    <w:p w:rsidR="009B7964" w:rsidRDefault="00605045" w:rsidP="009B7964">
      <w:pPr>
        <w:pStyle w:val="Ttulo3"/>
        <w:rPr>
          <w:szCs w:val="28"/>
        </w:rPr>
      </w:pPr>
      <w:bookmarkStart w:id="81" w:name="_Toc90936666"/>
      <w:r w:rsidRPr="00766264">
        <w:rPr>
          <w:szCs w:val="28"/>
        </w:rPr>
        <w:lastRenderedPageBreak/>
        <w:t>Resultado Sistema de Quejas, Reclamos y Sugerencias</w:t>
      </w:r>
      <w:bookmarkStart w:id="82" w:name="_Hlk524676121"/>
      <w:bookmarkEnd w:id="81"/>
    </w:p>
    <w:p w:rsidR="009B7964" w:rsidRPr="009B7964" w:rsidRDefault="009B7964" w:rsidP="009B7964">
      <w:pPr>
        <w:pStyle w:val="Sinespaciado"/>
      </w:pPr>
    </w:p>
    <w:bookmarkEnd w:id="82"/>
    <w:p w:rsidR="00ED781A" w:rsidRPr="00ED781A" w:rsidRDefault="00ED781A" w:rsidP="00ED781A">
      <w:pPr>
        <w:spacing w:line="360" w:lineRule="auto"/>
        <w:rPr>
          <w:szCs w:val="24"/>
          <w:lang w:val="es-ES"/>
        </w:rPr>
      </w:pPr>
      <w:r w:rsidRPr="00ED781A">
        <w:rPr>
          <w:szCs w:val="24"/>
        </w:rPr>
        <w:t>El Sistema 311 de Atención Ciudadana tiene como finalidad permitirle al ciudadano realizar sus denuncias, quejas, reclamaciones y sugerencias referentes a cualquier entidad o servidor del gobierno de la República Dominicana, para que las mismas puedan ser canalizadas a los organismos correspondientes. En tal sentido, cumpliendo lo dispuesto en el Decreto Núm. 694-09, que establece el referido Sistema mediante el Portal de Transparencia, se reciben las quejas y reclamaciones de los ciudadanos</w:t>
      </w:r>
      <w:r w:rsidRPr="00ED781A">
        <w:rPr>
          <w:szCs w:val="24"/>
          <w:lang w:val="es-ES"/>
        </w:rPr>
        <w:t xml:space="preserve">. </w:t>
      </w:r>
    </w:p>
    <w:p w:rsidR="00ED781A" w:rsidRPr="00ED781A" w:rsidRDefault="00ED781A" w:rsidP="00ED781A">
      <w:pPr>
        <w:spacing w:before="240" w:line="360" w:lineRule="auto"/>
        <w:rPr>
          <w:szCs w:val="24"/>
        </w:rPr>
      </w:pPr>
      <w:r w:rsidRPr="00ED781A">
        <w:rPr>
          <w:b/>
          <w:noProof/>
          <w:sz w:val="18"/>
          <w:lang w:val="en-US" w:eastAsia="en-US"/>
        </w:rPr>
        <w:drawing>
          <wp:anchor distT="0" distB="0" distL="114300" distR="114300" simplePos="0" relativeHeight="251746304" behindDoc="0" locked="0" layoutInCell="1" allowOverlap="0" wp14:anchorId="14122C59" wp14:editId="183C14CC">
            <wp:simplePos x="0" y="0"/>
            <wp:positionH relativeFrom="margin">
              <wp:posOffset>28575</wp:posOffset>
            </wp:positionH>
            <wp:positionV relativeFrom="paragraph">
              <wp:posOffset>694055</wp:posOffset>
            </wp:positionV>
            <wp:extent cx="5695950" cy="2724785"/>
            <wp:effectExtent l="0" t="0" r="0" b="18415"/>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Pr="00ED781A">
        <w:rPr>
          <w:szCs w:val="24"/>
        </w:rPr>
        <w:t>A través del Sistema de Atención Ciudadana 3-1-1, en el periodo enero - noviembre de 2021 la OAI ha recibido un total de 6 quejas, 0 reclamaciones y 0 sugerencias.</w:t>
      </w:r>
    </w:p>
    <w:p w:rsidR="00ED781A" w:rsidRPr="00ED781A" w:rsidRDefault="00ED781A" w:rsidP="00ED781A">
      <w:pPr>
        <w:spacing w:after="0" w:line="240" w:lineRule="auto"/>
        <w:ind w:left="90"/>
        <w:jc w:val="left"/>
        <w:rPr>
          <w:rFonts w:eastAsia="Times New Roman"/>
          <w:sz w:val="18"/>
        </w:rPr>
      </w:pPr>
      <w:r w:rsidRPr="00ED781A">
        <w:rPr>
          <w:rFonts w:eastAsia="Times New Roman"/>
          <w:b/>
          <w:sz w:val="18"/>
        </w:rPr>
        <w:t>Fuente:</w:t>
      </w:r>
      <w:r w:rsidRPr="00ED781A">
        <w:rPr>
          <w:rFonts w:eastAsia="Times New Roman"/>
          <w:sz w:val="18"/>
        </w:rPr>
        <w:t xml:space="preserve"> Oficina d</w:t>
      </w:r>
      <w:r w:rsidR="00134421">
        <w:rPr>
          <w:rFonts w:eastAsia="Times New Roman"/>
          <w:sz w:val="18"/>
        </w:rPr>
        <w:t>e Acceso a la Información (OAI)</w:t>
      </w:r>
    </w:p>
    <w:p w:rsidR="00ED781A" w:rsidRPr="00ED781A" w:rsidRDefault="00ED781A" w:rsidP="00ED781A">
      <w:pPr>
        <w:spacing w:after="0" w:line="240" w:lineRule="auto"/>
        <w:ind w:left="-630"/>
        <w:jc w:val="left"/>
        <w:rPr>
          <w:rFonts w:eastAsia="Times New Roman"/>
          <w:sz w:val="18"/>
        </w:rPr>
      </w:pPr>
    </w:p>
    <w:p w:rsidR="00ED781A" w:rsidRPr="00ED781A" w:rsidRDefault="00ED781A" w:rsidP="00ED781A">
      <w:pPr>
        <w:spacing w:after="0" w:line="240" w:lineRule="auto"/>
        <w:ind w:left="-630"/>
        <w:jc w:val="left"/>
        <w:rPr>
          <w:rFonts w:eastAsia="Times New Roman"/>
          <w:sz w:val="18"/>
        </w:rPr>
      </w:pPr>
    </w:p>
    <w:p w:rsidR="00ED781A" w:rsidRPr="00ED781A" w:rsidRDefault="00ED781A" w:rsidP="00ED781A">
      <w:pPr>
        <w:spacing w:after="0" w:line="240" w:lineRule="auto"/>
        <w:ind w:left="-630"/>
        <w:jc w:val="left"/>
        <w:rPr>
          <w:rFonts w:eastAsia="Times New Roman"/>
          <w:sz w:val="18"/>
        </w:rPr>
      </w:pPr>
    </w:p>
    <w:p w:rsidR="00ED781A" w:rsidRPr="00ED781A" w:rsidRDefault="00ED781A" w:rsidP="00ED781A">
      <w:pPr>
        <w:spacing w:after="0" w:line="240" w:lineRule="auto"/>
        <w:ind w:left="-630"/>
        <w:jc w:val="left"/>
        <w:rPr>
          <w:rFonts w:eastAsia="Times New Roman"/>
          <w:sz w:val="18"/>
        </w:rPr>
      </w:pPr>
    </w:p>
    <w:p w:rsidR="00091520" w:rsidRDefault="00091520" w:rsidP="00C2771E">
      <w:pPr>
        <w:pStyle w:val="Sinespaciado"/>
        <w:ind w:left="-630"/>
        <w:rPr>
          <w:color w:val="767171"/>
          <w:sz w:val="18"/>
        </w:rPr>
      </w:pPr>
    </w:p>
    <w:p w:rsidR="00091520" w:rsidRDefault="00091520" w:rsidP="00C2771E">
      <w:pPr>
        <w:pStyle w:val="Sinespaciado"/>
        <w:ind w:left="-630"/>
        <w:rPr>
          <w:color w:val="767171"/>
          <w:sz w:val="18"/>
        </w:rPr>
      </w:pPr>
    </w:p>
    <w:p w:rsidR="00091520" w:rsidRDefault="00091520" w:rsidP="00C2771E">
      <w:pPr>
        <w:pStyle w:val="Sinespaciado"/>
        <w:ind w:left="-630"/>
        <w:rPr>
          <w:color w:val="767171"/>
          <w:sz w:val="18"/>
        </w:rPr>
      </w:pPr>
    </w:p>
    <w:p w:rsidR="00CB0E1A" w:rsidRDefault="00CB0E1A" w:rsidP="00C2771E">
      <w:pPr>
        <w:pStyle w:val="Sinespaciado"/>
        <w:ind w:left="-630"/>
        <w:rPr>
          <w:color w:val="767171"/>
          <w:sz w:val="18"/>
        </w:rPr>
      </w:pPr>
    </w:p>
    <w:p w:rsidR="00CB0E1A" w:rsidRDefault="00CB0E1A" w:rsidP="00C2771E">
      <w:pPr>
        <w:pStyle w:val="Sinespaciado"/>
        <w:ind w:left="-630"/>
        <w:rPr>
          <w:color w:val="767171"/>
          <w:sz w:val="18"/>
        </w:rPr>
      </w:pPr>
    </w:p>
    <w:p w:rsidR="00CB0E1A" w:rsidRPr="00766264" w:rsidRDefault="00CB0E1A" w:rsidP="00C2771E">
      <w:pPr>
        <w:pStyle w:val="Sinespaciado"/>
        <w:ind w:left="-630"/>
        <w:rPr>
          <w:color w:val="767171"/>
          <w:sz w:val="18"/>
        </w:rPr>
      </w:pPr>
    </w:p>
    <w:p w:rsidR="00C42104" w:rsidRPr="00C42104" w:rsidRDefault="00C42104" w:rsidP="00C42104">
      <w:pPr>
        <w:pStyle w:val="Sinespaciado"/>
        <w:rPr>
          <w:sz w:val="18"/>
        </w:rPr>
      </w:pPr>
    </w:p>
    <w:p w:rsidR="00910FCA" w:rsidRDefault="00605045" w:rsidP="00621316">
      <w:pPr>
        <w:pStyle w:val="Ttulo3"/>
      </w:pPr>
      <w:bookmarkStart w:id="83" w:name="_Toc90936667"/>
      <w:r w:rsidRPr="00A964C9">
        <w:lastRenderedPageBreak/>
        <w:t xml:space="preserve">Resultado </w:t>
      </w:r>
      <w:r w:rsidR="00C96273" w:rsidRPr="00A964C9">
        <w:t>M</w:t>
      </w:r>
      <w:r w:rsidRPr="00A964C9">
        <w:t xml:space="preserve">ediciones del </w:t>
      </w:r>
      <w:r w:rsidR="00C96273" w:rsidRPr="00A964C9">
        <w:t>P</w:t>
      </w:r>
      <w:r w:rsidRPr="00A964C9">
        <w:t xml:space="preserve">ortal de </w:t>
      </w:r>
      <w:r w:rsidR="00C96273" w:rsidRPr="00A964C9">
        <w:t>T</w:t>
      </w:r>
      <w:r w:rsidRPr="00A964C9">
        <w:t>ransparencia</w:t>
      </w:r>
      <w:bookmarkEnd w:id="83"/>
    </w:p>
    <w:p w:rsidR="0055250D" w:rsidRPr="00502FD3" w:rsidRDefault="0055250D" w:rsidP="00502FD3">
      <w:pPr>
        <w:pStyle w:val="Sinespaciado"/>
      </w:pPr>
    </w:p>
    <w:p w:rsidR="00ED781A" w:rsidRPr="00ED781A" w:rsidRDefault="00ED781A" w:rsidP="00ED781A">
      <w:pPr>
        <w:autoSpaceDE w:val="0"/>
        <w:autoSpaceDN w:val="0"/>
        <w:adjustRightInd w:val="0"/>
        <w:spacing w:after="0" w:line="360" w:lineRule="auto"/>
        <w:rPr>
          <w:szCs w:val="24"/>
        </w:rPr>
      </w:pPr>
      <w:r w:rsidRPr="00ED781A">
        <w:rPr>
          <w:szCs w:val="24"/>
        </w:rPr>
        <w:t>En las evaluaciones del Portal de Transparencia realizadas por la Dirección General de Ética e Integridad Gubernamental (DIGEIG) desde enero hasta julio de 2021 la institución ha cumplido  con el indicador de Transparencia en un 99.44 en el período citado. Actualmente, nos encontramos a la espera de las evaluaciones correspondientes a los meses de agosto - noviembre de 2021.</w:t>
      </w:r>
    </w:p>
    <w:p w:rsidR="00ED781A" w:rsidRPr="00ED781A" w:rsidRDefault="0001178F" w:rsidP="00ED781A">
      <w:pPr>
        <w:tabs>
          <w:tab w:val="left" w:pos="1995"/>
        </w:tabs>
        <w:spacing w:after="0" w:line="240" w:lineRule="auto"/>
        <w:jc w:val="left"/>
        <w:rPr>
          <w:rFonts w:eastAsia="Times New Roman"/>
          <w:color w:val="auto"/>
        </w:rPr>
      </w:pPr>
      <w:r w:rsidRPr="00ED781A">
        <w:rPr>
          <w:rFonts w:eastAsia="Times New Roman"/>
          <w:noProof/>
          <w:color w:val="auto"/>
          <w:sz w:val="18"/>
          <w:lang w:val="en-US" w:eastAsia="en-US"/>
        </w:rPr>
        <w:drawing>
          <wp:anchor distT="0" distB="0" distL="114300" distR="114300" simplePos="0" relativeHeight="251748352" behindDoc="0" locked="0" layoutInCell="1" allowOverlap="0" wp14:anchorId="73CAD076" wp14:editId="46AC4178">
            <wp:simplePos x="0" y="0"/>
            <wp:positionH relativeFrom="margin">
              <wp:align>left</wp:align>
            </wp:positionH>
            <wp:positionV relativeFrom="margin">
              <wp:posOffset>1901329</wp:posOffset>
            </wp:positionV>
            <wp:extent cx="5925312" cy="2706624"/>
            <wp:effectExtent l="0" t="0" r="18415" b="1778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00ED781A" w:rsidRPr="00ED781A">
        <w:rPr>
          <w:rFonts w:eastAsia="Times New Roman"/>
          <w:color w:val="auto"/>
        </w:rPr>
        <w:tab/>
      </w:r>
    </w:p>
    <w:p w:rsidR="00792ACF" w:rsidRDefault="0001178F" w:rsidP="00ED781A">
      <w:pPr>
        <w:autoSpaceDE w:val="0"/>
        <w:autoSpaceDN w:val="0"/>
        <w:adjustRightInd w:val="0"/>
        <w:spacing w:after="0" w:line="360" w:lineRule="auto"/>
        <w:rPr>
          <w:szCs w:val="24"/>
        </w:rPr>
      </w:pPr>
      <w:r w:rsidRPr="00ED781A">
        <w:rPr>
          <w:rFonts w:eastAsia="Times New Roman"/>
          <w:b/>
          <w:sz w:val="18"/>
        </w:rPr>
        <w:t>Fuente:</w:t>
      </w:r>
      <w:r w:rsidRPr="00ED781A">
        <w:rPr>
          <w:rFonts w:eastAsia="Times New Roman"/>
          <w:sz w:val="18"/>
        </w:rPr>
        <w:t xml:space="preserve"> Oficina de Acceso a la Información (OAI)</w:t>
      </w:r>
    </w:p>
    <w:p w:rsidR="0001178F" w:rsidRDefault="0001178F" w:rsidP="00ED781A">
      <w:pPr>
        <w:autoSpaceDE w:val="0"/>
        <w:autoSpaceDN w:val="0"/>
        <w:adjustRightInd w:val="0"/>
        <w:spacing w:after="0" w:line="360" w:lineRule="auto"/>
        <w:rPr>
          <w:szCs w:val="24"/>
        </w:rPr>
      </w:pPr>
    </w:p>
    <w:p w:rsidR="00ED781A" w:rsidRPr="00ED781A" w:rsidRDefault="00ED781A" w:rsidP="00ED781A">
      <w:pPr>
        <w:autoSpaceDE w:val="0"/>
        <w:autoSpaceDN w:val="0"/>
        <w:adjustRightInd w:val="0"/>
        <w:spacing w:after="0" w:line="360" w:lineRule="auto"/>
        <w:rPr>
          <w:b/>
          <w:strike/>
          <w:szCs w:val="24"/>
        </w:rPr>
      </w:pPr>
      <w:r w:rsidRPr="00ED781A">
        <w:rPr>
          <w:szCs w:val="24"/>
        </w:rPr>
        <w:t>La DIGEIG ha emitido la Resolución Núm. 002/2021 que crea El Portal Único de Transparencia y Establece las Políticas de Estandarización de las Divisiones de Transparencia, por lo que estamos trabajando para cumplir con dicha normativa y poder continuar con el objetivo de seguir cumpliendo con los estándares de transparencia en nuestro Portal Institucional.</w:t>
      </w:r>
      <w:r w:rsidRPr="00ED781A">
        <w:rPr>
          <w:b/>
          <w:strike/>
          <w:szCs w:val="24"/>
        </w:rPr>
        <w:t xml:space="preserve"> </w:t>
      </w:r>
    </w:p>
    <w:p w:rsidR="00ED781A" w:rsidRDefault="00F6196C" w:rsidP="00F6196C">
      <w:pPr>
        <w:ind w:left="142"/>
        <w:jc w:val="left"/>
        <w:rPr>
          <w:rFonts w:eastAsia="Times New Roman"/>
          <w:sz w:val="18"/>
        </w:rPr>
      </w:pPr>
      <w:r>
        <w:rPr>
          <w:rFonts w:eastAsia="Times New Roman"/>
          <w:color w:val="auto"/>
          <w:sz w:val="18"/>
        </w:rPr>
        <w:t xml:space="preserve"> </w:t>
      </w:r>
    </w:p>
    <w:p w:rsidR="001764FC" w:rsidRDefault="001764FC" w:rsidP="00ED781A">
      <w:pPr>
        <w:ind w:left="-851" w:firstLine="720"/>
        <w:jc w:val="left"/>
        <w:rPr>
          <w:rFonts w:eastAsia="Times New Roman"/>
          <w:color w:val="auto"/>
          <w:sz w:val="18"/>
        </w:rPr>
      </w:pPr>
    </w:p>
    <w:p w:rsidR="001764FC" w:rsidRDefault="001764FC" w:rsidP="00ED781A">
      <w:pPr>
        <w:ind w:left="-851" w:firstLine="720"/>
        <w:jc w:val="left"/>
        <w:rPr>
          <w:rFonts w:eastAsia="Times New Roman"/>
          <w:color w:val="auto"/>
          <w:sz w:val="18"/>
        </w:rPr>
      </w:pPr>
    </w:p>
    <w:p w:rsidR="001764FC" w:rsidRDefault="001764FC" w:rsidP="00ED781A">
      <w:pPr>
        <w:ind w:left="-851" w:firstLine="720"/>
        <w:jc w:val="left"/>
        <w:rPr>
          <w:rFonts w:eastAsia="Times New Roman"/>
          <w:color w:val="auto"/>
          <w:sz w:val="18"/>
        </w:rPr>
      </w:pPr>
    </w:p>
    <w:p w:rsidR="001764FC" w:rsidRDefault="001764FC" w:rsidP="0001178F">
      <w:pPr>
        <w:jc w:val="left"/>
        <w:rPr>
          <w:rFonts w:eastAsia="Times New Roman"/>
          <w:color w:val="auto"/>
          <w:sz w:val="18"/>
        </w:rPr>
      </w:pPr>
    </w:p>
    <w:p w:rsidR="001764FC" w:rsidRPr="002B3E80" w:rsidRDefault="001764FC" w:rsidP="00A17C7C">
      <w:pPr>
        <w:pStyle w:val="Ttulo1"/>
        <w:numPr>
          <w:ilvl w:val="0"/>
          <w:numId w:val="25"/>
        </w:numPr>
        <w:ind w:left="90"/>
        <w:rPr>
          <w:sz w:val="28"/>
        </w:rPr>
      </w:pPr>
      <w:bookmarkStart w:id="84" w:name="_Toc90936668"/>
      <w:r>
        <w:rPr>
          <w:color w:val="767171"/>
          <w:sz w:val="28"/>
        </w:rPr>
        <w:lastRenderedPageBreak/>
        <w:t>PROYECCIONES</w:t>
      </w:r>
      <w:bookmarkEnd w:id="84"/>
    </w:p>
    <w:p w:rsidR="001764FC" w:rsidRPr="006F0C62" w:rsidRDefault="001764FC" w:rsidP="001764FC">
      <w:r w:rsidRPr="006F0C62">
        <w:rPr>
          <w:noProof/>
          <w:lang w:val="en-US" w:eastAsia="en-US"/>
        </w:rPr>
        <mc:AlternateContent>
          <mc:Choice Requires="wps">
            <w:drawing>
              <wp:anchor distT="0" distB="0" distL="114300" distR="114300" simplePos="0" relativeHeight="251756544" behindDoc="0" locked="1" layoutInCell="1" allowOverlap="1" wp14:anchorId="352E85BC" wp14:editId="54CD4BD2">
                <wp:simplePos x="0" y="0"/>
                <wp:positionH relativeFrom="margin">
                  <wp:posOffset>2280285</wp:posOffset>
                </wp:positionH>
                <wp:positionV relativeFrom="paragraph">
                  <wp:posOffset>15875</wp:posOffset>
                </wp:positionV>
                <wp:extent cx="463550" cy="0"/>
                <wp:effectExtent l="22860" t="20320" r="18415" b="17780"/>
                <wp:wrapNone/>
                <wp:docPr id="3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0F1D1" id="Conector recto 4"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" strokecolor="#ee2a24" strokeweight="2.25pt">
                <v:stroke joinstyle="miter"/>
                <w10:wrap anchorx="margin"/>
                <w10:anchorlock/>
              </v:line>
            </w:pict>
          </mc:Fallback>
        </mc:AlternateContent>
      </w:r>
    </w:p>
    <w:p w:rsidR="001764FC" w:rsidRDefault="001764FC" w:rsidP="001764FC">
      <w:pPr>
        <w:jc w:val="center"/>
      </w:pPr>
      <w:r>
        <w:t>Memoria Institucional 2021</w:t>
      </w:r>
    </w:p>
    <w:p w:rsidR="001764FC" w:rsidRPr="001076E8" w:rsidRDefault="001764FC" w:rsidP="001764FC"/>
    <w:p w:rsidR="001764FC" w:rsidRPr="004A568A" w:rsidRDefault="00102AC1" w:rsidP="001764FC">
      <w:pPr>
        <w:pStyle w:val="Ttulo3"/>
      </w:pPr>
      <w:bookmarkStart w:id="85" w:name="_Toc90936669"/>
      <w:r>
        <w:t>Proyecciones</w:t>
      </w:r>
      <w:r w:rsidR="00C90B8C">
        <w:t xml:space="preserve"> Año 2022</w:t>
      </w:r>
      <w:bookmarkEnd w:id="85"/>
    </w:p>
    <w:p w:rsidR="001764FC" w:rsidRPr="009D4C58" w:rsidRDefault="001764FC" w:rsidP="001764FC">
      <w:pPr>
        <w:pStyle w:val="Sinespaciado"/>
      </w:pPr>
    </w:p>
    <w:p w:rsidR="0016370C" w:rsidRPr="0016370C" w:rsidRDefault="0016370C" w:rsidP="0016370C">
      <w:pPr>
        <w:rPr>
          <w:rFonts w:eastAsiaTheme="minorHAnsi"/>
          <w:b/>
          <w:szCs w:val="24"/>
          <w:lang w:eastAsia="en-US"/>
        </w:rPr>
      </w:pPr>
      <w:r w:rsidRPr="0016370C">
        <w:rPr>
          <w:rFonts w:eastAsiaTheme="minorHAnsi"/>
          <w:b/>
          <w:szCs w:val="24"/>
          <w:lang w:eastAsia="en-US"/>
        </w:rPr>
        <w:t>Plan Bianual de Proyectos de Desarrollo para el Período 2021-2022</w:t>
      </w:r>
    </w:p>
    <w:p w:rsidR="0016370C" w:rsidRPr="0016370C" w:rsidRDefault="0016370C" w:rsidP="0016370C">
      <w:pPr>
        <w:rPr>
          <w:rFonts w:eastAsiaTheme="minorHAnsi"/>
          <w:b/>
          <w:szCs w:val="24"/>
          <w:lang w:eastAsia="en-US"/>
        </w:rPr>
      </w:pPr>
    </w:p>
    <w:p w:rsidR="0016370C" w:rsidRDefault="0016370C" w:rsidP="00C90B8C">
      <w:pPr>
        <w:rPr>
          <w:rFonts w:eastAsiaTheme="minorHAnsi"/>
          <w:szCs w:val="24"/>
          <w:lang w:eastAsia="en-US"/>
        </w:rPr>
      </w:pPr>
      <w:r w:rsidRPr="0016370C">
        <w:rPr>
          <w:rFonts w:eastAsiaTheme="minorHAnsi"/>
          <w:b/>
          <w:szCs w:val="24"/>
          <w:lang w:eastAsia="en-US"/>
        </w:rPr>
        <w:t>Proyecto:</w:t>
      </w:r>
      <w:r w:rsidRPr="0016370C">
        <w:rPr>
          <w:rFonts w:eastAsiaTheme="minorHAnsi"/>
          <w:szCs w:val="24"/>
          <w:lang w:eastAsia="en-US"/>
        </w:rPr>
        <w:t xml:space="preserve"> Conectar a los No Conectados</w:t>
      </w:r>
    </w:p>
    <w:p w:rsidR="00C90B8C" w:rsidRPr="0016370C" w:rsidRDefault="00C90B8C" w:rsidP="00C90B8C">
      <w:pPr>
        <w:rPr>
          <w:rFonts w:eastAsiaTheme="minorHAnsi"/>
          <w:szCs w:val="24"/>
          <w:lang w:eastAsia="en-US"/>
        </w:rPr>
      </w:pPr>
    </w:p>
    <w:p w:rsidR="0016370C" w:rsidRPr="0016370C" w:rsidRDefault="0016370C" w:rsidP="000B5D67">
      <w:pPr>
        <w:autoSpaceDE w:val="0"/>
        <w:autoSpaceDN w:val="0"/>
        <w:adjustRightInd w:val="0"/>
        <w:spacing w:after="0" w:line="360" w:lineRule="auto"/>
        <w:rPr>
          <w:szCs w:val="24"/>
        </w:rPr>
      </w:pPr>
      <w:r w:rsidRPr="0016370C">
        <w:rPr>
          <w:szCs w:val="24"/>
        </w:rPr>
        <w:t>Es un proyecto integral que dotará a comunidades rurales no servidas o con bajos niveles de penetración de internet, que viven bajo línea de pobreza, del acceso y conectividad a la banda ancha de calidad, que contribuya a la reducción de la brecha digital de la República Dominicana, bajo las premisas de una conectividad significativa, que se refiere a un uso regular de internet, un dispositivo móvil apropiado,  datos suficientes y una conexión con un ancho de banda mínimo de 10 Mbps, que haga posible que estas tecnologías tengan un impacto positivo en su calidad de vida.</w:t>
      </w:r>
    </w:p>
    <w:p w:rsidR="0016370C" w:rsidRPr="0016370C" w:rsidRDefault="0016370C" w:rsidP="0016370C">
      <w:pPr>
        <w:rPr>
          <w:rFonts w:eastAsiaTheme="minorHAnsi"/>
          <w:szCs w:val="24"/>
          <w:lang w:eastAsia="en-US"/>
        </w:rPr>
      </w:pPr>
      <w:r w:rsidRPr="0016370C">
        <w:rPr>
          <w:rFonts w:eastAsiaTheme="minorHAnsi"/>
          <w:szCs w:val="24"/>
          <w:lang w:eastAsia="en-US"/>
        </w:rPr>
        <w:t>El proyecto está conformado por tres (3) componentes principales:</w:t>
      </w:r>
    </w:p>
    <w:p w:rsidR="0016370C" w:rsidRPr="0016370C" w:rsidRDefault="0016370C" w:rsidP="0016370C">
      <w:pPr>
        <w:numPr>
          <w:ilvl w:val="0"/>
          <w:numId w:val="43"/>
        </w:numPr>
        <w:contextualSpacing/>
        <w:jc w:val="left"/>
        <w:rPr>
          <w:rFonts w:eastAsiaTheme="minorHAnsi"/>
          <w:szCs w:val="24"/>
          <w:lang w:eastAsia="en-US"/>
        </w:rPr>
      </w:pPr>
      <w:r w:rsidRPr="0016370C">
        <w:rPr>
          <w:rFonts w:eastAsiaTheme="minorHAnsi"/>
          <w:szCs w:val="24"/>
          <w:lang w:eastAsia="en-US"/>
        </w:rPr>
        <w:t>Acceso e Infraestructura;</w:t>
      </w:r>
    </w:p>
    <w:p w:rsidR="0016370C" w:rsidRPr="0016370C" w:rsidRDefault="0016370C" w:rsidP="0016370C">
      <w:pPr>
        <w:numPr>
          <w:ilvl w:val="0"/>
          <w:numId w:val="43"/>
        </w:numPr>
        <w:contextualSpacing/>
        <w:jc w:val="left"/>
        <w:rPr>
          <w:rFonts w:eastAsiaTheme="minorHAnsi"/>
          <w:szCs w:val="24"/>
          <w:lang w:eastAsia="en-US"/>
        </w:rPr>
      </w:pPr>
      <w:r w:rsidRPr="0016370C">
        <w:rPr>
          <w:rFonts w:eastAsiaTheme="minorHAnsi"/>
          <w:szCs w:val="24"/>
          <w:lang w:eastAsia="en-US"/>
        </w:rPr>
        <w:t>Subsidio a la Demanda;</w:t>
      </w:r>
    </w:p>
    <w:p w:rsidR="0016370C" w:rsidRPr="0016370C" w:rsidRDefault="0016370C" w:rsidP="0016370C">
      <w:pPr>
        <w:numPr>
          <w:ilvl w:val="0"/>
          <w:numId w:val="43"/>
        </w:numPr>
        <w:contextualSpacing/>
        <w:jc w:val="left"/>
        <w:rPr>
          <w:rFonts w:eastAsiaTheme="minorHAnsi"/>
          <w:szCs w:val="24"/>
          <w:lang w:eastAsia="en-US"/>
        </w:rPr>
      </w:pPr>
      <w:r w:rsidRPr="0016370C">
        <w:rPr>
          <w:rFonts w:eastAsiaTheme="minorHAnsi"/>
          <w:szCs w:val="24"/>
          <w:lang w:eastAsia="en-US"/>
        </w:rPr>
        <w:t>Apropiación Social y Desarrollo de Habilidades.</w:t>
      </w:r>
    </w:p>
    <w:p w:rsidR="0016370C" w:rsidRPr="0016370C" w:rsidRDefault="0016370C" w:rsidP="0016370C">
      <w:pPr>
        <w:rPr>
          <w:rFonts w:eastAsiaTheme="minorHAnsi"/>
          <w:szCs w:val="24"/>
          <w:lang w:eastAsia="en-US"/>
        </w:rPr>
      </w:pPr>
    </w:p>
    <w:p w:rsidR="0016370C" w:rsidRPr="0016370C" w:rsidRDefault="0016370C" w:rsidP="0016370C">
      <w:pPr>
        <w:rPr>
          <w:rFonts w:eastAsiaTheme="minorHAnsi"/>
          <w:szCs w:val="24"/>
          <w:lang w:eastAsia="en-US"/>
        </w:rPr>
      </w:pPr>
      <w:r w:rsidRPr="0016370C">
        <w:rPr>
          <w:rFonts w:eastAsiaTheme="minorHAnsi"/>
          <w:szCs w:val="24"/>
          <w:lang w:eastAsia="en-US"/>
        </w:rPr>
        <w:t>El tiempo estimado para la ejecución del proyecto es de veinticuatro (24) meses.</w:t>
      </w:r>
    </w:p>
    <w:p w:rsidR="0016370C" w:rsidRDefault="0016370C" w:rsidP="0016370C">
      <w:pPr>
        <w:rPr>
          <w:rFonts w:eastAsiaTheme="minorHAnsi"/>
          <w:b/>
          <w:szCs w:val="24"/>
          <w:lang w:eastAsia="en-US"/>
        </w:rPr>
      </w:pPr>
    </w:p>
    <w:p w:rsidR="000B5D67" w:rsidRDefault="000B5D67" w:rsidP="0016370C">
      <w:pPr>
        <w:rPr>
          <w:rFonts w:eastAsiaTheme="minorHAnsi"/>
          <w:b/>
          <w:szCs w:val="24"/>
          <w:lang w:eastAsia="en-US"/>
        </w:rPr>
      </w:pPr>
    </w:p>
    <w:p w:rsidR="000B5D67" w:rsidRDefault="000B5D67" w:rsidP="0016370C">
      <w:pPr>
        <w:rPr>
          <w:rFonts w:eastAsiaTheme="minorHAnsi"/>
          <w:b/>
          <w:szCs w:val="24"/>
          <w:lang w:eastAsia="en-US"/>
        </w:rPr>
      </w:pPr>
    </w:p>
    <w:p w:rsidR="0001178F" w:rsidRDefault="0001178F" w:rsidP="0016370C">
      <w:pPr>
        <w:rPr>
          <w:rFonts w:eastAsiaTheme="minorHAnsi"/>
          <w:b/>
          <w:szCs w:val="24"/>
          <w:lang w:eastAsia="en-US"/>
        </w:rPr>
      </w:pPr>
    </w:p>
    <w:p w:rsidR="000B5D67" w:rsidRPr="0016370C" w:rsidRDefault="000B5D67" w:rsidP="0016370C">
      <w:pPr>
        <w:rPr>
          <w:rFonts w:eastAsiaTheme="minorHAnsi"/>
          <w:b/>
          <w:szCs w:val="24"/>
          <w:lang w:eastAsia="en-US"/>
        </w:rPr>
      </w:pPr>
    </w:p>
    <w:p w:rsidR="0016370C" w:rsidRDefault="0016370C" w:rsidP="000B5D67">
      <w:pPr>
        <w:rPr>
          <w:rFonts w:eastAsiaTheme="minorHAnsi"/>
          <w:b/>
          <w:szCs w:val="24"/>
          <w:lang w:eastAsia="en-US"/>
        </w:rPr>
      </w:pPr>
      <w:r w:rsidRPr="0016370C">
        <w:rPr>
          <w:rFonts w:eastAsiaTheme="minorHAnsi"/>
          <w:b/>
          <w:szCs w:val="24"/>
          <w:lang w:eastAsia="en-US"/>
        </w:rPr>
        <w:lastRenderedPageBreak/>
        <w:t>a. Componente de Acceso e Infraestructura</w:t>
      </w:r>
    </w:p>
    <w:p w:rsidR="000B5D67" w:rsidRPr="0016370C" w:rsidRDefault="000B5D67" w:rsidP="000B5D67">
      <w:pPr>
        <w:pStyle w:val="Textonotasalpie"/>
        <w:rPr>
          <w:lang w:eastAsia="en-US"/>
        </w:rPr>
      </w:pPr>
    </w:p>
    <w:p w:rsidR="0016370C" w:rsidRDefault="0016370C" w:rsidP="00102AC1">
      <w:pPr>
        <w:spacing w:line="360" w:lineRule="auto"/>
        <w:rPr>
          <w:rFonts w:eastAsiaTheme="minorHAnsi"/>
          <w:szCs w:val="24"/>
          <w:lang w:eastAsia="en-US"/>
        </w:rPr>
      </w:pPr>
      <w:r w:rsidRPr="0016370C">
        <w:rPr>
          <w:rFonts w:eastAsiaTheme="minorHAnsi"/>
          <w:szCs w:val="24"/>
          <w:lang w:eastAsia="en-US"/>
        </w:rPr>
        <w:t>Consiste en el diseño e implementación de un programa de despliegue de infraestructura digital en zonas rurales y suburbanas de la República Dominicana donde a la fecha no hay un servicio de internet de banda ancha de calidad, o el mismo sea precario, acompañado de un subsidio al servicio de internet fijo para los hogares de las comunidades priorizadas por el componente. La mayoría de estos hogares están clasificados bajo Índice de Calidad de Vida ICV1 e ICV2, en extrema pobreza.</w:t>
      </w:r>
    </w:p>
    <w:p w:rsidR="00102AC1" w:rsidRPr="0016370C" w:rsidRDefault="00102AC1" w:rsidP="0001178F">
      <w:pPr>
        <w:pStyle w:val="Sinespaciado"/>
        <w:rPr>
          <w:lang w:eastAsia="en-US"/>
        </w:rPr>
      </w:pPr>
    </w:p>
    <w:p w:rsidR="0016370C" w:rsidRDefault="0016370C" w:rsidP="0016370C">
      <w:pPr>
        <w:rPr>
          <w:rFonts w:eastAsiaTheme="minorHAnsi"/>
          <w:b/>
          <w:szCs w:val="24"/>
          <w:lang w:eastAsia="en-US"/>
        </w:rPr>
      </w:pPr>
      <w:r w:rsidRPr="0016370C">
        <w:rPr>
          <w:rFonts w:eastAsiaTheme="minorHAnsi"/>
          <w:b/>
          <w:szCs w:val="24"/>
          <w:lang w:eastAsia="en-US"/>
        </w:rPr>
        <w:t>Zona Geográfica de Ejecución del Proyecto</w:t>
      </w:r>
    </w:p>
    <w:p w:rsidR="000B5D67" w:rsidRPr="0016370C" w:rsidRDefault="000B5D67" w:rsidP="000B5D67">
      <w:pPr>
        <w:pStyle w:val="Textonotasalpie"/>
        <w:rPr>
          <w:lang w:eastAsia="en-US"/>
        </w:rPr>
      </w:pPr>
    </w:p>
    <w:p w:rsidR="0016370C" w:rsidRDefault="0016370C" w:rsidP="0001178F">
      <w:pPr>
        <w:spacing w:line="360" w:lineRule="auto"/>
        <w:rPr>
          <w:rFonts w:eastAsiaTheme="minorHAnsi"/>
          <w:szCs w:val="24"/>
          <w:lang w:eastAsia="en-US"/>
        </w:rPr>
      </w:pPr>
      <w:r w:rsidRPr="0016370C">
        <w:rPr>
          <w:rFonts w:eastAsiaTheme="minorHAnsi"/>
          <w:szCs w:val="24"/>
          <w:lang w:eastAsia="en-US"/>
        </w:rPr>
        <w:t>El Componente de Acceso e Infraestructura se estará implementando en diecisiete (17) comunidades desfavorecidas que cumplan con los criterios de elegibilidad establecidos e</w:t>
      </w:r>
      <w:r w:rsidR="0001178F">
        <w:rPr>
          <w:rFonts w:eastAsiaTheme="minorHAnsi"/>
          <w:szCs w:val="24"/>
          <w:lang w:eastAsia="en-US"/>
        </w:rPr>
        <w:t xml:space="preserve">n la formulación del proyecto. </w:t>
      </w:r>
    </w:p>
    <w:p w:rsidR="0001178F" w:rsidRPr="0001178F" w:rsidRDefault="0001178F" w:rsidP="0001178F">
      <w:pPr>
        <w:pStyle w:val="Sinespaciado"/>
        <w:rPr>
          <w:rFonts w:eastAsiaTheme="minorHAnsi"/>
          <w:lang w:eastAsia="en-US"/>
        </w:rPr>
      </w:pPr>
    </w:p>
    <w:p w:rsidR="0016370C" w:rsidRPr="0016370C" w:rsidRDefault="0016370C" w:rsidP="0016370C">
      <w:pPr>
        <w:rPr>
          <w:rFonts w:eastAsiaTheme="minorHAnsi"/>
          <w:b/>
          <w:szCs w:val="24"/>
          <w:lang w:eastAsia="en-US"/>
        </w:rPr>
      </w:pPr>
      <w:r w:rsidRPr="0016370C">
        <w:rPr>
          <w:rFonts w:eastAsiaTheme="minorHAnsi"/>
          <w:b/>
          <w:szCs w:val="24"/>
          <w:lang w:eastAsia="en-US"/>
        </w:rPr>
        <w:t>b. Componente de Subsidio a la Demanda</w:t>
      </w:r>
    </w:p>
    <w:p w:rsidR="0016370C" w:rsidRPr="0016370C" w:rsidRDefault="0016370C" w:rsidP="000B5D67">
      <w:pPr>
        <w:pStyle w:val="Textonotasalpie"/>
        <w:rPr>
          <w:lang w:eastAsia="en-US"/>
        </w:rPr>
      </w:pPr>
    </w:p>
    <w:p w:rsidR="0016370C" w:rsidRDefault="0016370C" w:rsidP="000B5D67">
      <w:pPr>
        <w:spacing w:line="360" w:lineRule="auto"/>
        <w:rPr>
          <w:rFonts w:eastAsiaTheme="minorHAnsi"/>
          <w:szCs w:val="24"/>
          <w:lang w:eastAsia="en-US"/>
        </w:rPr>
      </w:pPr>
      <w:r w:rsidRPr="0016370C">
        <w:rPr>
          <w:rFonts w:eastAsiaTheme="minorHAnsi"/>
          <w:szCs w:val="24"/>
          <w:lang w:eastAsia="en-US"/>
        </w:rPr>
        <w:t>Este componente consiste en el diseño y contratación de un programa de subsidio a la demanda a través de una “Canasta Digital Social” asequible con dos subcomponentes; un subsidio parcial al servicio de conectividad por un período definido y el suministro de dispositivos de acceso para hogares en condiciones de pobreza y vulnerabilidad socioeconómica, priorizando aquellos que tenga una mujer, madre soltera, cabeza de familia.</w:t>
      </w:r>
    </w:p>
    <w:p w:rsidR="000B5D67" w:rsidRPr="0016370C" w:rsidRDefault="000B5D67" w:rsidP="0001178F">
      <w:pPr>
        <w:pStyle w:val="Sinespaciado"/>
        <w:rPr>
          <w:lang w:eastAsia="en-US"/>
        </w:rPr>
      </w:pPr>
    </w:p>
    <w:p w:rsidR="0016370C" w:rsidRPr="0016370C" w:rsidRDefault="0016370C" w:rsidP="0016370C">
      <w:pPr>
        <w:rPr>
          <w:rFonts w:eastAsiaTheme="minorHAnsi"/>
          <w:b/>
          <w:szCs w:val="24"/>
          <w:lang w:eastAsia="en-US"/>
        </w:rPr>
      </w:pPr>
      <w:r w:rsidRPr="0016370C">
        <w:rPr>
          <w:rFonts w:eastAsiaTheme="minorHAnsi"/>
          <w:szCs w:val="24"/>
          <w:lang w:eastAsia="en-US"/>
        </w:rPr>
        <w:t>Está conformado por dos (2) subcomponentes que se destacan a continuación:</w:t>
      </w:r>
    </w:p>
    <w:p w:rsidR="0016370C" w:rsidRDefault="0016370C" w:rsidP="0001178F">
      <w:pPr>
        <w:pStyle w:val="Sinespaciado"/>
        <w:rPr>
          <w:rFonts w:eastAsiaTheme="minorHAnsi"/>
          <w:lang w:eastAsia="en-US"/>
        </w:rPr>
      </w:pPr>
    </w:p>
    <w:p w:rsidR="0001178F" w:rsidRDefault="0001178F" w:rsidP="0001178F">
      <w:pPr>
        <w:pStyle w:val="Sinespaciado"/>
        <w:rPr>
          <w:rFonts w:eastAsiaTheme="minorHAnsi"/>
          <w:lang w:eastAsia="en-US"/>
        </w:rPr>
      </w:pPr>
    </w:p>
    <w:p w:rsidR="0001178F" w:rsidRDefault="0001178F" w:rsidP="0001178F">
      <w:pPr>
        <w:pStyle w:val="Sinespaciado"/>
        <w:rPr>
          <w:rFonts w:eastAsiaTheme="minorHAnsi"/>
          <w:lang w:eastAsia="en-US"/>
        </w:rPr>
      </w:pPr>
    </w:p>
    <w:p w:rsidR="0001178F" w:rsidRPr="0016370C" w:rsidRDefault="0001178F" w:rsidP="0001178F">
      <w:pPr>
        <w:pStyle w:val="Sinespaciado"/>
        <w:rPr>
          <w:rFonts w:eastAsiaTheme="minorHAnsi"/>
          <w:lang w:eastAsia="en-US"/>
        </w:rPr>
      </w:pPr>
    </w:p>
    <w:p w:rsidR="0016370C" w:rsidRDefault="0016370C" w:rsidP="0016370C">
      <w:pPr>
        <w:rPr>
          <w:rFonts w:eastAsiaTheme="minorHAnsi"/>
          <w:b/>
          <w:szCs w:val="24"/>
          <w:lang w:eastAsia="en-US"/>
        </w:rPr>
      </w:pPr>
      <w:r w:rsidRPr="0016370C">
        <w:rPr>
          <w:rFonts w:eastAsiaTheme="minorHAnsi"/>
          <w:b/>
          <w:szCs w:val="24"/>
          <w:lang w:eastAsia="en-US"/>
        </w:rPr>
        <w:lastRenderedPageBreak/>
        <w:t>Subcomponente de Subsidio Parcial al Servicio de Conectividad</w:t>
      </w:r>
    </w:p>
    <w:p w:rsidR="000B5D67" w:rsidRPr="0016370C" w:rsidRDefault="000B5D67" w:rsidP="000B5D67">
      <w:pPr>
        <w:pStyle w:val="Textonotasalpie"/>
        <w:rPr>
          <w:lang w:eastAsia="en-US"/>
        </w:rPr>
      </w:pP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Consiste en el diseño de un “Plan Social de Conectividad” que será subsidiado parcialmente por el INDOTEL, y que se realizará haciendo una aproximación a los niveles de asequibilidad de los planes a internet de los distintos hogares en condiciones de pobreza y tomando como referencia las recomendaciones de la Comisión Mundial de Banda Ancha que establece que para que el internet sea asequible, el costo de 1 Giga no debe sobrepasar el 2% del ingreso promedio del hogar y el ingreso promedio de los hogares calculado para el nivel del Índice de Calidad de Vida. </w:t>
      </w:r>
    </w:p>
    <w:p w:rsidR="0016370C" w:rsidRPr="0016370C" w:rsidRDefault="0016370C" w:rsidP="0001178F">
      <w:pPr>
        <w:pStyle w:val="Sinespaciado"/>
        <w:rPr>
          <w:lang w:eastAsia="en-US"/>
        </w:rPr>
      </w:pPr>
    </w:p>
    <w:p w:rsidR="0016370C" w:rsidRDefault="0016370C" w:rsidP="0016370C">
      <w:pPr>
        <w:rPr>
          <w:rFonts w:eastAsiaTheme="minorHAnsi"/>
          <w:b/>
          <w:szCs w:val="24"/>
          <w:lang w:eastAsia="en-US"/>
        </w:rPr>
      </w:pPr>
      <w:r w:rsidRPr="0016370C">
        <w:rPr>
          <w:rFonts w:eastAsiaTheme="minorHAnsi"/>
          <w:b/>
          <w:szCs w:val="24"/>
          <w:lang w:eastAsia="en-US"/>
        </w:rPr>
        <w:t>Subcomponente “Dotación de Dispositivos de Acceso”</w:t>
      </w:r>
    </w:p>
    <w:p w:rsidR="000B5D67" w:rsidRPr="0016370C" w:rsidRDefault="000B5D67" w:rsidP="000B5D67">
      <w:pPr>
        <w:pStyle w:val="Textonotasalpie"/>
        <w:rPr>
          <w:lang w:eastAsia="en-US"/>
        </w:rPr>
      </w:pP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Consiste en proporcionar una “Canasta Básica Tecnológica”, conformada por dispositivos con capacidad de conexión a internet, a los hogares localizados en las comunidades que se encuentran bajo la línea de pobreza y que han sido definidas en la zona geográfica de ejecución de este componente, sin que estos tengan que cubrir ningún costo.</w:t>
      </w:r>
    </w:p>
    <w:p w:rsidR="0016370C" w:rsidRPr="0016370C" w:rsidRDefault="0016370C" w:rsidP="0001178F">
      <w:pPr>
        <w:pStyle w:val="Sinespaciado"/>
        <w:rPr>
          <w:lang w:eastAsia="en-US"/>
        </w:rPr>
      </w:pPr>
    </w:p>
    <w:p w:rsidR="0016370C" w:rsidRPr="0016370C" w:rsidRDefault="0016370C" w:rsidP="0016370C">
      <w:pPr>
        <w:rPr>
          <w:rFonts w:eastAsiaTheme="minorHAnsi"/>
          <w:b/>
          <w:szCs w:val="24"/>
          <w:lang w:eastAsia="en-US"/>
        </w:rPr>
      </w:pPr>
      <w:r w:rsidRPr="0016370C">
        <w:rPr>
          <w:rFonts w:eastAsiaTheme="minorHAnsi"/>
          <w:b/>
          <w:szCs w:val="24"/>
          <w:lang w:eastAsia="en-US"/>
        </w:rPr>
        <w:t>Zona Geográfica de Ejecución del Componente</w:t>
      </w:r>
    </w:p>
    <w:p w:rsidR="0016370C" w:rsidRPr="0016370C" w:rsidRDefault="0016370C" w:rsidP="000B5D67">
      <w:pPr>
        <w:pStyle w:val="Textonotasalpie"/>
        <w:rPr>
          <w:lang w:eastAsia="en-US"/>
        </w:rPr>
      </w:pPr>
    </w:p>
    <w:p w:rsidR="00C24E29" w:rsidRDefault="0016370C" w:rsidP="00792ACF">
      <w:pPr>
        <w:spacing w:after="0" w:line="360" w:lineRule="auto"/>
        <w:rPr>
          <w:rFonts w:eastAsiaTheme="minorHAnsi"/>
          <w:szCs w:val="24"/>
          <w:lang w:eastAsia="en-US"/>
        </w:rPr>
      </w:pPr>
      <w:r w:rsidRPr="0016370C">
        <w:rPr>
          <w:rFonts w:eastAsiaTheme="minorHAnsi"/>
          <w:szCs w:val="24"/>
          <w:lang w:eastAsia="en-US"/>
        </w:rPr>
        <w:t>Este componente impactará principalmente a hogares de madres solteras, jefas de hogar, en condición de pobreza, en localidades de las catorce (14) provincias que han sido priorizadas por su bajo nivel d</w:t>
      </w:r>
      <w:r w:rsidR="00792ACF">
        <w:rPr>
          <w:rFonts w:eastAsiaTheme="minorHAnsi"/>
          <w:szCs w:val="24"/>
          <w:lang w:eastAsia="en-US"/>
        </w:rPr>
        <w:t>e penetración de internet fijo.</w:t>
      </w:r>
    </w:p>
    <w:p w:rsidR="00C24E29" w:rsidRPr="0016370C" w:rsidRDefault="00C24E29" w:rsidP="0001178F">
      <w:pPr>
        <w:pStyle w:val="Sinespaciado"/>
        <w:rPr>
          <w:rFonts w:eastAsiaTheme="minorHAnsi"/>
          <w:lang w:eastAsia="en-US"/>
        </w:rPr>
      </w:pPr>
    </w:p>
    <w:p w:rsidR="0016370C" w:rsidRPr="0016370C" w:rsidRDefault="0016370C" w:rsidP="0016370C">
      <w:pPr>
        <w:rPr>
          <w:rFonts w:eastAsiaTheme="minorHAnsi"/>
          <w:b/>
          <w:szCs w:val="24"/>
          <w:lang w:eastAsia="en-US"/>
        </w:rPr>
      </w:pPr>
      <w:r w:rsidRPr="0016370C">
        <w:rPr>
          <w:rFonts w:eastAsiaTheme="minorHAnsi"/>
          <w:b/>
          <w:szCs w:val="24"/>
          <w:lang w:eastAsia="en-US"/>
        </w:rPr>
        <w:t>c. Componente de Apropiación Social y Desarrollo de Habilidades</w:t>
      </w:r>
    </w:p>
    <w:p w:rsidR="0016370C" w:rsidRPr="0016370C" w:rsidRDefault="0016370C" w:rsidP="0001178F">
      <w:pPr>
        <w:pStyle w:val="Sinespaciado"/>
        <w:rPr>
          <w:rFonts w:eastAsiaTheme="minorHAnsi"/>
          <w:lang w:eastAsia="en-US"/>
        </w:rPr>
      </w:pPr>
    </w:p>
    <w:p w:rsidR="0016370C" w:rsidRPr="0016370C" w:rsidRDefault="0016370C" w:rsidP="0016370C">
      <w:pPr>
        <w:spacing w:after="0" w:line="360" w:lineRule="auto"/>
        <w:rPr>
          <w:rFonts w:eastAsiaTheme="minorHAnsi"/>
          <w:szCs w:val="24"/>
          <w:lang w:eastAsia="en-US"/>
        </w:rPr>
      </w:pPr>
      <w:r w:rsidRPr="0016370C">
        <w:rPr>
          <w:rFonts w:eastAsiaTheme="minorHAnsi"/>
          <w:szCs w:val="24"/>
          <w:lang w:eastAsia="en-US"/>
        </w:rPr>
        <w:t xml:space="preserve">Este componente consiste en la implementación de un programa de capacitación con la finalidad de desarrollar habilidades en las personas beneficiarias del proyecto para que se apropien de las tecnologías digitales y hagan un uso productivo de las </w:t>
      </w:r>
      <w:r w:rsidRPr="0016370C">
        <w:rPr>
          <w:rFonts w:eastAsiaTheme="minorHAnsi"/>
          <w:szCs w:val="24"/>
          <w:lang w:eastAsia="en-US"/>
        </w:rPr>
        <w:lastRenderedPageBreak/>
        <w:t xml:space="preserve">mismas, de acuerdo a sus necesidades y a las de sus comunidades, en términos de la vocación productiva, valores culturales y/o sociales. </w:t>
      </w:r>
    </w:p>
    <w:p w:rsidR="0016370C" w:rsidRPr="0016370C" w:rsidRDefault="0016370C" w:rsidP="0016370C">
      <w:pPr>
        <w:rPr>
          <w:rFonts w:eastAsiaTheme="minorHAnsi"/>
          <w:szCs w:val="24"/>
          <w:lang w:eastAsia="en-US"/>
        </w:rPr>
      </w:pPr>
    </w:p>
    <w:p w:rsidR="0016370C" w:rsidRPr="0016370C" w:rsidRDefault="0016370C" w:rsidP="0016370C">
      <w:pPr>
        <w:rPr>
          <w:rFonts w:eastAsiaTheme="minorHAnsi"/>
          <w:b/>
          <w:szCs w:val="24"/>
          <w:lang w:eastAsia="en-US"/>
        </w:rPr>
      </w:pPr>
      <w:r w:rsidRPr="0016370C">
        <w:rPr>
          <w:rFonts w:eastAsiaTheme="minorHAnsi"/>
          <w:b/>
          <w:szCs w:val="24"/>
          <w:lang w:eastAsia="en-US"/>
        </w:rPr>
        <w:t>Zona Geográfica de Ejecución del Componente</w:t>
      </w:r>
    </w:p>
    <w:p w:rsidR="0016370C" w:rsidRPr="0016370C" w:rsidRDefault="0016370C" w:rsidP="0001178F">
      <w:pPr>
        <w:pStyle w:val="Sinespaciado"/>
        <w:rPr>
          <w:rFonts w:eastAsiaTheme="minorHAnsi"/>
          <w:lang w:eastAsia="en-US"/>
        </w:rPr>
      </w:pPr>
    </w:p>
    <w:p w:rsidR="0016370C" w:rsidRPr="0016370C" w:rsidRDefault="0016370C" w:rsidP="0016370C">
      <w:pPr>
        <w:spacing w:after="0" w:line="360" w:lineRule="auto"/>
        <w:rPr>
          <w:rFonts w:eastAsiaTheme="minorHAnsi"/>
          <w:szCs w:val="24"/>
          <w:lang w:eastAsia="en-US"/>
        </w:rPr>
      </w:pPr>
      <w:r w:rsidRPr="0016370C">
        <w:rPr>
          <w:rFonts w:eastAsiaTheme="minorHAnsi"/>
          <w:szCs w:val="24"/>
          <w:lang w:eastAsia="en-US"/>
        </w:rPr>
        <w:t>Este componente impactará en los habitantes de las provincias y comunidades que han sido priorizadas a partir del desarrollo de los componentes de Acceso e Infraestructura y de Subsidio a la Demanda.</w:t>
      </w:r>
    </w:p>
    <w:p w:rsidR="0016370C" w:rsidRPr="0016370C" w:rsidRDefault="0016370C" w:rsidP="0016370C">
      <w:pPr>
        <w:rPr>
          <w:rFonts w:eastAsiaTheme="minorHAnsi"/>
          <w:b/>
          <w:szCs w:val="24"/>
          <w:lang w:eastAsia="en-US"/>
        </w:rPr>
      </w:pPr>
    </w:p>
    <w:p w:rsidR="0016370C" w:rsidRDefault="0016370C" w:rsidP="00102AC1">
      <w:pPr>
        <w:rPr>
          <w:rFonts w:eastAsiaTheme="minorHAnsi"/>
          <w:b/>
          <w:szCs w:val="24"/>
          <w:lang w:eastAsia="en-US"/>
        </w:rPr>
      </w:pPr>
      <w:r w:rsidRPr="0016370C">
        <w:rPr>
          <w:rFonts w:eastAsiaTheme="minorHAnsi"/>
          <w:b/>
          <w:szCs w:val="24"/>
          <w:lang w:eastAsia="en-US"/>
        </w:rPr>
        <w:t>Proyección de la Ejecución del Plan Bianual de Proyectos para el Año 2022</w:t>
      </w:r>
    </w:p>
    <w:p w:rsidR="00102AC1" w:rsidRPr="0016370C" w:rsidRDefault="00102AC1" w:rsidP="0001178F">
      <w:pPr>
        <w:pStyle w:val="Sinespaciado"/>
        <w:rPr>
          <w:lang w:eastAsia="en-US"/>
        </w:rPr>
      </w:pP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Para el año 2022, estaremos en la fase de contratación de los 3 componentes del proyecto Conectar a los No Conectados: Acceso e Infraestructura, Subsidio a la Demanda, Apropiación Social y Desarrollo de Habilidades Digitales.  </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Se estará desplegando la infraestructura de conectividad en </w:t>
      </w:r>
      <w:r w:rsidR="00C24E29">
        <w:rPr>
          <w:rFonts w:eastAsiaTheme="minorHAnsi"/>
          <w:szCs w:val="24"/>
          <w:lang w:eastAsia="en-US"/>
        </w:rPr>
        <w:t xml:space="preserve">las </w:t>
      </w:r>
      <w:r w:rsidR="00C24E29" w:rsidRPr="0016370C">
        <w:rPr>
          <w:rFonts w:eastAsiaTheme="minorHAnsi"/>
          <w:szCs w:val="24"/>
          <w:lang w:eastAsia="en-US"/>
        </w:rPr>
        <w:t>17 comunidades definidas</w:t>
      </w:r>
      <w:r w:rsidRPr="0016370C">
        <w:rPr>
          <w:rFonts w:eastAsiaTheme="minorHAnsi"/>
          <w:szCs w:val="24"/>
          <w:lang w:eastAsia="en-US"/>
        </w:rPr>
        <w:t xml:space="preserve"> como prioritarios, entregando la Canasta Digital Social a 2,000 mujeres jefas de hogar, lo que incluye un plan de conectividad y un teléfono inteligente.  Estaremos además implementando un plan de capacitación que propiciará el desarrollo de habilidades digitales con enfoque de género a las beneficiarias de la Canasta Digital, e iniciando un programa de becas para cursar cursos cortos en TIC en la extensión del ITLA – </w:t>
      </w:r>
      <w:proofErr w:type="spellStart"/>
      <w:r w:rsidRPr="0016370C">
        <w:rPr>
          <w:rFonts w:eastAsiaTheme="minorHAnsi"/>
          <w:szCs w:val="24"/>
          <w:lang w:eastAsia="en-US"/>
        </w:rPr>
        <w:t>Tetelo</w:t>
      </w:r>
      <w:proofErr w:type="spellEnd"/>
      <w:r w:rsidRPr="0016370C">
        <w:rPr>
          <w:rFonts w:eastAsiaTheme="minorHAnsi"/>
          <w:szCs w:val="24"/>
          <w:lang w:eastAsia="en-US"/>
        </w:rPr>
        <w:t xml:space="preserve"> Vargas ubicada en la provincia San Pedro de Macorís.</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Así mismo, se estará licitando el proyecto para entregar 5,000 cajas </w:t>
      </w:r>
      <w:proofErr w:type="spellStart"/>
      <w:r w:rsidRPr="0016370C">
        <w:rPr>
          <w:rFonts w:eastAsiaTheme="minorHAnsi"/>
          <w:szCs w:val="24"/>
          <w:lang w:eastAsia="en-US"/>
        </w:rPr>
        <w:t>convertidoras</w:t>
      </w:r>
      <w:proofErr w:type="spellEnd"/>
      <w:r w:rsidRPr="0016370C">
        <w:rPr>
          <w:rFonts w:eastAsiaTheme="minorHAnsi"/>
          <w:szCs w:val="24"/>
          <w:lang w:eastAsia="en-US"/>
        </w:rPr>
        <w:t xml:space="preserve"> de señal análoga a digital para los hogares de los estudiantes de Radio Santa María y como una extensión del componente de acceso e infraestructura se estarán ejecutando dos proyectos para seguir avanzando en el cierre de la brecha de conectividad: conectividad satelital para instituciones públicas en municipios seleccionados de la Región Fronteriza e internet de banda ancha para la comunidad de Sabana Real, Provincia Independencia.</w:t>
      </w:r>
    </w:p>
    <w:p w:rsidR="0016370C" w:rsidRDefault="0016370C" w:rsidP="0016370C">
      <w:pPr>
        <w:spacing w:line="360" w:lineRule="auto"/>
        <w:rPr>
          <w:rFonts w:eastAsiaTheme="minorHAnsi"/>
          <w:szCs w:val="24"/>
          <w:lang w:eastAsia="en-US"/>
        </w:rPr>
      </w:pPr>
      <w:r w:rsidRPr="0016370C">
        <w:rPr>
          <w:rFonts w:eastAsiaTheme="minorHAnsi"/>
          <w:szCs w:val="24"/>
          <w:lang w:eastAsia="en-US"/>
        </w:rPr>
        <w:lastRenderedPageBreak/>
        <w:t>Tal como nos instruye nuestra Ley Orgánica Núm. 153-98, Ley General de las Telecomunicaciones y en consonancia con la Política Social de Servicio Universal, estaremos dando inicio a la formulación del Plan Bianual de Proyectos de Desarrollo 2023-2024.</w:t>
      </w:r>
    </w:p>
    <w:p w:rsidR="00C24E29" w:rsidRPr="0016370C" w:rsidRDefault="00C24E29" w:rsidP="0001178F">
      <w:pPr>
        <w:pStyle w:val="Sinespaciado"/>
        <w:rPr>
          <w:lang w:eastAsia="en-US"/>
        </w:rPr>
      </w:pPr>
    </w:p>
    <w:p w:rsidR="0016370C" w:rsidRPr="0016370C" w:rsidRDefault="0016370C" w:rsidP="0016370C">
      <w:pPr>
        <w:spacing w:line="360" w:lineRule="auto"/>
        <w:rPr>
          <w:rFonts w:eastAsiaTheme="minorHAnsi"/>
          <w:b/>
          <w:szCs w:val="24"/>
          <w:lang w:eastAsia="en-US"/>
        </w:rPr>
      </w:pPr>
      <w:r w:rsidRPr="0016370C">
        <w:rPr>
          <w:rFonts w:eastAsiaTheme="minorHAnsi"/>
          <w:b/>
          <w:szCs w:val="24"/>
          <w:lang w:eastAsia="en-US"/>
        </w:rPr>
        <w:t>Agenda Regulatoria para el año 2022</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El 15 de diciembre de 2021, el Instituto Dominicano de las Telecomunicaciones (INDOTEL), hizo de público conocimiento la Propuesta de Agenda Regulatoria de este órgano regulador para el próximo año.</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La presentación al público en general de la Agenda Regulatoria del INDOTEL para el año 2022 fue realizada a través de la plataforma Zoom, mediante un </w:t>
      </w:r>
      <w:proofErr w:type="spellStart"/>
      <w:r w:rsidRPr="0016370C">
        <w:rPr>
          <w:rFonts w:eastAsiaTheme="minorHAnsi"/>
          <w:szCs w:val="24"/>
          <w:lang w:eastAsia="en-US"/>
        </w:rPr>
        <w:t>Webinar</w:t>
      </w:r>
      <w:proofErr w:type="spellEnd"/>
      <w:r w:rsidRPr="0016370C">
        <w:rPr>
          <w:rFonts w:eastAsiaTheme="minorHAnsi"/>
          <w:szCs w:val="24"/>
          <w:lang w:eastAsia="en-US"/>
        </w:rPr>
        <w:t xml:space="preserve"> el cual fue impartido por la Dirección de Regulación y Defensa de la Competencia. Igualmente, se les informó a todos los interesados que este órgano rector de las telecomunicaciones estará recibiendo los comentarios y observaciones de los interesados hasta el día 14 de enero de 2022, a través del correo electrónico consultapublica@indotel.gob.do.</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El listado propuesto para la Agenda Regulatoria para el año 2022 es el siguiente: </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1. Modificación Reglamento de Audiencias</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2. Modificación Reglamento TV por Suscripción</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 xml:space="preserve">3. Actualización Plan Nacional de Atribución de Frecuencias (PNAF) </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4. Creación Regulación topes de espectro (PMUER)</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 xml:space="preserve">5. Creación Norma de </w:t>
      </w:r>
      <w:proofErr w:type="spellStart"/>
      <w:r w:rsidRPr="0016370C">
        <w:rPr>
          <w:rFonts w:eastAsiaTheme="minorHAnsi"/>
          <w:szCs w:val="24"/>
          <w:lang w:eastAsia="en-US"/>
        </w:rPr>
        <w:t>Roaming</w:t>
      </w:r>
      <w:proofErr w:type="spellEnd"/>
      <w:r w:rsidRPr="0016370C">
        <w:rPr>
          <w:rFonts w:eastAsiaTheme="minorHAnsi"/>
          <w:szCs w:val="24"/>
          <w:lang w:eastAsia="en-US"/>
        </w:rPr>
        <w:t xml:space="preserve"> Nacional</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6. Modificación Reglamento de Reventa</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7. Modificación Reglamento Procedimiento Sancionador Administrativo</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t>8. Modificación Reglamento de Autorizaciones</w:t>
      </w:r>
    </w:p>
    <w:p w:rsidR="0016370C" w:rsidRPr="0016370C" w:rsidRDefault="0016370C" w:rsidP="0016370C">
      <w:pPr>
        <w:spacing w:line="360" w:lineRule="auto"/>
        <w:ind w:firstLine="720"/>
        <w:rPr>
          <w:rFonts w:eastAsiaTheme="minorHAnsi"/>
          <w:szCs w:val="24"/>
          <w:lang w:eastAsia="en-US"/>
        </w:rPr>
      </w:pPr>
      <w:r w:rsidRPr="0016370C">
        <w:rPr>
          <w:rFonts w:eastAsiaTheme="minorHAnsi"/>
          <w:szCs w:val="24"/>
          <w:lang w:eastAsia="en-US"/>
        </w:rPr>
        <w:lastRenderedPageBreak/>
        <w:t>9. Estrategia de programa de innovación regulatoria (UIT-MT)</w:t>
      </w:r>
    </w:p>
    <w:p w:rsidR="0016370C" w:rsidRPr="0016370C" w:rsidRDefault="0016370C" w:rsidP="00C24E29">
      <w:pPr>
        <w:pStyle w:val="Textonotasalpie"/>
        <w:rPr>
          <w:lang w:eastAsia="en-US"/>
        </w:rPr>
      </w:pPr>
    </w:p>
    <w:p w:rsidR="0016370C" w:rsidRPr="0016370C" w:rsidRDefault="0016370C" w:rsidP="0016370C">
      <w:pPr>
        <w:spacing w:line="360" w:lineRule="auto"/>
        <w:rPr>
          <w:rFonts w:eastAsiaTheme="minorHAnsi"/>
          <w:b/>
          <w:szCs w:val="24"/>
          <w:lang w:eastAsia="en-US"/>
        </w:rPr>
      </w:pPr>
      <w:r w:rsidRPr="0016370C">
        <w:rPr>
          <w:rFonts w:eastAsiaTheme="minorHAnsi"/>
          <w:b/>
          <w:szCs w:val="24"/>
          <w:lang w:eastAsia="en-US"/>
        </w:rPr>
        <w:t>Plan de Transición a la Televisión Terrestre Digital</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El Plan de Transición a la Televisión Terrestre Digital (TTD) es el documento que contiene la planificación programada de etapas técnicas que rigen la implementación y migración hacia la Televisión Terrestre Digital (TTD) basadas en el estándar ATSC 1.0 adoptado. Este plan establece el marco normativo para la extinción del cese de las emisiones de televisión analógica y de su plena sustitución por emisiones de televisión digital.</w:t>
      </w:r>
    </w:p>
    <w:p w:rsidR="0016370C" w:rsidRPr="009C1ED7" w:rsidRDefault="0016370C" w:rsidP="0001178F">
      <w:pPr>
        <w:pStyle w:val="Sinespaciado"/>
      </w:pP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Tiene por objeto establecer las condiciones y directrices a seguir por parte de las concesionarias del servicio de radiodifusión televisiva y que deberán tomar en consideración para la transición de la televisión analógica a la digital, así como definir el cronograma de implementación de la Televisión Terrestre Digital a fin de cumplir con los mandatos establecidos por Decreto, la Ley Núm. 153-98 y las reglamentaciones aplicables.</w:t>
      </w:r>
    </w:p>
    <w:p w:rsidR="0016370C" w:rsidRPr="0016370C" w:rsidRDefault="0016370C" w:rsidP="0001178F">
      <w:pPr>
        <w:pStyle w:val="Sinespaciado"/>
        <w:rPr>
          <w:lang w:eastAsia="en-US"/>
        </w:rPr>
      </w:pP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El proceso de transición a la Televisión Terrestre Digital (TTD) constará de tres etapas:</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1. Primera Etapa - Asignación de frecuencias y Transmisión simultánea de señales (</w:t>
      </w:r>
      <w:proofErr w:type="spellStart"/>
      <w:r w:rsidRPr="0016370C">
        <w:rPr>
          <w:rFonts w:eastAsiaTheme="minorHAnsi"/>
          <w:szCs w:val="24"/>
          <w:lang w:eastAsia="en-US"/>
        </w:rPr>
        <w:t>Simulcast</w:t>
      </w:r>
      <w:proofErr w:type="spellEnd"/>
      <w:r w:rsidRPr="0016370C">
        <w:rPr>
          <w:rFonts w:eastAsiaTheme="minorHAnsi"/>
          <w:szCs w:val="24"/>
          <w:lang w:eastAsia="en-US"/>
        </w:rPr>
        <w:t>).</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2. Segunda etapa - Remisión de información técnica y aprobación de las licencias definitivas.</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3. Tercera etapa - Cese de transmisiones en formato analógico (apagón analógico) y reordenamiento del espectro.</w:t>
      </w:r>
    </w:p>
    <w:p w:rsidR="0016370C" w:rsidRPr="0016370C" w:rsidRDefault="0016370C" w:rsidP="0016370C">
      <w:pPr>
        <w:spacing w:line="360" w:lineRule="auto"/>
        <w:rPr>
          <w:rFonts w:eastAsiaTheme="minorHAnsi"/>
          <w:szCs w:val="24"/>
          <w:lang w:eastAsia="en-US"/>
        </w:rPr>
      </w:pPr>
      <w:r w:rsidRPr="0016370C">
        <w:rPr>
          <w:rFonts w:eastAsiaTheme="minorHAnsi"/>
          <w:szCs w:val="24"/>
          <w:lang w:eastAsia="en-US"/>
        </w:rPr>
        <w:t xml:space="preserve">El INDOTEL realizará todas las acciones requeridas para que los hogares de menores ingresos puedan continuar recibiendo el servicio de radiodifusión </w:t>
      </w:r>
      <w:r w:rsidRPr="0016370C">
        <w:rPr>
          <w:rFonts w:eastAsiaTheme="minorHAnsi"/>
          <w:szCs w:val="24"/>
          <w:lang w:eastAsia="en-US"/>
        </w:rPr>
        <w:lastRenderedPageBreak/>
        <w:t>televisiva.  L</w:t>
      </w:r>
      <w:r w:rsidR="00C90B8C">
        <w:rPr>
          <w:rFonts w:eastAsiaTheme="minorHAnsi"/>
          <w:szCs w:val="24"/>
          <w:lang w:eastAsia="en-US"/>
        </w:rPr>
        <w:t>a fecha del apagón analógico</w:t>
      </w:r>
      <w:r w:rsidRPr="0016370C">
        <w:rPr>
          <w:rFonts w:eastAsiaTheme="minorHAnsi"/>
          <w:szCs w:val="24"/>
          <w:lang w:eastAsia="en-US"/>
        </w:rPr>
        <w:t xml:space="preserve"> será el 15 de septiembre de 2022, sujeto a la verificación de los avances de las acciones  previstas, el cual deberá alcanzar por lo menos el ochenta por ciento (80%) de dichos hogares.</w:t>
      </w:r>
    </w:p>
    <w:p w:rsidR="0016370C" w:rsidRPr="0016370C" w:rsidRDefault="0016370C" w:rsidP="0016370C">
      <w:pPr>
        <w:spacing w:line="360" w:lineRule="auto"/>
        <w:rPr>
          <w:rFonts w:eastAsiaTheme="minorHAnsi"/>
          <w:szCs w:val="24"/>
          <w:lang w:eastAsia="en-US"/>
        </w:rPr>
      </w:pPr>
    </w:p>
    <w:tbl>
      <w:tblPr>
        <w:tblStyle w:val="TableNormal"/>
        <w:tblW w:w="9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7"/>
        <w:gridCol w:w="4670"/>
      </w:tblGrid>
      <w:tr w:rsidR="0016370C" w:rsidRPr="0016370C" w:rsidTr="009C1ED7">
        <w:trPr>
          <w:trHeight w:val="438"/>
          <w:jc w:val="center"/>
        </w:trPr>
        <w:tc>
          <w:tcPr>
            <w:tcW w:w="4357" w:type="dxa"/>
            <w:shd w:val="clear" w:color="auto" w:fill="003876"/>
            <w:vAlign w:val="center"/>
          </w:tcPr>
          <w:p w:rsidR="0016370C" w:rsidRPr="0016370C" w:rsidRDefault="0016370C" w:rsidP="00102AC1">
            <w:pPr>
              <w:spacing w:after="0" w:line="240" w:lineRule="auto"/>
              <w:ind w:left="107"/>
              <w:jc w:val="center"/>
              <w:rPr>
                <w:rFonts w:ascii="Times New Roman" w:eastAsia="Arial" w:hAnsi="Times New Roman" w:cs="Times New Roman"/>
                <w:b/>
                <w:color w:val="FFFFFF" w:themeColor="background1"/>
                <w:szCs w:val="24"/>
                <w:lang w:val="es-ES"/>
              </w:rPr>
            </w:pPr>
            <w:r w:rsidRPr="0016370C">
              <w:rPr>
                <w:rFonts w:ascii="Times New Roman" w:eastAsia="Arial" w:hAnsi="Times New Roman" w:cs="Times New Roman"/>
                <w:b/>
                <w:color w:val="FFFFFF" w:themeColor="background1"/>
                <w:szCs w:val="24"/>
                <w:lang w:val="es-ES"/>
              </w:rPr>
              <w:t>Fases</w:t>
            </w:r>
          </w:p>
        </w:tc>
        <w:tc>
          <w:tcPr>
            <w:tcW w:w="4670" w:type="dxa"/>
            <w:shd w:val="clear" w:color="auto" w:fill="003876"/>
            <w:vAlign w:val="center"/>
          </w:tcPr>
          <w:p w:rsidR="0016370C" w:rsidRPr="0016370C" w:rsidRDefault="0016370C" w:rsidP="00102AC1">
            <w:pPr>
              <w:spacing w:after="0" w:line="240" w:lineRule="auto"/>
              <w:ind w:left="107"/>
              <w:jc w:val="center"/>
              <w:rPr>
                <w:rFonts w:ascii="Times New Roman" w:eastAsia="Arial" w:hAnsi="Times New Roman" w:cs="Times New Roman"/>
                <w:b/>
                <w:color w:val="FFFFFF" w:themeColor="background1"/>
                <w:szCs w:val="24"/>
                <w:lang w:val="es-ES"/>
              </w:rPr>
            </w:pPr>
            <w:r w:rsidRPr="0016370C">
              <w:rPr>
                <w:rFonts w:ascii="Times New Roman" w:eastAsia="Arial" w:hAnsi="Times New Roman" w:cs="Times New Roman"/>
                <w:b/>
                <w:color w:val="FFFFFF" w:themeColor="background1"/>
                <w:szCs w:val="24"/>
                <w:lang w:val="es-ES"/>
              </w:rPr>
              <w:t>Plazos</w:t>
            </w:r>
          </w:p>
        </w:tc>
      </w:tr>
      <w:tr w:rsidR="0016370C" w:rsidRPr="0016370C" w:rsidTr="009C1ED7">
        <w:trPr>
          <w:trHeight w:val="1016"/>
          <w:jc w:val="center"/>
        </w:trPr>
        <w:tc>
          <w:tcPr>
            <w:tcW w:w="4357" w:type="dxa"/>
          </w:tcPr>
          <w:p w:rsidR="0016370C" w:rsidRPr="0016370C" w:rsidRDefault="0016370C" w:rsidP="0016370C">
            <w:pPr>
              <w:spacing w:after="0" w:line="240" w:lineRule="auto"/>
              <w:ind w:left="107" w:right="335"/>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Remisión de la solicitud de asignación de prueba</w:t>
            </w:r>
          </w:p>
        </w:tc>
        <w:tc>
          <w:tcPr>
            <w:tcW w:w="4670" w:type="dxa"/>
          </w:tcPr>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A partir de la aprobación del Reglamento de Televisión Terrestre Digital y no después del 15 de junio de 2022</w:t>
            </w:r>
          </w:p>
        </w:tc>
      </w:tr>
      <w:tr w:rsidR="0016370C" w:rsidRPr="0016370C" w:rsidTr="009C1ED7">
        <w:trPr>
          <w:trHeight w:val="980"/>
          <w:jc w:val="center"/>
        </w:trPr>
        <w:tc>
          <w:tcPr>
            <w:tcW w:w="4357" w:type="dxa"/>
          </w:tcPr>
          <w:p w:rsidR="0016370C" w:rsidRPr="0016370C" w:rsidRDefault="0016370C" w:rsidP="0016370C">
            <w:pPr>
              <w:spacing w:after="0" w:line="240" w:lineRule="auto"/>
              <w:ind w:left="107" w:right="310"/>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Asignación de las frecuencias de prueba para TTD</w:t>
            </w:r>
          </w:p>
        </w:tc>
        <w:tc>
          <w:tcPr>
            <w:tcW w:w="4670" w:type="dxa"/>
          </w:tcPr>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En un plazo no mayor de treinta (30) días calendario a partir de la recepción de la</w:t>
            </w:r>
          </w:p>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solicitud</w:t>
            </w:r>
          </w:p>
        </w:tc>
      </w:tr>
      <w:tr w:rsidR="0016370C" w:rsidRPr="0016370C" w:rsidTr="009C1ED7">
        <w:trPr>
          <w:trHeight w:val="1322"/>
          <w:jc w:val="center"/>
        </w:trPr>
        <w:tc>
          <w:tcPr>
            <w:tcW w:w="4357" w:type="dxa"/>
          </w:tcPr>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 xml:space="preserve">Transmisiones simultáneas o </w:t>
            </w:r>
            <w:proofErr w:type="spellStart"/>
            <w:r w:rsidRPr="0016370C">
              <w:rPr>
                <w:rFonts w:ascii="Times New Roman" w:eastAsia="Arial" w:hAnsi="Times New Roman" w:cs="Times New Roman"/>
                <w:szCs w:val="24"/>
                <w:lang w:val="es-ES"/>
              </w:rPr>
              <w:t>Simulcast</w:t>
            </w:r>
            <w:proofErr w:type="spellEnd"/>
          </w:p>
        </w:tc>
        <w:tc>
          <w:tcPr>
            <w:tcW w:w="4670" w:type="dxa"/>
          </w:tcPr>
          <w:p w:rsidR="0016370C" w:rsidRPr="0016370C" w:rsidRDefault="0016370C" w:rsidP="0016370C">
            <w:pPr>
              <w:spacing w:after="0" w:line="240" w:lineRule="auto"/>
              <w:ind w:left="107" w:right="95"/>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A partir de la aprobación de la resolución que asigna</w:t>
            </w:r>
            <w:r w:rsidRPr="0016370C">
              <w:rPr>
                <w:rFonts w:ascii="Times New Roman" w:eastAsia="Arial" w:hAnsi="Times New Roman" w:cs="Times New Roman"/>
                <w:spacing w:val="-7"/>
                <w:szCs w:val="24"/>
                <w:lang w:val="es-ES"/>
              </w:rPr>
              <w:t xml:space="preserve"> </w:t>
            </w:r>
            <w:r w:rsidRPr="0016370C">
              <w:rPr>
                <w:rFonts w:ascii="Times New Roman" w:eastAsia="Arial" w:hAnsi="Times New Roman" w:cs="Times New Roman"/>
                <w:szCs w:val="24"/>
                <w:lang w:val="es-ES"/>
              </w:rPr>
              <w:t>las</w:t>
            </w:r>
            <w:r w:rsidRPr="0016370C">
              <w:rPr>
                <w:rFonts w:ascii="Times New Roman" w:eastAsia="Arial" w:hAnsi="Times New Roman" w:cs="Times New Roman"/>
                <w:spacing w:val="-12"/>
                <w:szCs w:val="24"/>
                <w:lang w:val="es-ES"/>
              </w:rPr>
              <w:t xml:space="preserve"> </w:t>
            </w:r>
            <w:r w:rsidRPr="0016370C">
              <w:rPr>
                <w:rFonts w:ascii="Times New Roman" w:eastAsia="Arial" w:hAnsi="Times New Roman" w:cs="Times New Roman"/>
                <w:szCs w:val="24"/>
                <w:lang w:val="es-ES"/>
              </w:rPr>
              <w:t>frecuencias</w:t>
            </w:r>
            <w:r w:rsidRPr="0016370C">
              <w:rPr>
                <w:rFonts w:ascii="Times New Roman" w:eastAsia="Arial" w:hAnsi="Times New Roman" w:cs="Times New Roman"/>
                <w:spacing w:val="-8"/>
                <w:szCs w:val="24"/>
                <w:lang w:val="es-ES"/>
              </w:rPr>
              <w:t xml:space="preserve"> </w:t>
            </w:r>
            <w:r w:rsidRPr="0016370C">
              <w:rPr>
                <w:rFonts w:ascii="Times New Roman" w:eastAsia="Arial" w:hAnsi="Times New Roman" w:cs="Times New Roman"/>
                <w:szCs w:val="24"/>
                <w:lang w:val="es-ES"/>
              </w:rPr>
              <w:t>de</w:t>
            </w:r>
            <w:r w:rsidRPr="0016370C">
              <w:rPr>
                <w:rFonts w:ascii="Times New Roman" w:eastAsia="Arial" w:hAnsi="Times New Roman" w:cs="Times New Roman"/>
                <w:spacing w:val="-7"/>
                <w:szCs w:val="24"/>
                <w:lang w:val="es-ES"/>
              </w:rPr>
              <w:t xml:space="preserve"> </w:t>
            </w:r>
            <w:r w:rsidRPr="0016370C">
              <w:rPr>
                <w:rFonts w:ascii="Times New Roman" w:eastAsia="Arial" w:hAnsi="Times New Roman" w:cs="Times New Roman"/>
                <w:szCs w:val="24"/>
                <w:lang w:val="es-ES"/>
              </w:rPr>
              <w:t>prueba</w:t>
            </w:r>
            <w:r w:rsidRPr="0016370C">
              <w:rPr>
                <w:rFonts w:ascii="Times New Roman" w:eastAsia="Arial" w:hAnsi="Times New Roman" w:cs="Times New Roman"/>
                <w:spacing w:val="-10"/>
                <w:szCs w:val="24"/>
                <w:lang w:val="es-ES"/>
              </w:rPr>
              <w:t xml:space="preserve"> </w:t>
            </w:r>
            <w:r w:rsidRPr="0016370C">
              <w:rPr>
                <w:rFonts w:ascii="Times New Roman" w:eastAsia="Arial" w:hAnsi="Times New Roman" w:cs="Times New Roman"/>
                <w:szCs w:val="24"/>
                <w:lang w:val="es-ES"/>
              </w:rPr>
              <w:t>hasta</w:t>
            </w:r>
            <w:r w:rsidRPr="0016370C">
              <w:rPr>
                <w:rFonts w:ascii="Times New Roman" w:eastAsia="Arial" w:hAnsi="Times New Roman" w:cs="Times New Roman"/>
                <w:spacing w:val="-8"/>
                <w:szCs w:val="24"/>
                <w:lang w:val="es-ES"/>
              </w:rPr>
              <w:t xml:space="preserve"> </w:t>
            </w:r>
            <w:r w:rsidRPr="0016370C">
              <w:rPr>
                <w:rFonts w:ascii="Times New Roman" w:eastAsia="Arial" w:hAnsi="Times New Roman" w:cs="Times New Roman"/>
                <w:szCs w:val="24"/>
                <w:lang w:val="es-ES"/>
              </w:rPr>
              <w:t>el</w:t>
            </w:r>
            <w:r w:rsidRPr="0016370C">
              <w:rPr>
                <w:rFonts w:ascii="Times New Roman" w:eastAsia="Arial" w:hAnsi="Times New Roman" w:cs="Times New Roman"/>
                <w:spacing w:val="-6"/>
                <w:szCs w:val="24"/>
                <w:lang w:val="es-ES"/>
              </w:rPr>
              <w:t xml:space="preserve"> </w:t>
            </w:r>
            <w:r w:rsidRPr="0016370C">
              <w:rPr>
                <w:rFonts w:ascii="Times New Roman" w:eastAsia="Arial" w:hAnsi="Times New Roman" w:cs="Times New Roman"/>
                <w:szCs w:val="24"/>
                <w:lang w:val="es-ES"/>
              </w:rPr>
              <w:t>15</w:t>
            </w:r>
            <w:r w:rsidRPr="0016370C">
              <w:rPr>
                <w:rFonts w:ascii="Times New Roman" w:eastAsia="Arial" w:hAnsi="Times New Roman" w:cs="Times New Roman"/>
                <w:spacing w:val="-9"/>
                <w:szCs w:val="24"/>
                <w:lang w:val="es-ES"/>
              </w:rPr>
              <w:t xml:space="preserve"> </w:t>
            </w:r>
            <w:r w:rsidRPr="0016370C">
              <w:rPr>
                <w:rFonts w:ascii="Times New Roman" w:eastAsia="Arial" w:hAnsi="Times New Roman" w:cs="Times New Roman"/>
                <w:szCs w:val="24"/>
                <w:lang w:val="es-ES"/>
              </w:rPr>
              <w:t>de septiembre de 2022, día fijado para el apagón analógico</w:t>
            </w:r>
          </w:p>
        </w:tc>
      </w:tr>
      <w:tr w:rsidR="0016370C" w:rsidRPr="0016370C" w:rsidTr="009C1ED7">
        <w:trPr>
          <w:trHeight w:val="962"/>
          <w:jc w:val="center"/>
        </w:trPr>
        <w:tc>
          <w:tcPr>
            <w:tcW w:w="4357" w:type="dxa"/>
          </w:tcPr>
          <w:p w:rsidR="0016370C" w:rsidRPr="0016370C" w:rsidRDefault="0016370C" w:rsidP="0016370C">
            <w:pPr>
              <w:spacing w:after="0" w:line="240" w:lineRule="auto"/>
              <w:ind w:left="107" w:right="115"/>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Remisión de información técnica una vez completados los ajustes de las operaciones de prueba</w:t>
            </w:r>
          </w:p>
        </w:tc>
        <w:tc>
          <w:tcPr>
            <w:tcW w:w="4670" w:type="dxa"/>
          </w:tcPr>
          <w:p w:rsidR="0016370C" w:rsidRPr="0016370C" w:rsidRDefault="0016370C" w:rsidP="0016370C">
            <w:pPr>
              <w:spacing w:after="0" w:line="240" w:lineRule="auto"/>
              <w:ind w:left="107" w:right="95"/>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A</w:t>
            </w:r>
            <w:r w:rsidRPr="0016370C">
              <w:rPr>
                <w:rFonts w:ascii="Times New Roman" w:eastAsia="Arial" w:hAnsi="Times New Roman" w:cs="Times New Roman"/>
                <w:spacing w:val="-17"/>
                <w:szCs w:val="24"/>
                <w:lang w:val="es-ES"/>
              </w:rPr>
              <w:t xml:space="preserve"> </w:t>
            </w:r>
            <w:r w:rsidRPr="0016370C">
              <w:rPr>
                <w:rFonts w:ascii="Times New Roman" w:eastAsia="Arial" w:hAnsi="Times New Roman" w:cs="Times New Roman"/>
                <w:szCs w:val="24"/>
                <w:lang w:val="es-ES"/>
              </w:rPr>
              <w:t>más</w:t>
            </w:r>
            <w:r w:rsidRPr="0016370C">
              <w:rPr>
                <w:rFonts w:ascii="Times New Roman" w:eastAsia="Arial" w:hAnsi="Times New Roman" w:cs="Times New Roman"/>
                <w:spacing w:val="-15"/>
                <w:szCs w:val="24"/>
                <w:lang w:val="es-ES"/>
              </w:rPr>
              <w:t xml:space="preserve"> </w:t>
            </w:r>
            <w:r w:rsidRPr="0016370C">
              <w:rPr>
                <w:rFonts w:ascii="Times New Roman" w:eastAsia="Arial" w:hAnsi="Times New Roman" w:cs="Times New Roman"/>
                <w:szCs w:val="24"/>
                <w:lang w:val="es-ES"/>
              </w:rPr>
              <w:t>tardar</w:t>
            </w:r>
            <w:r w:rsidRPr="0016370C">
              <w:rPr>
                <w:rFonts w:ascii="Times New Roman" w:eastAsia="Arial" w:hAnsi="Times New Roman" w:cs="Times New Roman"/>
                <w:spacing w:val="-17"/>
                <w:szCs w:val="24"/>
                <w:lang w:val="es-ES"/>
              </w:rPr>
              <w:t xml:space="preserve"> </w:t>
            </w:r>
            <w:r w:rsidRPr="0016370C">
              <w:rPr>
                <w:rFonts w:ascii="Times New Roman" w:eastAsia="Arial" w:hAnsi="Times New Roman" w:cs="Times New Roman"/>
                <w:szCs w:val="24"/>
                <w:lang w:val="es-ES"/>
              </w:rPr>
              <w:t>noventa</w:t>
            </w:r>
            <w:r w:rsidRPr="0016370C">
              <w:rPr>
                <w:rFonts w:ascii="Times New Roman" w:eastAsia="Arial" w:hAnsi="Times New Roman" w:cs="Times New Roman"/>
                <w:spacing w:val="-15"/>
                <w:szCs w:val="24"/>
                <w:lang w:val="es-ES"/>
              </w:rPr>
              <w:t xml:space="preserve"> </w:t>
            </w:r>
            <w:r w:rsidRPr="0016370C">
              <w:rPr>
                <w:rFonts w:ascii="Times New Roman" w:eastAsia="Arial" w:hAnsi="Times New Roman" w:cs="Times New Roman"/>
                <w:szCs w:val="24"/>
                <w:lang w:val="es-ES"/>
              </w:rPr>
              <w:t>(90)</w:t>
            </w:r>
            <w:r w:rsidRPr="0016370C">
              <w:rPr>
                <w:rFonts w:ascii="Times New Roman" w:eastAsia="Arial" w:hAnsi="Times New Roman" w:cs="Times New Roman"/>
                <w:spacing w:val="-14"/>
                <w:szCs w:val="24"/>
                <w:lang w:val="es-ES"/>
              </w:rPr>
              <w:t xml:space="preserve"> </w:t>
            </w:r>
            <w:r w:rsidRPr="0016370C">
              <w:rPr>
                <w:rFonts w:ascii="Times New Roman" w:eastAsia="Arial" w:hAnsi="Times New Roman" w:cs="Times New Roman"/>
                <w:szCs w:val="24"/>
                <w:lang w:val="es-ES"/>
              </w:rPr>
              <w:t>días</w:t>
            </w:r>
            <w:r w:rsidRPr="0016370C">
              <w:rPr>
                <w:rFonts w:ascii="Times New Roman" w:eastAsia="Arial" w:hAnsi="Times New Roman" w:cs="Times New Roman"/>
                <w:spacing w:val="-14"/>
                <w:szCs w:val="24"/>
                <w:lang w:val="es-ES"/>
              </w:rPr>
              <w:t xml:space="preserve"> </w:t>
            </w:r>
            <w:r w:rsidRPr="0016370C">
              <w:rPr>
                <w:rFonts w:ascii="Times New Roman" w:eastAsia="Arial" w:hAnsi="Times New Roman" w:cs="Times New Roman"/>
                <w:szCs w:val="24"/>
                <w:lang w:val="es-ES"/>
              </w:rPr>
              <w:t>calendario</w:t>
            </w:r>
            <w:r w:rsidRPr="0016370C">
              <w:rPr>
                <w:rFonts w:ascii="Times New Roman" w:eastAsia="Arial" w:hAnsi="Times New Roman" w:cs="Times New Roman"/>
                <w:spacing w:val="-14"/>
                <w:szCs w:val="24"/>
                <w:lang w:val="es-ES"/>
              </w:rPr>
              <w:t xml:space="preserve"> </w:t>
            </w:r>
            <w:r w:rsidRPr="0016370C">
              <w:rPr>
                <w:rFonts w:ascii="Times New Roman" w:eastAsia="Arial" w:hAnsi="Times New Roman" w:cs="Times New Roman"/>
                <w:szCs w:val="24"/>
                <w:lang w:val="es-ES"/>
              </w:rPr>
              <w:t>antes de la fecha fijada para el encendido digital, 31 de diciembre de</w:t>
            </w:r>
            <w:r w:rsidRPr="0016370C">
              <w:rPr>
                <w:rFonts w:ascii="Times New Roman" w:eastAsia="Arial" w:hAnsi="Times New Roman" w:cs="Times New Roman"/>
                <w:spacing w:val="-3"/>
                <w:szCs w:val="24"/>
                <w:lang w:val="es-ES"/>
              </w:rPr>
              <w:t xml:space="preserve"> </w:t>
            </w:r>
            <w:r w:rsidRPr="0016370C">
              <w:rPr>
                <w:rFonts w:ascii="Times New Roman" w:eastAsia="Arial" w:hAnsi="Times New Roman" w:cs="Times New Roman"/>
                <w:szCs w:val="24"/>
                <w:lang w:val="es-ES"/>
              </w:rPr>
              <w:t>2022</w:t>
            </w:r>
          </w:p>
        </w:tc>
      </w:tr>
      <w:tr w:rsidR="0016370C" w:rsidRPr="0016370C" w:rsidTr="009C1ED7">
        <w:trPr>
          <w:trHeight w:val="1205"/>
          <w:jc w:val="center"/>
        </w:trPr>
        <w:tc>
          <w:tcPr>
            <w:tcW w:w="4357" w:type="dxa"/>
          </w:tcPr>
          <w:p w:rsidR="0016370C" w:rsidRPr="0016370C" w:rsidRDefault="0016370C" w:rsidP="0016370C">
            <w:pPr>
              <w:spacing w:after="0" w:line="240" w:lineRule="auto"/>
              <w:ind w:left="107" w:right="469"/>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Resolución que aprueba los parámetros técnicos de los certificados de licencia definitivos de los transmisores</w:t>
            </w:r>
          </w:p>
        </w:tc>
        <w:tc>
          <w:tcPr>
            <w:tcW w:w="4670" w:type="dxa"/>
          </w:tcPr>
          <w:p w:rsidR="0016370C" w:rsidRPr="0016370C" w:rsidRDefault="0016370C" w:rsidP="0016370C">
            <w:pPr>
              <w:spacing w:after="0" w:line="240" w:lineRule="auto"/>
              <w:ind w:left="107" w:right="95"/>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Treinta (30) días calendario después del INDOTEL validar la información técnica mediante las comprobaciones técnicas</w:t>
            </w:r>
          </w:p>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correspondientes</w:t>
            </w:r>
          </w:p>
        </w:tc>
      </w:tr>
      <w:tr w:rsidR="0016370C" w:rsidRPr="0016370C" w:rsidTr="009C1ED7">
        <w:trPr>
          <w:trHeight w:val="794"/>
          <w:jc w:val="center"/>
        </w:trPr>
        <w:tc>
          <w:tcPr>
            <w:tcW w:w="4357" w:type="dxa"/>
          </w:tcPr>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Apagón analógico</w:t>
            </w:r>
          </w:p>
        </w:tc>
        <w:tc>
          <w:tcPr>
            <w:tcW w:w="4670" w:type="dxa"/>
          </w:tcPr>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15 de septiembre de 2022</w:t>
            </w:r>
          </w:p>
        </w:tc>
      </w:tr>
      <w:tr w:rsidR="0016370C" w:rsidRPr="0016370C" w:rsidTr="009C1ED7">
        <w:trPr>
          <w:trHeight w:val="794"/>
          <w:jc w:val="center"/>
        </w:trPr>
        <w:tc>
          <w:tcPr>
            <w:tcW w:w="4357" w:type="dxa"/>
          </w:tcPr>
          <w:p w:rsidR="0016370C" w:rsidRPr="0016370C" w:rsidRDefault="0016370C" w:rsidP="0016370C">
            <w:pPr>
              <w:spacing w:after="0" w:line="240" w:lineRule="auto"/>
              <w:ind w:left="107" w:right="518"/>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Reordenamiento y encendido digital en frecuencia definitiva</w:t>
            </w:r>
          </w:p>
        </w:tc>
        <w:tc>
          <w:tcPr>
            <w:tcW w:w="4670" w:type="dxa"/>
          </w:tcPr>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A más tardar el 31 de diciembre de 2022, todo concesionario deberá estar operando en la</w:t>
            </w:r>
          </w:p>
          <w:p w:rsidR="0016370C" w:rsidRPr="0016370C" w:rsidRDefault="0016370C" w:rsidP="0016370C">
            <w:pPr>
              <w:spacing w:after="0" w:line="240" w:lineRule="auto"/>
              <w:ind w:left="107"/>
              <w:jc w:val="left"/>
              <w:rPr>
                <w:rFonts w:ascii="Times New Roman" w:eastAsia="Arial" w:hAnsi="Times New Roman" w:cs="Times New Roman"/>
                <w:szCs w:val="24"/>
                <w:lang w:val="es-ES"/>
              </w:rPr>
            </w:pPr>
            <w:r w:rsidRPr="0016370C">
              <w:rPr>
                <w:rFonts w:ascii="Times New Roman" w:eastAsia="Arial" w:hAnsi="Times New Roman" w:cs="Times New Roman"/>
                <w:szCs w:val="24"/>
                <w:lang w:val="es-ES"/>
              </w:rPr>
              <w:t>frecuencia definitiva</w:t>
            </w:r>
          </w:p>
        </w:tc>
      </w:tr>
    </w:tbl>
    <w:p w:rsidR="0016370C" w:rsidRPr="0016370C" w:rsidRDefault="009C1ED7" w:rsidP="009C1ED7">
      <w:pPr>
        <w:ind w:left="-567"/>
        <w:rPr>
          <w:rFonts w:eastAsiaTheme="minorHAnsi"/>
          <w:color w:val="auto"/>
          <w:szCs w:val="24"/>
          <w:lang w:eastAsia="en-US"/>
        </w:rPr>
      </w:pPr>
      <w:r w:rsidRPr="000116C8">
        <w:rPr>
          <w:b/>
          <w:sz w:val="18"/>
        </w:rPr>
        <w:t>Fuente:</w:t>
      </w:r>
      <w:r w:rsidRPr="000116C8">
        <w:rPr>
          <w:sz w:val="18"/>
        </w:rPr>
        <w:t xml:space="preserve"> </w:t>
      </w:r>
      <w:r>
        <w:rPr>
          <w:sz w:val="18"/>
        </w:rPr>
        <w:t>Resolución del Consejo Directivo del INDOTEL</w:t>
      </w:r>
    </w:p>
    <w:p w:rsidR="00CF41AF" w:rsidRDefault="001764FC" w:rsidP="0018202A">
      <w:pPr>
        <w:spacing w:line="360" w:lineRule="auto"/>
        <w:rPr>
          <w:rFonts w:eastAsiaTheme="minorHAnsi"/>
          <w:szCs w:val="24"/>
          <w:highlight w:val="yellow"/>
          <w:lang w:eastAsia="en-US"/>
        </w:rPr>
      </w:pPr>
      <w:r w:rsidRPr="001764FC">
        <w:rPr>
          <w:rFonts w:eastAsiaTheme="minorHAnsi"/>
          <w:szCs w:val="24"/>
          <w:highlight w:val="yellow"/>
          <w:lang w:eastAsia="en-US"/>
        </w:rPr>
        <w:t xml:space="preserve"> </w:t>
      </w:r>
    </w:p>
    <w:p w:rsidR="001D0486" w:rsidRDefault="001D0486" w:rsidP="0018202A">
      <w:pPr>
        <w:spacing w:line="360" w:lineRule="auto"/>
        <w:rPr>
          <w:rFonts w:eastAsiaTheme="minorHAnsi"/>
          <w:szCs w:val="24"/>
          <w:highlight w:val="yellow"/>
          <w:lang w:eastAsia="en-US"/>
        </w:rPr>
      </w:pPr>
    </w:p>
    <w:p w:rsidR="001D0486" w:rsidRPr="00792ACF" w:rsidRDefault="001D0486" w:rsidP="0018202A">
      <w:pPr>
        <w:spacing w:line="360" w:lineRule="auto"/>
        <w:rPr>
          <w:rFonts w:eastAsiaTheme="minorHAnsi"/>
          <w:szCs w:val="24"/>
          <w:highlight w:val="yellow"/>
          <w:lang w:eastAsia="en-US"/>
        </w:rPr>
      </w:pPr>
    </w:p>
    <w:p w:rsidR="00A3761D" w:rsidRPr="002B3E80" w:rsidRDefault="00A3761D" w:rsidP="00A17C7C">
      <w:pPr>
        <w:pStyle w:val="Ttulo1"/>
        <w:numPr>
          <w:ilvl w:val="0"/>
          <w:numId w:val="25"/>
        </w:numPr>
        <w:ind w:left="-90"/>
        <w:rPr>
          <w:sz w:val="28"/>
        </w:rPr>
      </w:pPr>
      <w:bookmarkStart w:id="86" w:name="_Toc90936670"/>
      <w:r>
        <w:rPr>
          <w:color w:val="767171"/>
          <w:sz w:val="28"/>
        </w:rPr>
        <w:lastRenderedPageBreak/>
        <w:t>ANEXOS</w:t>
      </w:r>
      <w:bookmarkEnd w:id="86"/>
    </w:p>
    <w:p w:rsidR="00A3761D" w:rsidRPr="006F0C62" w:rsidRDefault="00A3761D" w:rsidP="00A3761D">
      <w:r w:rsidRPr="006F0C62">
        <w:rPr>
          <w:noProof/>
          <w:lang w:val="en-US" w:eastAsia="en-US"/>
        </w:rPr>
        <mc:AlternateContent>
          <mc:Choice Requires="wps">
            <w:drawing>
              <wp:anchor distT="0" distB="0" distL="114300" distR="114300" simplePos="0" relativeHeight="251720704" behindDoc="0" locked="1" layoutInCell="1" allowOverlap="1" wp14:anchorId="6E08BD0D" wp14:editId="60497C3B">
                <wp:simplePos x="0" y="0"/>
                <wp:positionH relativeFrom="margin">
                  <wp:posOffset>2226945</wp:posOffset>
                </wp:positionH>
                <wp:positionV relativeFrom="paragraph">
                  <wp:posOffset>15875</wp:posOffset>
                </wp:positionV>
                <wp:extent cx="463550" cy="0"/>
                <wp:effectExtent l="22860" t="20320" r="18415" b="17780"/>
                <wp:wrapNone/>
                <wp:docPr id="6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301A1" id="Conector recto 4"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35pt,1.25pt" to="211.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" strokecolor="#ee2a24" strokeweight="2.25pt">
                <v:stroke joinstyle="miter"/>
                <w10:wrap anchorx="margin"/>
                <w10:anchorlock/>
              </v:line>
            </w:pict>
          </mc:Fallback>
        </mc:AlternateContent>
      </w:r>
    </w:p>
    <w:p w:rsidR="00B31413" w:rsidRDefault="00E715BA" w:rsidP="00B31413">
      <w:pPr>
        <w:jc w:val="center"/>
      </w:pPr>
      <w:r>
        <w:t>Memoria Institucional 2021</w:t>
      </w:r>
    </w:p>
    <w:p w:rsidR="00792ACF" w:rsidRDefault="00792ACF" w:rsidP="00B31413">
      <w:pPr>
        <w:jc w:val="center"/>
      </w:pPr>
    </w:p>
    <w:p w:rsidR="00A3761D" w:rsidRPr="004244A8" w:rsidRDefault="00A3761D" w:rsidP="00A3761D">
      <w:pPr>
        <w:pStyle w:val="Ttulo3"/>
        <w:rPr>
          <w:sz w:val="28"/>
        </w:rPr>
      </w:pPr>
      <w:bookmarkStart w:id="87" w:name="_Toc90936671"/>
      <w:r w:rsidRPr="00F82FD0">
        <w:rPr>
          <w:sz w:val="28"/>
        </w:rPr>
        <w:t>Matriz de Principales Indicadores de Gestión por Proceso</w:t>
      </w:r>
      <w:bookmarkEnd w:id="87"/>
    </w:p>
    <w:p w:rsidR="00792ACF" w:rsidRDefault="001D0486" w:rsidP="00F14420">
      <w:r w:rsidRPr="00272296">
        <w:rPr>
          <w:noProof/>
          <w:lang w:val="en-US" w:eastAsia="en-US"/>
        </w:rPr>
        <w:drawing>
          <wp:anchor distT="0" distB="0" distL="114300" distR="114300" simplePos="0" relativeHeight="251758592" behindDoc="0" locked="0" layoutInCell="1" allowOverlap="1" wp14:anchorId="30A161F1" wp14:editId="3A37318B">
            <wp:simplePos x="0" y="0"/>
            <wp:positionH relativeFrom="margin">
              <wp:posOffset>67310</wp:posOffset>
            </wp:positionH>
            <wp:positionV relativeFrom="margin">
              <wp:posOffset>1843405</wp:posOffset>
            </wp:positionV>
            <wp:extent cx="4661535" cy="5165725"/>
            <wp:effectExtent l="0" t="0" r="571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61535" cy="516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2ACF" w:rsidRDefault="00792ACF" w:rsidP="00F14420"/>
    <w:p w:rsidR="00A3761D" w:rsidRDefault="00A3761D" w:rsidP="00A3761D">
      <w:pPr>
        <w:pStyle w:val="Ttulo3"/>
      </w:pPr>
      <w:bookmarkStart w:id="88" w:name="_Toc90936672"/>
      <w:r w:rsidRPr="004C7A59">
        <w:lastRenderedPageBreak/>
        <w:t>Matriz Índice de Gestión Presupuestaria Anual (IGP)</w:t>
      </w:r>
      <w:bookmarkEnd w:id="88"/>
    </w:p>
    <w:p w:rsidR="00A3761D" w:rsidRDefault="00A3761D" w:rsidP="00A3761D">
      <w:pPr>
        <w:pStyle w:val="Sinespaciado"/>
      </w:pPr>
    </w:p>
    <w:p w:rsidR="001A4CFE" w:rsidRDefault="001A4CFE" w:rsidP="001A4CFE">
      <w:pPr>
        <w:shd w:val="clear" w:color="auto" w:fill="FFFFFF"/>
        <w:spacing w:after="0" w:line="360" w:lineRule="auto"/>
        <w:textAlignment w:val="baseline"/>
        <w:rPr>
          <w:szCs w:val="24"/>
        </w:rPr>
      </w:pPr>
      <w:r w:rsidRPr="001A4CFE">
        <w:rPr>
          <w:szCs w:val="24"/>
        </w:rPr>
        <w:t>El Índice de la Gestión Presupuestaria (IGP) no ha sido medido durante el año 2021, según lo expresado  por la Dirección General de Presupuesto (DIGEPRES) en la Circular No. 022  de fecha 30 de agosto 2021 debido al rediseño en los criterios para la evaluación del Indicador. </w:t>
      </w: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476D3F" w:rsidRDefault="00476D3F" w:rsidP="001A4CFE">
      <w:pPr>
        <w:shd w:val="clear" w:color="auto" w:fill="FFFFFF"/>
        <w:spacing w:after="0" w:line="360" w:lineRule="auto"/>
        <w:textAlignment w:val="baseline"/>
        <w:rPr>
          <w:szCs w:val="24"/>
        </w:rPr>
      </w:pPr>
    </w:p>
    <w:p w:rsidR="00A23504" w:rsidRPr="00F14420" w:rsidRDefault="00A23504" w:rsidP="00787368">
      <w:pPr>
        <w:pStyle w:val="Ttulo3"/>
      </w:pPr>
      <w:bookmarkStart w:id="89" w:name="_Toc90936673"/>
      <w:r w:rsidRPr="00F14420">
        <w:lastRenderedPageBreak/>
        <w:t>Plan</w:t>
      </w:r>
      <w:r w:rsidR="00CB0E1A">
        <w:t xml:space="preserve"> Anual</w:t>
      </w:r>
      <w:r w:rsidRPr="00F14420">
        <w:t xml:space="preserve"> de Compras</w:t>
      </w:r>
      <w:r w:rsidR="00CB0E1A">
        <w:t xml:space="preserve"> y Contrataciones (PACC)</w:t>
      </w:r>
      <w:bookmarkEnd w:id="89"/>
    </w:p>
    <w:p w:rsidR="00EC6D44" w:rsidRPr="00EC6D44" w:rsidRDefault="00EC6D44" w:rsidP="00EC6D44"/>
    <w:p w:rsidR="005F5A71" w:rsidRPr="005F5A71" w:rsidRDefault="005F5A71" w:rsidP="005F5A71"/>
    <w:tbl>
      <w:tblPr>
        <w:tblW w:w="8190" w:type="dxa"/>
        <w:tblCellMar>
          <w:left w:w="70" w:type="dxa"/>
          <w:right w:w="70" w:type="dxa"/>
        </w:tblCellMar>
        <w:tblLook w:val="04A0" w:firstRow="1" w:lastRow="0" w:firstColumn="1" w:lastColumn="0" w:noHBand="0" w:noVBand="1"/>
      </w:tblPr>
      <w:tblGrid>
        <w:gridCol w:w="4590"/>
        <w:gridCol w:w="3600"/>
      </w:tblGrid>
      <w:tr w:rsidR="006E54DB" w:rsidRPr="006E54DB" w:rsidTr="00966E5E">
        <w:trPr>
          <w:trHeight w:val="300"/>
        </w:trPr>
        <w:tc>
          <w:tcPr>
            <w:tcW w:w="4590" w:type="dxa"/>
            <w:tcBorders>
              <w:top w:val="nil"/>
              <w:left w:val="nil"/>
              <w:bottom w:val="nil"/>
              <w:right w:val="nil"/>
            </w:tcBorders>
            <w:shd w:val="clear" w:color="auto" w:fill="auto"/>
            <w:noWrap/>
            <w:vAlign w:val="bottom"/>
            <w:hideMark/>
          </w:tcPr>
          <w:p w:rsidR="006E54DB" w:rsidRPr="006E54DB" w:rsidRDefault="006E54DB" w:rsidP="006E54DB">
            <w:pPr>
              <w:spacing w:after="0" w:line="240" w:lineRule="auto"/>
              <w:jc w:val="left"/>
              <w:rPr>
                <w:rFonts w:ascii="Calibri" w:eastAsia="Times New Roman" w:hAnsi="Calibri" w:cs="Calibri"/>
                <w:color w:val="000000"/>
                <w:sz w:val="22"/>
              </w:rPr>
            </w:pPr>
            <w:r w:rsidRPr="006E54DB">
              <w:rPr>
                <w:rFonts w:ascii="Calibri" w:eastAsia="Times New Roman" w:hAnsi="Calibri" w:cs="Calibri"/>
                <w:noProof/>
                <w:color w:val="000000"/>
                <w:sz w:val="22"/>
                <w:lang w:val="en-US" w:eastAsia="en-US"/>
              </w:rPr>
              <w:drawing>
                <wp:anchor distT="0" distB="0" distL="114300" distR="114300" simplePos="0" relativeHeight="251678720" behindDoc="0" locked="0" layoutInCell="1" allowOverlap="1">
                  <wp:simplePos x="0" y="0"/>
                  <wp:positionH relativeFrom="column">
                    <wp:posOffset>38100</wp:posOffset>
                  </wp:positionH>
                  <wp:positionV relativeFrom="paragraph">
                    <wp:posOffset>19050</wp:posOffset>
                  </wp:positionV>
                  <wp:extent cx="3248025" cy="933450"/>
                  <wp:effectExtent l="0" t="0" r="9525" b="0"/>
                  <wp:wrapNone/>
                  <wp:docPr id="5" name="Imagen 5"/>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0"/>
                          <a:stretch>
                            <a:fillRect/>
                          </a:stretch>
                        </pic:blipFill>
                        <pic:spPr>
                          <a:xfrm>
                            <a:off x="0" y="0"/>
                            <a:ext cx="32480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50"/>
            </w:tblGrid>
            <w:tr w:rsidR="006E54DB" w:rsidRPr="006E54DB">
              <w:trPr>
                <w:trHeight w:val="300"/>
                <w:tblCellSpacing w:w="0" w:type="dxa"/>
              </w:trPr>
              <w:tc>
                <w:tcPr>
                  <w:tcW w:w="7120" w:type="dxa"/>
                  <w:tcBorders>
                    <w:top w:val="nil"/>
                    <w:left w:val="nil"/>
                    <w:bottom w:val="nil"/>
                    <w:right w:val="nil"/>
                  </w:tcBorders>
                  <w:shd w:val="clear" w:color="auto" w:fill="auto"/>
                  <w:vAlign w:val="bottom"/>
                  <w:hideMark/>
                </w:tcPr>
                <w:p w:rsidR="006E54DB" w:rsidRPr="006E54DB" w:rsidRDefault="006E54DB" w:rsidP="006E54DB">
                  <w:pPr>
                    <w:spacing w:after="0" w:line="240" w:lineRule="auto"/>
                    <w:jc w:val="left"/>
                    <w:rPr>
                      <w:rFonts w:ascii="Calibri" w:eastAsia="Times New Roman" w:hAnsi="Calibri" w:cs="Calibri"/>
                      <w:color w:val="000000"/>
                      <w:sz w:val="22"/>
                    </w:rPr>
                  </w:pPr>
                </w:p>
              </w:tc>
            </w:tr>
          </w:tbl>
          <w:p w:rsidR="006E54DB" w:rsidRPr="006E54DB" w:rsidRDefault="006E54DB" w:rsidP="006E54DB">
            <w:pPr>
              <w:spacing w:after="0" w:line="240" w:lineRule="auto"/>
              <w:jc w:val="left"/>
              <w:rPr>
                <w:rFonts w:ascii="Calibri" w:eastAsia="Times New Roman" w:hAnsi="Calibri" w:cs="Calibri"/>
                <w:color w:val="000000"/>
                <w:sz w:val="22"/>
              </w:rPr>
            </w:pPr>
          </w:p>
        </w:tc>
        <w:tc>
          <w:tcPr>
            <w:tcW w:w="3600" w:type="dxa"/>
            <w:tcBorders>
              <w:top w:val="nil"/>
              <w:left w:val="nil"/>
              <w:bottom w:val="nil"/>
              <w:right w:val="nil"/>
            </w:tcBorders>
            <w:shd w:val="clear" w:color="auto" w:fill="auto"/>
            <w:noWrap/>
            <w:vAlign w:val="bottom"/>
            <w:hideMark/>
          </w:tcPr>
          <w:p w:rsidR="006E54DB" w:rsidRPr="006E54DB" w:rsidRDefault="006E54DB" w:rsidP="006E54DB">
            <w:pPr>
              <w:spacing w:after="0" w:line="240" w:lineRule="auto"/>
              <w:jc w:val="left"/>
              <w:rPr>
                <w:rFonts w:eastAsia="Times New Roman"/>
                <w:color w:val="auto"/>
                <w:sz w:val="20"/>
                <w:szCs w:val="20"/>
              </w:rPr>
            </w:pPr>
          </w:p>
        </w:tc>
      </w:tr>
      <w:tr w:rsidR="006E54DB" w:rsidRPr="006E54DB" w:rsidTr="00966E5E">
        <w:trPr>
          <w:trHeight w:val="300"/>
        </w:trPr>
        <w:tc>
          <w:tcPr>
            <w:tcW w:w="4590" w:type="dxa"/>
            <w:tcBorders>
              <w:top w:val="nil"/>
              <w:left w:val="nil"/>
              <w:bottom w:val="nil"/>
              <w:right w:val="nil"/>
            </w:tcBorders>
            <w:shd w:val="clear" w:color="auto" w:fill="auto"/>
            <w:vAlign w:val="bottom"/>
            <w:hideMark/>
          </w:tcPr>
          <w:p w:rsidR="006E54DB" w:rsidRPr="006E54DB" w:rsidRDefault="006E54DB" w:rsidP="006E54DB">
            <w:pPr>
              <w:spacing w:after="0" w:line="240" w:lineRule="auto"/>
              <w:jc w:val="left"/>
              <w:rPr>
                <w:rFonts w:eastAsia="Times New Roman"/>
                <w:color w:val="auto"/>
                <w:sz w:val="20"/>
                <w:szCs w:val="20"/>
              </w:rPr>
            </w:pPr>
          </w:p>
        </w:tc>
        <w:tc>
          <w:tcPr>
            <w:tcW w:w="3600" w:type="dxa"/>
            <w:tcBorders>
              <w:top w:val="nil"/>
              <w:left w:val="nil"/>
              <w:bottom w:val="nil"/>
              <w:right w:val="nil"/>
            </w:tcBorders>
            <w:shd w:val="clear" w:color="auto" w:fill="auto"/>
            <w:noWrap/>
            <w:vAlign w:val="bottom"/>
            <w:hideMark/>
          </w:tcPr>
          <w:p w:rsidR="006E54DB" w:rsidRPr="006E54DB" w:rsidRDefault="006E54DB" w:rsidP="006E54DB">
            <w:pPr>
              <w:spacing w:after="0" w:line="240" w:lineRule="auto"/>
              <w:jc w:val="left"/>
              <w:rPr>
                <w:rFonts w:eastAsia="Times New Roman"/>
                <w:color w:val="auto"/>
                <w:sz w:val="20"/>
                <w:szCs w:val="20"/>
              </w:rPr>
            </w:pPr>
          </w:p>
        </w:tc>
      </w:tr>
      <w:tr w:rsidR="006E54DB" w:rsidRPr="006E54DB" w:rsidTr="00966E5E">
        <w:trPr>
          <w:trHeight w:val="300"/>
        </w:trPr>
        <w:tc>
          <w:tcPr>
            <w:tcW w:w="4590" w:type="dxa"/>
            <w:tcBorders>
              <w:top w:val="nil"/>
              <w:left w:val="nil"/>
              <w:bottom w:val="nil"/>
              <w:right w:val="nil"/>
            </w:tcBorders>
            <w:shd w:val="clear" w:color="auto" w:fill="auto"/>
            <w:vAlign w:val="bottom"/>
            <w:hideMark/>
          </w:tcPr>
          <w:p w:rsidR="006E54DB" w:rsidRPr="006E54DB" w:rsidRDefault="006E54DB" w:rsidP="006E54DB">
            <w:pPr>
              <w:spacing w:after="0" w:line="240" w:lineRule="auto"/>
              <w:jc w:val="left"/>
              <w:rPr>
                <w:rFonts w:eastAsia="Times New Roman"/>
                <w:color w:val="auto"/>
                <w:sz w:val="20"/>
                <w:szCs w:val="20"/>
              </w:rPr>
            </w:pPr>
          </w:p>
        </w:tc>
        <w:tc>
          <w:tcPr>
            <w:tcW w:w="3600" w:type="dxa"/>
            <w:tcBorders>
              <w:top w:val="nil"/>
              <w:left w:val="nil"/>
              <w:bottom w:val="nil"/>
              <w:right w:val="nil"/>
            </w:tcBorders>
            <w:shd w:val="clear" w:color="auto" w:fill="auto"/>
            <w:noWrap/>
            <w:vAlign w:val="bottom"/>
            <w:hideMark/>
          </w:tcPr>
          <w:p w:rsidR="006E54DB" w:rsidRPr="006E54DB" w:rsidRDefault="006E54DB" w:rsidP="006E54DB">
            <w:pPr>
              <w:spacing w:after="0" w:line="240" w:lineRule="auto"/>
              <w:jc w:val="left"/>
              <w:rPr>
                <w:rFonts w:eastAsia="Times New Roman"/>
                <w:color w:val="auto"/>
                <w:sz w:val="20"/>
                <w:szCs w:val="20"/>
              </w:rPr>
            </w:pPr>
          </w:p>
        </w:tc>
      </w:tr>
      <w:tr w:rsidR="006E54DB" w:rsidRPr="006E54DB" w:rsidTr="00966E5E">
        <w:trPr>
          <w:trHeight w:val="300"/>
        </w:trPr>
        <w:tc>
          <w:tcPr>
            <w:tcW w:w="4590" w:type="dxa"/>
            <w:tcBorders>
              <w:top w:val="nil"/>
              <w:left w:val="nil"/>
              <w:bottom w:val="nil"/>
              <w:right w:val="nil"/>
            </w:tcBorders>
            <w:shd w:val="clear" w:color="auto" w:fill="auto"/>
            <w:vAlign w:val="bottom"/>
            <w:hideMark/>
          </w:tcPr>
          <w:p w:rsidR="006E54DB" w:rsidRPr="006E54DB" w:rsidRDefault="006E54DB" w:rsidP="006E54DB">
            <w:pPr>
              <w:spacing w:after="0" w:line="240" w:lineRule="auto"/>
              <w:jc w:val="left"/>
              <w:rPr>
                <w:rFonts w:eastAsia="Times New Roman"/>
                <w:color w:val="auto"/>
                <w:sz w:val="20"/>
                <w:szCs w:val="20"/>
              </w:rPr>
            </w:pPr>
          </w:p>
        </w:tc>
        <w:tc>
          <w:tcPr>
            <w:tcW w:w="3600" w:type="dxa"/>
            <w:tcBorders>
              <w:top w:val="nil"/>
              <w:left w:val="nil"/>
              <w:bottom w:val="nil"/>
              <w:right w:val="nil"/>
            </w:tcBorders>
            <w:shd w:val="clear" w:color="auto" w:fill="auto"/>
            <w:noWrap/>
            <w:vAlign w:val="bottom"/>
            <w:hideMark/>
          </w:tcPr>
          <w:p w:rsidR="006E54DB" w:rsidRPr="006E54DB" w:rsidRDefault="006E54DB" w:rsidP="006E54DB">
            <w:pPr>
              <w:spacing w:after="0" w:line="240" w:lineRule="auto"/>
              <w:jc w:val="left"/>
              <w:rPr>
                <w:rFonts w:eastAsia="Times New Roman"/>
                <w:color w:val="auto"/>
                <w:sz w:val="20"/>
                <w:szCs w:val="20"/>
              </w:rPr>
            </w:pPr>
          </w:p>
        </w:tc>
      </w:tr>
      <w:tr w:rsidR="006E54DB" w:rsidRPr="006E54DB" w:rsidTr="00966E5E">
        <w:trPr>
          <w:trHeight w:val="300"/>
        </w:trPr>
        <w:tc>
          <w:tcPr>
            <w:tcW w:w="4590" w:type="dxa"/>
            <w:tcBorders>
              <w:top w:val="nil"/>
              <w:left w:val="nil"/>
              <w:bottom w:val="nil"/>
              <w:right w:val="nil"/>
            </w:tcBorders>
            <w:shd w:val="clear" w:color="auto" w:fill="auto"/>
            <w:vAlign w:val="bottom"/>
            <w:hideMark/>
          </w:tcPr>
          <w:p w:rsidR="006E54DB" w:rsidRPr="006E54DB" w:rsidRDefault="006E54DB" w:rsidP="006E54DB">
            <w:pPr>
              <w:spacing w:after="0" w:line="240" w:lineRule="auto"/>
              <w:jc w:val="left"/>
              <w:rPr>
                <w:rFonts w:eastAsia="Times New Roman"/>
                <w:color w:val="auto"/>
                <w:sz w:val="20"/>
                <w:szCs w:val="20"/>
              </w:rPr>
            </w:pPr>
          </w:p>
        </w:tc>
        <w:tc>
          <w:tcPr>
            <w:tcW w:w="3600" w:type="dxa"/>
            <w:tcBorders>
              <w:top w:val="nil"/>
              <w:left w:val="nil"/>
              <w:bottom w:val="nil"/>
              <w:right w:val="nil"/>
            </w:tcBorders>
            <w:shd w:val="clear" w:color="auto" w:fill="auto"/>
            <w:noWrap/>
            <w:vAlign w:val="bottom"/>
            <w:hideMark/>
          </w:tcPr>
          <w:p w:rsidR="006E54DB" w:rsidRPr="006E54DB" w:rsidRDefault="006E54DB" w:rsidP="006E54DB">
            <w:pPr>
              <w:spacing w:after="0" w:line="240" w:lineRule="auto"/>
              <w:jc w:val="left"/>
              <w:rPr>
                <w:rFonts w:eastAsia="Times New Roman"/>
                <w:color w:val="auto"/>
                <w:sz w:val="20"/>
                <w:szCs w:val="20"/>
              </w:rPr>
            </w:pPr>
          </w:p>
        </w:tc>
      </w:tr>
      <w:tr w:rsidR="006E54DB" w:rsidRPr="006E54DB" w:rsidTr="0063671D">
        <w:trPr>
          <w:trHeight w:val="300"/>
        </w:trPr>
        <w:tc>
          <w:tcPr>
            <w:tcW w:w="8190" w:type="dxa"/>
            <w:gridSpan w:val="2"/>
            <w:tcBorders>
              <w:top w:val="nil"/>
              <w:left w:val="nil"/>
              <w:bottom w:val="single" w:sz="4" w:space="0" w:color="auto"/>
              <w:right w:val="nil"/>
            </w:tcBorders>
            <w:shd w:val="clear" w:color="auto" w:fill="003876"/>
            <w:vAlign w:val="center"/>
            <w:hideMark/>
          </w:tcPr>
          <w:p w:rsidR="006E54DB" w:rsidRPr="009A6F49" w:rsidRDefault="009A6F49" w:rsidP="00CB0E1A">
            <w:pPr>
              <w:spacing w:after="0" w:line="240" w:lineRule="auto"/>
              <w:jc w:val="center"/>
              <w:rPr>
                <w:rFonts w:eastAsia="Times New Roman"/>
                <w:b/>
                <w:bCs/>
                <w:color w:val="auto"/>
                <w:szCs w:val="24"/>
              </w:rPr>
            </w:pPr>
            <w:r w:rsidRPr="009A6F49">
              <w:rPr>
                <w:rFonts w:eastAsia="Times New Roman"/>
                <w:b/>
                <w:bCs/>
                <w:color w:val="auto"/>
                <w:szCs w:val="24"/>
              </w:rPr>
              <w:t xml:space="preserve">Datos </w:t>
            </w:r>
            <w:r w:rsidR="00CB0E1A">
              <w:rPr>
                <w:rFonts w:eastAsia="Times New Roman"/>
                <w:b/>
                <w:bCs/>
                <w:color w:val="auto"/>
                <w:szCs w:val="24"/>
              </w:rPr>
              <w:t>d</w:t>
            </w:r>
            <w:r w:rsidRPr="009A6F49">
              <w:rPr>
                <w:rFonts w:eastAsia="Times New Roman"/>
                <w:b/>
                <w:bCs/>
                <w:color w:val="auto"/>
                <w:szCs w:val="24"/>
              </w:rPr>
              <w:t xml:space="preserve">e Cabecera </w:t>
            </w:r>
            <w:r w:rsidR="006E54DB" w:rsidRPr="009A6F49">
              <w:rPr>
                <w:rFonts w:eastAsia="Times New Roman"/>
                <w:b/>
                <w:bCs/>
                <w:color w:val="auto"/>
                <w:szCs w:val="24"/>
              </w:rPr>
              <w:t>PACC</w:t>
            </w:r>
          </w:p>
        </w:tc>
      </w:tr>
      <w:tr w:rsidR="006E54DB" w:rsidRPr="006E54DB" w:rsidTr="00966E5E">
        <w:trPr>
          <w:trHeight w:val="26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Monto Estimado Total</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966E5E" w:rsidP="00966E5E">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165,244,572.20</w:t>
            </w:r>
          </w:p>
        </w:tc>
      </w:tr>
      <w:tr w:rsidR="006E54DB" w:rsidRPr="006E54DB" w:rsidTr="00966E5E">
        <w:trPr>
          <w:trHeight w:val="36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CB0E1A">
            <w:pPr>
              <w:spacing w:after="0" w:line="240" w:lineRule="auto"/>
              <w:jc w:val="left"/>
              <w:rPr>
                <w:rFonts w:eastAsia="Times New Roman"/>
                <w:bCs/>
                <w:szCs w:val="24"/>
              </w:rPr>
            </w:pPr>
            <w:r w:rsidRPr="00C1347C">
              <w:rPr>
                <w:rFonts w:eastAsia="Times New Roman"/>
                <w:bCs/>
                <w:szCs w:val="24"/>
              </w:rPr>
              <w:t xml:space="preserve">Cantidad </w:t>
            </w:r>
            <w:r w:rsidR="00CB0E1A">
              <w:rPr>
                <w:rFonts w:eastAsia="Times New Roman"/>
                <w:bCs/>
                <w:szCs w:val="24"/>
              </w:rPr>
              <w:t>d</w:t>
            </w:r>
            <w:r w:rsidRPr="00C1347C">
              <w:rPr>
                <w:rFonts w:eastAsia="Times New Roman"/>
                <w:bCs/>
                <w:szCs w:val="24"/>
              </w:rPr>
              <w:t>e Procesos Registrados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26</w:t>
            </w:r>
          </w:p>
        </w:tc>
      </w:tr>
      <w:tr w:rsidR="006E54DB" w:rsidRPr="006E54DB" w:rsidTr="00966E5E">
        <w:trPr>
          <w:trHeight w:val="36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 xml:space="preserve">Capítulo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 xml:space="preserve">5,131 </w:t>
            </w:r>
          </w:p>
        </w:tc>
      </w:tr>
      <w:tr w:rsidR="006E54DB" w:rsidRPr="006E54DB" w:rsidTr="00966E5E">
        <w:trPr>
          <w:trHeight w:val="36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Sub Capítulo</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01</w:t>
            </w:r>
          </w:p>
        </w:tc>
      </w:tr>
      <w:tr w:rsidR="006E54DB" w:rsidRPr="006E54DB" w:rsidTr="00966E5E">
        <w:trPr>
          <w:trHeight w:val="36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Unidad Ejecutora</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0001</w:t>
            </w:r>
          </w:p>
        </w:tc>
      </w:tr>
      <w:tr w:rsidR="006E54DB" w:rsidRPr="006E54DB" w:rsidTr="00966E5E">
        <w:trPr>
          <w:trHeight w:val="33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CB0E1A">
            <w:pPr>
              <w:spacing w:after="0" w:line="240" w:lineRule="auto"/>
              <w:jc w:val="left"/>
              <w:rPr>
                <w:rFonts w:eastAsia="Times New Roman"/>
                <w:bCs/>
                <w:szCs w:val="24"/>
              </w:rPr>
            </w:pPr>
            <w:r w:rsidRPr="00C1347C">
              <w:rPr>
                <w:rFonts w:eastAsia="Times New Roman"/>
                <w:bCs/>
                <w:szCs w:val="24"/>
              </w:rPr>
              <w:t xml:space="preserve">Unidad </w:t>
            </w:r>
            <w:r w:rsidR="00CB0E1A">
              <w:rPr>
                <w:rFonts w:eastAsia="Times New Roman"/>
                <w:bCs/>
                <w:szCs w:val="24"/>
              </w:rPr>
              <w:t>d</w:t>
            </w:r>
            <w:r w:rsidRPr="00C1347C">
              <w:rPr>
                <w:rFonts w:eastAsia="Times New Roman"/>
                <w:bCs/>
                <w:szCs w:val="24"/>
              </w:rPr>
              <w:t xml:space="preserve">e Compra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Instituto Dominicano de las Telecomunicaciones</w:t>
            </w:r>
          </w:p>
        </w:tc>
      </w:tr>
      <w:tr w:rsidR="006E54DB" w:rsidRPr="006E54DB" w:rsidTr="00966E5E">
        <w:trPr>
          <w:trHeight w:val="33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 xml:space="preserve">Año Fiscal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2021</w:t>
            </w:r>
          </w:p>
        </w:tc>
      </w:tr>
      <w:tr w:rsidR="006E54DB" w:rsidRPr="006E54DB" w:rsidTr="00966E5E">
        <w:trPr>
          <w:trHeight w:val="33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Fecha Aprobación</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6E54DB">
            <w:pPr>
              <w:spacing w:after="0" w:line="240" w:lineRule="auto"/>
              <w:jc w:val="right"/>
              <w:rPr>
                <w:rFonts w:eastAsia="Times New Roman"/>
                <w:szCs w:val="24"/>
              </w:rPr>
            </w:pPr>
            <w:r w:rsidRPr="00B41A33">
              <w:rPr>
                <w:rFonts w:eastAsia="Times New Roman"/>
                <w:szCs w:val="24"/>
              </w:rPr>
              <w:t>1/28/2021</w:t>
            </w:r>
          </w:p>
        </w:tc>
      </w:tr>
      <w:tr w:rsidR="006E54DB" w:rsidRPr="006E54DB" w:rsidTr="0063671D">
        <w:trPr>
          <w:trHeight w:val="300"/>
        </w:trPr>
        <w:tc>
          <w:tcPr>
            <w:tcW w:w="8190" w:type="dxa"/>
            <w:gridSpan w:val="2"/>
            <w:tcBorders>
              <w:top w:val="single" w:sz="4" w:space="0" w:color="auto"/>
              <w:left w:val="single" w:sz="4" w:space="0" w:color="auto"/>
              <w:bottom w:val="single" w:sz="4" w:space="0" w:color="auto"/>
              <w:right w:val="single" w:sz="4" w:space="0" w:color="auto"/>
            </w:tcBorders>
            <w:shd w:val="clear" w:color="auto" w:fill="003876"/>
            <w:vAlign w:val="center"/>
            <w:hideMark/>
          </w:tcPr>
          <w:p w:rsidR="006E54DB" w:rsidRPr="009A6F49" w:rsidRDefault="009A6F49" w:rsidP="00CB0E1A">
            <w:pPr>
              <w:spacing w:after="0" w:line="240" w:lineRule="auto"/>
              <w:jc w:val="center"/>
              <w:rPr>
                <w:rFonts w:eastAsia="Times New Roman"/>
                <w:b/>
                <w:bCs/>
                <w:color w:val="auto"/>
                <w:szCs w:val="24"/>
              </w:rPr>
            </w:pPr>
            <w:r w:rsidRPr="009A6F49">
              <w:rPr>
                <w:rFonts w:eastAsia="Times New Roman"/>
                <w:b/>
                <w:bCs/>
                <w:color w:val="auto"/>
                <w:szCs w:val="24"/>
              </w:rPr>
              <w:t xml:space="preserve">Montos Estimados Según Objeto </w:t>
            </w:r>
            <w:r w:rsidR="00CB0E1A">
              <w:rPr>
                <w:rFonts w:eastAsia="Times New Roman"/>
                <w:b/>
                <w:bCs/>
                <w:color w:val="auto"/>
                <w:szCs w:val="24"/>
              </w:rPr>
              <w:t>d</w:t>
            </w:r>
            <w:r w:rsidRPr="009A6F49">
              <w:rPr>
                <w:rFonts w:eastAsia="Times New Roman"/>
                <w:b/>
                <w:bCs/>
                <w:color w:val="auto"/>
                <w:szCs w:val="24"/>
              </w:rPr>
              <w:t>e Contratación</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Bienes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966E5E" w:rsidP="00966E5E">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74,677,368.70</w:t>
            </w:r>
          </w:p>
        </w:tc>
      </w:tr>
      <w:tr w:rsidR="006E54DB" w:rsidRPr="006E54DB" w:rsidTr="00D27136">
        <w:trPr>
          <w:trHeight w:val="431"/>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Obras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966E5E">
            <w:pPr>
              <w:spacing w:after="0" w:line="240" w:lineRule="auto"/>
              <w:jc w:val="right"/>
              <w:rPr>
                <w:rFonts w:eastAsia="Times New Roman"/>
                <w:szCs w:val="24"/>
              </w:rPr>
            </w:pPr>
            <w:r w:rsidRPr="00B41A33">
              <w:rPr>
                <w:rFonts w:eastAsia="Times New Roman"/>
                <w:szCs w:val="24"/>
              </w:rPr>
              <w:t xml:space="preserve">                                                                                        </w:t>
            </w:r>
            <w:r w:rsidR="00966E5E">
              <w:rPr>
                <w:rFonts w:eastAsia="Times New Roman"/>
                <w:szCs w:val="24"/>
              </w:rPr>
              <w:t xml:space="preserve">RD$ </w:t>
            </w:r>
            <w:r w:rsidRPr="00B41A33">
              <w:rPr>
                <w:rFonts w:eastAsia="Times New Roman"/>
                <w:szCs w:val="24"/>
              </w:rPr>
              <w:t xml:space="preserve">-   </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Servicios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966E5E">
            <w:pPr>
              <w:spacing w:after="0" w:line="240" w:lineRule="auto"/>
              <w:jc w:val="right"/>
              <w:rPr>
                <w:rFonts w:eastAsia="Times New Roman"/>
                <w:szCs w:val="24"/>
              </w:rPr>
            </w:pPr>
            <w:r w:rsidRPr="00B41A33">
              <w:rPr>
                <w:rFonts w:eastAsia="Times New Roman"/>
                <w:szCs w:val="24"/>
              </w:rPr>
              <w:t xml:space="preserve">                                                                 </w:t>
            </w:r>
            <w:r w:rsidR="00966E5E">
              <w:rPr>
                <w:rFonts w:eastAsia="Times New Roman"/>
                <w:szCs w:val="24"/>
              </w:rPr>
              <w:t>RD$</w:t>
            </w:r>
            <w:r w:rsidRPr="00B41A33">
              <w:rPr>
                <w:rFonts w:eastAsia="Times New Roman"/>
                <w:szCs w:val="24"/>
              </w:rPr>
              <w:t xml:space="preserve">58,608,203.50 </w:t>
            </w:r>
          </w:p>
        </w:tc>
      </w:tr>
      <w:tr w:rsidR="006E54DB" w:rsidRPr="006E54DB" w:rsidTr="00966E5E">
        <w:trPr>
          <w:trHeight w:val="35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6E54DB">
            <w:pPr>
              <w:spacing w:after="0" w:line="240" w:lineRule="auto"/>
              <w:jc w:val="left"/>
              <w:rPr>
                <w:rFonts w:eastAsia="Times New Roman"/>
                <w:bCs/>
                <w:szCs w:val="24"/>
              </w:rPr>
            </w:pPr>
            <w:r w:rsidRPr="00C1347C">
              <w:rPr>
                <w:rFonts w:eastAsia="Times New Roman"/>
                <w:bCs/>
                <w:szCs w:val="24"/>
              </w:rPr>
              <w:t>Servicios: Consultoría</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966E5E">
            <w:pPr>
              <w:spacing w:after="0" w:line="240" w:lineRule="auto"/>
              <w:jc w:val="right"/>
              <w:rPr>
                <w:rFonts w:eastAsia="Times New Roman"/>
                <w:szCs w:val="24"/>
              </w:rPr>
            </w:pPr>
            <w:r w:rsidRPr="00B41A33">
              <w:rPr>
                <w:rFonts w:eastAsia="Times New Roman"/>
                <w:szCs w:val="24"/>
              </w:rPr>
              <w:t xml:space="preserve">                                 </w:t>
            </w:r>
            <w:r w:rsidR="00966E5E">
              <w:rPr>
                <w:rFonts w:eastAsia="Times New Roman"/>
                <w:szCs w:val="24"/>
              </w:rPr>
              <w:t xml:space="preserve">                               RD$</w:t>
            </w:r>
            <w:r w:rsidRPr="00B41A33">
              <w:rPr>
                <w:rFonts w:eastAsia="Times New Roman"/>
                <w:szCs w:val="24"/>
              </w:rPr>
              <w:t xml:space="preserve">31,959,000.00 </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9A6F49" w:rsidP="00CB0E1A">
            <w:pPr>
              <w:spacing w:after="0" w:line="240" w:lineRule="auto"/>
              <w:jc w:val="left"/>
              <w:rPr>
                <w:rFonts w:eastAsia="Times New Roman"/>
                <w:bCs/>
                <w:szCs w:val="24"/>
              </w:rPr>
            </w:pPr>
            <w:r w:rsidRPr="00C1347C">
              <w:rPr>
                <w:rFonts w:eastAsia="Times New Roman"/>
                <w:bCs/>
                <w:szCs w:val="24"/>
              </w:rPr>
              <w:t xml:space="preserve">Servicios: Consultoría Basada </w:t>
            </w:r>
            <w:r w:rsidR="00CB0E1A">
              <w:rPr>
                <w:rFonts w:eastAsia="Times New Roman"/>
                <w:bCs/>
                <w:szCs w:val="24"/>
              </w:rPr>
              <w:t>e</w:t>
            </w:r>
            <w:r w:rsidRPr="00C1347C">
              <w:rPr>
                <w:rFonts w:eastAsia="Times New Roman"/>
                <w:bCs/>
                <w:szCs w:val="24"/>
              </w:rPr>
              <w:t xml:space="preserve">n </w:t>
            </w:r>
            <w:r w:rsidR="00CB0E1A">
              <w:rPr>
                <w:rFonts w:eastAsia="Times New Roman"/>
                <w:bCs/>
                <w:szCs w:val="24"/>
              </w:rPr>
              <w:t>l</w:t>
            </w:r>
            <w:r w:rsidRPr="00C1347C">
              <w:rPr>
                <w:rFonts w:eastAsia="Times New Roman"/>
                <w:bCs/>
                <w:szCs w:val="24"/>
              </w:rPr>
              <w:t xml:space="preserve">a Calidad </w:t>
            </w:r>
            <w:r w:rsidR="00CB0E1A">
              <w:rPr>
                <w:rFonts w:eastAsia="Times New Roman"/>
                <w:bCs/>
                <w:szCs w:val="24"/>
              </w:rPr>
              <w:t>d</w:t>
            </w:r>
            <w:r w:rsidRPr="00C1347C">
              <w:rPr>
                <w:rFonts w:eastAsia="Times New Roman"/>
                <w:bCs/>
                <w:szCs w:val="24"/>
              </w:rPr>
              <w:t>e Los Servicios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D27136" w:rsidP="00D27136">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 xml:space="preserve"> -   </w:t>
            </w:r>
          </w:p>
        </w:tc>
      </w:tr>
      <w:tr w:rsidR="006E54DB" w:rsidRPr="006E54DB" w:rsidTr="0063671D">
        <w:trPr>
          <w:trHeight w:val="300"/>
        </w:trPr>
        <w:tc>
          <w:tcPr>
            <w:tcW w:w="8190" w:type="dxa"/>
            <w:gridSpan w:val="2"/>
            <w:tcBorders>
              <w:top w:val="single" w:sz="4" w:space="0" w:color="auto"/>
              <w:left w:val="single" w:sz="4" w:space="0" w:color="auto"/>
              <w:bottom w:val="single" w:sz="4" w:space="0" w:color="auto"/>
              <w:right w:val="single" w:sz="4" w:space="0" w:color="auto"/>
            </w:tcBorders>
            <w:shd w:val="clear" w:color="auto" w:fill="003876"/>
            <w:vAlign w:val="center"/>
            <w:hideMark/>
          </w:tcPr>
          <w:p w:rsidR="006E54DB" w:rsidRPr="009A6F49" w:rsidRDefault="009A6F49" w:rsidP="006E54DB">
            <w:pPr>
              <w:spacing w:after="0" w:line="240" w:lineRule="auto"/>
              <w:jc w:val="center"/>
              <w:rPr>
                <w:rFonts w:eastAsia="Times New Roman"/>
                <w:b/>
                <w:bCs/>
                <w:color w:val="auto"/>
                <w:szCs w:val="24"/>
              </w:rPr>
            </w:pPr>
            <w:r w:rsidRPr="009A6F49">
              <w:rPr>
                <w:rFonts w:eastAsia="Times New Roman"/>
                <w:b/>
                <w:bCs/>
                <w:color w:val="auto"/>
                <w:szCs w:val="24"/>
              </w:rPr>
              <w:t>Montos Esti</w:t>
            </w:r>
            <w:r w:rsidR="000A2B26">
              <w:rPr>
                <w:rFonts w:eastAsia="Times New Roman"/>
                <w:b/>
                <w:bCs/>
                <w:color w:val="auto"/>
                <w:szCs w:val="24"/>
              </w:rPr>
              <w:t>mados Según Clasificación MIPYME</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6E54DB" w:rsidP="006E54DB">
            <w:pPr>
              <w:spacing w:after="0" w:line="240" w:lineRule="auto"/>
              <w:jc w:val="left"/>
              <w:rPr>
                <w:rFonts w:eastAsia="Times New Roman"/>
                <w:bCs/>
                <w:szCs w:val="24"/>
              </w:rPr>
            </w:pPr>
            <w:r w:rsidRPr="00C1347C">
              <w:rPr>
                <w:rFonts w:eastAsia="Times New Roman"/>
                <w:bCs/>
                <w:szCs w:val="24"/>
              </w:rPr>
              <w:t>MIPYME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6E54DB" w:rsidRPr="00B41A33" w:rsidRDefault="00966E5E" w:rsidP="00966E5E">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24,832,021.70</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6E54DB" w:rsidP="006E54DB">
            <w:pPr>
              <w:spacing w:after="0" w:line="240" w:lineRule="auto"/>
              <w:jc w:val="left"/>
              <w:rPr>
                <w:rFonts w:eastAsia="Times New Roman"/>
                <w:bCs/>
                <w:szCs w:val="24"/>
              </w:rPr>
            </w:pPr>
            <w:r w:rsidRPr="00C1347C">
              <w:rPr>
                <w:rFonts w:eastAsia="Times New Roman"/>
                <w:bCs/>
                <w:szCs w:val="24"/>
              </w:rPr>
              <w:t xml:space="preserve">MIPYME </w:t>
            </w:r>
            <w:r w:rsidR="00436E51" w:rsidRPr="00C1347C">
              <w:rPr>
                <w:rFonts w:eastAsia="Times New Roman"/>
                <w:bCs/>
                <w:szCs w:val="24"/>
              </w:rPr>
              <w:t>Mujer</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966E5E">
            <w:pPr>
              <w:spacing w:after="0" w:line="240" w:lineRule="auto"/>
              <w:jc w:val="right"/>
              <w:rPr>
                <w:rFonts w:eastAsia="Times New Roman"/>
                <w:szCs w:val="24"/>
              </w:rPr>
            </w:pPr>
            <w:r w:rsidRPr="00B41A33">
              <w:rPr>
                <w:rFonts w:eastAsia="Times New Roman"/>
                <w:szCs w:val="24"/>
              </w:rPr>
              <w:t xml:space="preserve"> </w:t>
            </w:r>
            <w:r w:rsidR="00966E5E">
              <w:rPr>
                <w:rFonts w:eastAsia="Times New Roman"/>
                <w:szCs w:val="24"/>
              </w:rPr>
              <w:t xml:space="preserve">RD$ </w:t>
            </w:r>
            <w:r w:rsidRPr="00B41A33">
              <w:rPr>
                <w:rFonts w:eastAsia="Times New Roman"/>
                <w:szCs w:val="24"/>
              </w:rPr>
              <w:t xml:space="preserve">-   </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6E54DB" w:rsidP="00436E51">
            <w:pPr>
              <w:spacing w:after="0" w:line="240" w:lineRule="auto"/>
              <w:jc w:val="left"/>
              <w:rPr>
                <w:rFonts w:eastAsia="Times New Roman"/>
                <w:bCs/>
                <w:szCs w:val="24"/>
              </w:rPr>
            </w:pPr>
            <w:r w:rsidRPr="00C1347C">
              <w:rPr>
                <w:rFonts w:eastAsia="Times New Roman"/>
                <w:bCs/>
                <w:szCs w:val="24"/>
              </w:rPr>
              <w:t>N</w:t>
            </w:r>
            <w:r w:rsidR="00436E51" w:rsidRPr="00C1347C">
              <w:rPr>
                <w:rFonts w:eastAsia="Times New Roman"/>
                <w:bCs/>
                <w:szCs w:val="24"/>
              </w:rPr>
              <w:t>o</w:t>
            </w:r>
            <w:r w:rsidRPr="00C1347C">
              <w:rPr>
                <w:rFonts w:eastAsia="Times New Roman"/>
                <w:bCs/>
                <w:szCs w:val="24"/>
              </w:rPr>
              <w:t xml:space="preserve"> MIPYME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966E5E" w:rsidP="00966E5E">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138,412,550.50</w:t>
            </w:r>
          </w:p>
        </w:tc>
      </w:tr>
      <w:tr w:rsidR="006E54DB" w:rsidRPr="006E54DB" w:rsidTr="0063671D">
        <w:trPr>
          <w:trHeight w:val="300"/>
        </w:trPr>
        <w:tc>
          <w:tcPr>
            <w:tcW w:w="8190" w:type="dxa"/>
            <w:gridSpan w:val="2"/>
            <w:tcBorders>
              <w:top w:val="single" w:sz="4" w:space="0" w:color="auto"/>
              <w:left w:val="single" w:sz="4" w:space="0" w:color="auto"/>
              <w:bottom w:val="single" w:sz="4" w:space="0" w:color="auto"/>
              <w:right w:val="single" w:sz="4" w:space="0" w:color="auto"/>
            </w:tcBorders>
            <w:shd w:val="clear" w:color="auto" w:fill="003876"/>
            <w:vAlign w:val="center"/>
            <w:hideMark/>
          </w:tcPr>
          <w:p w:rsidR="006E54DB" w:rsidRPr="009A6F49" w:rsidRDefault="009A6F49" w:rsidP="009A6F49">
            <w:pPr>
              <w:spacing w:after="0" w:line="240" w:lineRule="auto"/>
              <w:jc w:val="center"/>
              <w:rPr>
                <w:rFonts w:eastAsia="Times New Roman"/>
                <w:b/>
                <w:bCs/>
                <w:color w:val="auto"/>
                <w:szCs w:val="24"/>
              </w:rPr>
            </w:pPr>
            <w:r w:rsidRPr="009A6F49">
              <w:rPr>
                <w:rFonts w:eastAsia="Times New Roman"/>
                <w:b/>
                <w:bCs/>
                <w:color w:val="auto"/>
                <w:szCs w:val="24"/>
              </w:rPr>
              <w:t xml:space="preserve">Montos Estimados Según Tipo </w:t>
            </w:r>
            <w:r>
              <w:rPr>
                <w:rFonts w:eastAsia="Times New Roman"/>
                <w:b/>
                <w:bCs/>
                <w:color w:val="auto"/>
                <w:szCs w:val="24"/>
              </w:rPr>
              <w:t>d</w:t>
            </w:r>
            <w:r w:rsidRPr="009A6F49">
              <w:rPr>
                <w:rFonts w:eastAsia="Times New Roman"/>
                <w:b/>
                <w:bCs/>
                <w:color w:val="auto"/>
                <w:szCs w:val="24"/>
              </w:rPr>
              <w:t>e Procedimiento</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BD71CA">
            <w:pPr>
              <w:spacing w:after="0" w:line="240" w:lineRule="auto"/>
              <w:jc w:val="left"/>
              <w:rPr>
                <w:rFonts w:eastAsia="Times New Roman"/>
                <w:bCs/>
                <w:szCs w:val="24"/>
              </w:rPr>
            </w:pPr>
            <w:r w:rsidRPr="00C1347C">
              <w:rPr>
                <w:rFonts w:eastAsia="Times New Roman"/>
                <w:bCs/>
                <w:szCs w:val="24"/>
              </w:rPr>
              <w:t xml:space="preserve">Compras Por Debajo </w:t>
            </w:r>
            <w:r w:rsidR="00BD71CA">
              <w:rPr>
                <w:rFonts w:eastAsia="Times New Roman"/>
                <w:bCs/>
                <w:szCs w:val="24"/>
              </w:rPr>
              <w:t>d</w:t>
            </w:r>
            <w:r w:rsidRPr="00C1347C">
              <w:rPr>
                <w:rFonts w:eastAsia="Times New Roman"/>
                <w:bCs/>
                <w:szCs w:val="24"/>
              </w:rPr>
              <w:t>el Umbral</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966E5E" w:rsidP="006E54DB">
            <w:pPr>
              <w:spacing w:after="0" w:line="240" w:lineRule="auto"/>
              <w:jc w:val="right"/>
              <w:rPr>
                <w:rFonts w:eastAsia="Times New Roman"/>
                <w:szCs w:val="24"/>
              </w:rPr>
            </w:pPr>
            <w:r>
              <w:rPr>
                <w:rFonts w:eastAsia="Times New Roman"/>
                <w:szCs w:val="24"/>
              </w:rPr>
              <w:t xml:space="preserve">RD$ </w:t>
            </w:r>
            <w:r w:rsidR="006E54DB" w:rsidRPr="00B41A33">
              <w:rPr>
                <w:rFonts w:eastAsia="Times New Roman"/>
                <w:szCs w:val="24"/>
              </w:rPr>
              <w:t xml:space="preserve">-   </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6E54DB">
            <w:pPr>
              <w:spacing w:after="0" w:line="240" w:lineRule="auto"/>
              <w:jc w:val="left"/>
              <w:rPr>
                <w:rFonts w:eastAsia="Times New Roman"/>
                <w:bCs/>
                <w:szCs w:val="24"/>
              </w:rPr>
            </w:pPr>
            <w:r w:rsidRPr="00C1347C">
              <w:rPr>
                <w:rFonts w:eastAsia="Times New Roman"/>
                <w:bCs/>
                <w:szCs w:val="24"/>
              </w:rPr>
              <w:t>Compra Menor</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E54DB" w:rsidRPr="00B41A33" w:rsidRDefault="006E54DB" w:rsidP="00966E5E">
            <w:pPr>
              <w:spacing w:after="0" w:line="240" w:lineRule="auto"/>
              <w:jc w:val="right"/>
              <w:rPr>
                <w:rFonts w:eastAsia="Times New Roman"/>
                <w:szCs w:val="24"/>
              </w:rPr>
            </w:pPr>
            <w:r w:rsidRPr="00B41A33">
              <w:rPr>
                <w:rFonts w:eastAsia="Times New Roman"/>
                <w:szCs w:val="24"/>
              </w:rPr>
              <w:t xml:space="preserve">                                                                   </w:t>
            </w:r>
            <w:r w:rsidR="00966E5E">
              <w:rPr>
                <w:rFonts w:eastAsia="Times New Roman"/>
                <w:szCs w:val="24"/>
              </w:rPr>
              <w:t>RD$</w:t>
            </w:r>
            <w:r w:rsidRPr="00B41A33">
              <w:rPr>
                <w:rFonts w:eastAsia="Times New Roman"/>
                <w:szCs w:val="24"/>
              </w:rPr>
              <w:t xml:space="preserve">1,219,360.00 </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BD71CA">
            <w:pPr>
              <w:spacing w:after="0" w:line="240" w:lineRule="auto"/>
              <w:jc w:val="left"/>
              <w:rPr>
                <w:rFonts w:eastAsia="Times New Roman"/>
                <w:bCs/>
                <w:szCs w:val="24"/>
              </w:rPr>
            </w:pPr>
            <w:r w:rsidRPr="00C1347C">
              <w:rPr>
                <w:rFonts w:eastAsia="Times New Roman"/>
                <w:bCs/>
                <w:szCs w:val="24"/>
              </w:rPr>
              <w:t xml:space="preserve">Comparación </w:t>
            </w:r>
            <w:r w:rsidR="00BD71CA">
              <w:rPr>
                <w:rFonts w:eastAsia="Times New Roman"/>
                <w:bCs/>
                <w:szCs w:val="24"/>
              </w:rPr>
              <w:t>d</w:t>
            </w:r>
            <w:r w:rsidRPr="00C1347C">
              <w:rPr>
                <w:rFonts w:eastAsia="Times New Roman"/>
                <w:bCs/>
                <w:szCs w:val="24"/>
              </w:rPr>
              <w:t>e Precios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966E5E" w:rsidP="00966E5E">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32,710,372.70</w:t>
            </w:r>
          </w:p>
        </w:tc>
      </w:tr>
      <w:tr w:rsidR="006E54DB" w:rsidRPr="006E54DB" w:rsidTr="00966E5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6E54DB">
            <w:pPr>
              <w:spacing w:after="0" w:line="240" w:lineRule="auto"/>
              <w:jc w:val="left"/>
              <w:rPr>
                <w:rFonts w:eastAsia="Times New Roman"/>
                <w:bCs/>
                <w:szCs w:val="24"/>
              </w:rPr>
            </w:pPr>
            <w:r w:rsidRPr="00C1347C">
              <w:rPr>
                <w:rFonts w:eastAsia="Times New Roman"/>
                <w:bCs/>
                <w:szCs w:val="24"/>
              </w:rPr>
              <w:lastRenderedPageBreak/>
              <w:t>Licitación Pública</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6E54DB" w:rsidRPr="00B41A33" w:rsidRDefault="00966E5E" w:rsidP="00966E5E">
            <w:pPr>
              <w:spacing w:after="0" w:line="240" w:lineRule="auto"/>
              <w:jc w:val="right"/>
              <w:rPr>
                <w:rFonts w:eastAsia="Times New Roman"/>
                <w:szCs w:val="24"/>
              </w:rPr>
            </w:pPr>
            <w:r>
              <w:rPr>
                <w:rFonts w:eastAsia="Times New Roman"/>
                <w:szCs w:val="24"/>
              </w:rPr>
              <w:t>RD$</w:t>
            </w:r>
            <w:r w:rsidR="006E54DB" w:rsidRPr="00B41A33">
              <w:rPr>
                <w:rFonts w:eastAsia="Times New Roman"/>
                <w:szCs w:val="24"/>
              </w:rPr>
              <w:t>131,314,839.50</w:t>
            </w:r>
          </w:p>
        </w:tc>
      </w:tr>
      <w:tr w:rsidR="006E54DB" w:rsidRPr="006E54DB" w:rsidTr="006506CD">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6E54DB">
            <w:pPr>
              <w:spacing w:after="0" w:line="240" w:lineRule="auto"/>
              <w:jc w:val="left"/>
              <w:rPr>
                <w:rFonts w:eastAsia="Times New Roman"/>
                <w:bCs/>
                <w:szCs w:val="24"/>
              </w:rPr>
            </w:pPr>
            <w:r w:rsidRPr="00C1347C">
              <w:rPr>
                <w:rFonts w:eastAsia="Times New Roman"/>
                <w:bCs/>
                <w:szCs w:val="24"/>
              </w:rPr>
              <w:t>Licitación Pública Internacional</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                               RD$ </w:t>
            </w:r>
            <w:r w:rsidRPr="00B41A33">
              <w:rPr>
                <w:rFonts w:eastAsia="Times New Roman"/>
                <w:szCs w:val="24"/>
              </w:rPr>
              <w:t>-</w:t>
            </w:r>
          </w:p>
        </w:tc>
      </w:tr>
      <w:tr w:rsidR="006E54DB" w:rsidRPr="006E54DB" w:rsidTr="006506CD">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6E54DB">
            <w:pPr>
              <w:spacing w:after="0" w:line="240" w:lineRule="auto"/>
              <w:jc w:val="left"/>
              <w:rPr>
                <w:rFonts w:eastAsia="Times New Roman"/>
                <w:bCs/>
                <w:szCs w:val="24"/>
              </w:rPr>
            </w:pPr>
            <w:r w:rsidRPr="00C1347C">
              <w:rPr>
                <w:rFonts w:eastAsia="Times New Roman"/>
                <w:bCs/>
                <w:szCs w:val="24"/>
              </w:rPr>
              <w:t>Licitación Restringida</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436E51">
            <w:pPr>
              <w:spacing w:after="0" w:line="240" w:lineRule="auto"/>
              <w:jc w:val="left"/>
              <w:rPr>
                <w:rFonts w:eastAsia="Times New Roman"/>
                <w:bCs/>
                <w:szCs w:val="24"/>
              </w:rPr>
            </w:pPr>
            <w:r w:rsidRPr="00C1347C">
              <w:rPr>
                <w:rFonts w:eastAsia="Times New Roman"/>
                <w:bCs/>
                <w:szCs w:val="24"/>
              </w:rPr>
              <w:t>Sorteo de Obras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436E51">
            <w:pPr>
              <w:spacing w:after="0" w:line="240" w:lineRule="auto"/>
              <w:jc w:val="left"/>
              <w:rPr>
                <w:rFonts w:eastAsia="Times New Roman"/>
                <w:bCs/>
                <w:szCs w:val="24"/>
              </w:rPr>
            </w:pPr>
            <w:r w:rsidRPr="00C1347C">
              <w:rPr>
                <w:rFonts w:eastAsia="Times New Roman"/>
                <w:bCs/>
                <w:szCs w:val="24"/>
              </w:rPr>
              <w:t xml:space="preserve">Excepción - Bienes o Servicios con Exclusividad </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6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436E51">
            <w:pPr>
              <w:spacing w:after="0" w:line="240" w:lineRule="auto"/>
              <w:jc w:val="left"/>
              <w:rPr>
                <w:rFonts w:eastAsia="Times New Roman"/>
                <w:bCs/>
                <w:szCs w:val="24"/>
              </w:rPr>
            </w:pPr>
            <w:r w:rsidRPr="00C1347C">
              <w:rPr>
                <w:rFonts w:eastAsia="Times New Roman"/>
                <w:bCs/>
                <w:szCs w:val="24"/>
              </w:rPr>
              <w:t>Excepción - Construcción, Instalación o Adquisición de Oficinas para el Servicio Exterior</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6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436E51">
            <w:pPr>
              <w:spacing w:after="0" w:line="240" w:lineRule="auto"/>
              <w:jc w:val="left"/>
              <w:rPr>
                <w:rFonts w:eastAsia="Times New Roman"/>
                <w:bCs/>
                <w:szCs w:val="24"/>
              </w:rPr>
            </w:pPr>
            <w:r w:rsidRPr="00C1347C">
              <w:rPr>
                <w:rFonts w:eastAsia="Times New Roman"/>
                <w:bCs/>
                <w:szCs w:val="24"/>
              </w:rPr>
              <w:t>Excepción - Contratación de Publicidad a través de Medios de Comunicación Social</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6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436E51">
            <w:pPr>
              <w:spacing w:after="0" w:line="240" w:lineRule="auto"/>
              <w:jc w:val="left"/>
              <w:rPr>
                <w:rFonts w:eastAsia="Times New Roman"/>
                <w:bCs/>
                <w:szCs w:val="24"/>
              </w:rPr>
            </w:pPr>
            <w:r w:rsidRPr="00C1347C">
              <w:rPr>
                <w:rFonts w:eastAsia="Times New Roman"/>
                <w:bCs/>
                <w:szCs w:val="24"/>
              </w:rPr>
              <w:t>Excepción - Obras Científicas, Técnicas, Artísticas, o Restauración  de Monumentos Históricos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436E51" w:rsidP="006E54DB">
            <w:pPr>
              <w:spacing w:after="0" w:line="240" w:lineRule="auto"/>
              <w:jc w:val="left"/>
              <w:rPr>
                <w:rFonts w:eastAsia="Times New Roman"/>
                <w:bCs/>
                <w:szCs w:val="24"/>
              </w:rPr>
            </w:pPr>
            <w:r w:rsidRPr="00C1347C">
              <w:rPr>
                <w:rFonts w:eastAsia="Times New Roman"/>
                <w:bCs/>
                <w:szCs w:val="24"/>
              </w:rPr>
              <w:t>Excepción - Proveedor Único</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Cs w:val="24"/>
              </w:rPr>
            </w:pPr>
            <w:r w:rsidRPr="00B41A33">
              <w:rPr>
                <w:rFonts w:eastAsia="Times New Roman"/>
                <w:szCs w:val="24"/>
              </w:rPr>
              <w:t xml:space="preserve">                                                                                        </w:t>
            </w:r>
            <w:r w:rsidR="006506CD">
              <w:rPr>
                <w:rFonts w:eastAsia="Times New Roman"/>
                <w:szCs w:val="24"/>
              </w:rPr>
              <w:t xml:space="preserve">RD$ </w:t>
            </w:r>
            <w:r w:rsidRPr="00B41A33">
              <w:rPr>
                <w:rFonts w:eastAsia="Times New Roman"/>
                <w:szCs w:val="24"/>
              </w:rPr>
              <w:t>-</w:t>
            </w:r>
          </w:p>
        </w:tc>
      </w:tr>
      <w:tr w:rsidR="006E54DB" w:rsidRPr="006E54DB" w:rsidTr="006506CD">
        <w:trPr>
          <w:trHeight w:val="6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394BA1" w:rsidP="00BD71CA">
            <w:pPr>
              <w:spacing w:after="0" w:line="240" w:lineRule="auto"/>
              <w:jc w:val="left"/>
              <w:rPr>
                <w:rFonts w:eastAsia="Times New Roman"/>
                <w:bCs/>
                <w:sz w:val="22"/>
              </w:rPr>
            </w:pPr>
            <w:r w:rsidRPr="00C1347C">
              <w:rPr>
                <w:rFonts w:eastAsia="Times New Roman"/>
                <w:bCs/>
                <w:sz w:val="22"/>
              </w:rPr>
              <w:t xml:space="preserve">Excepción - Rescisión </w:t>
            </w:r>
            <w:r w:rsidR="00BD71CA">
              <w:rPr>
                <w:rFonts w:eastAsia="Times New Roman"/>
                <w:bCs/>
                <w:sz w:val="22"/>
              </w:rPr>
              <w:t>d</w:t>
            </w:r>
            <w:r w:rsidRPr="00C1347C">
              <w:rPr>
                <w:rFonts w:eastAsia="Times New Roman"/>
                <w:bCs/>
                <w:sz w:val="22"/>
              </w:rPr>
              <w:t xml:space="preserve">e Contratos </w:t>
            </w:r>
            <w:r w:rsidR="00BD71CA">
              <w:rPr>
                <w:rFonts w:eastAsia="Times New Roman"/>
                <w:bCs/>
                <w:sz w:val="22"/>
              </w:rPr>
              <w:t>c</w:t>
            </w:r>
            <w:r w:rsidRPr="00C1347C">
              <w:rPr>
                <w:rFonts w:eastAsia="Times New Roman"/>
                <w:bCs/>
                <w:sz w:val="22"/>
              </w:rPr>
              <w:t xml:space="preserve">uya </w:t>
            </w:r>
            <w:r w:rsidR="00BD71CA">
              <w:rPr>
                <w:rFonts w:eastAsia="Times New Roman"/>
                <w:bCs/>
                <w:sz w:val="22"/>
              </w:rPr>
              <w:t>t</w:t>
            </w:r>
            <w:r w:rsidRPr="00C1347C">
              <w:rPr>
                <w:rFonts w:eastAsia="Times New Roman"/>
                <w:bCs/>
                <w:sz w:val="22"/>
              </w:rPr>
              <w:t xml:space="preserve">erminación </w:t>
            </w:r>
            <w:r w:rsidR="00BD71CA">
              <w:rPr>
                <w:rFonts w:eastAsia="Times New Roman"/>
                <w:bCs/>
                <w:sz w:val="22"/>
              </w:rPr>
              <w:t>n</w:t>
            </w:r>
            <w:r w:rsidRPr="00C1347C">
              <w:rPr>
                <w:rFonts w:eastAsia="Times New Roman"/>
                <w:bCs/>
                <w:sz w:val="22"/>
              </w:rPr>
              <w:t xml:space="preserve">o </w:t>
            </w:r>
            <w:r w:rsidR="00BD71CA">
              <w:rPr>
                <w:rFonts w:eastAsia="Times New Roman"/>
                <w:bCs/>
                <w:sz w:val="22"/>
              </w:rPr>
              <w:t>e</w:t>
            </w:r>
            <w:r w:rsidRPr="00C1347C">
              <w:rPr>
                <w:rFonts w:eastAsia="Times New Roman"/>
                <w:bCs/>
                <w:sz w:val="22"/>
              </w:rPr>
              <w:t xml:space="preserve">xceda </w:t>
            </w:r>
            <w:r w:rsidR="00BD71CA">
              <w:rPr>
                <w:rFonts w:eastAsia="Times New Roman"/>
                <w:bCs/>
                <w:sz w:val="22"/>
              </w:rPr>
              <w:t>e</w:t>
            </w:r>
            <w:r w:rsidRPr="00C1347C">
              <w:rPr>
                <w:rFonts w:eastAsia="Times New Roman"/>
                <w:bCs/>
                <w:sz w:val="22"/>
              </w:rPr>
              <w:t xml:space="preserve">l 40% </w:t>
            </w:r>
            <w:r w:rsidR="00BD71CA">
              <w:rPr>
                <w:rFonts w:eastAsia="Times New Roman"/>
                <w:bCs/>
                <w:sz w:val="22"/>
              </w:rPr>
              <w:t>d</w:t>
            </w:r>
            <w:r w:rsidRPr="00C1347C">
              <w:rPr>
                <w:rFonts w:eastAsia="Times New Roman"/>
                <w:bCs/>
                <w:sz w:val="22"/>
              </w:rPr>
              <w:t xml:space="preserve">el </w:t>
            </w:r>
            <w:r w:rsidR="00BD71CA">
              <w:rPr>
                <w:rFonts w:eastAsia="Times New Roman"/>
                <w:bCs/>
                <w:sz w:val="22"/>
              </w:rPr>
              <w:t>m</w:t>
            </w:r>
            <w:r w:rsidRPr="00C1347C">
              <w:rPr>
                <w:rFonts w:eastAsia="Times New Roman"/>
                <w:bCs/>
                <w:sz w:val="22"/>
              </w:rPr>
              <w:t xml:space="preserve">onto </w:t>
            </w:r>
            <w:r w:rsidR="00BD71CA">
              <w:rPr>
                <w:rFonts w:eastAsia="Times New Roman"/>
                <w:bCs/>
                <w:sz w:val="22"/>
              </w:rPr>
              <w:t>t</w:t>
            </w:r>
            <w:r w:rsidRPr="00C1347C">
              <w:rPr>
                <w:rFonts w:eastAsia="Times New Roman"/>
                <w:bCs/>
                <w:sz w:val="22"/>
              </w:rPr>
              <w:t xml:space="preserve">otal </w:t>
            </w:r>
            <w:r w:rsidR="00BD71CA">
              <w:rPr>
                <w:rFonts w:eastAsia="Times New Roman"/>
                <w:bCs/>
                <w:sz w:val="22"/>
              </w:rPr>
              <w:t>d</w:t>
            </w:r>
            <w:r w:rsidRPr="00C1347C">
              <w:rPr>
                <w:rFonts w:eastAsia="Times New Roman"/>
                <w:bCs/>
                <w:sz w:val="22"/>
              </w:rPr>
              <w:t xml:space="preserve">el Proyecto, Obra </w:t>
            </w:r>
            <w:r w:rsidR="00BD71CA">
              <w:rPr>
                <w:rFonts w:eastAsia="Times New Roman"/>
                <w:bCs/>
                <w:sz w:val="22"/>
              </w:rPr>
              <w:t>o</w:t>
            </w:r>
            <w:r w:rsidRPr="00C1347C">
              <w:rPr>
                <w:rFonts w:eastAsia="Times New Roman"/>
                <w:bCs/>
                <w:sz w:val="22"/>
              </w:rPr>
              <w:t xml:space="preserve"> Servicio</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506CD" w:rsidP="006506CD">
            <w:pPr>
              <w:spacing w:after="0" w:line="240" w:lineRule="auto"/>
              <w:jc w:val="right"/>
              <w:rPr>
                <w:rFonts w:eastAsia="Times New Roman"/>
                <w:sz w:val="22"/>
              </w:rPr>
            </w:pPr>
            <w:r>
              <w:rPr>
                <w:rFonts w:eastAsia="Times New Roman"/>
                <w:szCs w:val="24"/>
              </w:rPr>
              <w:t xml:space="preserve">RD$ </w:t>
            </w:r>
            <w:r w:rsidR="006E54DB" w:rsidRPr="00B41A33">
              <w:rPr>
                <w:rFonts w:eastAsia="Times New Roman"/>
                <w:sz w:val="22"/>
              </w:rPr>
              <w:t>-</w:t>
            </w:r>
          </w:p>
        </w:tc>
      </w:tr>
      <w:tr w:rsidR="006E54DB" w:rsidRPr="006E54DB" w:rsidTr="006506CD">
        <w:trPr>
          <w:trHeight w:val="600"/>
        </w:trPr>
        <w:tc>
          <w:tcPr>
            <w:tcW w:w="4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54DB" w:rsidRPr="00C1347C" w:rsidRDefault="00394BA1" w:rsidP="00CB0E1A">
            <w:pPr>
              <w:spacing w:after="0" w:line="240" w:lineRule="auto"/>
              <w:jc w:val="left"/>
              <w:rPr>
                <w:rFonts w:eastAsia="Times New Roman"/>
                <w:bCs/>
                <w:sz w:val="22"/>
              </w:rPr>
            </w:pPr>
            <w:r w:rsidRPr="00C1347C">
              <w:rPr>
                <w:rFonts w:eastAsia="Times New Roman"/>
                <w:bCs/>
                <w:sz w:val="22"/>
              </w:rPr>
              <w:t xml:space="preserve">Excepción - Resolución 15-08 </w:t>
            </w:r>
            <w:r w:rsidR="00BD71CA">
              <w:rPr>
                <w:rFonts w:eastAsia="Times New Roman"/>
                <w:bCs/>
                <w:sz w:val="22"/>
              </w:rPr>
              <w:t>s</w:t>
            </w:r>
            <w:r w:rsidRPr="00C1347C">
              <w:rPr>
                <w:rFonts w:eastAsia="Times New Roman"/>
                <w:bCs/>
                <w:sz w:val="22"/>
              </w:rPr>
              <w:t xml:space="preserve">obre Compra </w:t>
            </w:r>
            <w:r w:rsidR="00BD71CA">
              <w:rPr>
                <w:rFonts w:eastAsia="Times New Roman"/>
                <w:bCs/>
                <w:sz w:val="22"/>
              </w:rPr>
              <w:t>y</w:t>
            </w:r>
            <w:r w:rsidRPr="00C1347C">
              <w:rPr>
                <w:rFonts w:eastAsia="Times New Roman"/>
                <w:bCs/>
                <w:sz w:val="22"/>
              </w:rPr>
              <w:t xml:space="preserve"> Contratación </w:t>
            </w:r>
            <w:r w:rsidR="00BD71CA">
              <w:rPr>
                <w:rFonts w:eastAsia="Times New Roman"/>
                <w:bCs/>
                <w:sz w:val="22"/>
              </w:rPr>
              <w:t>d</w:t>
            </w:r>
            <w:r w:rsidRPr="00C1347C">
              <w:rPr>
                <w:rFonts w:eastAsia="Times New Roman"/>
                <w:bCs/>
                <w:sz w:val="22"/>
              </w:rPr>
              <w:t xml:space="preserve">e </w:t>
            </w:r>
            <w:r w:rsidR="00BD71CA">
              <w:rPr>
                <w:rFonts w:eastAsia="Times New Roman"/>
                <w:bCs/>
                <w:sz w:val="22"/>
              </w:rPr>
              <w:t>P</w:t>
            </w:r>
            <w:r w:rsidRPr="00C1347C">
              <w:rPr>
                <w:rFonts w:eastAsia="Times New Roman"/>
                <w:bCs/>
                <w:sz w:val="22"/>
              </w:rPr>
              <w:t xml:space="preserve">asaje </w:t>
            </w:r>
            <w:r w:rsidR="00BD71CA">
              <w:rPr>
                <w:rFonts w:eastAsia="Times New Roman"/>
                <w:bCs/>
                <w:sz w:val="22"/>
              </w:rPr>
              <w:t>A</w:t>
            </w:r>
            <w:r w:rsidRPr="00C1347C">
              <w:rPr>
                <w:rFonts w:eastAsia="Times New Roman"/>
                <w:bCs/>
                <w:sz w:val="22"/>
              </w:rPr>
              <w:t xml:space="preserve">éreo, Combustible </w:t>
            </w:r>
            <w:r w:rsidR="00BD71CA">
              <w:rPr>
                <w:rFonts w:eastAsia="Times New Roman"/>
                <w:bCs/>
                <w:sz w:val="22"/>
              </w:rPr>
              <w:t>y</w:t>
            </w:r>
            <w:r w:rsidRPr="00C1347C">
              <w:rPr>
                <w:rFonts w:eastAsia="Times New Roman"/>
                <w:bCs/>
                <w:sz w:val="22"/>
              </w:rPr>
              <w:t xml:space="preserve"> Reparación </w:t>
            </w:r>
            <w:r w:rsidR="00BD71CA">
              <w:rPr>
                <w:rFonts w:eastAsia="Times New Roman"/>
                <w:bCs/>
                <w:sz w:val="22"/>
              </w:rPr>
              <w:t>d</w:t>
            </w:r>
            <w:r w:rsidRPr="00C1347C">
              <w:rPr>
                <w:rFonts w:eastAsia="Times New Roman"/>
                <w:bCs/>
                <w:sz w:val="22"/>
              </w:rPr>
              <w:t xml:space="preserve">e Vehículos </w:t>
            </w:r>
            <w:r w:rsidR="00CB0E1A">
              <w:rPr>
                <w:rFonts w:eastAsia="Times New Roman"/>
                <w:bCs/>
                <w:sz w:val="22"/>
              </w:rPr>
              <w:t>d</w:t>
            </w:r>
            <w:r w:rsidRPr="00C1347C">
              <w:rPr>
                <w:rFonts w:eastAsia="Times New Roman"/>
                <w:bCs/>
                <w:sz w:val="22"/>
              </w:rPr>
              <w:t>e Motor</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E54DB" w:rsidRPr="00B41A33" w:rsidRDefault="006E54DB" w:rsidP="006506CD">
            <w:pPr>
              <w:spacing w:after="0" w:line="240" w:lineRule="auto"/>
              <w:jc w:val="right"/>
              <w:rPr>
                <w:rFonts w:eastAsia="Times New Roman"/>
                <w:sz w:val="22"/>
              </w:rPr>
            </w:pPr>
            <w:r w:rsidRPr="00B41A33">
              <w:rPr>
                <w:rFonts w:eastAsia="Times New Roman"/>
                <w:sz w:val="22"/>
              </w:rPr>
              <w:t xml:space="preserve">                                                                                        </w:t>
            </w:r>
            <w:r w:rsidR="006506CD">
              <w:rPr>
                <w:rFonts w:eastAsia="Times New Roman"/>
                <w:szCs w:val="24"/>
              </w:rPr>
              <w:t>RD$</w:t>
            </w:r>
            <w:r w:rsidRPr="00B41A33">
              <w:rPr>
                <w:rFonts w:eastAsia="Times New Roman"/>
                <w:sz w:val="22"/>
              </w:rPr>
              <w:t>-</w:t>
            </w:r>
          </w:p>
        </w:tc>
      </w:tr>
    </w:tbl>
    <w:p w:rsidR="006E54DB" w:rsidRPr="009A6F49" w:rsidRDefault="005F5A71" w:rsidP="006E54DB">
      <w:pPr>
        <w:rPr>
          <w:sz w:val="20"/>
        </w:rPr>
      </w:pPr>
      <w:r w:rsidRPr="009A6F49">
        <w:rPr>
          <w:b/>
          <w:sz w:val="20"/>
        </w:rPr>
        <w:t>Fuente:</w:t>
      </w:r>
      <w:r w:rsidRPr="009A6F49">
        <w:rPr>
          <w:sz w:val="20"/>
        </w:rPr>
        <w:t xml:space="preserve"> Dirección General de Contrataciones Públicas</w:t>
      </w:r>
    </w:p>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Pr="00476D3F" w:rsidRDefault="00476D3F" w:rsidP="00476D3F"/>
    <w:p w:rsidR="00476D3F" w:rsidRDefault="00476D3F" w:rsidP="00476D3F">
      <w:pPr>
        <w:pStyle w:val="Ttulo3"/>
      </w:pPr>
      <w:bookmarkStart w:id="90" w:name="_Toc90936674"/>
      <w:r>
        <w:lastRenderedPageBreak/>
        <w:t>Resoluciones del Consejo Directivo</w:t>
      </w:r>
      <w:bookmarkEnd w:id="90"/>
    </w:p>
    <w:p w:rsidR="00476D3F" w:rsidRDefault="00476D3F" w:rsidP="00476D3F"/>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850"/>
        <w:gridCol w:w="1134"/>
        <w:gridCol w:w="1701"/>
        <w:gridCol w:w="4537"/>
      </w:tblGrid>
      <w:tr w:rsidR="00476D3F" w:rsidRPr="005E478E" w:rsidTr="00476D3F">
        <w:trPr>
          <w:trHeight w:val="875"/>
          <w:jc w:val="center"/>
        </w:trPr>
        <w:tc>
          <w:tcPr>
            <w:tcW w:w="9068" w:type="dxa"/>
            <w:gridSpan w:val="5"/>
            <w:shd w:val="clear" w:color="auto" w:fill="003876"/>
            <w:vAlign w:val="center"/>
          </w:tcPr>
          <w:p w:rsidR="00476D3F" w:rsidRDefault="00476D3F" w:rsidP="00476D3F">
            <w:pPr>
              <w:pBdr>
                <w:top w:val="nil"/>
                <w:left w:val="nil"/>
                <w:bottom w:val="nil"/>
                <w:right w:val="nil"/>
                <w:between w:val="nil"/>
              </w:pBdr>
              <w:spacing w:after="0" w:line="240" w:lineRule="auto"/>
              <w:ind w:left="1"/>
              <w:jc w:val="center"/>
              <w:rPr>
                <w:rFonts w:eastAsia="Times New Roman"/>
                <w:b/>
                <w:color w:val="FFFFFF" w:themeColor="background1"/>
                <w:szCs w:val="24"/>
              </w:rPr>
            </w:pPr>
            <w:r>
              <w:rPr>
                <w:rFonts w:eastAsia="Times New Roman"/>
                <w:b/>
                <w:color w:val="FFFFFF" w:themeColor="background1"/>
                <w:szCs w:val="24"/>
              </w:rPr>
              <w:t>Resoluciones del Consejo Directivo</w:t>
            </w:r>
          </w:p>
          <w:p w:rsidR="00476D3F" w:rsidRPr="005742FA" w:rsidRDefault="00476D3F" w:rsidP="00476D3F">
            <w:pPr>
              <w:pBdr>
                <w:top w:val="nil"/>
                <w:left w:val="nil"/>
                <w:bottom w:val="nil"/>
                <w:right w:val="nil"/>
                <w:between w:val="nil"/>
              </w:pBdr>
              <w:spacing w:after="0" w:line="240" w:lineRule="auto"/>
              <w:ind w:left="1"/>
              <w:jc w:val="center"/>
              <w:rPr>
                <w:rFonts w:eastAsia="Times New Roman"/>
                <w:b/>
                <w:szCs w:val="24"/>
              </w:rPr>
            </w:pPr>
            <w:r w:rsidRPr="005742FA">
              <w:rPr>
                <w:rFonts w:eastAsia="Times New Roman"/>
                <w:b/>
                <w:color w:val="FFFFFF" w:themeColor="background1"/>
                <w:szCs w:val="24"/>
              </w:rPr>
              <w:t>Enero – 15 noviembre de 2021</w:t>
            </w:r>
          </w:p>
        </w:tc>
      </w:tr>
      <w:tr w:rsidR="00476D3F" w:rsidRPr="005E478E" w:rsidTr="000E06D1">
        <w:trPr>
          <w:trHeight w:val="580"/>
          <w:jc w:val="center"/>
        </w:trPr>
        <w:tc>
          <w:tcPr>
            <w:tcW w:w="846" w:type="dxa"/>
            <w:shd w:val="clear" w:color="auto" w:fill="003876"/>
            <w:vAlign w:val="center"/>
          </w:tcPr>
          <w:p w:rsidR="00476D3F" w:rsidRPr="005742FA" w:rsidRDefault="00476D3F" w:rsidP="00476D3F">
            <w:pPr>
              <w:spacing w:after="0" w:line="240" w:lineRule="auto"/>
              <w:jc w:val="center"/>
              <w:rPr>
                <w:rFonts w:eastAsia="Times New Roman"/>
                <w:b/>
                <w:color w:val="FFFFFF" w:themeColor="background1"/>
                <w:szCs w:val="24"/>
              </w:rPr>
            </w:pPr>
            <w:r w:rsidRPr="005742FA">
              <w:rPr>
                <w:rFonts w:eastAsia="Times New Roman"/>
                <w:b/>
                <w:color w:val="FFFFFF" w:themeColor="background1"/>
                <w:szCs w:val="24"/>
              </w:rPr>
              <w:t xml:space="preserve">NO. </w:t>
            </w:r>
          </w:p>
        </w:tc>
        <w:tc>
          <w:tcPr>
            <w:tcW w:w="850" w:type="dxa"/>
            <w:shd w:val="clear" w:color="auto" w:fill="003876"/>
            <w:vAlign w:val="center"/>
          </w:tcPr>
          <w:p w:rsidR="00476D3F" w:rsidRPr="005742FA" w:rsidRDefault="00476D3F" w:rsidP="00476D3F">
            <w:pPr>
              <w:spacing w:after="0" w:line="240" w:lineRule="auto"/>
              <w:jc w:val="center"/>
              <w:rPr>
                <w:rFonts w:eastAsia="Times New Roman"/>
                <w:b/>
                <w:color w:val="FFFFFF" w:themeColor="background1"/>
                <w:szCs w:val="24"/>
              </w:rPr>
            </w:pPr>
            <w:r w:rsidRPr="005742FA">
              <w:rPr>
                <w:rFonts w:eastAsia="Times New Roman"/>
                <w:b/>
                <w:color w:val="FFFFFF" w:themeColor="background1"/>
                <w:szCs w:val="24"/>
              </w:rPr>
              <w:t>RES. NO.</w:t>
            </w:r>
          </w:p>
        </w:tc>
        <w:tc>
          <w:tcPr>
            <w:tcW w:w="1134" w:type="dxa"/>
            <w:shd w:val="clear" w:color="auto" w:fill="003876"/>
            <w:vAlign w:val="center"/>
          </w:tcPr>
          <w:p w:rsidR="00476D3F" w:rsidRPr="005742FA" w:rsidRDefault="00476D3F" w:rsidP="00476D3F">
            <w:pPr>
              <w:spacing w:after="0" w:line="240" w:lineRule="auto"/>
              <w:jc w:val="center"/>
              <w:rPr>
                <w:rFonts w:eastAsia="Times New Roman"/>
                <w:b/>
                <w:color w:val="FFFFFF" w:themeColor="background1"/>
                <w:szCs w:val="24"/>
              </w:rPr>
            </w:pPr>
            <w:r w:rsidRPr="005742FA">
              <w:rPr>
                <w:rFonts w:eastAsia="Times New Roman"/>
                <w:b/>
                <w:color w:val="FFFFFF" w:themeColor="background1"/>
                <w:szCs w:val="24"/>
              </w:rPr>
              <w:t>FECHA</w:t>
            </w:r>
          </w:p>
        </w:tc>
        <w:tc>
          <w:tcPr>
            <w:tcW w:w="1701" w:type="dxa"/>
            <w:shd w:val="clear" w:color="auto" w:fill="003876"/>
            <w:vAlign w:val="center"/>
          </w:tcPr>
          <w:p w:rsidR="00476D3F" w:rsidRPr="005742FA" w:rsidRDefault="00476D3F" w:rsidP="00476D3F">
            <w:pPr>
              <w:spacing w:after="0" w:line="240" w:lineRule="auto"/>
              <w:jc w:val="center"/>
              <w:rPr>
                <w:rFonts w:eastAsia="Times New Roman"/>
                <w:b/>
                <w:color w:val="FFFFFF" w:themeColor="background1"/>
                <w:szCs w:val="24"/>
              </w:rPr>
            </w:pPr>
            <w:r w:rsidRPr="005742FA">
              <w:rPr>
                <w:rFonts w:eastAsia="Times New Roman"/>
                <w:b/>
                <w:color w:val="FFFFFF" w:themeColor="background1"/>
                <w:szCs w:val="24"/>
              </w:rPr>
              <w:t>VINCULADO</w:t>
            </w:r>
          </w:p>
        </w:tc>
        <w:tc>
          <w:tcPr>
            <w:tcW w:w="4537" w:type="dxa"/>
            <w:shd w:val="clear" w:color="auto" w:fill="003876"/>
            <w:vAlign w:val="center"/>
          </w:tcPr>
          <w:p w:rsidR="00476D3F" w:rsidRPr="005742FA" w:rsidRDefault="00476D3F" w:rsidP="00476D3F">
            <w:pPr>
              <w:spacing w:after="0" w:line="240" w:lineRule="auto"/>
              <w:jc w:val="center"/>
              <w:rPr>
                <w:rFonts w:eastAsia="Times New Roman"/>
                <w:b/>
                <w:color w:val="FFFFFF" w:themeColor="background1"/>
                <w:szCs w:val="24"/>
              </w:rPr>
            </w:pPr>
            <w:r w:rsidRPr="005742FA">
              <w:rPr>
                <w:rFonts w:eastAsia="Times New Roman"/>
                <w:b/>
                <w:color w:val="FFFFFF" w:themeColor="background1"/>
                <w:szCs w:val="24"/>
              </w:rPr>
              <w:t>DESCRIPCIÓN</w:t>
            </w:r>
          </w:p>
        </w:tc>
      </w:tr>
      <w:tr w:rsidR="00476D3F" w:rsidRPr="005E478E" w:rsidTr="000E06D1">
        <w:trPr>
          <w:trHeight w:val="769"/>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001-2021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6-1</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INDOTEL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RESOLUCIÓN QUE DICTA EL PLAN DEFINITIVO PARA LA CANALIZACIÓN DE LAS FRECUENCIAS COMPRENDIDAS EN EL SEGMENTO DE 698-806 MHZ.</w:t>
            </w:r>
          </w:p>
        </w:tc>
      </w:tr>
      <w:tr w:rsidR="00476D3F" w:rsidRPr="005E478E" w:rsidTr="000E06D1">
        <w:trPr>
          <w:trHeight w:val="695"/>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002-2021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13-1</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NOVOSIT, S.R.L.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RESOLUCIÓN QUE CONOCE LA SOLICITUD DE AUTORIZACIÓN PRESENTADA POR LA SOCIEDAD NOVOSIT, S.R.L., PARA OPERAR COMO ENTIDAD DE CERTIFICACIÓN DE CONFORMIDAD A LO ESTABLECIDO EN LA LEY NÚM. 126-02 DE COMERCIO ELECTRÓNICO, DOCUMENTOS Y FIRMAS DIGITALES.</w:t>
            </w:r>
          </w:p>
        </w:tc>
      </w:tr>
      <w:tr w:rsidR="00476D3F" w:rsidRPr="005E478E" w:rsidTr="000E06D1">
        <w:trPr>
          <w:trHeight w:val="54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003-2021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27-1</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INDOTEL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RESOLUCIÓN QUE ACTUALIZA EL VALOR DEL CARGO POR INCUMPLIMIENTO (CI), ESTABLECIDO EN EL ARTÍCULO 108 DE LA LEY GENERAL DE TELECOMUNICACIONES, NÚM. 153-98, PARA EL AÑO 2021.</w:t>
            </w:r>
          </w:p>
        </w:tc>
      </w:tr>
      <w:tr w:rsidR="00476D3F" w:rsidRPr="005E478E" w:rsidTr="000E06D1">
        <w:trPr>
          <w:trHeight w:val="717"/>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004-2021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27-1</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INDOTEL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RESOLUCIÓN QUE APRUEBA LA LISTA DEFINITIVA DE PERSONAS ELEGIBLES PARA CONFORMAR LOS CUERPOS COLEGIADOS DEL INSTITUTO DOMINICANO DE LAS TELECOMUNICACIONES (INDOTEL).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5</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005-2021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4-2</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INDOTEL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 xml:space="preserve">RESOLUCIÓN QUE APRUEBA EL PLIEGO DE CONDICIONES, DESIGNA EL COMITÉ EVALUADOR Y CONVOCA A LA LICITACIÓN PÚBLICA INTERNACIONAL INDOTEL/LPI-001-2021, PARA EL “OTORGAMIENTO DE CONCESIONES Y LAS LICENCIAS VINCULADAS PARA LA PRESTACIÓN </w:t>
            </w:r>
            <w:r w:rsidRPr="005E478E">
              <w:rPr>
                <w:rFonts w:eastAsia="Times New Roman"/>
                <w:szCs w:val="24"/>
              </w:rPr>
              <w:lastRenderedPageBreak/>
              <w:t>DE SERVICIOS PÚBLICOS PORTADOR Y FINALES DE TELEFONÍA Y ACCESO A INTERNET, A TRAVÉS DE LA EXPLOTACIÓN DE FRECUENCIAS RADIOELÉCTRICAS DENTRO DE LAS BANDAS DE 698-806 MHZ Y 3300-3600 MHZ EN TODO EL TERRITORIO NACIONAL”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6</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006-2021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4-2</w:t>
            </w:r>
          </w:p>
        </w:tc>
        <w:tc>
          <w:tcPr>
            <w:tcW w:w="1701" w:type="dxa"/>
            <w:shd w:val="clear" w:color="auto" w:fill="auto"/>
          </w:tcPr>
          <w:p w:rsidR="00476D3F" w:rsidRPr="005E478E" w:rsidRDefault="00476D3F" w:rsidP="00476D3F">
            <w:pPr>
              <w:jc w:val="center"/>
              <w:rPr>
                <w:szCs w:val="24"/>
              </w:rPr>
            </w:pPr>
            <w:r w:rsidRPr="005E478E">
              <w:rPr>
                <w:szCs w:val="24"/>
              </w:rPr>
              <w:t>INDOTEL</w:t>
            </w:r>
          </w:p>
          <w:p w:rsidR="00476D3F" w:rsidRPr="005E478E" w:rsidRDefault="00476D3F" w:rsidP="00476D3F">
            <w:pPr>
              <w:jc w:val="center"/>
              <w:rPr>
                <w:szCs w:val="24"/>
              </w:rPr>
            </w:pPr>
          </w:p>
        </w:tc>
        <w:tc>
          <w:tcPr>
            <w:tcW w:w="4537" w:type="dxa"/>
            <w:shd w:val="clear" w:color="auto" w:fill="auto"/>
          </w:tcPr>
          <w:p w:rsidR="00476D3F" w:rsidRPr="005E478E" w:rsidRDefault="00476D3F" w:rsidP="00476D3F">
            <w:pPr>
              <w:jc w:val="left"/>
              <w:rPr>
                <w:szCs w:val="24"/>
              </w:rPr>
            </w:pPr>
            <w:r w:rsidRPr="005E478E">
              <w:rPr>
                <w:szCs w:val="24"/>
              </w:rPr>
              <w:t>RESOLUCIÓN QUE POSTERGA LA ENTRADA EN VIGENCIA DE LA FÓRMULA QUE DETERMINA EL VALOR DEL DERECHO DE USO CORRESPONDIENTE A LAS LICENCIAS PARA SERVICIOS PRIVADOS, SERVICIO PORTADOR Y SERVICIO DE DIFUSIÓN SONORA, CONTENIDA EN EL APÉNDICE I, ARTÍCULO 4.1, LITERAL B, DEL REGLAMENTO GENERAL DE USO DEL ESPECTRO RADIOELÉCTRICO, DICTADO MEDIANTE LA RESOLUCIÓN DEL CONSEJO DIRECTIVO DEL INDOTEL NÚM. 034-2020</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007-2021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4-2</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6D5BA2" w:rsidRDefault="00476D3F" w:rsidP="00476D3F">
            <w:pPr>
              <w:jc w:val="left"/>
              <w:rPr>
                <w:szCs w:val="24"/>
              </w:rPr>
            </w:pPr>
            <w:r w:rsidRPr="005E478E">
              <w:rPr>
                <w:szCs w:val="24"/>
              </w:rPr>
              <w:t>RESOLUCIÓN QUE DECLARA URGENCIA PARA COMPRA DE SO</w:t>
            </w:r>
            <w:r>
              <w:rPr>
                <w:szCs w:val="24"/>
              </w:rPr>
              <w:t>LUCIÓN SEGURIDAD PERIMETAL UTM</w:t>
            </w:r>
            <w:r>
              <w:rPr>
                <w:rFonts w:eastAsia="Times New Roman"/>
                <w:szCs w:val="24"/>
              </w:rPr>
              <w:t xml:space="preserve">, </w:t>
            </w:r>
            <w:r w:rsidRPr="006D5BA2">
              <w:rPr>
                <w:rFonts w:eastAsia="Times New Roman"/>
                <w:szCs w:val="24"/>
              </w:rPr>
              <w:t>PARA EL REFORZAMIENTO DE LA SEGURIDAD INFORMÁTICA DEL INDOTEL.</w:t>
            </w:r>
          </w:p>
          <w:p w:rsidR="00476D3F" w:rsidRPr="005E478E" w:rsidRDefault="00476D3F" w:rsidP="00476D3F">
            <w:pPr>
              <w:jc w:val="left"/>
              <w:rPr>
                <w:szCs w:val="24"/>
              </w:rPr>
            </w:pP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8</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008-2021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11-2</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MODIFICA EL CÓDIGO DE ÉTICA DE LOS FUNCIONARIOS Y EMPLEADOS DEL INSTITUTO DOMINICANO DE LAS TELECOMUNICACIONES (INDOTEL).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9</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009-2021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11-2</w:t>
            </w:r>
          </w:p>
        </w:tc>
        <w:tc>
          <w:tcPr>
            <w:tcW w:w="1701" w:type="dxa"/>
            <w:shd w:val="clear" w:color="auto" w:fill="auto"/>
          </w:tcPr>
          <w:p w:rsidR="00476D3F" w:rsidRPr="005E478E" w:rsidRDefault="00476D3F" w:rsidP="00476D3F">
            <w:pPr>
              <w:jc w:val="center"/>
              <w:rPr>
                <w:szCs w:val="24"/>
                <w:lang w:val="en-US"/>
              </w:rPr>
            </w:pPr>
            <w:r w:rsidRPr="005E478E">
              <w:rPr>
                <w:szCs w:val="24"/>
                <w:lang w:val="en-US"/>
              </w:rPr>
              <w:t>INDOTEL</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APRUEBA EL NUEVO CÓDIGO DISCIPLINARIO DEL </w:t>
            </w:r>
            <w:r w:rsidRPr="005E478E">
              <w:rPr>
                <w:szCs w:val="24"/>
              </w:rPr>
              <w:lastRenderedPageBreak/>
              <w:t>INSTITUTO DOMINICANO DE LAS TELECOMUNICACIONES (INDOTEL).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10</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 xml:space="preserve">010-2021           </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18-2</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APRUEBA DE MANERA DEFINITIVA “EL PLAN BIANUAL DE PROYECTOS DE DESARROLLO PARA EL PERÍODO 2021-2022”.</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11</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011-2021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18-2</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APRUEBA EL PRESUPUESTO DE INGRESOS, GASTOS E INVERSIÓN DEL INSTITUTO DOMINICANO DE LAS TELECOMUNICACIONES (INDOTEL) Y DEL FONDO DE DESARROLLO DE LAS TELECOMUNICACIONES (FDT), CORRESPONDIENTE AL EJERCICIO FISCAL DEL AÑO 2021.</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12</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012-2021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18-2</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ORDENA EL INICIO DEL PROCESO DE CONSULTA PÚBLICA PARA DICTAR LA “NORMA QUE ESTABLECE EL PROCEDIMIENTO DE REVOCACIÓN DE AUTORIZACIONES PARA PRESTAR SERVICIOS DE TELECOMUNICACIONES EN LA REPÚBLICA DOMINICANA</w:t>
            </w:r>
            <w:r>
              <w:rPr>
                <w:szCs w:val="24"/>
              </w:rPr>
              <w:t xml:space="preserve"> </w:t>
            </w:r>
            <w:r w:rsidRPr="00A059AA">
              <w:rPr>
                <w:rFonts w:eastAsia="Times New Roman"/>
                <w:szCs w:val="24"/>
              </w:rPr>
              <w:t>Y PARA EL USO DEL ESPECTRO RADIOELÉCTRICO</w:t>
            </w:r>
            <w:r w:rsidRPr="005E478E">
              <w:rPr>
                <w:szCs w:val="24"/>
              </w:rPr>
              <w:t>”.</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13</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013-2021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18-2</w:t>
            </w:r>
          </w:p>
        </w:tc>
        <w:tc>
          <w:tcPr>
            <w:tcW w:w="1701" w:type="dxa"/>
            <w:shd w:val="clear" w:color="auto" w:fill="auto"/>
          </w:tcPr>
          <w:p w:rsidR="00476D3F" w:rsidRPr="005E478E" w:rsidRDefault="00476D3F" w:rsidP="00476D3F">
            <w:pPr>
              <w:jc w:val="center"/>
              <w:rPr>
                <w:szCs w:val="24"/>
              </w:rPr>
            </w:pPr>
            <w:r w:rsidRPr="005E478E">
              <w:rPr>
                <w:szCs w:val="24"/>
              </w:rPr>
              <w:t>TRILOGY DOMINICANA</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CONOCE LA SOLICITUD DE EXTENSIÓN DEL PLAZO </w:t>
            </w:r>
            <w:r>
              <w:rPr>
                <w:szCs w:val="24"/>
              </w:rPr>
              <w:t>OTORGADO EN LA RESOLUCIÓN NÚM.</w:t>
            </w:r>
            <w:r w:rsidRPr="005E478E">
              <w:rPr>
                <w:szCs w:val="24"/>
              </w:rPr>
              <w:t>104-2020 DE PARTE DE TRILOGY DOMINICANA, S.A. (VIVA) PARA LA IMPLEMENTACIÓN DE LAS DISPOSICIONES OR</w:t>
            </w:r>
            <w:r>
              <w:rPr>
                <w:szCs w:val="24"/>
              </w:rPr>
              <w:t>DENADAS POR LA RESOLUCIÓN NÚM.</w:t>
            </w:r>
            <w:r w:rsidRPr="005E478E">
              <w:rPr>
                <w:szCs w:val="24"/>
              </w:rPr>
              <w:t xml:space="preserve"> 095-2020.</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14</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014-2021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25-2</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DEROGA LAS RESOLUCIONES DEL CONSEJO </w:t>
            </w:r>
            <w:r w:rsidRPr="005E478E">
              <w:rPr>
                <w:szCs w:val="24"/>
              </w:rPr>
              <w:lastRenderedPageBreak/>
              <w:t xml:space="preserve">DIRECTIVO </w:t>
            </w:r>
            <w:r>
              <w:rPr>
                <w:szCs w:val="24"/>
              </w:rPr>
              <w:t>NÚM.</w:t>
            </w:r>
            <w:r w:rsidRPr="005E478E">
              <w:rPr>
                <w:szCs w:val="24"/>
              </w:rPr>
              <w:t xml:space="preserve"> 046-03 Y 054-03 Y DICTA EL NUEVO REGLAMENTO ORGÁNICO FUNCIONAL DE LOS CUERPOS COLEGIADOS DEL INDOTEL.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15</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015-2021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25-2</w:t>
            </w:r>
          </w:p>
        </w:tc>
        <w:tc>
          <w:tcPr>
            <w:tcW w:w="1701" w:type="dxa"/>
            <w:shd w:val="clear" w:color="auto" w:fill="auto"/>
          </w:tcPr>
          <w:p w:rsidR="00476D3F" w:rsidRPr="005E478E" w:rsidRDefault="00476D3F" w:rsidP="00476D3F">
            <w:pPr>
              <w:jc w:val="center"/>
              <w:rPr>
                <w:szCs w:val="24"/>
              </w:rPr>
            </w:pPr>
            <w:r w:rsidRPr="005E478E">
              <w:rPr>
                <w:szCs w:val="24"/>
              </w:rPr>
              <w:t>CODETEL</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DECIDE EL RECURSO DE RECONSIDERACIÓN INTERPUESTO POR LA COMPAÑÍA DOMINICANA DE TELÉFONOS, S. A., (CLARO) CONTRA LA RESOLUCIÓN DEL CONSEJO DIRECTIVO NÚM. 089-2020, QUE DECLARA ADECUADAS A LAS DISPOSICIONES DE LA LEY GENERAL DE TELECOMUNICACIONES NÚM. 153-98 LAS AUTORIZACIONES EXPEDIDAS POR LA DIRECCIÓN GENERAL DE TELECOMUNICACIONES (DGT), A FAVOR DE SERVICIOS AMPLIADOS DE TELÉFONOS, S.A., (SATEL) PARA LA OPERACIÓN DE SERVICIOS FIJOS DE TELECOMUNICACIONES EN LOS RANGOS DE </w:t>
            </w:r>
            <w:r w:rsidRPr="000962CC">
              <w:rPr>
                <w:szCs w:val="24"/>
              </w:rPr>
              <w:t xml:space="preserve">FRECUENCIA </w:t>
            </w:r>
            <w:r w:rsidRPr="000962CC">
              <w:rPr>
                <w:rFonts w:eastAsia="Times New Roman"/>
                <w:szCs w:val="24"/>
              </w:rPr>
              <w:t>3530- 3570 MHZ, 27850- 28300 MHZ, 29100-29500 MHZ, 2164-2184 MHZ Y PARA SERVICIO MÓVIL EN LOS RANGOS DE FRECUENCIAS 915-928 MHZ, 1910-1930 MHZ</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16</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016-2021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4-3</w:t>
            </w:r>
          </w:p>
        </w:tc>
        <w:tc>
          <w:tcPr>
            <w:tcW w:w="1701" w:type="dxa"/>
            <w:shd w:val="clear" w:color="auto" w:fill="auto"/>
          </w:tcPr>
          <w:p w:rsidR="00476D3F" w:rsidRPr="005E478E" w:rsidRDefault="00476D3F" w:rsidP="00476D3F">
            <w:pPr>
              <w:jc w:val="center"/>
              <w:rPr>
                <w:szCs w:val="24"/>
              </w:rPr>
            </w:pPr>
            <w:r w:rsidRPr="005E478E">
              <w:rPr>
                <w:szCs w:val="24"/>
              </w:rPr>
              <w:t>OZYMANDIAS COMPANY</w:t>
            </w:r>
          </w:p>
        </w:tc>
        <w:tc>
          <w:tcPr>
            <w:tcW w:w="4537" w:type="dxa"/>
            <w:shd w:val="clear" w:color="auto" w:fill="auto"/>
          </w:tcPr>
          <w:p w:rsidR="00476D3F" w:rsidRPr="005E478E" w:rsidRDefault="00476D3F" w:rsidP="00476D3F">
            <w:pPr>
              <w:jc w:val="left"/>
              <w:rPr>
                <w:szCs w:val="24"/>
              </w:rPr>
            </w:pPr>
            <w:r w:rsidRPr="005E478E">
              <w:rPr>
                <w:szCs w:val="24"/>
              </w:rPr>
              <w:t>RESOLUCIÓN QUE DECIDE SOBRE LA SOLICITUD DE TRANSFERENCIA DE CONTROL SOCIAL PRESENTADA ANTE EL INDOTEL POR LA CONCESIONARIA OZYMANDIAS COMPANY S.R.L., A FAVOR DE LA SOCIEDAD MR NETWORKING, S.R.L.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17</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017-2021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4-3</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ADOPTA EL USO DE LA VERSIÓN 1.0 DEL ESTÁNDAR DE TELEVISIÓN TERRESTRE DIGITAL </w:t>
            </w:r>
            <w:r w:rsidRPr="005E478E">
              <w:rPr>
                <w:szCs w:val="24"/>
              </w:rPr>
              <w:lastRenderedPageBreak/>
              <w:t>ATSC (ATSC 1.0) EN LA REPÚBLICA DOMINICANA.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18</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018-2021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4-3</w:t>
            </w:r>
          </w:p>
        </w:tc>
        <w:tc>
          <w:tcPr>
            <w:tcW w:w="1701" w:type="dxa"/>
            <w:shd w:val="clear" w:color="auto" w:fill="auto"/>
          </w:tcPr>
          <w:p w:rsidR="00476D3F" w:rsidRPr="005E478E" w:rsidRDefault="00476D3F" w:rsidP="00476D3F">
            <w:pPr>
              <w:jc w:val="center"/>
              <w:rPr>
                <w:szCs w:val="24"/>
              </w:rPr>
            </w:pPr>
            <w:r w:rsidRPr="005E478E">
              <w:rPr>
                <w:szCs w:val="24"/>
              </w:rPr>
              <w:t>SAN CRISTOBAL DE TV Y RADIO</w:t>
            </w:r>
          </w:p>
        </w:tc>
        <w:tc>
          <w:tcPr>
            <w:tcW w:w="4537" w:type="dxa"/>
            <w:shd w:val="clear" w:color="auto" w:fill="auto"/>
          </w:tcPr>
          <w:p w:rsidR="00476D3F" w:rsidRPr="005E478E" w:rsidRDefault="00476D3F" w:rsidP="00476D3F">
            <w:pPr>
              <w:jc w:val="left"/>
              <w:rPr>
                <w:szCs w:val="24"/>
              </w:rPr>
            </w:pPr>
            <w:r w:rsidRPr="005E478E">
              <w:rPr>
                <w:szCs w:val="24"/>
              </w:rPr>
              <w:t>RESOLUCIÓN QUE CONOCE EL RECURSO JERÁRQUICO INTERPUESTO POR LA SOCIEDAD SAN CRISTÓBAL DE TELEVISIÓN Y RADIO, S.A., CONTRA LA RESOLUCIÓN NUM. DE-068-2020 EMITIDA POR LA DIRECCIÓN EJECUTIVA DEL INDOTEL, DE FECHA 30 DE NOVIEMBRE DE 2020.</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19</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019-2021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18-3</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E50A9F" w:rsidRDefault="00476D3F" w:rsidP="00476D3F">
            <w:pPr>
              <w:shd w:val="clear" w:color="auto" w:fill="F6F6F6"/>
              <w:spacing w:before="100" w:beforeAutospacing="1" w:after="100" w:afterAutospacing="1" w:line="360" w:lineRule="atLeast"/>
              <w:jc w:val="left"/>
              <w:rPr>
                <w:rFonts w:eastAsia="Times New Roman"/>
                <w:szCs w:val="24"/>
              </w:rPr>
            </w:pPr>
            <w:r w:rsidRPr="005E478E">
              <w:rPr>
                <w:szCs w:val="24"/>
              </w:rPr>
              <w:t>RESOLUCIÓN QUE DICTA ENMIENDA 001 A LOS PLIEGOS DE CONDICIONES DE LA LICITACIÓN PÚBLICA INTERNACIONAL INDOTEL/LPI-001-2021;</w:t>
            </w:r>
            <w:r>
              <w:rPr>
                <w:szCs w:val="24"/>
              </w:rPr>
              <w:t xml:space="preserve"> </w:t>
            </w:r>
            <w:r w:rsidRPr="00D61B6F">
              <w:rPr>
                <w:rFonts w:eastAsia="Times New Roman"/>
                <w:szCs w:val="24"/>
              </w:rPr>
              <w:t>PARA EL “OTORGAMIENTO DE CONCESIONES Y LAS LICENCIAS VINCULADAS PARA LA PRESTACIÓN DE SERVICIOS PÚBLICOS PORTADOR Y FINALES DE TELEFONÍA Y ACCESO A INTERNET, A TRAVÉS DE LA EXPLOTACIÓN DE FRECUENCIAS RADIOELÉCTRICAS DENTRO DE LAS BANDAS DE 698-806 MHZ Y 3300-3600 MHZ EN TODO EL TERRITORIO NACIONAL”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20</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020-2021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25-3</w:t>
            </w:r>
          </w:p>
        </w:tc>
        <w:tc>
          <w:tcPr>
            <w:tcW w:w="1701" w:type="dxa"/>
            <w:shd w:val="clear" w:color="auto" w:fill="auto"/>
          </w:tcPr>
          <w:p w:rsidR="00476D3F" w:rsidRPr="005E478E" w:rsidRDefault="00476D3F" w:rsidP="00476D3F">
            <w:pPr>
              <w:jc w:val="center"/>
              <w:rPr>
                <w:szCs w:val="24"/>
              </w:rPr>
            </w:pPr>
            <w:r w:rsidRPr="005E478E">
              <w:rPr>
                <w:szCs w:val="24"/>
              </w:rPr>
              <w:t>AVANSI, SRL</w:t>
            </w:r>
          </w:p>
        </w:tc>
        <w:tc>
          <w:tcPr>
            <w:tcW w:w="4537" w:type="dxa"/>
            <w:shd w:val="clear" w:color="auto" w:fill="auto"/>
          </w:tcPr>
          <w:p w:rsidR="00476D3F" w:rsidRPr="005E478E" w:rsidRDefault="00476D3F" w:rsidP="00476D3F">
            <w:pPr>
              <w:jc w:val="left"/>
              <w:rPr>
                <w:szCs w:val="24"/>
              </w:rPr>
            </w:pPr>
            <w:r w:rsidRPr="005E478E">
              <w:rPr>
                <w:szCs w:val="24"/>
              </w:rPr>
              <w:t>RESOLUCIÓN QUE CONOCE LA SOLICITUD DE REVOCACIÓN DEL ACUERDO DE RECONOCIMIENTO INTERNACIONAL DE CERTIFICADOS DE FIRMA ELECTRÓNICA ENTRE LA ENTIDAD DE CERTIFICACIÓN AVANSI, S.R.L., Y LA SOCIEDAD ANF AUTORIDAD DE CERTIFICACIÓN."</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21</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021-2021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8-4</w:t>
            </w:r>
          </w:p>
        </w:tc>
        <w:tc>
          <w:tcPr>
            <w:tcW w:w="1701" w:type="dxa"/>
            <w:shd w:val="clear" w:color="auto" w:fill="auto"/>
          </w:tcPr>
          <w:p w:rsidR="00476D3F" w:rsidRPr="005E478E" w:rsidRDefault="00476D3F" w:rsidP="00476D3F">
            <w:pPr>
              <w:jc w:val="center"/>
              <w:rPr>
                <w:szCs w:val="24"/>
              </w:rPr>
            </w:pPr>
            <w:r w:rsidRPr="005E478E">
              <w:rPr>
                <w:szCs w:val="24"/>
              </w:rPr>
              <w:t>ÉXITO VISION CABLE</w:t>
            </w:r>
          </w:p>
        </w:tc>
        <w:tc>
          <w:tcPr>
            <w:tcW w:w="4537" w:type="dxa"/>
            <w:shd w:val="clear" w:color="auto" w:fill="auto"/>
          </w:tcPr>
          <w:p w:rsidR="00476D3F" w:rsidRPr="005E478E" w:rsidRDefault="00476D3F" w:rsidP="00476D3F">
            <w:pPr>
              <w:jc w:val="left"/>
              <w:rPr>
                <w:szCs w:val="24"/>
              </w:rPr>
            </w:pPr>
            <w:r w:rsidRPr="005E478E">
              <w:rPr>
                <w:szCs w:val="24"/>
              </w:rPr>
              <w:t>RESOLUCIÓN QUE DECIDE SOBRE LA SOLICITUD DE AMPLIACIÓN DE CONCESIÓN PRESENTADA POR LA SOCIEDAD ÉXITO VISIÓN CABLE, S.A.S., PARA PRESTAR EL SERVICIO DE ACCESO A INTERNET EN EL DISTRITO NACIONAL Y EN LA PROVINCIA SANTO DOMINGO.</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22</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022-2021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5-4</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INDOTEL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RESOLUCIÓN QUE CONOCE LOS RECURSOS DE RECONSIDERACIÓN INTERPUESTOS POR LAS PRESTADORAS DE SERVICIOS PÚBLICOS DE TELECOMUNICACIONES COMPAÑÍA DOMINICANA DE TELÉFONOS, S. A., (CLARO) Y ALTICE DOMINICANA, S. A., (ALTICE) CONTRA LA RESOLUCIÓN DEL CONSEJO DIRECTIVO NÚM. 095-2020 QUE EMITE EL DICTAMEN RELATIVO A LAS ADENDAS DE LOS CONTRATOS DE INTERCONEXIÓN SUSCRITOS ENTRE LAS CONCESIONARIAS: (I) COMPAÑÍA DOMINICANA DE TELÉFONOS, S. A. (CLARO) Y WIND TELECOM, S. A., CON FECHA 11 DE SEPTIEMBRE DE 2020;</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22</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023-2021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8-4</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WHITE TELECOM SRL</w:t>
            </w:r>
          </w:p>
        </w:tc>
        <w:tc>
          <w:tcPr>
            <w:tcW w:w="4537" w:type="dxa"/>
            <w:shd w:val="clear" w:color="auto" w:fill="FFFFFF"/>
            <w:vAlign w:val="center"/>
          </w:tcPr>
          <w:p w:rsidR="00476D3F" w:rsidRPr="005E478E" w:rsidRDefault="00476D3F" w:rsidP="00476D3F">
            <w:pPr>
              <w:spacing w:after="0" w:line="240" w:lineRule="auto"/>
              <w:jc w:val="left"/>
              <w:rPr>
                <w:rFonts w:eastAsia="Times New Roman"/>
                <w:szCs w:val="24"/>
              </w:rPr>
            </w:pPr>
            <w:r w:rsidRPr="005E478E">
              <w:rPr>
                <w:rFonts w:eastAsia="Times New Roman"/>
                <w:szCs w:val="24"/>
              </w:rPr>
              <w:t>RESOLUCIÓN QUE DECIDE SOBRE LA CONTROVERSIA EXISTENTE ENTRE LAS CONCESIONARIAS DE SERVICIOS PÚBLICOS DE TELECOMUNICACIONES WHITE TELECOM S.R.L., Y ALTICE DOMINICANA S.A., EN VIRTUD DE LA EJECUCIÓN DEL CONTRATO DE SERVICIOS DE CIRCUITOS Y/O FACILIDADES ESPECIALES SUSCRITO ENTRE LAS PARTES.</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23</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024-2021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15-4</w:t>
            </w:r>
          </w:p>
        </w:tc>
        <w:tc>
          <w:tcPr>
            <w:tcW w:w="1701" w:type="dxa"/>
            <w:shd w:val="clear" w:color="auto" w:fill="auto"/>
          </w:tcPr>
          <w:p w:rsidR="00476D3F" w:rsidRPr="005E478E" w:rsidRDefault="00476D3F" w:rsidP="00476D3F">
            <w:pPr>
              <w:jc w:val="center"/>
              <w:rPr>
                <w:szCs w:val="24"/>
              </w:rPr>
            </w:pPr>
            <w:r w:rsidRPr="005E478E">
              <w:rPr>
                <w:szCs w:val="24"/>
              </w:rPr>
              <w:t>LENIN SANTOS UREÑA</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DECLARA LA CADUCIDAD DEL PROCEDIMIENTO SANCIONADOR ADMINISTRATIVO INICIADO POR EL INDOTEL CONTRA </w:t>
            </w:r>
            <w:r w:rsidRPr="005E478E">
              <w:rPr>
                <w:szCs w:val="24"/>
              </w:rPr>
              <w:lastRenderedPageBreak/>
              <w:t>EL SEÑOR LENIN SANTOS UREÑA, POR ALEGADA COMISIÓN DE LOS ILÍCITOS ADMINISTRATIVOS TIPIFICADOS COMO FALTAS MUY GRAVE Y GRAVE, AL ENCONTRARSE PRESTANDO EL SERVICIO DE RADIODIFUSIÓN SONORA SIN CONTAR CON LAS AUTORIZACIONES REQUERIDAS POR LA LEY GENERAL DE TELECOMUNICACIONES, NÚM. 153-98 Y SUS REGLAMENTOS.</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24</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025-2021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29-4</w:t>
            </w:r>
          </w:p>
        </w:tc>
        <w:tc>
          <w:tcPr>
            <w:tcW w:w="1701"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ALTICE DOMINICANA</w:t>
            </w:r>
          </w:p>
        </w:tc>
        <w:tc>
          <w:tcPr>
            <w:tcW w:w="4537" w:type="dxa"/>
            <w:shd w:val="clear" w:color="auto" w:fill="FFFFFF"/>
            <w:vAlign w:val="center"/>
          </w:tcPr>
          <w:p w:rsidR="00476D3F" w:rsidRPr="00D61B6F" w:rsidRDefault="00476D3F" w:rsidP="00476D3F">
            <w:pPr>
              <w:shd w:val="clear" w:color="auto" w:fill="F6F6F6"/>
              <w:spacing w:before="100" w:beforeAutospacing="1" w:after="100" w:afterAutospacing="1" w:line="360" w:lineRule="atLeast"/>
              <w:jc w:val="left"/>
              <w:rPr>
                <w:rFonts w:eastAsia="Times New Roman"/>
                <w:szCs w:val="24"/>
              </w:rPr>
            </w:pPr>
            <w:r w:rsidRPr="005E478E">
              <w:rPr>
                <w:rFonts w:eastAsia="Times New Roman"/>
                <w:szCs w:val="24"/>
              </w:rPr>
              <w:t>RESOLUCIÓN QUE DECIDE SOBRE EL RECURSO DE RECONSIDERACIÓN INTERPUESTO POR LA PRESTADORA DE SERVICIOS PÚBLICOS DE TELECOMUNICACIONES ALTICE DOMINICANA S. A. (ALTICE), CONTRA LA RESOLUCIÓN DEL CONSEJO DIRECTIVO NÚM. 005-21, QUE APRUEBA EL PLIEGO DE CONDICIONES, DESIGNA EL COMITÉ EVALUADOR   Y CONVOCA A LA LICITACIÓN PÚBLICA INTERNACIONAL INDOTEL/LPI-001-2021, PARA EL “OTORGAMIENTO DE CONCESIONES Y LAS LICENCIAS VINCULADAS  PARA LA PRESTACIÓN DE SERVICIOS PÚBLICOS PORTADOR Y FINALES DE  TELEFONÍA Y</w:t>
            </w:r>
            <w:r>
              <w:rPr>
                <w:rFonts w:eastAsia="Times New Roman"/>
                <w:szCs w:val="24"/>
              </w:rPr>
              <w:t xml:space="preserve"> </w:t>
            </w:r>
            <w:r w:rsidRPr="00D61B6F">
              <w:rPr>
                <w:rFonts w:eastAsia="Times New Roman"/>
                <w:szCs w:val="24"/>
              </w:rPr>
              <w:t xml:space="preserve">ACCESO A INTERNET, A TRAVÉS DE LA EXPLOTACIÓN DE FRECUENCIAS RADIOELÉCTRICAS DENTRO DE LAS BANDAS DE 698-806 MHZ Y 3300-3600 </w:t>
            </w:r>
            <w:r w:rsidRPr="00D61B6F">
              <w:rPr>
                <w:rFonts w:eastAsia="Times New Roman"/>
                <w:szCs w:val="24"/>
              </w:rPr>
              <w:lastRenderedPageBreak/>
              <w:t>MHZ EN TODO EL TERRITORIO NACIONAL”.</w:t>
            </w:r>
          </w:p>
          <w:p w:rsidR="00476D3F" w:rsidRDefault="00476D3F" w:rsidP="00476D3F">
            <w:pPr>
              <w:spacing w:after="0" w:line="240" w:lineRule="auto"/>
              <w:jc w:val="left"/>
              <w:rPr>
                <w:rFonts w:eastAsia="Times New Roman"/>
                <w:szCs w:val="24"/>
              </w:rPr>
            </w:pPr>
          </w:p>
          <w:p w:rsidR="00476D3F" w:rsidRPr="005E478E" w:rsidRDefault="00476D3F" w:rsidP="00476D3F">
            <w:pPr>
              <w:spacing w:after="0" w:line="240" w:lineRule="auto"/>
              <w:jc w:val="left"/>
              <w:rPr>
                <w:rFonts w:eastAsia="Times New Roman"/>
                <w:szCs w:val="24"/>
              </w:rPr>
            </w:pP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25</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026-2021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29-4</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DICTA LA “NORMA QUE REGULA LOS INDICADORES ESTADÍSTICOS DEL SECTOR TELECOMUNICACIONES DE LA REPÚBLICA DOMINICANA</w:t>
            </w:r>
            <w:r w:rsidRPr="00D61B6F">
              <w:rPr>
                <w:rFonts w:eastAsia="Times New Roman"/>
                <w:szCs w:val="24"/>
              </w:rPr>
              <w:t>”</w:t>
            </w:r>
            <w:r w:rsidRPr="005E478E">
              <w:rPr>
                <w:szCs w:val="24"/>
              </w:rPr>
              <w:t>.</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26</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027-2021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29-4</w:t>
            </w:r>
          </w:p>
        </w:tc>
        <w:tc>
          <w:tcPr>
            <w:tcW w:w="1701" w:type="dxa"/>
            <w:shd w:val="clear" w:color="auto" w:fill="auto"/>
          </w:tcPr>
          <w:p w:rsidR="00476D3F" w:rsidRPr="005E478E" w:rsidRDefault="00476D3F" w:rsidP="00476D3F">
            <w:pPr>
              <w:jc w:val="center"/>
              <w:rPr>
                <w:szCs w:val="24"/>
              </w:rPr>
            </w:pPr>
            <w:r w:rsidRPr="005E478E">
              <w:rPr>
                <w:szCs w:val="24"/>
              </w:rPr>
              <w:t>RADIO SANTA MARIA</w:t>
            </w:r>
          </w:p>
        </w:tc>
        <w:tc>
          <w:tcPr>
            <w:tcW w:w="4537" w:type="dxa"/>
            <w:shd w:val="clear" w:color="auto" w:fill="auto"/>
          </w:tcPr>
          <w:p w:rsidR="00476D3F" w:rsidRPr="00B36621" w:rsidRDefault="00476D3F" w:rsidP="00476D3F">
            <w:pPr>
              <w:shd w:val="clear" w:color="auto" w:fill="F6F6F6"/>
              <w:spacing w:before="100" w:beforeAutospacing="1" w:after="100" w:afterAutospacing="1" w:line="360" w:lineRule="atLeast"/>
              <w:jc w:val="left"/>
              <w:rPr>
                <w:rFonts w:eastAsia="Times New Roman"/>
                <w:szCs w:val="24"/>
              </w:rPr>
            </w:pPr>
            <w:r w:rsidRPr="005E478E">
              <w:rPr>
                <w:szCs w:val="24"/>
              </w:rPr>
              <w:t>RESOLUCIÓN QUE DECLARA ADECUADAS A LAS DISPOSICIONES DE LA LEY GENERAL DE TELECOMUNICACIONES NÚM. 153-98, LAS AUTORIZACIONES EXPEDIDAS POR LA DIRECCIÓN GENERAL DE TELECOMUNICACIONES (DGT) A FAVOR DE LA DIÓCESIS DE LA VEGA (RADIO SANTA MARÍA), PARA LA OPERACIÓN DE LAS FRECUENCIAS 590 KHZ, ATRIBUIDA AL SERVICIO DE RADIODIFUSIÓN SONORA EN LA BANDA DE FRECUENCIA AMPLITUD MODULADA (AM) Y 97.9 MHZ, ATRIBUIDA AL SERVICIO DE RADIODIFUSIÓN SONORA EN LA BANDA DE FRECUENCIA MODULADA (FM) Y DECLARA LA EXTINCIÓN</w:t>
            </w:r>
            <w:r>
              <w:rPr>
                <w:szCs w:val="24"/>
              </w:rPr>
              <w:t xml:space="preserve"> </w:t>
            </w:r>
            <w:r w:rsidRPr="00B36621">
              <w:rPr>
                <w:rFonts w:eastAsia="Times New Roman"/>
                <w:szCs w:val="24"/>
              </w:rPr>
              <w:t xml:space="preserve">DE LOS DERECHOS Y EFECTOS JURÍDICOS DERIVADOS DE LA AUTORIZACIÓN EXPEDIDA POR LA DIRECCIÓN GENERAL DE TELECOMUNICACIONES (DGT), A FAVOR DE RADIO SANTA MARÍA, </w:t>
            </w:r>
            <w:r w:rsidRPr="00B36621">
              <w:rPr>
                <w:rFonts w:eastAsia="Times New Roman"/>
                <w:szCs w:val="24"/>
              </w:rPr>
              <w:lastRenderedPageBreak/>
              <w:t>PARA EL USO DE LAS FRECUENCIAS 451.9 MHZ Y</w:t>
            </w:r>
            <w:r w:rsidRPr="00B36621">
              <w:rPr>
                <w:szCs w:val="24"/>
                <w:shd w:val="clear" w:color="auto" w:fill="F6F6F6"/>
              </w:rPr>
              <w:t xml:space="preserve"> 456.9 MHZ.</w:t>
            </w:r>
          </w:p>
          <w:p w:rsidR="00476D3F" w:rsidRPr="005E478E" w:rsidRDefault="00476D3F" w:rsidP="00476D3F">
            <w:pPr>
              <w:jc w:val="left"/>
              <w:rPr>
                <w:szCs w:val="24"/>
              </w:rPr>
            </w:pP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27</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028-2021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APRUEBA EL CIERRE DEFINITIVO DEL “PLAN BIANUAL DE PROYECTOS DE DESARROLLO PARA EL PERIODO 2019-2020”.</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29</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029-2021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APRUEBA EL PROYECTO ESPECIAL “RECEPCIÓN DE TELEVISIÓN DIGITAL EDUCATIVA PARA TODAS Y TODOS”, A TRAVÉS DEL CUAL EL INSTITUTO DOMINICANO DE LAS TELECOMUNICACIONES (INDOTEL) PROVEERÁ DE CAJAS CONVERTIDORAS DE SEÑAL ANÁLOGA A SEÑAL DIGITAL A HOGARES LOCALIZADOS EN PROVINCIAS DE LA REGIÓN DEL CIBAO, COMO PARTE DEL PROCESO DE TRANSICIÓN A LA TELEVISIÓN DIGITAL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30</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030-2021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RADIO SANTA MARIA</w:t>
            </w:r>
          </w:p>
        </w:tc>
        <w:tc>
          <w:tcPr>
            <w:tcW w:w="4537" w:type="dxa"/>
            <w:shd w:val="clear" w:color="auto" w:fill="auto"/>
          </w:tcPr>
          <w:p w:rsidR="00476D3F" w:rsidRPr="005E478E" w:rsidRDefault="00476D3F" w:rsidP="00476D3F">
            <w:pPr>
              <w:jc w:val="left"/>
              <w:rPr>
                <w:szCs w:val="24"/>
              </w:rPr>
            </w:pPr>
            <w:r w:rsidRPr="005E478E">
              <w:rPr>
                <w:szCs w:val="24"/>
              </w:rPr>
              <w:t>RESOLUCIÓN QUE HOMOLOGA EL ACUERDO PARA LA EFICIENTIZACIÓN DEL USO DEL ESPECTRO RADIOELÉCTRICO EN LA BANDA 700 MHZ Y LA VIABILIZACIÓN DE LA ENTRADA DE LA TELEVISIÓN TERRESTRE DIGITAL, SUSCRITO POR LA DIRECCIÓN EJECUTIVA Y RADIO SANTA MARÍA.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31</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031-2021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FRANASYL SRL</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HOMOLOGA EL ACUERDO PARA LA EFICIENTIZACIÓN DEL USO DEL ESPECTRO RADIOELÉCTRICO EN LA </w:t>
            </w:r>
            <w:r w:rsidRPr="005E478E">
              <w:rPr>
                <w:szCs w:val="24"/>
              </w:rPr>
              <w:lastRenderedPageBreak/>
              <w:t>BANDA 700 MHZ Y LA VIABILIZACIÓN DE LA ENTRADA DE LA TELEVISIÓN TERRESTRE DIGITAL, SUSCRITO POR LA DIRECCIÓN EJECUTIVA Y FRANASYL, S. R. 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32</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032-2021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FUNDACION CULTURAL ANTENA LATINA INC.</w:t>
            </w:r>
          </w:p>
        </w:tc>
        <w:tc>
          <w:tcPr>
            <w:tcW w:w="4537" w:type="dxa"/>
            <w:shd w:val="clear" w:color="auto" w:fill="auto"/>
          </w:tcPr>
          <w:p w:rsidR="00476D3F" w:rsidRPr="005E478E" w:rsidRDefault="00476D3F" w:rsidP="00476D3F">
            <w:pPr>
              <w:jc w:val="left"/>
              <w:rPr>
                <w:szCs w:val="24"/>
              </w:rPr>
            </w:pPr>
            <w:r w:rsidRPr="005E478E">
              <w:rPr>
                <w:szCs w:val="24"/>
              </w:rPr>
              <w:t>RESOLUCIÓN QUE HOMOLOGA EL ACUERDO PARA LA EFICIENTIZACIÓN DEL USO DEL ESPECTRO RADIOELÉCTRICO EN LA BANDA 700 MHZ Y LA VIABILIZARÍAN DE LA ENTRADA DE LA TELEVISIÓN TERRESTRE DIGITAL, SUSCRITO POR LA DIRECCIÓN EJECUTIVA Y FUNDACIÓN CULTURAL ANTENA LATINA, INC.</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33</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033-2021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INVERSIONES AMANA</w:t>
            </w:r>
          </w:p>
        </w:tc>
        <w:tc>
          <w:tcPr>
            <w:tcW w:w="4537" w:type="dxa"/>
            <w:shd w:val="clear" w:color="auto" w:fill="auto"/>
          </w:tcPr>
          <w:p w:rsidR="00476D3F" w:rsidRPr="005E478E" w:rsidRDefault="00476D3F" w:rsidP="00476D3F">
            <w:pPr>
              <w:jc w:val="left"/>
              <w:rPr>
                <w:szCs w:val="24"/>
              </w:rPr>
            </w:pPr>
            <w:r w:rsidRPr="005E478E">
              <w:rPr>
                <w:szCs w:val="24"/>
              </w:rPr>
              <w:t>RESOLUCIÓN QUE HOMOLOGA EL ACUERDO PARA LA EFICIENTIZACIÓN DEL USO DEL ESPECTRO RADIOELÉCTRICO EN LA BANDA 700 MHZ Y LA VIABILIZARÍAN DE LA ENTRADA DE LA TELEVISIÓN TERRESTRE DIGITAL, SUSCRITO POR LA DIRECCIÓN EJECUTIVA E INVERSIONES AMANA, S. 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34</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034-2021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RADIO SANTA MARIA</w:t>
            </w:r>
          </w:p>
        </w:tc>
        <w:tc>
          <w:tcPr>
            <w:tcW w:w="4537" w:type="dxa"/>
            <w:shd w:val="clear" w:color="auto" w:fill="auto"/>
          </w:tcPr>
          <w:p w:rsidR="00476D3F" w:rsidRPr="005E478E" w:rsidRDefault="00476D3F" w:rsidP="00476D3F">
            <w:pPr>
              <w:jc w:val="left"/>
              <w:rPr>
                <w:szCs w:val="24"/>
              </w:rPr>
            </w:pPr>
            <w:r w:rsidRPr="005E478E">
              <w:rPr>
                <w:szCs w:val="24"/>
              </w:rPr>
              <w:t>RESOLUCIÓN QUE DECLARA ADECUADA A LAS DISPOSICIONES DE LA LEY GENERAL DE TELECOMUNICACIONES NÚM. 153-98, LA AUTORIZACIÓN EXPEDIDA POR LA DIRECCIÓ</w:t>
            </w:r>
            <w:r>
              <w:rPr>
                <w:szCs w:val="24"/>
              </w:rPr>
              <w:t xml:space="preserve">N GENERAL DE TELECOMUNICACIONES </w:t>
            </w:r>
            <w:r w:rsidRPr="005E478E">
              <w:rPr>
                <w:szCs w:val="24"/>
              </w:rPr>
              <w:t xml:space="preserve">(DGT), A FAVOR DE LA DIÓCESIS DE LA VEGA, QUE AMPARA EL DERECHO DE USO DEL SEGMENTO DE FRECUENCIAS COMPRENDIDO ENTRE LOS 704 MHZ Y LOS 710 MHZ (CANAL 53 UHF) PARA LA REGIÓN 2, ATRIBUIDOS AL </w:t>
            </w:r>
            <w:r w:rsidRPr="005E478E">
              <w:rPr>
                <w:szCs w:val="24"/>
              </w:rPr>
              <w:lastRenderedPageBreak/>
              <w:t>SERVICIO DE RADIODIFUSIÓN TELEVISIVA.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35</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035-2021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7-5</w:t>
            </w:r>
          </w:p>
        </w:tc>
        <w:tc>
          <w:tcPr>
            <w:tcW w:w="1701" w:type="dxa"/>
            <w:shd w:val="clear" w:color="auto" w:fill="auto"/>
          </w:tcPr>
          <w:p w:rsidR="00476D3F" w:rsidRPr="005E478E" w:rsidRDefault="00476D3F" w:rsidP="00476D3F">
            <w:pPr>
              <w:jc w:val="center"/>
              <w:rPr>
                <w:szCs w:val="24"/>
              </w:rPr>
            </w:pPr>
            <w:r w:rsidRPr="005E478E">
              <w:rPr>
                <w:szCs w:val="24"/>
              </w:rPr>
              <w:t>CORPORACION STAR HILL SRL</w:t>
            </w:r>
          </w:p>
        </w:tc>
        <w:tc>
          <w:tcPr>
            <w:tcW w:w="4537" w:type="dxa"/>
            <w:shd w:val="clear" w:color="auto" w:fill="auto"/>
          </w:tcPr>
          <w:p w:rsidR="00476D3F" w:rsidRPr="005E478E" w:rsidRDefault="00476D3F" w:rsidP="00476D3F">
            <w:pPr>
              <w:jc w:val="left"/>
              <w:rPr>
                <w:szCs w:val="24"/>
              </w:rPr>
            </w:pPr>
            <w:r w:rsidRPr="005E478E">
              <w:rPr>
                <w:szCs w:val="24"/>
              </w:rPr>
              <w:t>DE RESOLUCIÓN QUE OTORGA A LA SOCIEDAD CORPORACIÓN STAR HILLS, S.R.L. LAS LICENCIAS CORRESPONDIENTES QUE AMPARA EL DERECHO DE USO DE LAS FRECUENCIAS 452.2875 MHZ, 457.2875 MHZ, 452.3125 MHZ Y 457.3125 MHZ PARA LA OPERACIÓN DE UN SISTEMA DE RADIOCOMUNICACIÓN PRIVADA EN LA PROVINCIA DE PUERTO PLATA.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36</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036-2021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13-5</w:t>
            </w:r>
          </w:p>
        </w:tc>
        <w:tc>
          <w:tcPr>
            <w:tcW w:w="1701" w:type="dxa"/>
            <w:shd w:val="clear" w:color="auto" w:fill="auto"/>
          </w:tcPr>
          <w:p w:rsidR="00476D3F" w:rsidRPr="005E478E" w:rsidRDefault="00476D3F" w:rsidP="00476D3F">
            <w:pPr>
              <w:jc w:val="center"/>
              <w:rPr>
                <w:szCs w:val="24"/>
              </w:rPr>
            </w:pPr>
            <w:r>
              <w:rPr>
                <w:szCs w:val="24"/>
              </w:rPr>
              <w:t>IVÁN ESMERALDO ESTÉ</w:t>
            </w:r>
            <w:r w:rsidRPr="005E478E">
              <w:rPr>
                <w:szCs w:val="24"/>
              </w:rPr>
              <w:t>VEZ</w:t>
            </w:r>
          </w:p>
        </w:tc>
        <w:tc>
          <w:tcPr>
            <w:tcW w:w="4537" w:type="dxa"/>
            <w:shd w:val="clear" w:color="auto" w:fill="auto"/>
          </w:tcPr>
          <w:p w:rsidR="00476D3F" w:rsidRPr="005E478E" w:rsidRDefault="00476D3F" w:rsidP="00476D3F">
            <w:pPr>
              <w:jc w:val="left"/>
              <w:rPr>
                <w:szCs w:val="24"/>
              </w:rPr>
            </w:pPr>
            <w:r w:rsidRPr="005E478E">
              <w:rPr>
                <w:szCs w:val="24"/>
              </w:rPr>
              <w:t>RESOLUCIÓN QUE DECLARA LA CADUCIDAD DEL PROCEDIMIENTO SANCIONADOR ADMINISTRATIVO INICIADO POR EL INDOTEL CONTRA EL SEÑOR IVÁN ESTÉVEZ, POR ALEGADA COMISIÓN DE LOS ILÍCITOS ADMINISTRATIVOS TIPIFICADOS COMO FALTAS MUY GRAVE Y GRAVE, AL ENCONTRARSE PRESTANDO EL SERVICIO DE RADIODIFUSIÓN SONORA SIN CONTAR CON LAS AUTORIZACIONES REQUERIDAS POR LA LEY GENERAL DE TELECOMUNICACIONES, NÚM. 153-98 Y SUS REGLAMENTOS.</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37</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037-2021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13-5</w:t>
            </w:r>
          </w:p>
        </w:tc>
        <w:tc>
          <w:tcPr>
            <w:tcW w:w="1701" w:type="dxa"/>
            <w:shd w:val="clear" w:color="auto" w:fill="auto"/>
          </w:tcPr>
          <w:p w:rsidR="00476D3F" w:rsidRPr="005E478E" w:rsidRDefault="00476D3F" w:rsidP="00476D3F">
            <w:pPr>
              <w:rPr>
                <w:szCs w:val="24"/>
              </w:rPr>
            </w:pPr>
            <w:r w:rsidRPr="005E478E">
              <w:rPr>
                <w:szCs w:val="24"/>
              </w:rPr>
              <w:t>RAFAEL ANTONIO BATISTA</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DECLARA LA CADUCIDAD DEL PROCEDIMIENTO SANCIONADOR ADMINISTRATIVO INICIADO POR LA DIRECCIÓN EJECUTIVA EN CONTRA DEL PRESUNTO RESPONSABLE EL SEÑOR RAFAEL ANTONIO BATISTA QUE TRANSMITÍA EN LA FRECUENCIA 95.3 MHZ, IDENTIFICADA CON EL NOMBRE BUENISIMA, POR LA </w:t>
            </w:r>
            <w:r w:rsidRPr="005E478E">
              <w:rPr>
                <w:szCs w:val="24"/>
              </w:rPr>
              <w:lastRenderedPageBreak/>
              <w:t>EXISTENCIA DE INDICIOS DE COMISIÓN DE FALTAS ADMINISTRATIVAS Y CONDUCTAS CONTRARIAS A LA LEY GENERAL DE TELECOMUNICACIONES NÚM. 153-98.</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38</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038-2021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13-5</w:t>
            </w:r>
          </w:p>
        </w:tc>
        <w:tc>
          <w:tcPr>
            <w:tcW w:w="1701" w:type="dxa"/>
            <w:shd w:val="clear" w:color="auto" w:fill="auto"/>
          </w:tcPr>
          <w:p w:rsidR="00476D3F" w:rsidRPr="005E478E" w:rsidRDefault="00476D3F" w:rsidP="00476D3F">
            <w:pPr>
              <w:jc w:val="center"/>
              <w:rPr>
                <w:szCs w:val="24"/>
              </w:rPr>
            </w:pPr>
            <w:r w:rsidRPr="005E478E">
              <w:rPr>
                <w:szCs w:val="24"/>
              </w:rPr>
              <w:t>RAMON PEÑA</w:t>
            </w:r>
          </w:p>
        </w:tc>
        <w:tc>
          <w:tcPr>
            <w:tcW w:w="4537" w:type="dxa"/>
            <w:shd w:val="clear" w:color="auto" w:fill="auto"/>
          </w:tcPr>
          <w:p w:rsidR="00476D3F" w:rsidRPr="005E478E" w:rsidRDefault="00476D3F" w:rsidP="00476D3F">
            <w:pPr>
              <w:jc w:val="left"/>
              <w:rPr>
                <w:szCs w:val="24"/>
              </w:rPr>
            </w:pPr>
            <w:r w:rsidRPr="005E478E">
              <w:rPr>
                <w:szCs w:val="24"/>
              </w:rPr>
              <w:t>RESOLUCIÓN QUE DECIDE EL PROCEDIMIENTO SANCIONADOR ADMINISTRATIVO SEGUIDO CONTRA EL SEÑOR RAMÓN IGNACIO PEÑA PÉREZ, 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39</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039-2021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13-5</w:t>
            </w:r>
          </w:p>
        </w:tc>
        <w:tc>
          <w:tcPr>
            <w:tcW w:w="1701" w:type="dxa"/>
            <w:shd w:val="clear" w:color="auto" w:fill="auto"/>
          </w:tcPr>
          <w:p w:rsidR="00476D3F" w:rsidRPr="005E478E" w:rsidRDefault="00476D3F" w:rsidP="00476D3F">
            <w:pPr>
              <w:jc w:val="center"/>
              <w:rPr>
                <w:szCs w:val="24"/>
              </w:rPr>
            </w:pPr>
            <w:r w:rsidRPr="005E478E">
              <w:rPr>
                <w:szCs w:val="24"/>
              </w:rPr>
              <w:t>WILLY GONZÁLEZ</w:t>
            </w:r>
          </w:p>
        </w:tc>
        <w:tc>
          <w:tcPr>
            <w:tcW w:w="4537" w:type="dxa"/>
            <w:shd w:val="clear" w:color="auto" w:fill="auto"/>
          </w:tcPr>
          <w:p w:rsidR="00476D3F" w:rsidRPr="005E478E" w:rsidRDefault="00476D3F" w:rsidP="00476D3F">
            <w:pPr>
              <w:jc w:val="left"/>
              <w:rPr>
                <w:szCs w:val="24"/>
              </w:rPr>
            </w:pPr>
            <w:r w:rsidRPr="005E478E">
              <w:rPr>
                <w:szCs w:val="24"/>
              </w:rPr>
              <w:t>RESOLUCIÓN QUE DECIDE EL PROCEDIMIENTO SANCIONADOR ADMINISTRATIVO SEGUIDO CONTRA EL SEÑOR WILLY GONZÁLEZ SANTOS, 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40</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040-2021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20-5</w:t>
            </w:r>
          </w:p>
        </w:tc>
        <w:tc>
          <w:tcPr>
            <w:tcW w:w="1701" w:type="dxa"/>
            <w:shd w:val="clear" w:color="auto" w:fill="auto"/>
          </w:tcPr>
          <w:p w:rsidR="00476D3F" w:rsidRPr="005E478E" w:rsidRDefault="00476D3F" w:rsidP="00476D3F">
            <w:pPr>
              <w:jc w:val="center"/>
              <w:rPr>
                <w:szCs w:val="24"/>
              </w:rPr>
            </w:pPr>
            <w:r w:rsidRPr="005E478E">
              <w:rPr>
                <w:szCs w:val="24"/>
              </w:rPr>
              <w:t>TELEUNION</w:t>
            </w:r>
          </w:p>
        </w:tc>
        <w:tc>
          <w:tcPr>
            <w:tcW w:w="4537" w:type="dxa"/>
            <w:shd w:val="clear" w:color="auto" w:fill="auto"/>
          </w:tcPr>
          <w:p w:rsidR="00476D3F" w:rsidRPr="005E478E" w:rsidRDefault="00476D3F" w:rsidP="00476D3F">
            <w:pPr>
              <w:jc w:val="left"/>
              <w:rPr>
                <w:szCs w:val="24"/>
              </w:rPr>
            </w:pPr>
            <w:r w:rsidRPr="005E478E">
              <w:rPr>
                <w:szCs w:val="24"/>
              </w:rPr>
              <w:t xml:space="preserve">DE RESOLUCIÓN QUE HOMOLOGA EL ACUERDO PARA LA EFICIENTIZACIÓN DEL USO DEL ESPECTRO RADIOELÉCTRICO EN LA BANDA 700 MHZ Y LA VIABILIZACIÓN DE LA ENTRADA DE LA TELEVISIÓN TERRESTRE DIGITAL, </w:t>
            </w:r>
            <w:r w:rsidRPr="005E478E">
              <w:rPr>
                <w:szCs w:val="24"/>
              </w:rPr>
              <w:lastRenderedPageBreak/>
              <w:t>SUSCRITO POR LA DIRECC</w:t>
            </w:r>
            <w:r>
              <w:rPr>
                <w:szCs w:val="24"/>
              </w:rPr>
              <w:t>IÓN EJECUTIVA Y TELEUNIÓN, S.R.L.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41</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041-2021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20-5</w:t>
            </w:r>
          </w:p>
        </w:tc>
        <w:tc>
          <w:tcPr>
            <w:tcW w:w="1701" w:type="dxa"/>
            <w:shd w:val="clear" w:color="auto" w:fill="auto"/>
          </w:tcPr>
          <w:p w:rsidR="00476D3F" w:rsidRPr="005E478E" w:rsidRDefault="00476D3F" w:rsidP="00476D3F">
            <w:pPr>
              <w:jc w:val="center"/>
              <w:rPr>
                <w:szCs w:val="24"/>
              </w:rPr>
            </w:pPr>
            <w:r w:rsidRPr="005E478E">
              <w:rPr>
                <w:szCs w:val="24"/>
              </w:rPr>
              <w:t>BANCO INTERCONTINENAL, S.A.</w:t>
            </w:r>
          </w:p>
        </w:tc>
        <w:tc>
          <w:tcPr>
            <w:tcW w:w="4537" w:type="dxa"/>
            <w:shd w:val="clear" w:color="auto" w:fill="auto"/>
          </w:tcPr>
          <w:p w:rsidR="00476D3F" w:rsidRPr="005E478E" w:rsidRDefault="00476D3F" w:rsidP="00476D3F">
            <w:pPr>
              <w:jc w:val="left"/>
              <w:rPr>
                <w:szCs w:val="24"/>
              </w:rPr>
            </w:pPr>
            <w:r w:rsidRPr="005E478E">
              <w:rPr>
                <w:szCs w:val="24"/>
              </w:rPr>
              <w:t>RESOLUCIÓN QUE HOMOLOGA EL ACUERDO PARA LA EFICIENTIZACIÓN DEL USO DEL ESPECTRO RADIOELÉCTRICO EN LA BANDA 700 MHZ Y LA VIABILIZACIÓN DE LA ENTRADA DE LA TELEVISIÓN TERRESTRE DIGITAL, SUSCRITO POR LA DIRECCIÓN EJECUTIVA Y LA COMISIÓN DE LIQUIDACIÓN ADMINISTRATIVA DEL BANCO INTERCONTINENTAL, S. A., (BANINTER).</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42</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042-2021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20-5</w:t>
            </w:r>
          </w:p>
        </w:tc>
        <w:tc>
          <w:tcPr>
            <w:tcW w:w="1701" w:type="dxa"/>
            <w:shd w:val="clear" w:color="auto" w:fill="auto"/>
          </w:tcPr>
          <w:p w:rsidR="00476D3F" w:rsidRPr="005E478E" w:rsidRDefault="00476D3F" w:rsidP="00476D3F">
            <w:pPr>
              <w:jc w:val="center"/>
              <w:rPr>
                <w:szCs w:val="24"/>
              </w:rPr>
            </w:pPr>
            <w:r w:rsidRPr="005E478E">
              <w:rPr>
                <w:szCs w:val="24"/>
              </w:rPr>
              <w:t>CIBAO TV MEDIOS</w:t>
            </w:r>
          </w:p>
        </w:tc>
        <w:tc>
          <w:tcPr>
            <w:tcW w:w="4537" w:type="dxa"/>
            <w:shd w:val="clear" w:color="auto" w:fill="auto"/>
          </w:tcPr>
          <w:p w:rsidR="00476D3F" w:rsidRPr="005E478E" w:rsidRDefault="00476D3F" w:rsidP="00476D3F">
            <w:pPr>
              <w:jc w:val="left"/>
              <w:rPr>
                <w:szCs w:val="24"/>
              </w:rPr>
            </w:pPr>
            <w:r w:rsidRPr="005E478E">
              <w:rPr>
                <w:szCs w:val="24"/>
              </w:rPr>
              <w:t>RESOLUCIÓN QUE HOMOLOGA EL ACUERDO PARA LA EFICIENTIZACIÓN DEL USO DEL ESPECTRO RADIOELÉCTRICO EN LA BANDA 700 MHZ Y LA VIABILIZACIÓN DE LA ENTRADA DE LA TELEVISIÓN TERRESTRE DIGITAL, SUSCRITO POR LA DIRECCIÓN EJECUTIVA Y CIBAO TV. MEDIOS, S. R. 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43</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043-2021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INDOTEL</w:t>
            </w:r>
          </w:p>
        </w:tc>
        <w:tc>
          <w:tcPr>
            <w:tcW w:w="4537" w:type="dxa"/>
            <w:shd w:val="clear" w:color="auto" w:fill="auto"/>
          </w:tcPr>
          <w:p w:rsidR="00476D3F" w:rsidRPr="005E478E" w:rsidRDefault="00476D3F" w:rsidP="00476D3F">
            <w:pPr>
              <w:jc w:val="left"/>
              <w:rPr>
                <w:szCs w:val="24"/>
              </w:rPr>
            </w:pPr>
            <w:r w:rsidRPr="005E478E">
              <w:rPr>
                <w:szCs w:val="24"/>
              </w:rPr>
              <w:t>RESOLUCIÓN QUE ACTUALIZA EL VALOR DEL MONTO DE LA FIANZA MERCANTIL Y LAS CONDICIONES DE LA PÓLIZA DE SEGURO DE RESPONSABILIDAD QUE DEBEN CONTRATAR LAS ENTIDADES DE CERTIFICACIÓN AUTORIZADAS Y LAS QUE SOLICITEN SER ACREDITADAS, PARA CUBRIR LOS POSIBLES DAÑOS Y PERJUICIOS QUE PUEDAN CAUSAR A LOS CLIENTES DE LOS SERVICIOS ELECTRÓNICOS DE CONFIANZA.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44</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044-2021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AMERICAN AIRLINES</w:t>
            </w:r>
          </w:p>
        </w:tc>
        <w:tc>
          <w:tcPr>
            <w:tcW w:w="4537" w:type="dxa"/>
            <w:shd w:val="clear" w:color="auto" w:fill="auto"/>
          </w:tcPr>
          <w:p w:rsidR="00476D3F" w:rsidRPr="005E478E" w:rsidRDefault="00476D3F" w:rsidP="00476D3F">
            <w:pPr>
              <w:jc w:val="left"/>
              <w:rPr>
                <w:szCs w:val="24"/>
              </w:rPr>
            </w:pPr>
            <w:r w:rsidRPr="005E478E">
              <w:rPr>
                <w:szCs w:val="24"/>
              </w:rPr>
              <w:t>RESOLUCIÓN QUE DECIDE LA SOLICITUD DE LICENCIA PRESENTADA POR LA SOCIEDAD AMERICAN AIRLINES, INC., QUE AMPARA EL DERECHO DE USO DE LA FRECUENCIA 131.425 MHZ Y 131.500 MHZ, PARA LA OPERACIÓN DE SERVICIOS MÓVILES AERONÁUTICOS EN EL AEROPUERTO INTERNACIONAL EL CATEY, PROVINCIA DE SAMANÁ.</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45</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045-2021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NAFTEX INTERNACIONAL SRL.</w:t>
            </w:r>
          </w:p>
        </w:tc>
        <w:tc>
          <w:tcPr>
            <w:tcW w:w="4537" w:type="dxa"/>
            <w:shd w:val="clear" w:color="auto" w:fill="auto"/>
          </w:tcPr>
          <w:p w:rsidR="00476D3F" w:rsidRPr="005E478E" w:rsidRDefault="00476D3F" w:rsidP="00476D3F">
            <w:pPr>
              <w:jc w:val="left"/>
              <w:rPr>
                <w:szCs w:val="24"/>
              </w:rPr>
            </w:pPr>
            <w:r w:rsidRPr="005E478E">
              <w:rPr>
                <w:szCs w:val="24"/>
              </w:rPr>
              <w:t>RESOLUCIÓN QUE DECIDE LA SOLICITUD DE LICENCIA PRESENTADA POR LA SOCIEDAD NAFTEX INTERNACIONAL, S.R.L., QUE AMPARA EL DERECHO DE USO DE LA FRECUENCIA 433.36 MHZ, PARA LA OPERACIÓN DE UN SISTEMA DE RADIOCOMUNICACIÓN PRIVADA.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46</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046-2021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CABLE DEL NORTE</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DECIDE SOBRE LAS SOLICITUDES PRESENTADAS POR LA SOCIEDAD CABLE DEL NORTE, S.R.L. PARA LA AMPLIACIÓN DE CONCESIÓN A FIN DE PRESTAR EL SERVICIO DE ACCESO A INTERNET EN EL DISTRITO MUNICIPAL DE CABARETE, MUNICIPIO SOSÚA, PROVINCIA PUERTO PLATA Y LA SOLICITUD DE EXPANSIÓN GEOGRÁFICA PARA PRESTAR EL SERVICIO PÚBLICO DE DIFUSIÓN POR CABLE Y ACCESO A INTERNET EN LA PROVINCIA DE MARÍA TRINIDAD SÁNCHEZ.  </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47</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047-2021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CABLEVISIÓN JARABACOA</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DECIDE   SOBRE LA SOLICITUD DE AMPLIACIÓN DE CONCESIÓN PRESENTADA POR LA SOCIEDAD CABLEVISIÓN </w:t>
            </w:r>
            <w:r w:rsidRPr="005E478E">
              <w:rPr>
                <w:szCs w:val="24"/>
              </w:rPr>
              <w:lastRenderedPageBreak/>
              <w:t>JARABACOA, S.R.L., PARA EN ADICIÓN AL SERVICIO PÚBLICO DE DIFUSIÓN POR CABLE, PRESTAR EL SERVICIO DE ACCESO A INTERNET EN EL MUNICIPIO DE JARABACOA, PROVINCIA LA VEGA.</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48</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048-2021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COMISIÓN DE LIQUIDACIÓN ADMINISTRAVIA DEL BANCO INTERCONTINENTAL</w:t>
            </w:r>
          </w:p>
        </w:tc>
        <w:tc>
          <w:tcPr>
            <w:tcW w:w="4537" w:type="dxa"/>
            <w:shd w:val="clear" w:color="auto" w:fill="auto"/>
          </w:tcPr>
          <w:p w:rsidR="00476D3F" w:rsidRPr="002B39D8" w:rsidRDefault="00476D3F" w:rsidP="00476D3F">
            <w:pPr>
              <w:shd w:val="clear" w:color="auto" w:fill="F6F6F6"/>
              <w:spacing w:before="100" w:beforeAutospacing="1" w:after="100" w:afterAutospacing="1" w:line="360" w:lineRule="atLeast"/>
              <w:jc w:val="left"/>
              <w:rPr>
                <w:rFonts w:ascii="Arial" w:eastAsia="Times New Roman" w:hAnsi="Arial" w:cs="Arial"/>
                <w:color w:val="777777"/>
              </w:rPr>
            </w:pPr>
            <w:r w:rsidRPr="005E478E">
              <w:rPr>
                <w:szCs w:val="24"/>
              </w:rPr>
              <w:t>RESOLUCIÓN QUE DECLARA ADECUADAS A LAS DISPOSICIONES DE LA LEY GENERAL DE TELECOMUNICACIONES NÚM. 153-98, LAS AUTORIZACIONES OTORGADAS POR LA ANTIGUA DIRECCIÓN GENERAL DE TELECOMUNICACIONES (DGT), A FAVOR DE LA SOCIEDAD FRECUENCIAS Y MEDIOS, S.A., PARA LA PRESTACIÓN DEL SERVICIO DE RADIODIFUSIÓN TELEVISIVA DEL CANAL 57 UHF, EN TODO EL TERRITORIO NACIONAL Y, A FAVOR DE LA SOCIEDAD ONDAS Y MEDIOS, S.A., PARA LA PRESTACIÓN DEL SERVICIO DE RADIODIFUSIÓN TELEVISIVA DEL CANAL 67 UHF, EN LA ZONA 2, CON</w:t>
            </w:r>
            <w:r>
              <w:rPr>
                <w:szCs w:val="24"/>
              </w:rPr>
              <w:t xml:space="preserve"> </w:t>
            </w:r>
            <w:r w:rsidRPr="00B5496F">
              <w:rPr>
                <w:rFonts w:eastAsia="Times New Roman"/>
                <w:szCs w:val="24"/>
              </w:rPr>
              <w:t>TRANSMISOR UBICADO EN SANTIAGO</w:t>
            </w:r>
            <w:r w:rsidRPr="00D2336F">
              <w:rPr>
                <w:rFonts w:ascii="Arial" w:eastAsia="Times New Roman" w:hAnsi="Arial" w:cs="Arial"/>
                <w:color w:val="777777"/>
              </w:rPr>
              <w:t>.</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49</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049-2021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ALTICE DOMINICANA</w:t>
            </w:r>
          </w:p>
        </w:tc>
        <w:tc>
          <w:tcPr>
            <w:tcW w:w="4537" w:type="dxa"/>
            <w:shd w:val="clear" w:color="auto" w:fill="auto"/>
          </w:tcPr>
          <w:p w:rsidR="00476D3F" w:rsidRPr="00944E18" w:rsidRDefault="00476D3F" w:rsidP="00476D3F">
            <w:pPr>
              <w:shd w:val="clear" w:color="auto" w:fill="F6F6F6"/>
              <w:spacing w:before="100" w:beforeAutospacing="1" w:after="100" w:afterAutospacing="1" w:line="360" w:lineRule="atLeast"/>
              <w:jc w:val="left"/>
              <w:rPr>
                <w:rFonts w:eastAsia="Times New Roman"/>
                <w:szCs w:val="24"/>
              </w:rPr>
            </w:pPr>
            <w:r w:rsidRPr="005E478E">
              <w:rPr>
                <w:szCs w:val="24"/>
              </w:rPr>
              <w:t xml:space="preserve">RESOLUCIÓN QUE DECIDE SOBRE EL RECURSO DE RECONSIDERACIÓN INTERPUESTO POR LA PRESTADORA DE SERVICIOS PÚBLICOS DE TELECOMUNICACIONES ALTICE DOMINICANA S. A. (ALTICE), CONTRA LA RESOLUCIÓN DEL CONSEJO DIRECTIVO NÚM. 019-2021, QUE DICTA LA ENMIENDA NÚMERO 1 AL </w:t>
            </w:r>
            <w:r w:rsidRPr="005E478E">
              <w:rPr>
                <w:szCs w:val="24"/>
              </w:rPr>
              <w:lastRenderedPageBreak/>
              <w:t>PLIEGO DE CONDICIONES DE LA  LICITACIÓN PÚBLICA INTERNACIONAL INDOTEL/LPI-001-2021, PARA EL  “OTORGAMIENTO DE CONCESIONES Y LAS LICENCIAS VINCULADAS PARA LA  PRESTACIÓN DE SERVICIOS PÚBLICOS PORTADOR Y FINALES DE TELEFONÍA Y  ACCESO A INTERNE</w:t>
            </w:r>
            <w:r>
              <w:rPr>
                <w:szCs w:val="24"/>
              </w:rPr>
              <w:t xml:space="preserve">T </w:t>
            </w:r>
            <w:r w:rsidRPr="00B5496F">
              <w:rPr>
                <w:rFonts w:eastAsia="Times New Roman"/>
                <w:szCs w:val="24"/>
              </w:rPr>
              <w:t>A TRAVÉS DE LA EXPLOTACIÓN DE FRECUENCIAS RADIOELÉCTRICAS DENTRO DE LAS BANDAS DE 698-806 MHZ Y 3300-3600 MHZ EN TODO EL TERRITORIO NACIONAL”.</w:t>
            </w:r>
          </w:p>
        </w:tc>
      </w:tr>
      <w:tr w:rsidR="00476D3F" w:rsidRPr="005E478E" w:rsidTr="000E06D1">
        <w:trPr>
          <w:trHeight w:val="70"/>
          <w:jc w:val="center"/>
        </w:trPr>
        <w:tc>
          <w:tcPr>
            <w:tcW w:w="846"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lastRenderedPageBreak/>
              <w:t>50</w:t>
            </w:r>
          </w:p>
        </w:tc>
        <w:tc>
          <w:tcPr>
            <w:tcW w:w="850"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050-2021</w:t>
            </w:r>
          </w:p>
        </w:tc>
        <w:tc>
          <w:tcPr>
            <w:tcW w:w="1134" w:type="dxa"/>
            <w:shd w:val="clear" w:color="auto" w:fill="auto"/>
            <w:vAlign w:val="center"/>
          </w:tcPr>
          <w:p w:rsidR="00476D3F" w:rsidRPr="005E478E" w:rsidRDefault="00476D3F" w:rsidP="00476D3F">
            <w:pPr>
              <w:spacing w:after="0" w:line="240" w:lineRule="auto"/>
              <w:jc w:val="center"/>
              <w:rPr>
                <w:rFonts w:eastAsia="Times New Roman"/>
                <w:szCs w:val="24"/>
              </w:rPr>
            </w:pPr>
            <w:r w:rsidRPr="005E478E">
              <w:rPr>
                <w:rFonts w:eastAsia="Times New Roman"/>
                <w:szCs w:val="24"/>
              </w:rPr>
              <w:t>27-5</w:t>
            </w:r>
          </w:p>
        </w:tc>
        <w:tc>
          <w:tcPr>
            <w:tcW w:w="1701" w:type="dxa"/>
            <w:shd w:val="clear" w:color="auto" w:fill="auto"/>
          </w:tcPr>
          <w:p w:rsidR="00476D3F" w:rsidRPr="005E478E" w:rsidRDefault="00476D3F" w:rsidP="00476D3F">
            <w:pPr>
              <w:jc w:val="center"/>
              <w:rPr>
                <w:szCs w:val="24"/>
              </w:rPr>
            </w:pPr>
            <w:r w:rsidRPr="005E478E">
              <w:rPr>
                <w:szCs w:val="24"/>
              </w:rPr>
              <w:t>PRODUCCIONES PEÑA</w:t>
            </w:r>
          </w:p>
        </w:tc>
        <w:tc>
          <w:tcPr>
            <w:tcW w:w="4537" w:type="dxa"/>
            <w:shd w:val="clear" w:color="auto" w:fill="auto"/>
          </w:tcPr>
          <w:p w:rsidR="00476D3F" w:rsidRPr="005E478E" w:rsidRDefault="00476D3F" w:rsidP="00476D3F">
            <w:pPr>
              <w:jc w:val="left"/>
              <w:rPr>
                <w:szCs w:val="24"/>
              </w:rPr>
            </w:pPr>
            <w:r w:rsidRPr="005E478E">
              <w:rPr>
                <w:szCs w:val="24"/>
              </w:rPr>
              <w:t xml:space="preserve">RESOLUCIÓN QUE HOMOLOGA EL ACUERDO PARA LA EFICIENTIZACIÓN DEL USO DEL ESPECTRO RADIOELÉCTRICO EN LA BANDA 700 MHZ Y LA VIABILIZACIÓN DE LA ENTRADA DE LA TELEVISIÓN TERRESTRE DIGITAL, SUSCRITO POR LA DIRECCIÓN EJECUTIVA Y PRODUCCIONES PEÑA, S. A., S.R.L.,  </w:t>
            </w:r>
          </w:p>
        </w:tc>
      </w:tr>
    </w:tbl>
    <w:p w:rsidR="00476D3F" w:rsidRPr="00CE5FBB" w:rsidRDefault="00476D3F" w:rsidP="00476D3F">
      <w:pPr>
        <w:pBdr>
          <w:top w:val="nil"/>
          <w:left w:val="nil"/>
          <w:bottom w:val="nil"/>
          <w:right w:val="nil"/>
          <w:between w:val="nil"/>
        </w:pBdr>
        <w:spacing w:after="0" w:line="240" w:lineRule="auto"/>
        <w:rPr>
          <w:rFonts w:eastAsia="Times New Roman"/>
          <w:b/>
          <w:color w:val="000000"/>
          <w:szCs w:val="24"/>
        </w:rPr>
      </w:pPr>
      <w:bookmarkStart w:id="91" w:name="_1fob9te" w:colFirst="0" w:colLast="0"/>
      <w:bookmarkEnd w:id="91"/>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993"/>
        <w:gridCol w:w="1134"/>
        <w:gridCol w:w="2977"/>
        <w:gridCol w:w="3402"/>
      </w:tblGrid>
      <w:tr w:rsidR="00476D3F" w:rsidRPr="00CE5FBB" w:rsidTr="00476D3F">
        <w:trPr>
          <w:trHeight w:val="769"/>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5</w:t>
            </w:r>
            <w:r w:rsidRPr="00CE5FBB">
              <w:rPr>
                <w:rFonts w:eastAsia="Times New Roman"/>
                <w:szCs w:val="24"/>
              </w:rPr>
              <w:t>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2-6</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INDOTEL</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 xml:space="preserve">RESOLUCIÓN QUE APRUEBA EL PROYECTO ESPECIAL “EQUIPAMIENTO DEL LABORATORIO DE SOFTWARE DEL CENTRO TÉTELO VARGAS - EXTENSIÓN ITLA, SAN PEDRO DE MACORÍS”, A TRAVÉS DEL CUAL EL INSTITUTO DOMINICANO DE LAS TELECOMUNICACIONES (INDOTEL) REMOZARÁ DE </w:t>
            </w:r>
            <w:r w:rsidRPr="00CE5FBB">
              <w:rPr>
                <w:rFonts w:eastAsia="Times New Roman"/>
                <w:szCs w:val="24"/>
              </w:rPr>
              <w:lastRenderedPageBreak/>
              <w:t>EQUIPOS TECNOLÓGICOS DICHO CENTRO</w:t>
            </w:r>
          </w:p>
        </w:tc>
      </w:tr>
      <w:tr w:rsidR="00476D3F" w:rsidRPr="00CE5FBB" w:rsidTr="00476D3F">
        <w:trPr>
          <w:trHeight w:val="695"/>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5</w:t>
            </w:r>
            <w:r w:rsidRPr="00CE5FBB">
              <w:rPr>
                <w:rFonts w:eastAsia="Times New Roman"/>
                <w:szCs w:val="24"/>
              </w:rPr>
              <w:t>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2-6</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INDOTEL</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RESOLUCIÓN QUE DICTA LA ENMIENDA NÚMERO 2 AL PLIEGO DE CONDICIONES DE LA LICITACIÓN PÚBLICA INTERNACIONAL INDOTEL/LPI-001-2021, PARA EL “OTORGAMIENTO DE CONCESIONES Y LAS LICENCIAS VINCULADAS PARA LA PRESTACIÓN DE SERVICIOS PÚBLICOS PORTADOR Y FINALES DE TELEFONÍA Y ACCESO A INTERNET, A TRAVÉS DE LA EXPLOTACIÓN DE FRECUENCIAS RADIOELÉCTRICAS DENTRO DE LAS BANDAS DE 698-806 MHZ Y 3300-3600 MHZ EN TODO EL TERRITORIO NACIONAL”.</w:t>
            </w:r>
          </w:p>
        </w:tc>
      </w:tr>
      <w:tr w:rsidR="00476D3F" w:rsidRPr="00CE5FBB" w:rsidTr="00476D3F">
        <w:trPr>
          <w:trHeight w:val="54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5</w:t>
            </w:r>
            <w:r w:rsidRPr="00CE5FBB">
              <w:rPr>
                <w:rFonts w:eastAsia="Times New Roman"/>
                <w:szCs w:val="24"/>
              </w:rPr>
              <w:t>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7-6</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INDOTEL</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 xml:space="preserve">RESOLUCIÓN QUE EMITE EL DICTAMEN RELATIVO A LAS ADENDAS DE LOS CONTRATOS DE INTERCONEXIÓN SUSCRITAS ENTRE LAS CONCESIONARIAS I) TRILOGY DOMINICANA, S. A. (VIVA) Y ALTICE DOMINICANA, S. A. (ALTICE) EN FECHA 30 DE MARZO DE 2021; II) COMPAÑIA DOMINICANA DE TELÉFONOS, S. A. (CLARO) Y ALTICE DOMINICANA (ALTICE) EN FECHA 29 DE MARZO DE 2021; III) COMPAÑIA </w:t>
            </w:r>
            <w:r w:rsidRPr="00CE5FBB">
              <w:rPr>
                <w:rFonts w:eastAsia="Times New Roman"/>
                <w:szCs w:val="24"/>
              </w:rPr>
              <w:lastRenderedPageBreak/>
              <w:t>DOMINICANA DE TELÉFONOS, S. A. (CLARO) Y TRILOGY DOMINICANA, S. A. (VIVA) EN FECHA 29 DE MARZO DE 2021; IV) ONEMAX, S. A. (ONEMAX) Y TRILOGY DOMINICA</w:t>
            </w:r>
          </w:p>
        </w:tc>
      </w:tr>
      <w:tr w:rsidR="00476D3F" w:rsidRPr="00CE5FBB" w:rsidTr="00476D3F">
        <w:trPr>
          <w:trHeight w:val="717"/>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5</w:t>
            </w:r>
            <w:r w:rsidRPr="00CE5FBB">
              <w:rPr>
                <w:rFonts w:eastAsia="Times New Roman"/>
                <w:szCs w:val="24"/>
              </w:rPr>
              <w:t>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10-6</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DANNY CASTILLO GÓMEZ</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RESOLUCIÓN QUE DECIDE  EL PROCEDIMIENTO SANCIONADOR ADMINISTRATIVO SEGUIDO CONTRA EL SEÑOR DANNY CASTILLO GÓMEZ, 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5</w:t>
            </w:r>
            <w:r w:rsidRPr="00CE5FBB">
              <w:rPr>
                <w:rFonts w:eastAsia="Times New Roman"/>
                <w:szCs w:val="24"/>
              </w:rPr>
              <w:t>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10-6</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WILLIAM RADHAMES ARIAS</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 xml:space="preserve">RESOLUCIÓN QUE DECIDE EL PROCEDIMIENTO SANCIONADOR ADMINISTRATIVO SEGUIDO CONTRA EL SEÑOR WILLIAN RADHAMES ARIAS , POR LA COMISIÓN DE LAS CONDUCTAS TIPIFICADAS COMO FALTAS ADMINISTRATIVAS MUY GRAVES Y GRAVES CONFORME LAS DISPOSICIONES CONTENIDAS EN EL </w:t>
            </w:r>
            <w:r w:rsidRPr="00CE5FBB">
              <w:rPr>
                <w:rFonts w:eastAsia="Times New Roman"/>
                <w:szCs w:val="24"/>
              </w:rPr>
              <w:lastRenderedPageBreak/>
              <w:t>LITERAL D) DEL ARTÍCULO 105 Y EN EL LITERAL B) DEL ARTÍCULO 106 DE LA LEY GENERAL DE TELECOMUNICACIONES, NÚM. 153-98.</w:t>
            </w:r>
          </w:p>
        </w:tc>
      </w:tr>
      <w:tr w:rsidR="00476D3F" w:rsidRPr="00CE5FBB" w:rsidTr="00476D3F">
        <w:trPr>
          <w:trHeight w:val="8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56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10-6</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FRECUENCIAS DOMINICANAS</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 xml:space="preserve">RESOLUCIÓN QUE HOMOLOGA EL ACUERDO PARA LA EFICIENTIZACIÓN DEL USO DEL ESPECTRO RADIOELÉCTRICO EN LA BANDA 700 MHZ Y LA VIABILIZACIÓN DE LA ENTRADA DE LA TELEVISIÓN TERRESTRE DIGITAL, SUSCRITO POR LA DIRECCIÓN EJECUTIVA Y FRECUENCIAS DOMINICANAS S. A. S.  </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57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10-6</w:t>
            </w:r>
          </w:p>
        </w:tc>
        <w:tc>
          <w:tcPr>
            <w:tcW w:w="2977" w:type="dxa"/>
            <w:shd w:val="clear" w:color="auto" w:fill="auto"/>
          </w:tcPr>
          <w:p w:rsidR="00476D3F" w:rsidRPr="00CE5FBB" w:rsidRDefault="00476D3F" w:rsidP="00476D3F">
            <w:pPr>
              <w:jc w:val="center"/>
              <w:rPr>
                <w:szCs w:val="24"/>
              </w:rPr>
            </w:pPr>
            <w:r w:rsidRPr="00CE5FBB">
              <w:rPr>
                <w:szCs w:val="24"/>
              </w:rPr>
              <w:t>DIGITAL VISIÓN</w:t>
            </w:r>
          </w:p>
        </w:tc>
        <w:tc>
          <w:tcPr>
            <w:tcW w:w="3402" w:type="dxa"/>
            <w:shd w:val="clear" w:color="auto" w:fill="auto"/>
          </w:tcPr>
          <w:p w:rsidR="00476D3F" w:rsidRPr="00CE5FBB" w:rsidRDefault="00476D3F" w:rsidP="00476D3F">
            <w:pPr>
              <w:jc w:val="left"/>
              <w:rPr>
                <w:szCs w:val="24"/>
              </w:rPr>
            </w:pPr>
            <w:r w:rsidRPr="00CE5FBB">
              <w:rPr>
                <w:szCs w:val="24"/>
              </w:rPr>
              <w:t>RESOLUCIÓN QUE HOMOLOGA EL ACUERDO  PARA LA EFICIENTIZACIÓN DEL USO DEL ESPECTRO RADIOELÉCTRICO EN LA BANDA 700 MHZ Y LA VIABILIZACIÓN DE LA ENTRADA DE LA TELEVISIÓN TERRESTRE DIGITAL, SUSCRITO POR LA DIRECCIÓN EJECUTIVA Y DIGITAL VISIÓN, CANAL 63 UHF, S.R.L.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58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17-6</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ORDENA EL INICIO DEL PROCESO DE CONSULTA PÚBLICA PARA DICTAR EL REGLAMENTO DEL SERVICIO DE TELEVISIÓN TERRESTRE DIGITAL EN LA REPÚBLICA DOMINICANA.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59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059-2021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17-6</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APRUEBA EL COMITÉ DE IGUALDAD DE GÉNERO Y SUS FUNCIONES.</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60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17-6</w:t>
            </w:r>
          </w:p>
        </w:tc>
        <w:tc>
          <w:tcPr>
            <w:tcW w:w="2977" w:type="dxa"/>
            <w:shd w:val="clear" w:color="auto" w:fill="auto"/>
          </w:tcPr>
          <w:p w:rsidR="00476D3F" w:rsidRPr="00CE5FBB" w:rsidRDefault="00476D3F" w:rsidP="00476D3F">
            <w:pPr>
              <w:jc w:val="center"/>
              <w:rPr>
                <w:szCs w:val="24"/>
                <w:lang w:val="en-US"/>
              </w:rPr>
            </w:pPr>
            <w:r w:rsidRPr="00CE5FBB">
              <w:rPr>
                <w:szCs w:val="24"/>
                <w:lang w:val="en-US"/>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RESPONDE LOS COMENTARIOS RECIBIDOS Y APRUEBA DE FORMA DEFINITIVA LA “NORMA QUE ESTABLECE EL PROCEDIMIENTO DE REVOCACIÓN DE AUTORIZACIONES PARA PRESTAR SERVICIOS DE TELECOMUNICACIONES EN LA REPÚBLICA DOMINICANA Y PARA EL USO DEL ESPECTRO RADIOELÉCTRICO”</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61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24-6</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ORDENA EL INICIO DEL PROCESO DE CONSULTA PÚBLICA PARA DICTAR EL PLAN DE TRANSICIÓN A LA TELEVISIÓN TERRESTRE DIGITAL EN LA REPÚBLICA DOMINICANA.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62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26-6</w:t>
            </w:r>
          </w:p>
        </w:tc>
        <w:tc>
          <w:tcPr>
            <w:tcW w:w="2977" w:type="dxa"/>
            <w:shd w:val="clear" w:color="auto" w:fill="auto"/>
          </w:tcPr>
          <w:p w:rsidR="00476D3F" w:rsidRPr="00CE5FBB" w:rsidRDefault="00476D3F" w:rsidP="00476D3F">
            <w:pPr>
              <w:jc w:val="center"/>
              <w:rPr>
                <w:szCs w:val="24"/>
              </w:rPr>
            </w:pPr>
            <w:r w:rsidRPr="00CE5FBB">
              <w:rPr>
                <w:szCs w:val="24"/>
              </w:rPr>
              <w:t>PARTNERS TELECOM</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DECIDE SOBRE EL RECURSO DE RECONSIDERACIÓN INTERPUESTO POR PARTNERS TELECOM, S.À.R.L., CONTRA LA RESOLUCIÓN DEL CONSEJO DIRECTIVO NÚM. 051-2021, QUE DICTA LA ENMIENDA NÚMERO 2 AL PLIEGO DE CONDICIONES DE LA </w:t>
            </w:r>
            <w:r w:rsidRPr="00CE5FBB">
              <w:rPr>
                <w:szCs w:val="24"/>
              </w:rPr>
              <w:lastRenderedPageBreak/>
              <w:t>LICITACIÓN PÚBLICA INTERNACIONAL INDOTEL/LPI-001-2021, PARA EL “OTORGAMIENTO DE CONCESIONES Y LAS LICENCIAS VINCULADAS PARA LA PRESTACIÓN DE SERVICIOS PÚBLICOS PORTADOR Y FINALES DE TELEFONÍA Y ACCESO A INTERNET, A TRAVÉS DE LA EXPLOTACIÓN DE FRECUENCIAS RADIOELÉCTRICAS DENTRO DE LAS BANDAS DE 698-806 MHZ Y 3300-3600 MHZ EN TODO EL TERRITORIO NACIONAL” Y LA INTERVENCIÓN VOLUNTARIA REALIZADA POR ALTICE DOMINICANA, S. A., CON OCASIÓN DEL SEÑALADO RECURSO.</w:t>
            </w:r>
          </w:p>
          <w:p w:rsidR="00476D3F" w:rsidRPr="00CE5FBB" w:rsidRDefault="00476D3F" w:rsidP="00476D3F">
            <w:pPr>
              <w:jc w:val="left"/>
              <w:rPr>
                <w:szCs w:val="24"/>
              </w:rPr>
            </w:pP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63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26-6</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DESIGNA A LA NUEVA DIRECTORA FINANCIERA, CONFIRMA LOS PODERES DE FIRMA DEL “GRUPO A” Y MODIFICA LOS PODERES DE FIRMA EN EL “GRUPO B” PARA LA APROBACIÓN DE DESEMBOLSOS, PAGOS Y EL MANEJO DE LAS CUENTAS BANCARIAS E INSTRUMENTOS FINANCIEROS DEL INDOTEL.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64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8-7</w:t>
            </w:r>
          </w:p>
        </w:tc>
        <w:tc>
          <w:tcPr>
            <w:tcW w:w="2977" w:type="dxa"/>
            <w:shd w:val="clear" w:color="auto" w:fill="auto"/>
          </w:tcPr>
          <w:p w:rsidR="00476D3F" w:rsidRPr="00CE5FBB" w:rsidRDefault="00476D3F" w:rsidP="00476D3F">
            <w:pPr>
              <w:jc w:val="center"/>
              <w:rPr>
                <w:szCs w:val="24"/>
              </w:rPr>
            </w:pPr>
            <w:r w:rsidRPr="00CE5FBB">
              <w:rPr>
                <w:szCs w:val="24"/>
              </w:rPr>
              <w:t>TRILOGY</w:t>
            </w:r>
          </w:p>
        </w:tc>
        <w:tc>
          <w:tcPr>
            <w:tcW w:w="3402" w:type="dxa"/>
            <w:shd w:val="clear" w:color="auto" w:fill="auto"/>
          </w:tcPr>
          <w:p w:rsidR="00476D3F" w:rsidRPr="00CE5FBB" w:rsidRDefault="00476D3F" w:rsidP="00476D3F">
            <w:pPr>
              <w:jc w:val="left"/>
              <w:rPr>
                <w:szCs w:val="24"/>
              </w:rPr>
            </w:pPr>
            <w:r w:rsidRPr="00CE5FBB">
              <w:rPr>
                <w:szCs w:val="24"/>
              </w:rPr>
              <w:t>RESOLUCIÓN QUE DECIDE EL PROCEDIMIENTO ADMINISTRATIVO SANCIONADOR SEGUIDO CONTRA TRILOGY DOMINICANA S. A., (VIVA), POR LA COMISIÓN DE FALTAS ADMINISTRATIVAS MUY GRAVES Y GRAVES ESTABLECIDAS EN LOS LITERALES A) Y D) DEL ARTÍCULO 105 Y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65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8-7</w:t>
            </w:r>
          </w:p>
        </w:tc>
        <w:tc>
          <w:tcPr>
            <w:tcW w:w="2977" w:type="dxa"/>
            <w:shd w:val="clear" w:color="auto" w:fill="auto"/>
          </w:tcPr>
          <w:p w:rsidR="00476D3F" w:rsidRPr="00CE5FBB" w:rsidRDefault="00476D3F" w:rsidP="00476D3F">
            <w:pPr>
              <w:jc w:val="center"/>
              <w:rPr>
                <w:szCs w:val="24"/>
              </w:rPr>
            </w:pPr>
            <w:r w:rsidRPr="00CE5FBB">
              <w:rPr>
                <w:szCs w:val="24"/>
              </w:rPr>
              <w:t>ALBERTO GARCÍA</w:t>
            </w:r>
          </w:p>
        </w:tc>
        <w:tc>
          <w:tcPr>
            <w:tcW w:w="3402" w:type="dxa"/>
            <w:shd w:val="clear" w:color="auto" w:fill="auto"/>
          </w:tcPr>
          <w:p w:rsidR="00476D3F" w:rsidRPr="00CE5FBB" w:rsidRDefault="00476D3F" w:rsidP="00476D3F">
            <w:pPr>
              <w:jc w:val="left"/>
              <w:rPr>
                <w:szCs w:val="24"/>
              </w:rPr>
            </w:pPr>
            <w:r w:rsidRPr="00CE5FBB">
              <w:rPr>
                <w:szCs w:val="24"/>
              </w:rPr>
              <w:t>RESOLUCIÓN QUE DECLARA LA EXTINCIÓN DE LOS DERECHOS Y EFECTOS JURÍDICOS DERIVADOS DE LAS AUTORIZACIONES EXPEDIDAS POR EL INSTITUTO DOMINICANO DE LAS TELECOMUNICACIONES (INDOTEL), A FAVOR DEL SEÑOR ALBERTO EMILIO GARCIA PERDOMO PARA EL USO DE LAS FRECUENCIAS 141.400 MHZ Y 143.600 MHZ.</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66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8-7</w:t>
            </w:r>
          </w:p>
        </w:tc>
        <w:tc>
          <w:tcPr>
            <w:tcW w:w="2977" w:type="dxa"/>
            <w:shd w:val="clear" w:color="auto" w:fill="auto"/>
          </w:tcPr>
          <w:p w:rsidR="00476D3F" w:rsidRPr="00CE5FBB" w:rsidRDefault="00476D3F" w:rsidP="00476D3F">
            <w:pPr>
              <w:jc w:val="center"/>
              <w:rPr>
                <w:szCs w:val="24"/>
              </w:rPr>
            </w:pPr>
            <w:r w:rsidRPr="00CE5FBB">
              <w:rPr>
                <w:szCs w:val="24"/>
              </w:rPr>
              <w:t>INVERSIONES AMANA</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ADECUADAS A LAS DISPOSICIONES DE LA LEY GENERAL DE TELECOMUNICACIONES NÚM. 153-98, LAS </w:t>
            </w:r>
            <w:r w:rsidRPr="00CE5FBB">
              <w:rPr>
                <w:szCs w:val="24"/>
              </w:rPr>
              <w:lastRenderedPageBreak/>
              <w:t xml:space="preserve">AUTORIZACIONES OTORGADAS POR LA ANTIGUA DIRECCIÓN GENERAL DE TELECOMUNICACIONES (DGT), A FAVOR DE LA SOCIEDAD INVERSIONES AMANA, S. A., PARA LA PRESTACIÓN DEL SERVICIO DE RADIODIFUSIÓN TELEVISIVA DEL CANAL 67 UHF, EN LA PROVINCIA SANTO DOMINGO Y EL DISTRITO NACIONAL.  </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67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8-7</w:t>
            </w:r>
          </w:p>
        </w:tc>
        <w:tc>
          <w:tcPr>
            <w:tcW w:w="2977" w:type="dxa"/>
            <w:shd w:val="clear" w:color="auto" w:fill="auto"/>
          </w:tcPr>
          <w:p w:rsidR="00476D3F" w:rsidRPr="00CE5FBB" w:rsidRDefault="00476D3F" w:rsidP="00476D3F">
            <w:pPr>
              <w:jc w:val="center"/>
              <w:rPr>
                <w:szCs w:val="24"/>
              </w:rPr>
            </w:pPr>
            <w:r w:rsidRPr="00CE5FBB">
              <w:rPr>
                <w:szCs w:val="24"/>
              </w:rPr>
              <w:t>WHITE TELECOM</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CONOCE EL RECURSO DE RECONSIDERACIÓN INTERPUESTO POR LA PRESTADORA DE SERVICIOS PÚBLICOS DE TELECOMUNICACIONES WHITE TELECOM, S. R. L. (WHITE TELECOM), CONTRA DE LA RESOLUCIÓN DEL CONSEJO DIRECTIVO NÚM. 023-2021 QUE DECIDE SOBRE LA CONTROVERSIA EXISTENTE ENTRE LAS CONCESIONARIAS DE SERVICIOS PÚBLICOS DE TELECOMUNICACIONES WHITE TELECOM S.R.L., Y ALTICE DOMINICANA S.A., EN VIRTUD DE LA EJECUCIÓN DEL CONTRATO DE SERVICIOS DE CIRCUITOS Y/O FACILIDADES ESPECIALES </w:t>
            </w:r>
            <w:r w:rsidRPr="00CE5FBB">
              <w:rPr>
                <w:szCs w:val="24"/>
              </w:rPr>
              <w:lastRenderedPageBreak/>
              <w:t>SUSCRITO ENTRE LAS PARTES</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68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8-7</w:t>
            </w:r>
          </w:p>
        </w:tc>
        <w:tc>
          <w:tcPr>
            <w:tcW w:w="2977" w:type="dxa"/>
            <w:shd w:val="clear" w:color="auto" w:fill="auto"/>
          </w:tcPr>
          <w:p w:rsidR="00476D3F" w:rsidRPr="00CE5FBB" w:rsidRDefault="00476D3F" w:rsidP="00476D3F">
            <w:pPr>
              <w:jc w:val="center"/>
              <w:rPr>
                <w:szCs w:val="24"/>
              </w:rPr>
            </w:pPr>
            <w:r w:rsidRPr="00CE5FBB">
              <w:rPr>
                <w:szCs w:val="24"/>
              </w:rPr>
              <w:t>MANGO</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HOMOLOGA EL ACUERDO PARA LA EFICIENTIZACIÓN DEL USO DEL ESPECTRO RADIOELÉCTRICO EN LA BANDA 700 MHZ Y LA VIABILIZACIÓN DE LA ENTRADA DE LA TELEVISIÓN TERRESTRE DIGITAL, SUSCRITO POR LA DIRECCIÓN EJECUTIVA Y MANGO T.V., S.R.L.  </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69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069-2021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15-7</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ORDENA EL INICIO DEL PROCESO DE CONSULTA PÚBLICA PARA LA REVISIÓN DE OFICIO EL APÉNDICE 1, ARTICULO 4.2, LITERAL B, DEL REGLAMENTO GENERAL DE USO DEL ESPECTRO RADIOELÉCTRICO, DICTADO MEDIANTE LA RESOLUCIÓN DEL CONSEJO DIRECTIVO DEL INDOTEL NÚM. 034- 2020 DE FECHA 20 DE MAYO DE 2020.</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70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19-7</w:t>
            </w:r>
          </w:p>
        </w:tc>
        <w:tc>
          <w:tcPr>
            <w:tcW w:w="2977" w:type="dxa"/>
            <w:shd w:val="clear" w:color="auto" w:fill="auto"/>
          </w:tcPr>
          <w:p w:rsidR="00476D3F" w:rsidRPr="00CE5FBB" w:rsidRDefault="00476D3F" w:rsidP="00476D3F">
            <w:pPr>
              <w:jc w:val="center"/>
              <w:rPr>
                <w:szCs w:val="24"/>
              </w:rPr>
            </w:pPr>
            <w:r w:rsidRPr="00CE5FBB">
              <w:rPr>
                <w:szCs w:val="24"/>
              </w:rPr>
              <w:t>SONIDO SUAVE</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DECIDE SOBRE LA SOLICITUD DE TRANSFERENCIA DE CONCESIÓN PARA OPERAR SERVICIOS DE RADIODIFUSIÓN COMERCIAL A TRAVÉS DE LA FRECUENCIA 99.3 MHZ EN LA CIUDAD DE SANTO DOMINGO PRESENTADA </w:t>
            </w:r>
            <w:r w:rsidRPr="00CE5FBB">
              <w:rPr>
                <w:szCs w:val="24"/>
              </w:rPr>
              <w:lastRenderedPageBreak/>
              <w:t>ANTE EL INDOTEL POR LA CONCESIONARIA SONIDO SUAVE, S.R.L., A FAVOR DE LA SOCIEDAD ODANI ENTERTAINMENT, S.R.L..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71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22-7</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ORDENA EL INICIO DEL PROCESO DE CONSULTA PÚBLICA PARA LA REVISIÓN DE OFICIO EL APÉNDICE 1, ARTICULO 4.2, LITERAL B, DEL REGLAMENTO GENERAL DE USO DEL ESPECTRO RADIOELÉCTRICO, DICTADO MEDIANTE LA RESOLUCIÓN DEL CONSEJO DIRECTIVO DEL INDOTEL NÚM. 034- 2020 DE FECHA 20 DE MAYO DE 2020</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72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22-7</w:t>
            </w:r>
          </w:p>
        </w:tc>
        <w:tc>
          <w:tcPr>
            <w:tcW w:w="2977" w:type="dxa"/>
            <w:shd w:val="clear" w:color="auto" w:fill="auto"/>
          </w:tcPr>
          <w:p w:rsidR="00476D3F" w:rsidRPr="00CE5FBB" w:rsidRDefault="00476D3F" w:rsidP="00476D3F">
            <w:pPr>
              <w:jc w:val="center"/>
              <w:rPr>
                <w:szCs w:val="24"/>
              </w:rPr>
            </w:pPr>
            <w:r w:rsidRPr="00CE5FBB">
              <w:rPr>
                <w:szCs w:val="24"/>
              </w:rPr>
              <w:t>WORLD CABLE</w:t>
            </w:r>
          </w:p>
        </w:tc>
        <w:tc>
          <w:tcPr>
            <w:tcW w:w="3402" w:type="dxa"/>
            <w:shd w:val="clear" w:color="auto" w:fill="auto"/>
          </w:tcPr>
          <w:p w:rsidR="00476D3F" w:rsidRPr="00CE5FBB" w:rsidRDefault="00476D3F" w:rsidP="00476D3F">
            <w:pPr>
              <w:jc w:val="left"/>
              <w:rPr>
                <w:szCs w:val="24"/>
              </w:rPr>
            </w:pPr>
            <w:r w:rsidRPr="00CE5FBB">
              <w:rPr>
                <w:szCs w:val="24"/>
              </w:rPr>
              <w:t>RESOLUCIÓN QUE DECIDE SOBRE LA SOLICITUD DE AMPLIACIÓN DE CONCESIÓN PRESENTADA POR LA SOCIEDAD WORLD CABLE RED, S.R.L., PARA EN ADICIÓN AL SERVICIO PÚBLICO DE DIFUSIÓN POR CABLE, PRESTAR EL SERVICIO DE ACCESO A INTERNET EN LA PROVINCIA SANTIAGO</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73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22-7</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SATEL</w:t>
            </w:r>
          </w:p>
        </w:tc>
        <w:tc>
          <w:tcPr>
            <w:tcW w:w="3402" w:type="dxa"/>
            <w:shd w:val="clear" w:color="auto" w:fill="FFFFFF"/>
            <w:vAlign w:val="center"/>
          </w:tcPr>
          <w:p w:rsidR="00476D3F" w:rsidRPr="00CE5FBB" w:rsidRDefault="00476D3F" w:rsidP="00476D3F">
            <w:pPr>
              <w:jc w:val="left"/>
              <w:rPr>
                <w:szCs w:val="24"/>
              </w:rPr>
            </w:pPr>
            <w:r w:rsidRPr="00CE5FBB">
              <w:rPr>
                <w:rFonts w:eastAsia="Times New Roman"/>
                <w:szCs w:val="24"/>
              </w:rPr>
              <w:t xml:space="preserve">RESOLUCIÓN QUE RESUELVE LA DEMANDA EN NULIDAD, INTERPUESTA POR SATEL, CONTRA LA RESOLUCIÓN 052-2017, QUE OTORGA LICENCIA A CLARO EN LA </w:t>
            </w:r>
            <w:r w:rsidRPr="00CE5FBB">
              <w:rPr>
                <w:rFonts w:eastAsia="Times New Roman"/>
                <w:szCs w:val="24"/>
              </w:rPr>
              <w:lastRenderedPageBreak/>
              <w:t xml:space="preserve">FRECUENCIA 3475 MHZ-3490 MHZ Y 3575 MHZ – 3590 MHZ </w:t>
            </w:r>
            <w:r w:rsidRPr="00CE5FBB">
              <w:rPr>
                <w:szCs w:val="24"/>
              </w:rPr>
              <w:t>PARA LA PRESTACIÓN DE SERVICIOS FIJOS DE TELECOMUNICACIONES EN TODO EL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74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22-7</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ODALIS NICODEMUS</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RESOLUCIÓN QUE DECIDE EL PROCESO SANCIONADOR ADMINISTRATIVO SEGUIDO CONTRA EL SEÑOR ODALIS NICUDEMUS PÁEZ, 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75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22-7</w:t>
            </w:r>
          </w:p>
        </w:tc>
        <w:tc>
          <w:tcPr>
            <w:tcW w:w="2977" w:type="dxa"/>
            <w:shd w:val="clear" w:color="auto" w:fill="auto"/>
          </w:tcPr>
          <w:p w:rsidR="00476D3F" w:rsidRPr="00CE5FBB" w:rsidRDefault="00476D3F" w:rsidP="00476D3F">
            <w:pPr>
              <w:jc w:val="center"/>
              <w:rPr>
                <w:szCs w:val="24"/>
              </w:rPr>
            </w:pPr>
            <w:r w:rsidRPr="00CE5FBB">
              <w:rPr>
                <w:szCs w:val="24"/>
              </w:rPr>
              <w:t>LUIS ABREU</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DECIDE EL PROCEDIMIENTO SANCIONADOR ADMINISTRATIVO SEGUIDO CONTRA EL SEÑOR LUIS MANUEL ABREU, POR LA COMISIÓN DE LAS CONDUCTAS TIPIFICADAS COMO FALTAS ADMINISTRATIVAS MUY GRAVES Y GRAVES CONFORME LAS DISPOSICIONES </w:t>
            </w:r>
            <w:r w:rsidRPr="00CE5FBB">
              <w:rPr>
                <w:szCs w:val="24"/>
              </w:rPr>
              <w:lastRenderedPageBreak/>
              <w:t>CONTENIDAS EN EL LITERAL D) DEL ARTÍCULO 105 Y EN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76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29-7</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BW TELECOM</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RESOLUCIÓN QUE DECIDE SOBRE LA SOLICITUD DE AMPLIACIÓN DE CONCESIÓN PRESENTADA POR LA SOCIEDAD BW TELECOM, S.R.L., PARA EN ADICIÓN A SERVICIOS PORTADORES DE TELECOMUNICACIONES, PRESTAR LOS SERVICIOS PÚBLICOS DE TELECOMUNICACIONES FINALES CONSISTENTES EN TELEFONÍA FIJA Y ACCESO A INTERNET EN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77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2-8</w:t>
            </w:r>
          </w:p>
        </w:tc>
        <w:tc>
          <w:tcPr>
            <w:tcW w:w="2977" w:type="dxa"/>
            <w:shd w:val="clear" w:color="auto" w:fill="auto"/>
          </w:tcPr>
          <w:p w:rsidR="00476D3F" w:rsidRPr="00CE5FBB" w:rsidRDefault="00476D3F" w:rsidP="00476D3F">
            <w:pPr>
              <w:jc w:val="center"/>
              <w:rPr>
                <w:szCs w:val="24"/>
              </w:rPr>
            </w:pPr>
            <w:r w:rsidRPr="00CE5FBB">
              <w:rPr>
                <w:szCs w:val="24"/>
              </w:rPr>
              <w:t>ALTICE</w:t>
            </w:r>
          </w:p>
        </w:tc>
        <w:tc>
          <w:tcPr>
            <w:tcW w:w="3402" w:type="dxa"/>
            <w:shd w:val="clear" w:color="auto" w:fill="auto"/>
          </w:tcPr>
          <w:p w:rsidR="00476D3F" w:rsidRPr="00CE5FBB" w:rsidRDefault="00476D3F" w:rsidP="00476D3F">
            <w:pPr>
              <w:jc w:val="left"/>
              <w:rPr>
                <w:szCs w:val="24"/>
              </w:rPr>
            </w:pPr>
            <w:r w:rsidRPr="00CE5FBB">
              <w:rPr>
                <w:szCs w:val="24"/>
              </w:rPr>
              <w:t>RESOLUCIÓN QUE CONOCE LOS RECURSOS DE RECONSIDERACIÓN INTERPUESTOS POR ALTICE DOMINICANA, S.A., (ALTICE) Y TRILOGY DOMINICANA, S.A., (VIVA) CONTRA LA RESOLUCIÓN DEL CONSEJO DIRECTIVO NÚM. 053-2021 DE FECHA 7 DE JUNIO DE 2021.</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78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5-8</w:t>
            </w:r>
          </w:p>
        </w:tc>
        <w:tc>
          <w:tcPr>
            <w:tcW w:w="2977" w:type="dxa"/>
            <w:shd w:val="clear" w:color="auto" w:fill="auto"/>
          </w:tcPr>
          <w:p w:rsidR="00476D3F" w:rsidRPr="00CE5FBB" w:rsidRDefault="00476D3F" w:rsidP="00476D3F">
            <w:pPr>
              <w:jc w:val="center"/>
              <w:rPr>
                <w:szCs w:val="24"/>
              </w:rPr>
            </w:pPr>
            <w:r w:rsidRPr="00CE5FBB">
              <w:rPr>
                <w:szCs w:val="24"/>
              </w:rPr>
              <w:t>EMPRESAS LA GUARACHITA</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DISPONE LA MIGRACIÓN DE LA FRECUENCIA DE ENLACE 950.600 MHZ, ASIGNADA A FAVOR DE LA SOCIEDAD EMPRESAS LA </w:t>
            </w:r>
            <w:r w:rsidRPr="00CE5FBB">
              <w:rPr>
                <w:szCs w:val="24"/>
              </w:rPr>
              <w:lastRenderedPageBreak/>
              <w:t>GUARACHITA, S.R.L., A LA FRECUENCIA 360.000 MHZ, PARA SER UTILIZADA COMO RADIO ENLACE EN LA ESTACIÓN RADIO GUARACHITA AM, (690 KHZ).</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79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079-2021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5-8</w:t>
            </w:r>
          </w:p>
        </w:tc>
        <w:tc>
          <w:tcPr>
            <w:tcW w:w="2977" w:type="dxa"/>
            <w:shd w:val="clear" w:color="auto" w:fill="auto"/>
          </w:tcPr>
          <w:p w:rsidR="00476D3F" w:rsidRPr="00CE5FBB" w:rsidRDefault="00476D3F" w:rsidP="00476D3F">
            <w:pPr>
              <w:jc w:val="center"/>
              <w:rPr>
                <w:szCs w:val="24"/>
              </w:rPr>
            </w:pPr>
            <w:r w:rsidRPr="00CE5FBB">
              <w:rPr>
                <w:szCs w:val="24"/>
              </w:rPr>
              <w:t>BAXTER HEALTHCARE</w:t>
            </w:r>
          </w:p>
        </w:tc>
        <w:tc>
          <w:tcPr>
            <w:tcW w:w="3402" w:type="dxa"/>
            <w:shd w:val="clear" w:color="auto" w:fill="auto"/>
          </w:tcPr>
          <w:p w:rsidR="00476D3F" w:rsidRPr="00CE5FBB" w:rsidRDefault="00476D3F" w:rsidP="00476D3F">
            <w:pPr>
              <w:jc w:val="left"/>
              <w:rPr>
                <w:szCs w:val="24"/>
              </w:rPr>
            </w:pPr>
            <w:r w:rsidRPr="00CE5FBB">
              <w:rPr>
                <w:szCs w:val="24"/>
              </w:rPr>
              <w:t>RESOLUCIÓN QUE DECIDE LA SOLICITUD DE LICENCIA PRESENTADA POR LA SOCIEDAD BAXTER HEALTHCARE, S. A., QUE AMPARA EL DERECHO DE USO DE LAS FRECUENCIAS 14454 MHZ Y 11628 MHZ, PARA LA OPERACIÓN DE UN SISTEMA DE RADIOCOMUNICACIÓN PRIVADA.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5-8</w:t>
            </w:r>
          </w:p>
        </w:tc>
        <w:tc>
          <w:tcPr>
            <w:tcW w:w="2977" w:type="dxa"/>
            <w:shd w:val="clear" w:color="auto" w:fill="auto"/>
          </w:tcPr>
          <w:p w:rsidR="00476D3F" w:rsidRPr="00CE5FBB" w:rsidRDefault="00476D3F" w:rsidP="00476D3F">
            <w:pPr>
              <w:jc w:val="center"/>
              <w:rPr>
                <w:szCs w:val="24"/>
              </w:rPr>
            </w:pPr>
            <w:r w:rsidRPr="00CE5FBB">
              <w:rPr>
                <w:szCs w:val="24"/>
              </w:rPr>
              <w:t>MANGO TV</w:t>
            </w:r>
          </w:p>
        </w:tc>
        <w:tc>
          <w:tcPr>
            <w:tcW w:w="3402" w:type="dxa"/>
            <w:shd w:val="clear" w:color="auto" w:fill="auto"/>
          </w:tcPr>
          <w:p w:rsidR="00476D3F" w:rsidRPr="00CE5FBB" w:rsidRDefault="00476D3F" w:rsidP="00476D3F">
            <w:pPr>
              <w:jc w:val="left"/>
              <w:rPr>
                <w:szCs w:val="24"/>
              </w:rPr>
            </w:pPr>
            <w:r w:rsidRPr="00CE5FBB">
              <w:rPr>
                <w:szCs w:val="24"/>
              </w:rPr>
              <w:t>RESOLUCIÓN QUE DECLARA ADECUADA A LAS DISPOSICIONES DE LA LEY GENERAL DE TELECOMUNICACIONES NUM. 153-98, LA AUTORIZACIÓN EXPEDIDA</w:t>
            </w:r>
          </w:p>
          <w:p w:rsidR="00476D3F" w:rsidRPr="00CE5FBB" w:rsidRDefault="00476D3F" w:rsidP="00476D3F">
            <w:pPr>
              <w:jc w:val="left"/>
              <w:rPr>
                <w:szCs w:val="24"/>
              </w:rPr>
            </w:pPr>
            <w:r w:rsidRPr="00CE5FBB">
              <w:rPr>
                <w:szCs w:val="24"/>
              </w:rPr>
              <w:t xml:space="preserve">POR LA DIRECCIÓN GENERAL DE TELECOMUNICACIONES (DGT), QUE AMPARA EL DERECHO DE USO DEL CANAL 59 UHF A NIVEL NACIONAL Y A LA VEZ AUTORIZA LA OPERACIÓN DE TRANSFERENCIA DE LA MISMA A FAVOR DE LA SOCIEDAD MANGO TV, S.R.L.    </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81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5-8</w:t>
            </w:r>
          </w:p>
        </w:tc>
        <w:tc>
          <w:tcPr>
            <w:tcW w:w="2977" w:type="dxa"/>
            <w:shd w:val="clear" w:color="auto" w:fill="auto"/>
          </w:tcPr>
          <w:p w:rsidR="00476D3F" w:rsidRPr="00CE5FBB" w:rsidRDefault="00476D3F" w:rsidP="00476D3F">
            <w:pPr>
              <w:jc w:val="center"/>
              <w:rPr>
                <w:szCs w:val="24"/>
              </w:rPr>
            </w:pPr>
            <w:r w:rsidRPr="00CE5FBB">
              <w:rPr>
                <w:szCs w:val="24"/>
              </w:rPr>
              <w:t>CANAL DEL SOL</w:t>
            </w:r>
          </w:p>
        </w:tc>
        <w:tc>
          <w:tcPr>
            <w:tcW w:w="3402" w:type="dxa"/>
            <w:shd w:val="clear" w:color="auto" w:fill="auto"/>
          </w:tcPr>
          <w:p w:rsidR="00476D3F" w:rsidRPr="00CE5FBB" w:rsidRDefault="00476D3F" w:rsidP="00476D3F">
            <w:pPr>
              <w:jc w:val="left"/>
              <w:rPr>
                <w:szCs w:val="24"/>
              </w:rPr>
            </w:pPr>
            <w:r w:rsidRPr="00CE5FBB">
              <w:rPr>
                <w:szCs w:val="24"/>
              </w:rPr>
              <w:t>RESOLUCIÓN QUE HOMOLOGA EL ACUERDO PARA LA EFICIENTIZACIÓN DEL USO DEL ESPECTRO RADIOELÉCTRICO EN LA BANDA 700 MHZ Y LA VIABILIZACIÓN DE LA ENTRADA DE LA TELEVISIÓN TERRESTRE DIGITAL, SUSCRITO POR LA DIRECCIÓN EJECUTIVA Y CANAL DEL SOL, S.R.L.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5-8</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ORDENA EL INICIO DE CONSULTA PÚBLICA PARA DICTAR EL REGLAMENTO DE CIBERSEGURIDAD PARA LAS PRESTADORAS DE SERVICIOS DE ACCESO A INTERNET.</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12-8</w:t>
            </w:r>
          </w:p>
        </w:tc>
        <w:tc>
          <w:tcPr>
            <w:tcW w:w="2977" w:type="dxa"/>
            <w:shd w:val="clear" w:color="auto" w:fill="auto"/>
          </w:tcPr>
          <w:p w:rsidR="00476D3F" w:rsidRPr="00CE5FBB" w:rsidRDefault="00476D3F" w:rsidP="00476D3F">
            <w:pPr>
              <w:jc w:val="center"/>
              <w:rPr>
                <w:szCs w:val="24"/>
              </w:rPr>
            </w:pPr>
            <w:r w:rsidRPr="00CE5FBB">
              <w:rPr>
                <w:szCs w:val="24"/>
              </w:rPr>
              <w:t>DIGITAL CABLE TV, S.R.L.</w:t>
            </w:r>
          </w:p>
        </w:tc>
        <w:tc>
          <w:tcPr>
            <w:tcW w:w="3402" w:type="dxa"/>
            <w:shd w:val="clear" w:color="auto" w:fill="auto"/>
          </w:tcPr>
          <w:p w:rsidR="00476D3F" w:rsidRPr="00CE5FBB" w:rsidRDefault="00476D3F" w:rsidP="00476D3F">
            <w:pPr>
              <w:jc w:val="left"/>
              <w:rPr>
                <w:szCs w:val="24"/>
              </w:rPr>
            </w:pPr>
            <w:r w:rsidRPr="00CE5FBB">
              <w:rPr>
                <w:szCs w:val="24"/>
              </w:rPr>
              <w:t>RESOLUCIÓN QUE HOMOLOGA EL ACUERDO  PARA LA EFICIENTIZACIÓN DEL USO DEL ESPECTRO RADIOELÉCTRICO EN LA BANDA 700 MHZ Y LA VIABILIZACIÓN DE LA ENTRADA DE LA TELEVISIÓN TERRESTRE DIGITAL, SUSCRITO POR LA DIRECCIÓN EJECUTIVA Y DIGITAL CABLE TV, S. R. 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19-8</w:t>
            </w:r>
          </w:p>
        </w:tc>
        <w:tc>
          <w:tcPr>
            <w:tcW w:w="2977" w:type="dxa"/>
            <w:shd w:val="clear" w:color="auto" w:fill="auto"/>
          </w:tcPr>
          <w:p w:rsidR="00476D3F" w:rsidRPr="00CE5FBB" w:rsidRDefault="00476D3F" w:rsidP="00476D3F">
            <w:pPr>
              <w:jc w:val="center"/>
              <w:rPr>
                <w:szCs w:val="24"/>
              </w:rPr>
            </w:pPr>
            <w:r w:rsidRPr="00CE5FBB">
              <w:rPr>
                <w:szCs w:val="24"/>
              </w:rPr>
              <w:t>AMERICAN AIRLINES</w:t>
            </w:r>
          </w:p>
        </w:tc>
        <w:tc>
          <w:tcPr>
            <w:tcW w:w="3402" w:type="dxa"/>
            <w:shd w:val="clear" w:color="auto" w:fill="auto"/>
          </w:tcPr>
          <w:p w:rsidR="00476D3F" w:rsidRPr="00CE5FBB" w:rsidRDefault="00476D3F" w:rsidP="00476D3F">
            <w:pPr>
              <w:jc w:val="left"/>
              <w:rPr>
                <w:szCs w:val="24"/>
              </w:rPr>
            </w:pPr>
            <w:r w:rsidRPr="00CE5FBB">
              <w:rPr>
                <w:szCs w:val="24"/>
              </w:rPr>
              <w:t xml:space="preserve">PRESENTACIÓN DE PROPUESTA DE RESOLUCIÓN QUE DECIDE LA SOLICITUD DE LICENCIA PRESENTADA POR LA SOCIEDAD </w:t>
            </w:r>
            <w:r w:rsidRPr="00CE5FBB">
              <w:rPr>
                <w:szCs w:val="24"/>
              </w:rPr>
              <w:lastRenderedPageBreak/>
              <w:t>AMERICAN AIRLINES, INC., QUE AMPARA EL DERECHO DE USO DE LA FRECUENCIA 150.400 MHZ Y 150.575 MHZ, PARA LA OPERACIÓN DE SERVICIOS PRIVADOS DE RADIOCOMUNICACIÓN EN EL AEROPUERTO INTERNACIONAL EL CATEY, PROVINCIA DE SAMANÁ.</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85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19-8</w:t>
            </w:r>
          </w:p>
        </w:tc>
        <w:tc>
          <w:tcPr>
            <w:tcW w:w="2977" w:type="dxa"/>
            <w:shd w:val="clear" w:color="auto" w:fill="auto"/>
          </w:tcPr>
          <w:p w:rsidR="00476D3F" w:rsidRPr="00CE5FBB" w:rsidRDefault="00476D3F" w:rsidP="00476D3F">
            <w:pPr>
              <w:jc w:val="center"/>
              <w:rPr>
                <w:szCs w:val="24"/>
              </w:rPr>
            </w:pPr>
            <w:r w:rsidRPr="00CE5FBB">
              <w:rPr>
                <w:szCs w:val="24"/>
              </w:rPr>
              <w:t>SATEL</w:t>
            </w:r>
          </w:p>
        </w:tc>
        <w:tc>
          <w:tcPr>
            <w:tcW w:w="3402" w:type="dxa"/>
            <w:shd w:val="clear" w:color="auto" w:fill="auto"/>
          </w:tcPr>
          <w:p w:rsidR="00476D3F" w:rsidRPr="00CE5FBB" w:rsidRDefault="00476D3F" w:rsidP="00476D3F">
            <w:pPr>
              <w:jc w:val="left"/>
              <w:rPr>
                <w:szCs w:val="24"/>
              </w:rPr>
            </w:pPr>
            <w:r w:rsidRPr="00CE5FBB">
              <w:rPr>
                <w:szCs w:val="24"/>
              </w:rPr>
              <w:t xml:space="preserve">QUE DECIDE LA INSTANCIA DE SOLICITUD DE REORDENAMIENTO DE LAS ASIGNACIONES DEL SEGMENTO 896-900 MHZ, INTERPUESTA EN FECHA 30 DE ABRIL DE 2021, POR LA  COMPAÑIA SERVICIOS AMPLIADOS DE TELEFONOS, S.A. (SATEL), ASIGNADAS A ORANGE (AHORA ALTICE) MEDIANTE LAS RESOLUCIONES  198-07 Y 199-07 AMBAS DE FECHA 27 DE SEPTIEMBRE DE 2007, DICTADAS POR EL CONSEJO DIRECTIVO.   </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26-8</w:t>
            </w:r>
          </w:p>
        </w:tc>
        <w:tc>
          <w:tcPr>
            <w:tcW w:w="2977" w:type="dxa"/>
            <w:shd w:val="clear" w:color="auto" w:fill="auto"/>
          </w:tcPr>
          <w:p w:rsidR="00476D3F" w:rsidRPr="00CE5FBB" w:rsidRDefault="00476D3F" w:rsidP="00476D3F">
            <w:pPr>
              <w:jc w:val="center"/>
              <w:rPr>
                <w:szCs w:val="24"/>
              </w:rPr>
            </w:pPr>
            <w:r w:rsidRPr="00CE5FBB">
              <w:rPr>
                <w:szCs w:val="24"/>
              </w:rPr>
              <w:t>TV CABLE SAN JUAN</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DECIDE SOBRE LA SOLICITUD DE AMPLIACIÓN DE CONCESIÓN PRESENTADA POR LA SOCIEDAD T. V. CABLE SAN JUAN, S. A., PARA EN ADICIÓN AL SERVICIO PÚBLICO DE DIFUSIÓN POR CABLE, </w:t>
            </w:r>
            <w:r w:rsidRPr="00CE5FBB">
              <w:rPr>
                <w:szCs w:val="24"/>
              </w:rPr>
              <w:lastRenderedPageBreak/>
              <w:t>PRESTAR EL SERVICIO DE ACCESO A INTERNET EN EL MUNICIPIO SAN JUAN DE LA MAGUANA, PROVINCIA SAN JUAN.</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87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9-9</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EXTIENDE LA SUSPENSIÓN PROVISIONAL DE LA EXPEDICIÓN DE LAS AUTORIZACIONES REQUERIDAS PARA EL USO DE FRECUENCIAS RADIOELÉCTRICAS EN LA PRESTACIÓN DE SERVICIOS PÚBLICOS DE RADIODIFUSIÓN SONORA.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9-9</w:t>
            </w:r>
          </w:p>
        </w:tc>
        <w:tc>
          <w:tcPr>
            <w:tcW w:w="2977" w:type="dxa"/>
            <w:shd w:val="clear" w:color="auto" w:fill="auto"/>
          </w:tcPr>
          <w:p w:rsidR="00476D3F" w:rsidRPr="00CE5FBB" w:rsidRDefault="00476D3F" w:rsidP="00476D3F">
            <w:pPr>
              <w:jc w:val="center"/>
              <w:rPr>
                <w:szCs w:val="24"/>
              </w:rPr>
            </w:pPr>
            <w:r w:rsidRPr="00CE5FBB">
              <w:rPr>
                <w:szCs w:val="24"/>
              </w:rPr>
              <w:t>KARIM HERNÁNDEZ</w:t>
            </w:r>
          </w:p>
        </w:tc>
        <w:tc>
          <w:tcPr>
            <w:tcW w:w="3402" w:type="dxa"/>
            <w:shd w:val="clear" w:color="auto" w:fill="auto"/>
          </w:tcPr>
          <w:p w:rsidR="00476D3F" w:rsidRPr="00CE5FBB" w:rsidRDefault="00476D3F" w:rsidP="00476D3F">
            <w:pPr>
              <w:jc w:val="left"/>
              <w:rPr>
                <w:szCs w:val="24"/>
              </w:rPr>
            </w:pPr>
            <w:r w:rsidRPr="00CE5FBB">
              <w:rPr>
                <w:szCs w:val="24"/>
              </w:rPr>
              <w:t>RESOLUCIÓN QUE DECLARA LA EXTINCIÓN DE LOS DERECHOS, EFECTOS JURÍDICOS Y OBLIGACIONES DERIVADOS DE LAS AUTORIZACIONES EXPEDIDAS POR EL INSTITUTO DOMINICANO DE LAS TELECOMUNICACIONES (INDOTEL), A FAVOR DE LA FUERZA AÉREA DE LA REPÚBLICA DOMINICANA, PARA EL USO DE DIVERSAS FRECUENCIAS EN DISTINTAS LOCALIDADES DEL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89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089-2021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9-9</w:t>
            </w:r>
          </w:p>
        </w:tc>
        <w:tc>
          <w:tcPr>
            <w:tcW w:w="2977" w:type="dxa"/>
            <w:shd w:val="clear" w:color="auto" w:fill="auto"/>
          </w:tcPr>
          <w:p w:rsidR="00476D3F" w:rsidRPr="00CE5FBB" w:rsidRDefault="00476D3F" w:rsidP="00476D3F">
            <w:pPr>
              <w:jc w:val="center"/>
              <w:rPr>
                <w:szCs w:val="24"/>
              </w:rPr>
            </w:pPr>
            <w:r w:rsidRPr="00CE5FBB">
              <w:rPr>
                <w:szCs w:val="24"/>
              </w:rPr>
              <w:t>INDUSTRIAS BANILEJAS</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LA EXTINCIÓN DE LOS DERECHOS Y </w:t>
            </w:r>
            <w:r w:rsidRPr="00CE5FBB">
              <w:rPr>
                <w:szCs w:val="24"/>
              </w:rPr>
              <w:lastRenderedPageBreak/>
              <w:t>EFECTOS JURÍDICOS DERIVADOS DE LAS AUTORIZACIONES EXPEDIDAS POR EL INSTITUTO DOMINICANO DE LAS TELECOMUNICACIONES (INDOTEL), A FAVOR DE LA SOCIEDAD INDUSTRIAS BANILEJAS, S.A.S. PARA EL USO DE LAS FRECUENCIAS 4.4950 MHZ, 7.3800 MHZ, 166.4250 MHZ Y 168.600 MHZ.</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90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9-9</w:t>
            </w:r>
          </w:p>
        </w:tc>
        <w:tc>
          <w:tcPr>
            <w:tcW w:w="2977" w:type="dxa"/>
            <w:shd w:val="clear" w:color="auto" w:fill="auto"/>
          </w:tcPr>
          <w:p w:rsidR="00476D3F" w:rsidRPr="00CE5FBB" w:rsidRDefault="00476D3F" w:rsidP="00476D3F">
            <w:pPr>
              <w:jc w:val="center"/>
              <w:rPr>
                <w:szCs w:val="24"/>
              </w:rPr>
            </w:pPr>
            <w:r w:rsidRPr="00CE5FBB">
              <w:rPr>
                <w:szCs w:val="24"/>
              </w:rPr>
              <w:t>GRUPO MEDRANO</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LA EXTINCIÓN DE LOS DERECHOS, EFECTOS JURÍDICOS Y OBLIGACIONES DERIVADOS DE LAS AUTORIZACIONES EXPEDIDAS POR EL INSTITUTO DOMINICANO DE LAS TELECOMUNICACIONES (INDOTEL), A FAVOR DE LA SOCIEDAD GRUPO MEDRANO PARA EL USO DE DIVERSAS FRECUENCIAS EN LAS PROVINCIAS SANTO DOMINGO Y LA VEGA.  </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91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9-9</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ORDENA EL INICIO DEL PROCESO DE CONSULTA PÚBLICA PARA DICTAR EL NUEVO REGLAMENTO PARA LA CELEBRACIÓN DE AUDIENCIAS PÚBLICAS </w:t>
            </w:r>
            <w:r w:rsidRPr="00CE5FBB">
              <w:rPr>
                <w:szCs w:val="24"/>
              </w:rPr>
              <w:lastRenderedPageBreak/>
              <w:t>DEL INSTITUTO DOMINICANO DE LAS TELECOMUNICACIONES (INDOTEL), PARA FINES DE APROBACIÓN DEL CONSEJO DIRECTIVO.</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92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23-9</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APRUEBA LA MODIFICACIÓN DEL APÉNDICE I, ARTÍCULO 4.2, LITERAL B, DEL REGLAMENTO GENERAL DE USO DEL ESPECTRO RADIOELÉCTRICO, DICTADO MEDIANTE LA RESOLUCIÓN DEL CONSEJO DIRECTIVO DEL INDOTEL NÚM. 034- 2020 DE FECHA 20 DE MAYO DE 2020.</w:t>
            </w:r>
            <w:r w:rsidRPr="00CE5FBB">
              <w:rPr>
                <w:szCs w:val="24"/>
              </w:rPr>
              <w:tab/>
              <w:t>"</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93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4-10</w:t>
            </w:r>
          </w:p>
        </w:tc>
        <w:tc>
          <w:tcPr>
            <w:tcW w:w="2977" w:type="dxa"/>
            <w:shd w:val="clear" w:color="auto" w:fill="auto"/>
          </w:tcPr>
          <w:p w:rsidR="00476D3F" w:rsidRPr="00CE5FBB" w:rsidRDefault="00476D3F" w:rsidP="00476D3F">
            <w:pPr>
              <w:jc w:val="center"/>
              <w:rPr>
                <w:szCs w:val="24"/>
              </w:rPr>
            </w:pPr>
            <w:r w:rsidRPr="00CE5FBB">
              <w:rPr>
                <w:szCs w:val="24"/>
              </w:rPr>
              <w:t>TAXI VIP</w:t>
            </w:r>
          </w:p>
        </w:tc>
        <w:tc>
          <w:tcPr>
            <w:tcW w:w="3402" w:type="dxa"/>
            <w:shd w:val="clear" w:color="auto" w:fill="auto"/>
          </w:tcPr>
          <w:p w:rsidR="00476D3F" w:rsidRPr="00CE5FBB" w:rsidRDefault="00476D3F" w:rsidP="00476D3F">
            <w:pPr>
              <w:jc w:val="left"/>
              <w:rPr>
                <w:szCs w:val="24"/>
              </w:rPr>
            </w:pPr>
            <w:r w:rsidRPr="00CE5FBB">
              <w:rPr>
                <w:szCs w:val="24"/>
              </w:rPr>
              <w:t>RESOLUCIÓN QUE OTORGA A LA SOCIEDAD TAXI VIP POP, S.R.L. LAS LICENCIAS CORRESPONDIENTES QUE AMPARA EL DERECHO DE USO DE LAS FRECUENCIAS 154.1125 MHZ Y 159.1125 MHZ PARA LA OPERACIÓN DE UN SISTEMA DE RADIOCOMUNICACIÓN PRIVADA EN LA PROVINCIA DE PUERTO PLATA.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94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4-10</w:t>
            </w:r>
          </w:p>
        </w:tc>
        <w:tc>
          <w:tcPr>
            <w:tcW w:w="2977" w:type="dxa"/>
            <w:shd w:val="clear" w:color="auto" w:fill="auto"/>
          </w:tcPr>
          <w:p w:rsidR="00476D3F" w:rsidRPr="00CE5FBB" w:rsidRDefault="00476D3F" w:rsidP="00476D3F">
            <w:pPr>
              <w:jc w:val="center"/>
              <w:rPr>
                <w:szCs w:val="24"/>
              </w:rPr>
            </w:pPr>
            <w:r w:rsidRPr="00CE5FBB">
              <w:rPr>
                <w:szCs w:val="24"/>
              </w:rPr>
              <w:t>COLUMBUS NETWORKDS</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DECIDE LA SOLICITUD DE RENOVACIÓN DE LA CONCESIÓN OTORGADA A LA SOCIEDAD COLUMBUS NETWORKS DOMINICANA, </w:t>
            </w:r>
            <w:r w:rsidRPr="00CE5FBB">
              <w:rPr>
                <w:szCs w:val="24"/>
              </w:rPr>
              <w:lastRenderedPageBreak/>
              <w:t>S.A., PARA PRESTAR SERVICIOS PÚBLICOS PORTADORES Y SERVICIOS FINALES DE TELECOMUNICACIONES (CONSISTENTES EN SERVICIOS DE TELEFONÍA PARA LLAMADAS LOCALES, NACIONALES E INTERNACIONALES Y SERVICIOS DE ACCESO A INTERNET Y ENLACES DE DATOS) EN TODO EL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95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4-10</w:t>
            </w:r>
          </w:p>
        </w:tc>
        <w:tc>
          <w:tcPr>
            <w:tcW w:w="2977" w:type="dxa"/>
            <w:shd w:val="clear" w:color="auto" w:fill="auto"/>
          </w:tcPr>
          <w:p w:rsidR="00476D3F" w:rsidRPr="00CE5FBB" w:rsidRDefault="00476D3F" w:rsidP="00476D3F">
            <w:pPr>
              <w:jc w:val="center"/>
              <w:rPr>
                <w:szCs w:val="24"/>
              </w:rPr>
            </w:pPr>
            <w:r w:rsidRPr="00CE5FBB">
              <w:rPr>
                <w:szCs w:val="24"/>
              </w:rPr>
              <w:t>CORPORACIÓN DE TV Y MICROONDAS RAFA</w:t>
            </w:r>
          </w:p>
        </w:tc>
        <w:tc>
          <w:tcPr>
            <w:tcW w:w="3402" w:type="dxa"/>
            <w:shd w:val="clear" w:color="auto" w:fill="auto"/>
          </w:tcPr>
          <w:p w:rsidR="00476D3F" w:rsidRPr="00CE5FBB" w:rsidRDefault="00476D3F" w:rsidP="00476D3F">
            <w:pPr>
              <w:jc w:val="left"/>
              <w:rPr>
                <w:szCs w:val="24"/>
              </w:rPr>
            </w:pPr>
            <w:r w:rsidRPr="00CE5FBB">
              <w:rPr>
                <w:szCs w:val="24"/>
              </w:rPr>
              <w:t>RESOLUCIÓN QUE CONOCE EL RECURSO JERÁRQUICO Y DE RECONSIDERACIÓN INTERPUESTO POR LA CORPORACIÓN DE TV Y MICROONDAS RAFA C. POR A., CONTRA LAS CORRESPONDENCIAS NÚMS. DE-0001703-21 Y DE-0001874-21 EMITIDAS POR LA DIRECCIÓN EJECUTIVA DEL INDOTEL EN FECHA 17 Y 30 DE AGOSTO DE 2021, RESPECTIVAMENTE, COMUNICACIONES EMITIDAS QUE REFLEJAN EL ESTADO CONSOLIDADO AL AÑO 2021 DEL BALANCE PENDIENTE DE PAGO AL INDOTEL POR CONCEPTO DEL DERECHO DE USO (DU) DEL ESPECTRO RADIOELÉCTRICO QUE MANTIENE LA CORPORACIÓN</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96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4-10</w:t>
            </w:r>
          </w:p>
        </w:tc>
        <w:tc>
          <w:tcPr>
            <w:tcW w:w="2977" w:type="dxa"/>
            <w:shd w:val="clear" w:color="auto" w:fill="auto"/>
          </w:tcPr>
          <w:p w:rsidR="00476D3F" w:rsidRPr="00CE5FBB" w:rsidRDefault="00476D3F" w:rsidP="00476D3F">
            <w:pPr>
              <w:jc w:val="center"/>
              <w:rPr>
                <w:szCs w:val="24"/>
              </w:rPr>
            </w:pPr>
            <w:r w:rsidRPr="00CE5FBB">
              <w:rPr>
                <w:szCs w:val="24"/>
              </w:rPr>
              <w:t>SATALCOM</w:t>
            </w:r>
          </w:p>
        </w:tc>
        <w:tc>
          <w:tcPr>
            <w:tcW w:w="3402" w:type="dxa"/>
            <w:shd w:val="clear" w:color="auto" w:fill="auto"/>
          </w:tcPr>
          <w:p w:rsidR="00476D3F" w:rsidRPr="00CE5FBB" w:rsidRDefault="00476D3F" w:rsidP="00476D3F">
            <w:pPr>
              <w:jc w:val="left"/>
              <w:rPr>
                <w:szCs w:val="24"/>
              </w:rPr>
            </w:pPr>
            <w:r w:rsidRPr="00CE5FBB">
              <w:rPr>
                <w:szCs w:val="24"/>
              </w:rPr>
              <w:t>RESOLUCIÓN QUE DECLARA LA EXTINCIÓN DE LOS DERECHOS Y EFECTOS JURÍDICOS DERIVADOS DE LAS AUTORIZACIONES EXPEDIDAS POR LA ANTIGUA DIRECCIÓN GENERAL DE TELECOMUNICACIONES (DGT), A FAVOR DE SATALCOM DOMINICANA, S.A. PARA EL USO DE DIVERSAS FRECUENCIAS EN DISTINTAS LOCALIDADES DEL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97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4-10</w:t>
            </w:r>
          </w:p>
        </w:tc>
        <w:tc>
          <w:tcPr>
            <w:tcW w:w="2977" w:type="dxa"/>
            <w:shd w:val="clear" w:color="auto" w:fill="auto"/>
          </w:tcPr>
          <w:p w:rsidR="00476D3F" w:rsidRPr="00CE5FBB" w:rsidRDefault="00476D3F" w:rsidP="00476D3F">
            <w:pPr>
              <w:jc w:val="center"/>
              <w:rPr>
                <w:szCs w:val="24"/>
              </w:rPr>
            </w:pPr>
            <w:r w:rsidRPr="00CE5FBB">
              <w:rPr>
                <w:szCs w:val="24"/>
              </w:rPr>
              <w:t>ATTWOOD DOMINICANA</w:t>
            </w:r>
          </w:p>
        </w:tc>
        <w:tc>
          <w:tcPr>
            <w:tcW w:w="3402" w:type="dxa"/>
            <w:shd w:val="clear" w:color="auto" w:fill="auto"/>
          </w:tcPr>
          <w:p w:rsidR="00476D3F" w:rsidRPr="00CE5FBB" w:rsidRDefault="00476D3F" w:rsidP="00476D3F">
            <w:pPr>
              <w:jc w:val="left"/>
              <w:rPr>
                <w:szCs w:val="24"/>
              </w:rPr>
            </w:pPr>
            <w:r w:rsidRPr="00CE5FBB">
              <w:rPr>
                <w:szCs w:val="24"/>
              </w:rPr>
              <w:t>RESOLUCIÓN QUE DECLARA LA EXTINCIÓN DE LOS DERECHOS Y EFECTOS JURÍDICOS DERIVADOS DE LAS AUTORIZACIONES EXPEDIDAS POR LA ANTIGUA DIRECCIÓN GENERAL DE TELECOMUNICACIONES (DGT), A FAVOR DE ATTWOODS DOMINICANA, S.A. PARA EL USO DE DIVERSAS FRECUENCIAS EN DISTINTAS LOCALIDADES DEL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t>98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7-10</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IDENTIFICA LOS MERCADOS RELEVANTES DEL SECTOR DE LAS TELECOMUNICACIONES Y </w:t>
            </w:r>
            <w:r w:rsidRPr="00CE5FBB">
              <w:rPr>
                <w:szCs w:val="24"/>
              </w:rPr>
              <w:lastRenderedPageBreak/>
              <w:t>ESTABLECE LOS MERCADOS RELEVANTES SUJETOS DE REGULACIÓN EX ANTE DEL SECTOR DE LAS TELECOMUNICACIONES, DE LA REPÚBLICA DOMINICANA.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szCs w:val="24"/>
              </w:rPr>
              <w:lastRenderedPageBreak/>
              <w:t>99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099-2021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7-10</w:t>
            </w:r>
          </w:p>
        </w:tc>
        <w:tc>
          <w:tcPr>
            <w:tcW w:w="2977" w:type="dxa"/>
            <w:shd w:val="clear" w:color="auto" w:fill="auto"/>
          </w:tcPr>
          <w:p w:rsidR="00476D3F" w:rsidRPr="00CE5FBB" w:rsidRDefault="00476D3F" w:rsidP="00476D3F">
            <w:pPr>
              <w:jc w:val="center"/>
              <w:rPr>
                <w:szCs w:val="24"/>
              </w:rPr>
            </w:pPr>
            <w:r w:rsidRPr="00CE5FBB">
              <w:rPr>
                <w:szCs w:val="24"/>
              </w:rPr>
              <w:t>NEW WORLD TELECOMMUNICATIONS</w:t>
            </w:r>
          </w:p>
        </w:tc>
        <w:tc>
          <w:tcPr>
            <w:tcW w:w="3402" w:type="dxa"/>
            <w:shd w:val="clear" w:color="auto" w:fill="auto"/>
          </w:tcPr>
          <w:p w:rsidR="00476D3F" w:rsidRPr="00CE5FBB" w:rsidRDefault="00476D3F" w:rsidP="00476D3F">
            <w:pPr>
              <w:jc w:val="left"/>
              <w:rPr>
                <w:szCs w:val="24"/>
              </w:rPr>
            </w:pPr>
            <w:r w:rsidRPr="00CE5FBB">
              <w:rPr>
                <w:szCs w:val="24"/>
              </w:rPr>
              <w:t>RESOLUCIÓN QUE DECIDE SOBRE LA SOLICITUD DE CONCESIÓN Y LICENCIA PARA PRESTAR LOS SERVICIOS DE ACCESO A INTERNET EN TERRITORIO NACIONAL PRESENTADA POR LA SOCIEDAD NEW WORLD TELECOMMUNICATIONS, NWT, S.R.L.</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sidRPr="001A3E07">
              <w:rPr>
                <w:rFonts w:eastAsia="Times New Roman"/>
              </w:rPr>
              <w:t>100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7-10</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ORDENA EL INICIO DEL PROCESO DE UNA SEGUNDA CONSULTA PÚBLICA PARA DICTAR EL REGLAMENTO DEL SERVICIO DE TELEVISIÓN TERRESTRE DIGITAL.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sidRPr="001A3E07">
              <w:rPr>
                <w:rFonts w:eastAsia="Times New Roman"/>
              </w:rPr>
              <w:t>10</w:t>
            </w:r>
            <w:r>
              <w:rPr>
                <w:rFonts w:eastAsia="Times New Roman"/>
                <w:szCs w:val="24"/>
              </w:rPr>
              <w:t>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7-10</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ORDENA EL INICIO DEL PROCESO DE UNA SEGUNDA CONSULTA PÚBLICA PARA DICTAR EL REGLAMENTO DEL PLAN DE TRANSICIÓN </w:t>
            </w:r>
            <w:r w:rsidRPr="00CE5FBB">
              <w:rPr>
                <w:rFonts w:eastAsia="Times New Roman"/>
              </w:rPr>
              <w:t>A LA TELEVISIÓN TERRESTRE DIGITAL.</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t>102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7-10</w:t>
            </w:r>
          </w:p>
        </w:tc>
        <w:tc>
          <w:tcPr>
            <w:tcW w:w="2977" w:type="dxa"/>
            <w:shd w:val="clear" w:color="auto" w:fill="auto"/>
          </w:tcPr>
          <w:p w:rsidR="00476D3F" w:rsidRPr="00CE5FBB" w:rsidRDefault="00476D3F" w:rsidP="00476D3F">
            <w:pPr>
              <w:jc w:val="center"/>
              <w:rPr>
                <w:szCs w:val="24"/>
              </w:rPr>
            </w:pPr>
            <w:r w:rsidRPr="00CE5FBB">
              <w:rPr>
                <w:szCs w:val="24"/>
              </w:rPr>
              <w:t>TRILOGY</w:t>
            </w:r>
          </w:p>
        </w:tc>
        <w:tc>
          <w:tcPr>
            <w:tcW w:w="3402" w:type="dxa"/>
            <w:shd w:val="clear" w:color="auto" w:fill="auto"/>
          </w:tcPr>
          <w:p w:rsidR="00476D3F" w:rsidRPr="00CE5FBB" w:rsidRDefault="00476D3F" w:rsidP="00476D3F">
            <w:pPr>
              <w:jc w:val="left"/>
              <w:rPr>
                <w:szCs w:val="24"/>
              </w:rPr>
            </w:pPr>
            <w:r w:rsidRPr="00CE5FBB">
              <w:rPr>
                <w:szCs w:val="24"/>
              </w:rPr>
              <w:t xml:space="preserve">DE RESOLUCIÓN QUE CONOCE EL RECURSO DE RECONSIDERACIÓN INTERPUESTO POR </w:t>
            </w:r>
            <w:r w:rsidRPr="00CE5FBB">
              <w:rPr>
                <w:szCs w:val="24"/>
              </w:rPr>
              <w:lastRenderedPageBreak/>
              <w:t>TRILOGY DOMINICANA, S. A., (VIVA), CONTRA LA RESOLUCIÓN DEL CONSEJO DIRECTIVO NÚM. 064-2021, QUE DECIDE EL PROCEDIMIENTO ADMINISTRATIVO SANCIONADOR INICIADO CONTRA TRILOGY DOMINICANA S. A., (VIVA), POR LA COMISIÓN DE FALTAS ADMINISTRATIVAS MUY GRAVES Y GRAVES ESTABLECIDAS EN LOS LITERALES A) Y D) DEL ARTÍCULO 105 Y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lastRenderedPageBreak/>
              <w:t>103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7-10</w:t>
            </w:r>
          </w:p>
        </w:tc>
        <w:tc>
          <w:tcPr>
            <w:tcW w:w="2977" w:type="dxa"/>
            <w:shd w:val="clear" w:color="auto" w:fill="auto"/>
          </w:tcPr>
          <w:p w:rsidR="00476D3F" w:rsidRPr="00CE5FBB" w:rsidRDefault="00476D3F" w:rsidP="00476D3F">
            <w:pPr>
              <w:jc w:val="center"/>
              <w:rPr>
                <w:szCs w:val="24"/>
              </w:rPr>
            </w:pPr>
            <w:r w:rsidRPr="00CE5FBB">
              <w:rPr>
                <w:szCs w:val="24"/>
              </w:rPr>
              <w:t>LOMO PRODUCCIONES, S.R.L.</w:t>
            </w:r>
          </w:p>
        </w:tc>
        <w:tc>
          <w:tcPr>
            <w:tcW w:w="3402" w:type="dxa"/>
            <w:shd w:val="clear" w:color="auto" w:fill="auto"/>
          </w:tcPr>
          <w:p w:rsidR="00476D3F" w:rsidRPr="00CE5FBB" w:rsidRDefault="00476D3F" w:rsidP="00476D3F">
            <w:pPr>
              <w:jc w:val="left"/>
              <w:rPr>
                <w:szCs w:val="24"/>
              </w:rPr>
            </w:pPr>
            <w:r w:rsidRPr="00CE5FBB">
              <w:rPr>
                <w:szCs w:val="24"/>
              </w:rPr>
              <w:t>RESOLUCIÓN QUE OTORGA A LA SOCIEDAD LOMO PRODUCCIONES, S.R.L. LAS LICENCIAS CORRESPONDIENTES QUE AMPARA EL DERECHO DE USO DE LAS FRECUENCIAS 453.4125 MHZ, 458.4125 MHZ, 453.4625 MHZ, 458.4625 MHZ, 453.4875 MHZ, 458.4875 MHZ, 453.5375 MHZ, 458.5375 MHZ, 453.5875 MHZ Y 458.5875 MHZ PARA LA OPERACIÓN DE UN SISTEMA DE RADIOCOMUNICACIÓN PRIVADA EN TODO EL TERRITORIO NACIONAL.</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lastRenderedPageBreak/>
              <w:t>104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14-10</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DA INICIO AL PROCEDIMIENTO PARA LA FIJACIÓN DE LOS CARGOS DE INTERCONEXIÓN CONFORME LO ESTABLECIDO EN EL REGLAMENTO DE TARIFAS Y COSTOS DE SERVICIOS, Y EN CUMPLIMIENTO A LO ORDENADO POR EL CONSEJO DIRECTIVO EN SU RESOLUCIÓN NÚM. 053-2021.</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t>105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14-10</w:t>
            </w:r>
          </w:p>
        </w:tc>
        <w:tc>
          <w:tcPr>
            <w:tcW w:w="2977" w:type="dxa"/>
            <w:shd w:val="clear" w:color="auto" w:fill="auto"/>
          </w:tcPr>
          <w:p w:rsidR="00476D3F" w:rsidRPr="00CE5FBB" w:rsidRDefault="00476D3F" w:rsidP="00476D3F">
            <w:pPr>
              <w:jc w:val="center"/>
              <w:rPr>
                <w:szCs w:val="24"/>
              </w:rPr>
            </w:pPr>
            <w:r w:rsidRPr="00CE5FBB">
              <w:rPr>
                <w:szCs w:val="24"/>
              </w:rPr>
              <w:t>COMISIÓN DE LIQUIDACIÓN ADMINISTRATIVA BANINTER</w:t>
            </w:r>
          </w:p>
        </w:tc>
        <w:tc>
          <w:tcPr>
            <w:tcW w:w="3402" w:type="dxa"/>
            <w:shd w:val="clear" w:color="auto" w:fill="auto"/>
          </w:tcPr>
          <w:p w:rsidR="00476D3F" w:rsidRPr="00CE5FBB" w:rsidRDefault="00476D3F" w:rsidP="00476D3F">
            <w:pPr>
              <w:jc w:val="left"/>
              <w:rPr>
                <w:szCs w:val="24"/>
              </w:rPr>
            </w:pPr>
            <w:r w:rsidRPr="00CE5FBB">
              <w:rPr>
                <w:szCs w:val="24"/>
              </w:rPr>
              <w:t>RESOLUCIÓN QUE AUTORIZA AL BANCO CENTRAL DE LA REPÚBLICA DOMINICANA, A LA DETENTACIÓN DE LOS DERECHOS SOBRE LOS TÍTULOS HABILITANTES OTORGADOS A LAS SOCIEDADES CANAL 27 UHF, C. POR A., ONDAS Y MEDIOS, S.A. Y FRECUENCIAS Y MEDIOS, S.A. PARA LA PRESTACIÓN DE SERVICIOS DE RADIODIFUSIÓN TELEVISIVA Y OPERACIÓN DE LOS CANALES 27 UHF, 57 UHF Y 67 UHF.</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t>106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14-10</w:t>
            </w:r>
          </w:p>
        </w:tc>
        <w:tc>
          <w:tcPr>
            <w:tcW w:w="2977" w:type="dxa"/>
            <w:shd w:val="clear" w:color="auto" w:fill="auto"/>
          </w:tcPr>
          <w:p w:rsidR="00476D3F" w:rsidRPr="00CE5FBB" w:rsidRDefault="00476D3F" w:rsidP="00476D3F">
            <w:pPr>
              <w:jc w:val="center"/>
              <w:rPr>
                <w:szCs w:val="24"/>
              </w:rPr>
            </w:pPr>
            <w:r w:rsidRPr="00CE5FBB">
              <w:rPr>
                <w:szCs w:val="24"/>
              </w:rPr>
              <w:t>RADIO TELEVISIÓN CIBAO</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ADECUADA A LAS DISPOSICIONES DE LA LEY GENERAL DE TELECOMUNICACIONES NÚM. 153-98, LA AUTORIZACIÓN </w:t>
            </w:r>
            <w:r w:rsidRPr="00CE5FBB">
              <w:rPr>
                <w:szCs w:val="24"/>
              </w:rPr>
              <w:lastRenderedPageBreak/>
              <w:t>OTORGADA POR LA DIRECCIÓN GENERAL DE TELECOMUNICACIONES (DGT), A FAVOR DE LA SOCIEDAD RADIO TELEVISIÓN CIBAO, S.R.L., PARA LA PRESTACIÓN DEL SERVICIO DE RADIODIFUSIÓN TELEVISIVA A TRAVÉS DEL CANAL 43 UHF, EN LA ZONA 2.</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lastRenderedPageBreak/>
              <w:t>107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14-10</w:t>
            </w:r>
          </w:p>
        </w:tc>
        <w:tc>
          <w:tcPr>
            <w:tcW w:w="2977" w:type="dxa"/>
            <w:shd w:val="clear" w:color="auto" w:fill="auto"/>
          </w:tcPr>
          <w:p w:rsidR="00476D3F" w:rsidRPr="00CE5FBB" w:rsidRDefault="00476D3F" w:rsidP="00476D3F">
            <w:pPr>
              <w:jc w:val="center"/>
              <w:rPr>
                <w:szCs w:val="24"/>
              </w:rPr>
            </w:pPr>
            <w:r w:rsidRPr="00CE5FBB">
              <w:rPr>
                <w:szCs w:val="24"/>
              </w:rPr>
              <w:t>CE COMUNICA</w:t>
            </w:r>
          </w:p>
        </w:tc>
        <w:tc>
          <w:tcPr>
            <w:tcW w:w="3402" w:type="dxa"/>
            <w:shd w:val="clear" w:color="auto" w:fill="auto"/>
          </w:tcPr>
          <w:p w:rsidR="00476D3F" w:rsidRPr="00CE5FBB" w:rsidRDefault="00476D3F" w:rsidP="00476D3F">
            <w:pPr>
              <w:jc w:val="left"/>
              <w:rPr>
                <w:szCs w:val="24"/>
              </w:rPr>
            </w:pPr>
            <w:r w:rsidRPr="00CE5FBB">
              <w:rPr>
                <w:szCs w:val="24"/>
              </w:rPr>
              <w:t>RESOLUCIÓN QUE DECLARA LA EXTINCIÓN DE LOS DERECHOS Y EFECTOS JURÍDICOS DERIVADOS DE LAS AUTORIZACIONES EXPEDIDAS POR LA ANTIGUA DIRECCIÓN GENERAL DE TELECOMUNICACIONES (DGT), A FAVOR DE CE COMUNICA DOMINICANA, S.A. PARA EL USO DE DIVERSAS FRECUENCIAS EN DISTINTAS LOCALIDADES DEL TERRITORIO NACIONAL PARA RADIO DIFUSIÓN PRIVADA.</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sidRPr="001A3E07">
              <w:rPr>
                <w:rFonts w:eastAsia="Times New Roman"/>
              </w:rPr>
              <w:t>10</w:t>
            </w:r>
            <w:r>
              <w:rPr>
                <w:rFonts w:eastAsia="Times New Roman"/>
                <w:szCs w:val="24"/>
              </w:rPr>
              <w:t>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21-10</w:t>
            </w:r>
          </w:p>
        </w:tc>
        <w:tc>
          <w:tcPr>
            <w:tcW w:w="2977" w:type="dxa"/>
            <w:shd w:val="clear" w:color="auto" w:fill="auto"/>
          </w:tcPr>
          <w:p w:rsidR="00476D3F" w:rsidRPr="00CE5FBB" w:rsidRDefault="00476D3F" w:rsidP="00476D3F">
            <w:pPr>
              <w:jc w:val="center"/>
              <w:rPr>
                <w:szCs w:val="24"/>
                <w:lang w:val="es-ES"/>
              </w:rPr>
            </w:pPr>
            <w:r w:rsidRPr="00CE5FBB">
              <w:rPr>
                <w:szCs w:val="24"/>
                <w:lang w:val="es-ES"/>
              </w:rPr>
              <w:t>CÁMARA DE COMERCIO Y PRODUCCIÓN DE SANTO DOMINGO</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CONOCE LA SOLICITUD DE RENOVACIÓN DE AUTORIZACIÓN PARA OPERAR COMO ENTIDAD DE CERTIFICACIÓN PRESENTADA POR LA CÁMARA DE COMERCIO Y </w:t>
            </w:r>
            <w:r w:rsidRPr="00CE5FBB">
              <w:rPr>
                <w:szCs w:val="24"/>
              </w:rPr>
              <w:lastRenderedPageBreak/>
              <w:t>PRODUCCIÓN DE SANTO DOMINGO DE CONFORMIDAD A LO ESTABLECIDO EN LA LEY NÚM. 126-02 DE COMERCIO ELECTRÓNICO, DOCUMENTOS Y FIRMAS DIGITALES Y DEMÁS NORMAS COMPLEMENTARIAS Y REGLAMENTOS.</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lastRenderedPageBreak/>
              <w:t>109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109-2021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21-10</w:t>
            </w:r>
          </w:p>
        </w:tc>
        <w:tc>
          <w:tcPr>
            <w:tcW w:w="2977" w:type="dxa"/>
            <w:shd w:val="clear" w:color="auto" w:fill="auto"/>
          </w:tcPr>
          <w:p w:rsidR="00476D3F" w:rsidRPr="00CE5FBB" w:rsidRDefault="00476D3F" w:rsidP="00476D3F">
            <w:pPr>
              <w:jc w:val="center"/>
              <w:rPr>
                <w:szCs w:val="24"/>
              </w:rPr>
            </w:pPr>
            <w:r w:rsidRPr="00CE5FBB">
              <w:rPr>
                <w:szCs w:val="24"/>
              </w:rPr>
              <w:t>LEONARDO CABRERA</w:t>
            </w:r>
          </w:p>
        </w:tc>
        <w:tc>
          <w:tcPr>
            <w:tcW w:w="3402" w:type="dxa"/>
            <w:shd w:val="clear" w:color="auto" w:fill="auto"/>
          </w:tcPr>
          <w:p w:rsidR="00476D3F" w:rsidRPr="00CE5FBB" w:rsidRDefault="00476D3F" w:rsidP="00476D3F">
            <w:pPr>
              <w:jc w:val="left"/>
              <w:rPr>
                <w:szCs w:val="24"/>
              </w:rPr>
            </w:pPr>
            <w:r w:rsidRPr="00CE5FBB">
              <w:rPr>
                <w:szCs w:val="24"/>
              </w:rPr>
              <w:t>RESOLUCIÓN QUE DECIDE EL PROCEDIMIENTO SANCIONADOR ADMINISTRATIVO SEGUIDO CONTRA EL SEÑOR LEONARDO CABRERA DÍAZ, 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sidRPr="001A3E07">
              <w:rPr>
                <w:rFonts w:eastAsia="Times New Roman"/>
              </w:rPr>
              <w:t>11</w:t>
            </w:r>
            <w:r>
              <w:rPr>
                <w:rFonts w:eastAsia="Times New Roman"/>
                <w:szCs w:val="24"/>
              </w:rPr>
              <w:t>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21-10</w:t>
            </w:r>
          </w:p>
        </w:tc>
        <w:tc>
          <w:tcPr>
            <w:tcW w:w="2977" w:type="dxa"/>
            <w:shd w:val="clear" w:color="auto" w:fill="auto"/>
          </w:tcPr>
          <w:p w:rsidR="00476D3F" w:rsidRPr="00CE5FBB" w:rsidRDefault="00476D3F" w:rsidP="00476D3F">
            <w:pPr>
              <w:jc w:val="center"/>
              <w:rPr>
                <w:szCs w:val="24"/>
              </w:rPr>
            </w:pPr>
            <w:r w:rsidRPr="00CE5FBB">
              <w:rPr>
                <w:szCs w:val="24"/>
              </w:rPr>
              <w:t>ALBERTO PÉREZ</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DECIDE EL PROCEDIMIENTO SANCIONADOR ADMINISTRATIVO SEGUIDO CONTRA EL SEÑOR ALBERTO PÉREZ, </w:t>
            </w:r>
            <w:r w:rsidRPr="00CE5FBB">
              <w:rPr>
                <w:szCs w:val="24"/>
              </w:rPr>
              <w:lastRenderedPageBreak/>
              <w:t>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Pr>
                <w:rFonts w:eastAsia="Times New Roman"/>
              </w:rPr>
              <w:lastRenderedPageBreak/>
              <w:t>11</w:t>
            </w:r>
            <w:r>
              <w:rPr>
                <w:rFonts w:eastAsia="Times New Roman"/>
                <w:szCs w:val="24"/>
              </w:rPr>
              <w:t>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21-10</w:t>
            </w:r>
          </w:p>
        </w:tc>
        <w:tc>
          <w:tcPr>
            <w:tcW w:w="2977" w:type="dxa"/>
            <w:shd w:val="clear" w:color="auto" w:fill="auto"/>
          </w:tcPr>
          <w:p w:rsidR="00476D3F" w:rsidRPr="00CE5FBB" w:rsidRDefault="00476D3F" w:rsidP="00476D3F">
            <w:pPr>
              <w:jc w:val="center"/>
              <w:rPr>
                <w:szCs w:val="24"/>
              </w:rPr>
            </w:pPr>
            <w:r w:rsidRPr="00CE5FBB">
              <w:rPr>
                <w:szCs w:val="24"/>
              </w:rPr>
              <w:t>CARLOS CORPORAN</w:t>
            </w:r>
          </w:p>
        </w:tc>
        <w:tc>
          <w:tcPr>
            <w:tcW w:w="3402" w:type="dxa"/>
            <w:shd w:val="clear" w:color="auto" w:fill="auto"/>
          </w:tcPr>
          <w:p w:rsidR="00476D3F" w:rsidRPr="00CE5FBB" w:rsidRDefault="00476D3F" w:rsidP="00476D3F">
            <w:pPr>
              <w:jc w:val="left"/>
              <w:rPr>
                <w:szCs w:val="24"/>
              </w:rPr>
            </w:pPr>
            <w:r w:rsidRPr="00CE5FBB">
              <w:rPr>
                <w:szCs w:val="24"/>
              </w:rPr>
              <w:t>RESOLUCIÓN QUE DECIDE  EL PROCEDIMIENTO SANCIONADOR ADMINISTRATIVO SEGUIDO CONTRA EL SEÑOR CARLOS ANTONIO CORPORÁN REYNOSO, POR LA COMISIÓN DE LAS CONDUCTAS TIPIFICADAS COMO FALTAS ADMINISTRATIVAS MUY GRAVES Y GRAVES CONFORME LAS DISPOSICIONES CONTENIDAS EN EL LITERAL D) DEL ARTÍCULO 105 Y EN EL LITERAL B) DEL ARTÍCULO 106 DE LA LEY GENERAL DE TELECOMUNICACIONES, NÚM. 153-98.</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t>112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21-10</w:t>
            </w:r>
          </w:p>
        </w:tc>
        <w:tc>
          <w:tcPr>
            <w:tcW w:w="2977" w:type="dxa"/>
            <w:shd w:val="clear" w:color="auto" w:fill="auto"/>
          </w:tcPr>
          <w:p w:rsidR="00476D3F" w:rsidRPr="00CE5FBB" w:rsidRDefault="00476D3F" w:rsidP="00476D3F">
            <w:pPr>
              <w:jc w:val="center"/>
              <w:rPr>
                <w:szCs w:val="24"/>
              </w:rPr>
            </w:pPr>
            <w:r w:rsidRPr="00CE5FBB">
              <w:rPr>
                <w:szCs w:val="24"/>
              </w:rPr>
              <w:t>SERVICIOS GLOBALES DE TELECOMUNICACIONES</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LA EXTINCIÓN DE LOS DERECHOS, EFECTOS JURÍDICOS Y </w:t>
            </w:r>
            <w:r w:rsidRPr="00CE5FBB">
              <w:rPr>
                <w:szCs w:val="24"/>
              </w:rPr>
              <w:lastRenderedPageBreak/>
              <w:t>OBLIGACIONES DERIVADAS DE LAS AUTORIZACIONES EXPEDIDAS POR EL INSTITUTO DOMINICANO DE LAS TELECOMUNICACIONES (INDOTEL), A FAVOR DE LA SOCIEDAD SERVICIOS GLOBALES DE TELECOMUNICACIONES, S. R. L. PARA EL USO DE DIVERSAS FRECUENCIAS EN LA PROVINCIA DE SANTO DOMINGO.</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lastRenderedPageBreak/>
              <w:t>113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21-10</w:t>
            </w:r>
          </w:p>
        </w:tc>
        <w:tc>
          <w:tcPr>
            <w:tcW w:w="2977" w:type="dxa"/>
            <w:shd w:val="clear" w:color="auto" w:fill="auto"/>
          </w:tcPr>
          <w:p w:rsidR="00476D3F" w:rsidRPr="00CE5FBB" w:rsidRDefault="00476D3F" w:rsidP="00476D3F">
            <w:pPr>
              <w:jc w:val="center"/>
              <w:rPr>
                <w:szCs w:val="24"/>
              </w:rPr>
            </w:pPr>
            <w:r w:rsidRPr="00CE5FBB">
              <w:rPr>
                <w:szCs w:val="24"/>
              </w:rPr>
              <w:t>SILKGLOBAL DOMINICANA</w:t>
            </w:r>
          </w:p>
        </w:tc>
        <w:tc>
          <w:tcPr>
            <w:tcW w:w="3402" w:type="dxa"/>
            <w:shd w:val="clear" w:color="auto" w:fill="auto"/>
          </w:tcPr>
          <w:p w:rsidR="00476D3F" w:rsidRPr="00CE5FBB" w:rsidRDefault="00476D3F" w:rsidP="00476D3F">
            <w:pPr>
              <w:jc w:val="left"/>
              <w:rPr>
                <w:szCs w:val="24"/>
              </w:rPr>
            </w:pPr>
            <w:r w:rsidRPr="00CE5FBB">
              <w:rPr>
                <w:szCs w:val="24"/>
              </w:rPr>
              <w:t>RESOLUCIÓN QUE DECIDE SOBRE LA OPOSICIÓN INTENTADA POR SILKGLOBAL DOMINICANA, S.R.L., EN FECHA NUEVE (9) DE SEPTIEMBRE DEL 2021, MEDIANTE LA CUAL SE OPONE A QUE SE DE APERTURA AL SOBRE B (PROPUESTA ECONÓMICA) DE LA COMPAÑÏA DOMINICANA DE TELEFONOS S.A. RELACIONADA A LA LICITACIÓN PÚBLICA INTERNACIONAL LPI 001-2021.</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t>114</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114-2021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28-10</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PONE EN CONSULTA PÚBLICA LA DETERMINACIÓN DE LOS OPERADORES CON POSICIÓN DE DOMINIO EN LOS MERCADOS </w:t>
            </w:r>
            <w:r w:rsidRPr="00CE5FBB">
              <w:rPr>
                <w:szCs w:val="24"/>
              </w:rPr>
              <w:lastRenderedPageBreak/>
              <w:t>RELEVANTES IDENTIFICADOS EN LA RESOLUCIÓN DEL CONSEJO DIRECTIVO DEL INDOTEL NÚM. 098-2021.</w:t>
            </w:r>
          </w:p>
        </w:tc>
      </w:tr>
      <w:tr w:rsidR="00476D3F" w:rsidRPr="00CE5FBB" w:rsidTr="00476D3F">
        <w:trPr>
          <w:trHeight w:val="70"/>
          <w:jc w:val="center"/>
        </w:trPr>
        <w:tc>
          <w:tcPr>
            <w:tcW w:w="562" w:type="dxa"/>
            <w:shd w:val="clear" w:color="auto" w:fill="auto"/>
            <w:vAlign w:val="center"/>
          </w:tcPr>
          <w:p w:rsidR="00476D3F" w:rsidRPr="001A3E07" w:rsidRDefault="00476D3F" w:rsidP="00476D3F">
            <w:pPr>
              <w:spacing w:after="0" w:line="240" w:lineRule="auto"/>
              <w:jc w:val="center"/>
              <w:rPr>
                <w:rFonts w:eastAsia="Times New Roman"/>
              </w:rPr>
            </w:pPr>
            <w:r>
              <w:rPr>
                <w:rFonts w:eastAsia="Times New Roman"/>
              </w:rPr>
              <w:lastRenderedPageBreak/>
              <w:t>115</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115-2021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28-10</w:t>
            </w:r>
          </w:p>
        </w:tc>
        <w:tc>
          <w:tcPr>
            <w:tcW w:w="2977" w:type="dxa"/>
            <w:shd w:val="clear" w:color="auto" w:fill="auto"/>
          </w:tcPr>
          <w:p w:rsidR="00476D3F" w:rsidRPr="00CE5FBB" w:rsidRDefault="00476D3F" w:rsidP="00476D3F">
            <w:pPr>
              <w:jc w:val="center"/>
              <w:rPr>
                <w:szCs w:val="24"/>
              </w:rPr>
            </w:pPr>
            <w:r w:rsidRPr="00CE5FBB">
              <w:rPr>
                <w:szCs w:val="24"/>
              </w:rPr>
              <w:t>CODETEL</w:t>
            </w:r>
          </w:p>
        </w:tc>
        <w:tc>
          <w:tcPr>
            <w:tcW w:w="3402" w:type="dxa"/>
            <w:shd w:val="clear" w:color="auto" w:fill="auto"/>
          </w:tcPr>
          <w:p w:rsidR="00476D3F" w:rsidRPr="00CE5FBB" w:rsidRDefault="00476D3F" w:rsidP="00476D3F">
            <w:pPr>
              <w:jc w:val="left"/>
              <w:rPr>
                <w:szCs w:val="24"/>
              </w:rPr>
            </w:pPr>
            <w:r w:rsidRPr="00CE5FBB">
              <w:rPr>
                <w:szCs w:val="24"/>
              </w:rPr>
              <w:t>RESOLUCIÓN QUE DECLARA LAS ADJUDICATARIAS DE LA LICITACIÓN PÚBLICA INTERNACIONAL INDOTEL/LPI-001-2021, PARA EL “OTORGAMIENTO DE CONCESIONES Y LAS LICENCIAS VINCULADAS PARA LA PRESTACIÓN DE SERVICIOS PÚBLICOS PORTADOR Y FINALES DE TELEFONÍA Y ACCESO A INTERNET, A TRAVÉS DE LA EXPLOTACIÓN DE FRECUENCIAS RADIOELÉCTRICAS DENTRO DE LAS BANDAS DE 698-806 MHZ Y 3300-3600 MHZ EN TODO EL TERRITORIO NACIONAL”.</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sidRPr="006604DC">
              <w:rPr>
                <w:rFonts w:eastAsia="Times New Roman"/>
              </w:rPr>
              <w:t>116</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116-2021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28-10</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INDOTEL</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RESOLUCIÓN QUE DISPONE EL REORDENAMIENTO DE FRECUENCIAS RADIOELÉCTRICAS DENTRO DE LA BANDA 3300–3600 MHZ CONFORME LO ESTABLECIDO EN EL PLIEGO DE LA LICITACIÓN PÚBLICA INTERNACIONAL INDOTEL/LPI-001-2021 EN SU ACÁPITE 5.5.</w:t>
            </w:r>
          </w:p>
        </w:tc>
      </w:tr>
      <w:tr w:rsidR="00476D3F" w:rsidRPr="00CE5FBB" w:rsidTr="00476D3F">
        <w:trPr>
          <w:trHeight w:val="70"/>
          <w:jc w:val="center"/>
        </w:trPr>
        <w:tc>
          <w:tcPr>
            <w:tcW w:w="562" w:type="dxa"/>
            <w:shd w:val="clear" w:color="auto" w:fill="auto"/>
            <w:vAlign w:val="center"/>
          </w:tcPr>
          <w:p w:rsidR="00476D3F" w:rsidRPr="00D869BD" w:rsidRDefault="00476D3F" w:rsidP="00476D3F">
            <w:pPr>
              <w:spacing w:after="0" w:line="240" w:lineRule="auto"/>
              <w:jc w:val="center"/>
              <w:rPr>
                <w:rFonts w:eastAsia="Times New Roman"/>
              </w:rPr>
            </w:pPr>
            <w:r w:rsidRPr="00D869BD">
              <w:rPr>
                <w:rFonts w:eastAsia="Times New Roman"/>
              </w:rPr>
              <w:t>117</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117-2021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28-10</w:t>
            </w:r>
          </w:p>
        </w:tc>
        <w:tc>
          <w:tcPr>
            <w:tcW w:w="2977"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MARGUZ DUVERGÉ</w:t>
            </w:r>
          </w:p>
        </w:tc>
        <w:tc>
          <w:tcPr>
            <w:tcW w:w="3402" w:type="dxa"/>
            <w:shd w:val="clear" w:color="auto" w:fill="FFFFFF"/>
            <w:vAlign w:val="center"/>
          </w:tcPr>
          <w:p w:rsidR="00476D3F" w:rsidRPr="00CE5FBB" w:rsidRDefault="00476D3F" w:rsidP="00476D3F">
            <w:pPr>
              <w:spacing w:after="0" w:line="240" w:lineRule="auto"/>
              <w:jc w:val="left"/>
              <w:rPr>
                <w:rFonts w:eastAsia="Times New Roman"/>
                <w:szCs w:val="24"/>
              </w:rPr>
            </w:pPr>
            <w:r w:rsidRPr="00CE5FBB">
              <w:rPr>
                <w:rFonts w:eastAsia="Times New Roman"/>
                <w:szCs w:val="24"/>
              </w:rPr>
              <w:t xml:space="preserve">RESOLUCIÓN QUE DECIDE SOBRE LA SOLICITUD DE AMPLIACIÓN DE </w:t>
            </w:r>
            <w:r w:rsidRPr="00CE5FBB">
              <w:rPr>
                <w:rFonts w:eastAsia="Times New Roman"/>
                <w:szCs w:val="24"/>
              </w:rPr>
              <w:lastRenderedPageBreak/>
              <w:t>CONCESIÓN PRESENTADA POR LA SOCIEDAD MARGUZ DUVERGÉ CABLE TELEVISION, S.R.L., PARA EN ADICIÓN AL SERVICIO PÚBLICO DE DIFUSIÓN POR CABLE, PRESTAR EL SERVICIO DE ACCESO A INTERNET EN EL MUNICIPIO DUVERGÉ DE LA PROVINCIA INDEPENDENCIA, VICENTE NOBLE DE LA PROVINCIA BARAHONA Y MUNICIPIO DE TAMAYO DE LA PROVINCIA BAHORUCO.</w:t>
            </w:r>
          </w:p>
        </w:tc>
      </w:tr>
      <w:tr w:rsidR="00476D3F" w:rsidRPr="00CE5FBB" w:rsidTr="00476D3F">
        <w:trPr>
          <w:trHeight w:val="70"/>
          <w:jc w:val="center"/>
        </w:trPr>
        <w:tc>
          <w:tcPr>
            <w:tcW w:w="562" w:type="dxa"/>
            <w:shd w:val="clear" w:color="auto" w:fill="auto"/>
            <w:vAlign w:val="center"/>
          </w:tcPr>
          <w:p w:rsidR="00476D3F" w:rsidRPr="00CE5FBB" w:rsidRDefault="00476D3F" w:rsidP="00476D3F">
            <w:pPr>
              <w:spacing w:after="0" w:line="240" w:lineRule="auto"/>
              <w:jc w:val="center"/>
              <w:rPr>
                <w:rFonts w:eastAsia="Times New Roman"/>
                <w:szCs w:val="24"/>
              </w:rPr>
            </w:pPr>
            <w:r w:rsidRPr="00D869BD">
              <w:rPr>
                <w:rFonts w:eastAsia="Times New Roman"/>
              </w:rPr>
              <w:lastRenderedPageBreak/>
              <w:t>11</w:t>
            </w:r>
            <w:r>
              <w:rPr>
                <w:rFonts w:eastAsia="Times New Roman"/>
                <w:szCs w:val="24"/>
              </w:rPr>
              <w:t>8</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118-2021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4-11</w:t>
            </w:r>
          </w:p>
        </w:tc>
        <w:tc>
          <w:tcPr>
            <w:tcW w:w="2977" w:type="dxa"/>
            <w:shd w:val="clear" w:color="auto" w:fill="auto"/>
          </w:tcPr>
          <w:p w:rsidR="00476D3F" w:rsidRPr="00CE5FBB" w:rsidRDefault="00476D3F" w:rsidP="00476D3F">
            <w:pPr>
              <w:jc w:val="center"/>
              <w:rPr>
                <w:szCs w:val="24"/>
              </w:rPr>
            </w:pPr>
            <w:r w:rsidRPr="00CE5FBB">
              <w:rPr>
                <w:szCs w:val="24"/>
              </w:rPr>
              <w:t xml:space="preserve">DIGITAL VISIÓN </w:t>
            </w:r>
          </w:p>
        </w:tc>
        <w:tc>
          <w:tcPr>
            <w:tcW w:w="3402" w:type="dxa"/>
            <w:shd w:val="clear" w:color="auto" w:fill="auto"/>
          </w:tcPr>
          <w:p w:rsidR="00476D3F" w:rsidRPr="00CE5FBB" w:rsidRDefault="00476D3F" w:rsidP="00476D3F">
            <w:pPr>
              <w:jc w:val="left"/>
              <w:rPr>
                <w:szCs w:val="24"/>
              </w:rPr>
            </w:pPr>
            <w:r w:rsidRPr="00CE5FBB">
              <w:rPr>
                <w:szCs w:val="24"/>
              </w:rPr>
              <w:t>RESOLUCIÓN QUE DECLARA ADECUADA A LAS DISPOSICIONES DE LA LEY GENERAL DE TELECOMUNICACIONES NÚM. 153-98, LA AUTORIZACIÓN EXPEDIDA POR LA DIRECCIÓN GENERAL DE TELECOMUNICACIONES (DGT), A FAVOR DE LA SOCIEDAD DIGITAL VISION CANAL 63 UHF, S.R.L., QUE AMPARA EL DERECHO DE USO DEL CANAL 63 UHF, ATRIBUIDO AL SERVICIO DE RADIODIFUSIÓN TELEVISIVA, A NIVEL NACIONAL."</w:t>
            </w:r>
          </w:p>
        </w:tc>
      </w:tr>
      <w:tr w:rsidR="00476D3F" w:rsidRPr="00CE5FBB" w:rsidTr="00476D3F">
        <w:trPr>
          <w:trHeight w:val="70"/>
          <w:jc w:val="center"/>
        </w:trPr>
        <w:tc>
          <w:tcPr>
            <w:tcW w:w="562" w:type="dxa"/>
            <w:shd w:val="clear" w:color="auto" w:fill="auto"/>
            <w:vAlign w:val="center"/>
          </w:tcPr>
          <w:p w:rsidR="00476D3F" w:rsidRPr="00D869BD" w:rsidRDefault="00476D3F" w:rsidP="00476D3F">
            <w:pPr>
              <w:spacing w:after="0" w:line="240" w:lineRule="auto"/>
              <w:jc w:val="center"/>
              <w:rPr>
                <w:rFonts w:eastAsia="Times New Roman"/>
              </w:rPr>
            </w:pPr>
            <w:r w:rsidRPr="00D869BD">
              <w:rPr>
                <w:rFonts w:eastAsia="Times New Roman"/>
              </w:rPr>
              <w:t>11</w:t>
            </w:r>
            <w:r>
              <w:rPr>
                <w:rFonts w:eastAsia="Times New Roman"/>
                <w:szCs w:val="24"/>
              </w:rPr>
              <w:t>9</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119-2021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4-11</w:t>
            </w:r>
          </w:p>
        </w:tc>
        <w:tc>
          <w:tcPr>
            <w:tcW w:w="2977" w:type="dxa"/>
            <w:shd w:val="clear" w:color="auto" w:fill="auto"/>
          </w:tcPr>
          <w:p w:rsidR="00476D3F" w:rsidRPr="00CE5FBB" w:rsidRDefault="00476D3F" w:rsidP="00476D3F">
            <w:pPr>
              <w:jc w:val="center"/>
              <w:rPr>
                <w:szCs w:val="24"/>
              </w:rPr>
            </w:pPr>
            <w:r w:rsidRPr="00CE5FBB">
              <w:rPr>
                <w:szCs w:val="24"/>
              </w:rPr>
              <w:t>CODETEL</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LA CONFORMIDAD DE LA COMPAÑÍA DOMINICANA DE TELÉFONOS, S.A. (CLARO), CON LOS </w:t>
            </w:r>
            <w:r w:rsidRPr="00CE5FBB">
              <w:rPr>
                <w:szCs w:val="24"/>
              </w:rPr>
              <w:lastRenderedPageBreak/>
              <w:t>CRITERIOS GENERALES INDICADOS POR LA RESOLUCIÓN NÚM. 022-2020, PARA ESTABLECER LOS PROCEDIMIENTOS, TÉRMINOS Y CONDICIONES ESPECIALES PARA LA INCLUSIÓN DE ATRIBUCIÓN MÓVIL A LICENCIA DENTRO DEL SEGMENTO DE FRECUENCIAS 3570-3600 MHZ.</w:t>
            </w:r>
          </w:p>
        </w:tc>
      </w:tr>
      <w:tr w:rsidR="00476D3F" w:rsidRPr="00CE5FBB" w:rsidTr="00476D3F">
        <w:trPr>
          <w:trHeight w:val="70"/>
          <w:jc w:val="center"/>
        </w:trPr>
        <w:tc>
          <w:tcPr>
            <w:tcW w:w="562" w:type="dxa"/>
            <w:shd w:val="clear" w:color="auto" w:fill="auto"/>
            <w:vAlign w:val="center"/>
          </w:tcPr>
          <w:p w:rsidR="00476D3F" w:rsidRPr="00D869BD" w:rsidRDefault="00476D3F" w:rsidP="00476D3F">
            <w:pPr>
              <w:spacing w:after="0" w:line="240" w:lineRule="auto"/>
              <w:jc w:val="center"/>
              <w:rPr>
                <w:rFonts w:eastAsia="Times New Roman"/>
              </w:rPr>
            </w:pPr>
            <w:r>
              <w:rPr>
                <w:rFonts w:eastAsia="Times New Roman"/>
              </w:rPr>
              <w:lastRenderedPageBreak/>
              <w:t>120</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120-2021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4-11</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POSTERGA LA ENTRADA EN VIGENCIA DE LA RESOLUCIÓN DEL CONSEJO DIRECTIVO DEL INDOTEL NÚM. 041-2020 SOBRE EL SISTEMA DE SERIES NEGADAS</w:t>
            </w:r>
          </w:p>
        </w:tc>
      </w:tr>
      <w:tr w:rsidR="00476D3F" w:rsidRPr="00CE5FBB" w:rsidTr="00476D3F">
        <w:trPr>
          <w:trHeight w:val="70"/>
          <w:jc w:val="center"/>
        </w:trPr>
        <w:tc>
          <w:tcPr>
            <w:tcW w:w="562" w:type="dxa"/>
            <w:shd w:val="clear" w:color="auto" w:fill="auto"/>
            <w:vAlign w:val="center"/>
          </w:tcPr>
          <w:p w:rsidR="00476D3F" w:rsidRPr="00D869BD" w:rsidRDefault="00476D3F" w:rsidP="00476D3F">
            <w:pPr>
              <w:spacing w:after="0" w:line="240" w:lineRule="auto"/>
              <w:jc w:val="center"/>
              <w:rPr>
                <w:rFonts w:eastAsia="Times New Roman"/>
              </w:rPr>
            </w:pPr>
            <w:r>
              <w:rPr>
                <w:rFonts w:eastAsia="Times New Roman"/>
              </w:rPr>
              <w:t>121</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121-2021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11-11</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DICTA EL REGLAMENTO DEL SERVICIO DE TELEVISIÓN TERRESTRE DIGITAL</w:t>
            </w:r>
          </w:p>
        </w:tc>
      </w:tr>
      <w:tr w:rsidR="00476D3F" w:rsidRPr="00CE5FBB" w:rsidTr="00476D3F">
        <w:trPr>
          <w:trHeight w:val="70"/>
          <w:jc w:val="center"/>
        </w:trPr>
        <w:tc>
          <w:tcPr>
            <w:tcW w:w="562" w:type="dxa"/>
            <w:shd w:val="clear" w:color="auto" w:fill="auto"/>
            <w:vAlign w:val="center"/>
          </w:tcPr>
          <w:p w:rsidR="00476D3F" w:rsidRPr="00D869BD" w:rsidRDefault="00476D3F" w:rsidP="00476D3F">
            <w:pPr>
              <w:spacing w:after="0" w:line="240" w:lineRule="auto"/>
              <w:jc w:val="center"/>
              <w:rPr>
                <w:rFonts w:eastAsia="Times New Roman"/>
              </w:rPr>
            </w:pPr>
            <w:r>
              <w:rPr>
                <w:rFonts w:eastAsia="Times New Roman"/>
              </w:rPr>
              <w:t>122</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122-2021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11-11</w:t>
            </w:r>
          </w:p>
        </w:tc>
        <w:tc>
          <w:tcPr>
            <w:tcW w:w="2977" w:type="dxa"/>
            <w:shd w:val="clear" w:color="auto" w:fill="auto"/>
          </w:tcPr>
          <w:p w:rsidR="00476D3F" w:rsidRPr="00CE5FBB" w:rsidRDefault="00476D3F" w:rsidP="00476D3F">
            <w:pPr>
              <w:jc w:val="center"/>
              <w:rPr>
                <w:szCs w:val="24"/>
              </w:rPr>
            </w:pPr>
            <w:r w:rsidRPr="00CE5FBB">
              <w:rPr>
                <w:szCs w:val="24"/>
              </w:rPr>
              <w:t>INDOTEL</w:t>
            </w:r>
          </w:p>
        </w:tc>
        <w:tc>
          <w:tcPr>
            <w:tcW w:w="3402" w:type="dxa"/>
            <w:shd w:val="clear" w:color="auto" w:fill="auto"/>
          </w:tcPr>
          <w:p w:rsidR="00476D3F" w:rsidRPr="00CE5FBB" w:rsidRDefault="00476D3F" w:rsidP="00476D3F">
            <w:pPr>
              <w:jc w:val="left"/>
              <w:rPr>
                <w:szCs w:val="24"/>
              </w:rPr>
            </w:pPr>
            <w:r w:rsidRPr="00CE5FBB">
              <w:rPr>
                <w:szCs w:val="24"/>
              </w:rPr>
              <w:t>RESOLUCIÓN QUE DICTA EL PLAN DE TRANSICIÓN A LA TELEVISIÓN TERRESTRE DIGITAL</w:t>
            </w:r>
          </w:p>
        </w:tc>
      </w:tr>
      <w:tr w:rsidR="00476D3F" w:rsidRPr="00CE5FBB" w:rsidTr="00476D3F">
        <w:trPr>
          <w:trHeight w:val="70"/>
          <w:jc w:val="center"/>
        </w:trPr>
        <w:tc>
          <w:tcPr>
            <w:tcW w:w="562" w:type="dxa"/>
            <w:shd w:val="clear" w:color="auto" w:fill="auto"/>
            <w:vAlign w:val="center"/>
          </w:tcPr>
          <w:p w:rsidR="00476D3F" w:rsidRPr="00D869BD" w:rsidRDefault="00476D3F" w:rsidP="00476D3F">
            <w:pPr>
              <w:spacing w:after="0" w:line="240" w:lineRule="auto"/>
              <w:jc w:val="center"/>
              <w:rPr>
                <w:rFonts w:eastAsia="Times New Roman"/>
              </w:rPr>
            </w:pPr>
            <w:r>
              <w:rPr>
                <w:rFonts w:eastAsia="Times New Roman"/>
              </w:rPr>
              <w:t>123</w:t>
            </w:r>
          </w:p>
        </w:tc>
        <w:tc>
          <w:tcPr>
            <w:tcW w:w="993"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123-2021</w:t>
            </w:r>
          </w:p>
        </w:tc>
        <w:tc>
          <w:tcPr>
            <w:tcW w:w="1134" w:type="dxa"/>
            <w:shd w:val="clear" w:color="auto" w:fill="auto"/>
            <w:vAlign w:val="center"/>
          </w:tcPr>
          <w:p w:rsidR="00476D3F" w:rsidRPr="00CE5FBB" w:rsidRDefault="00476D3F" w:rsidP="00476D3F">
            <w:pPr>
              <w:spacing w:after="0" w:line="240" w:lineRule="auto"/>
              <w:jc w:val="center"/>
              <w:rPr>
                <w:rFonts w:eastAsia="Times New Roman"/>
                <w:szCs w:val="24"/>
              </w:rPr>
            </w:pPr>
            <w:r w:rsidRPr="00CE5FBB">
              <w:rPr>
                <w:rFonts w:eastAsia="Times New Roman"/>
                <w:szCs w:val="24"/>
              </w:rPr>
              <w:t>11-11</w:t>
            </w:r>
          </w:p>
        </w:tc>
        <w:tc>
          <w:tcPr>
            <w:tcW w:w="2977" w:type="dxa"/>
            <w:shd w:val="clear" w:color="auto" w:fill="auto"/>
          </w:tcPr>
          <w:p w:rsidR="00476D3F" w:rsidRPr="00CE5FBB" w:rsidRDefault="00476D3F" w:rsidP="00476D3F">
            <w:pPr>
              <w:jc w:val="center"/>
              <w:rPr>
                <w:szCs w:val="24"/>
              </w:rPr>
            </w:pPr>
            <w:r w:rsidRPr="00CE5FBB">
              <w:rPr>
                <w:szCs w:val="24"/>
              </w:rPr>
              <w:t>COMUNICACIONES Y SERVICIOS</w:t>
            </w:r>
          </w:p>
        </w:tc>
        <w:tc>
          <w:tcPr>
            <w:tcW w:w="3402" w:type="dxa"/>
            <w:shd w:val="clear" w:color="auto" w:fill="auto"/>
          </w:tcPr>
          <w:p w:rsidR="00476D3F" w:rsidRPr="00CE5FBB" w:rsidRDefault="00476D3F" w:rsidP="00476D3F">
            <w:pPr>
              <w:jc w:val="left"/>
              <w:rPr>
                <w:szCs w:val="24"/>
              </w:rPr>
            </w:pPr>
            <w:r w:rsidRPr="00CE5FBB">
              <w:rPr>
                <w:szCs w:val="24"/>
              </w:rPr>
              <w:t xml:space="preserve">RESOLUCIÓN QUE DECLARA LA EXTINCIÓN DE LOS DERECHOS , EFECTOS JURÍDICOS Y OBLIGACIONES DERIVADAS DE LAS AUTORIZACIONES EXPEDIDAS POR EL INSTITUTO DOMINICANO </w:t>
            </w:r>
            <w:r w:rsidRPr="00CE5FBB">
              <w:rPr>
                <w:szCs w:val="24"/>
              </w:rPr>
              <w:lastRenderedPageBreak/>
              <w:t>DE LAS TELECOMUNICACIONES (INDOTEL), A FAVOR DE LA SOCIEDAD COMUNICACIONES Y SERVICIOS SANTO DOMINGO, S.A. PARA EL USO DE DIVERSAS FRECUENCIAS EN LA PROVINCIA DE SANTO DOMINGO, S.A., ., PARA EL USO DE DIVERSAS FRECUENCIAS EN DISTINTAS LOCALIDADES DEL TERRITORIO NACIONAL PARA LA PRESTACIÓN DEL SERVICIO DE RADIOCOMUNICACIÓN PRIVADA</w:t>
            </w:r>
          </w:p>
        </w:tc>
      </w:tr>
    </w:tbl>
    <w:p w:rsidR="00476D3F" w:rsidRDefault="00476D3F" w:rsidP="00476D3F">
      <w:pPr>
        <w:pBdr>
          <w:top w:val="nil"/>
          <w:left w:val="nil"/>
          <w:bottom w:val="nil"/>
          <w:right w:val="nil"/>
          <w:between w:val="nil"/>
        </w:pBdr>
        <w:spacing w:after="0" w:line="240" w:lineRule="auto"/>
        <w:jc w:val="left"/>
        <w:rPr>
          <w:rFonts w:eastAsia="Times New Roman"/>
          <w:b/>
          <w:szCs w:val="24"/>
        </w:rPr>
      </w:pPr>
    </w:p>
    <w:p w:rsidR="00476D3F" w:rsidRDefault="00476D3F" w:rsidP="00476D3F">
      <w:pPr>
        <w:pBdr>
          <w:top w:val="nil"/>
          <w:left w:val="nil"/>
          <w:bottom w:val="nil"/>
          <w:right w:val="nil"/>
          <w:between w:val="nil"/>
        </w:pBdr>
        <w:spacing w:after="0" w:line="240" w:lineRule="auto"/>
        <w:jc w:val="center"/>
        <w:rPr>
          <w:rFonts w:eastAsia="Times New Roman"/>
          <w:b/>
          <w:szCs w:val="24"/>
        </w:rPr>
      </w:pPr>
    </w:p>
    <w:p w:rsidR="00476D3F" w:rsidRPr="00476D3F" w:rsidRDefault="00476D3F" w:rsidP="00476D3F"/>
    <w:p w:rsidR="00476D3F" w:rsidRPr="001A4CFE" w:rsidRDefault="00476D3F" w:rsidP="00476D3F">
      <w:pPr>
        <w:shd w:val="clear" w:color="auto" w:fill="FFFFFF"/>
        <w:spacing w:after="0" w:line="360" w:lineRule="auto"/>
        <w:textAlignment w:val="baseline"/>
        <w:rPr>
          <w:szCs w:val="24"/>
        </w:rPr>
      </w:pPr>
    </w:p>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Default="00476D3F" w:rsidP="00476D3F"/>
    <w:p w:rsidR="00476D3F" w:rsidRPr="00F14420" w:rsidRDefault="00476D3F" w:rsidP="00476D3F"/>
    <w:p w:rsidR="00476D3F" w:rsidRDefault="00476D3F">
      <w:pPr>
        <w:spacing w:after="0" w:line="240" w:lineRule="auto"/>
        <w:jc w:val="left"/>
        <w:rPr>
          <w:color w:val="auto"/>
          <w:sz w:val="20"/>
          <w:szCs w:val="20"/>
        </w:rPr>
      </w:pPr>
    </w:p>
    <w:sectPr w:rsidR="00476D3F" w:rsidSect="00566AC0">
      <w:pgSz w:w="12242" w:h="15842" w:code="1"/>
      <w:pgMar w:top="1440" w:right="2160" w:bottom="1440" w:left="2160" w:header="706" w:footer="11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2B9" w:rsidRDefault="001262B9" w:rsidP="0089322F">
      <w:pPr>
        <w:spacing w:after="0" w:line="240" w:lineRule="auto"/>
      </w:pPr>
      <w:r>
        <w:separator/>
      </w:r>
    </w:p>
  </w:endnote>
  <w:endnote w:type="continuationSeparator" w:id="0">
    <w:p w:rsidR="001262B9" w:rsidRDefault="001262B9"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ex CF Extra Light">
    <w:panose1 w:val="00000000000000000000"/>
    <w:charset w:val="00"/>
    <w:family w:val="roman"/>
    <w:notTrueType/>
    <w:pitch w:val="default"/>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B5" w:rsidRDefault="00DA4FB5">
    <w:pPr>
      <w:pStyle w:val="Piedepgina"/>
      <w:jc w:val="center"/>
    </w:pPr>
  </w:p>
  <w:p w:rsidR="00DA4FB5" w:rsidRDefault="00DA4FB5">
    <w:pPr>
      <w:pStyle w:val="Piedepgina"/>
      <w:jc w:val="center"/>
    </w:pPr>
    <w:r>
      <w:rPr>
        <w:noProof/>
        <w:lang w:val="en-US" w:eastAsia="en-US"/>
      </w:rPr>
      <w:drawing>
        <wp:inline distT="0" distB="0" distL="0" distR="0">
          <wp:extent cx="2997835" cy="405765"/>
          <wp:effectExtent l="0" t="0" r="0" b="0"/>
          <wp:docPr id="52"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835" cy="405765"/>
                  </a:xfrm>
                  <a:prstGeom prst="rect">
                    <a:avLst/>
                  </a:prstGeom>
                  <a:noFill/>
                  <a:ln>
                    <a:noFill/>
                  </a:ln>
                </pic:spPr>
              </pic:pic>
            </a:graphicData>
          </a:graphic>
        </wp:inline>
      </w:drawing>
    </w:r>
  </w:p>
  <w:p w:rsidR="00DA4FB5" w:rsidRPr="006F0C62" w:rsidRDefault="00DA4FB5">
    <w:pPr>
      <w:pStyle w:val="Piedepgina"/>
      <w:jc w:val="center"/>
    </w:pPr>
    <w:r w:rsidRPr="006F0C62">
      <w:fldChar w:fldCharType="begin"/>
    </w:r>
    <w:r w:rsidRPr="006F0C62">
      <w:instrText>PAGE   \* MERGEFORMAT</w:instrText>
    </w:r>
    <w:r w:rsidRPr="006F0C62">
      <w:fldChar w:fldCharType="separate"/>
    </w:r>
    <w:r>
      <w:rPr>
        <w:noProof/>
      </w:rPr>
      <w:t>17</w:t>
    </w:r>
    <w:r w:rsidRPr="006F0C62">
      <w:fldChar w:fldCharType="end"/>
    </w:r>
  </w:p>
  <w:p w:rsidR="00DA4FB5" w:rsidRDefault="00DA4FB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B5" w:rsidRDefault="00DA4FB5">
    <w:pPr>
      <w:pStyle w:val="Piedepgina"/>
      <w:jc w:val="center"/>
    </w:pPr>
  </w:p>
  <w:p w:rsidR="00DA4FB5" w:rsidRDefault="00DA4FB5">
    <w:pPr>
      <w:pStyle w:val="Piedepgina"/>
      <w:jc w:val="center"/>
    </w:pPr>
    <w:r>
      <w:rPr>
        <w:noProof/>
        <w:lang w:val="en-US" w:eastAsia="en-US"/>
      </w:rPr>
      <w:drawing>
        <wp:inline distT="0" distB="0" distL="0" distR="0" wp14:anchorId="326C8F27" wp14:editId="09BC9E44">
          <wp:extent cx="2997835" cy="405765"/>
          <wp:effectExtent l="0" t="0" r="0" b="0"/>
          <wp:docPr id="79"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835" cy="405765"/>
                  </a:xfrm>
                  <a:prstGeom prst="rect">
                    <a:avLst/>
                  </a:prstGeom>
                  <a:noFill/>
                  <a:ln>
                    <a:noFill/>
                  </a:ln>
                </pic:spPr>
              </pic:pic>
            </a:graphicData>
          </a:graphic>
        </wp:inline>
      </w:drawing>
    </w:r>
  </w:p>
  <w:p w:rsidR="00DA4FB5" w:rsidRPr="006F0C62" w:rsidRDefault="00DA4FB5">
    <w:pPr>
      <w:pStyle w:val="Piedepgina"/>
      <w:jc w:val="center"/>
    </w:pPr>
    <w:r w:rsidRPr="006F0C62">
      <w:fldChar w:fldCharType="begin"/>
    </w:r>
    <w:r w:rsidRPr="006F0C62">
      <w:instrText>PAGE   \* MERGEFORMAT</w:instrText>
    </w:r>
    <w:r w:rsidRPr="006F0C62">
      <w:fldChar w:fldCharType="separate"/>
    </w:r>
    <w:r w:rsidR="00ED3A74">
      <w:rPr>
        <w:noProof/>
      </w:rPr>
      <w:t>20</w:t>
    </w:r>
    <w:r w:rsidRPr="006F0C62">
      <w:fldChar w:fldCharType="end"/>
    </w:r>
  </w:p>
  <w:p w:rsidR="00DA4FB5" w:rsidRDefault="00DA4F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2B9" w:rsidRDefault="001262B9" w:rsidP="0089322F">
      <w:pPr>
        <w:spacing w:after="0" w:line="240" w:lineRule="auto"/>
      </w:pPr>
      <w:r>
        <w:separator/>
      </w:r>
    </w:p>
  </w:footnote>
  <w:footnote w:type="continuationSeparator" w:id="0">
    <w:p w:rsidR="001262B9" w:rsidRDefault="001262B9" w:rsidP="00893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A7A08"/>
    <w:multiLevelType w:val="hybridMultilevel"/>
    <w:tmpl w:val="A01CDCF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
    <w:nsid w:val="02F07366"/>
    <w:multiLevelType w:val="hybridMultilevel"/>
    <w:tmpl w:val="2CB0CA70"/>
    <w:lvl w:ilvl="0" w:tplc="AA24C0B6">
      <w:start w:val="1"/>
      <w:numFmt w:val="upperRoman"/>
      <w:lvlText w:val="%1."/>
      <w:lvlJc w:val="left"/>
      <w:pPr>
        <w:ind w:left="2610" w:hanging="720"/>
      </w:pPr>
      <w:rPr>
        <w:rFonts w:hint="default"/>
        <w:color w:val="767171"/>
      </w:rPr>
    </w:lvl>
    <w:lvl w:ilvl="1" w:tplc="1C0A0019" w:tentative="1">
      <w:start w:val="1"/>
      <w:numFmt w:val="lowerLetter"/>
      <w:lvlText w:val="%2."/>
      <w:lvlJc w:val="left"/>
      <w:pPr>
        <w:ind w:left="2970" w:hanging="360"/>
      </w:pPr>
    </w:lvl>
    <w:lvl w:ilvl="2" w:tplc="1C0A001B" w:tentative="1">
      <w:start w:val="1"/>
      <w:numFmt w:val="lowerRoman"/>
      <w:lvlText w:val="%3."/>
      <w:lvlJc w:val="right"/>
      <w:pPr>
        <w:ind w:left="3690" w:hanging="180"/>
      </w:pPr>
    </w:lvl>
    <w:lvl w:ilvl="3" w:tplc="1C0A000F" w:tentative="1">
      <w:start w:val="1"/>
      <w:numFmt w:val="decimal"/>
      <w:lvlText w:val="%4."/>
      <w:lvlJc w:val="left"/>
      <w:pPr>
        <w:ind w:left="4410" w:hanging="360"/>
      </w:pPr>
    </w:lvl>
    <w:lvl w:ilvl="4" w:tplc="1C0A0019" w:tentative="1">
      <w:start w:val="1"/>
      <w:numFmt w:val="lowerLetter"/>
      <w:lvlText w:val="%5."/>
      <w:lvlJc w:val="left"/>
      <w:pPr>
        <w:ind w:left="5130" w:hanging="360"/>
      </w:pPr>
    </w:lvl>
    <w:lvl w:ilvl="5" w:tplc="1C0A001B" w:tentative="1">
      <w:start w:val="1"/>
      <w:numFmt w:val="lowerRoman"/>
      <w:lvlText w:val="%6."/>
      <w:lvlJc w:val="right"/>
      <w:pPr>
        <w:ind w:left="5850" w:hanging="180"/>
      </w:pPr>
    </w:lvl>
    <w:lvl w:ilvl="6" w:tplc="1C0A000F" w:tentative="1">
      <w:start w:val="1"/>
      <w:numFmt w:val="decimal"/>
      <w:lvlText w:val="%7."/>
      <w:lvlJc w:val="left"/>
      <w:pPr>
        <w:ind w:left="6570" w:hanging="360"/>
      </w:pPr>
    </w:lvl>
    <w:lvl w:ilvl="7" w:tplc="1C0A0019" w:tentative="1">
      <w:start w:val="1"/>
      <w:numFmt w:val="lowerLetter"/>
      <w:lvlText w:val="%8."/>
      <w:lvlJc w:val="left"/>
      <w:pPr>
        <w:ind w:left="7290" w:hanging="360"/>
      </w:pPr>
    </w:lvl>
    <w:lvl w:ilvl="8" w:tplc="1C0A001B" w:tentative="1">
      <w:start w:val="1"/>
      <w:numFmt w:val="lowerRoman"/>
      <w:lvlText w:val="%9."/>
      <w:lvlJc w:val="right"/>
      <w:pPr>
        <w:ind w:left="8010" w:hanging="180"/>
      </w:pPr>
    </w:lvl>
  </w:abstractNum>
  <w:abstractNum w:abstractNumId="2">
    <w:nsid w:val="03F57FB0"/>
    <w:multiLevelType w:val="hybridMultilevel"/>
    <w:tmpl w:val="CB90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A570F"/>
    <w:multiLevelType w:val="hybridMultilevel"/>
    <w:tmpl w:val="50DC5842"/>
    <w:lvl w:ilvl="0" w:tplc="1C0A000F">
      <w:start w:val="1"/>
      <w:numFmt w:val="decimal"/>
      <w:lvlText w:val="%1."/>
      <w:lvlJc w:val="left"/>
      <w:pPr>
        <w:ind w:left="790" w:hanging="360"/>
      </w:pPr>
    </w:lvl>
    <w:lvl w:ilvl="1" w:tplc="1C0A0019" w:tentative="1">
      <w:start w:val="1"/>
      <w:numFmt w:val="lowerLetter"/>
      <w:lvlText w:val="%2."/>
      <w:lvlJc w:val="left"/>
      <w:pPr>
        <w:ind w:left="1510" w:hanging="360"/>
      </w:pPr>
    </w:lvl>
    <w:lvl w:ilvl="2" w:tplc="1C0A001B" w:tentative="1">
      <w:start w:val="1"/>
      <w:numFmt w:val="lowerRoman"/>
      <w:lvlText w:val="%3."/>
      <w:lvlJc w:val="right"/>
      <w:pPr>
        <w:ind w:left="2230" w:hanging="180"/>
      </w:pPr>
    </w:lvl>
    <w:lvl w:ilvl="3" w:tplc="1C0A000F" w:tentative="1">
      <w:start w:val="1"/>
      <w:numFmt w:val="decimal"/>
      <w:lvlText w:val="%4."/>
      <w:lvlJc w:val="left"/>
      <w:pPr>
        <w:ind w:left="2950" w:hanging="360"/>
      </w:pPr>
    </w:lvl>
    <w:lvl w:ilvl="4" w:tplc="1C0A0019" w:tentative="1">
      <w:start w:val="1"/>
      <w:numFmt w:val="lowerLetter"/>
      <w:lvlText w:val="%5."/>
      <w:lvlJc w:val="left"/>
      <w:pPr>
        <w:ind w:left="3670" w:hanging="360"/>
      </w:pPr>
    </w:lvl>
    <w:lvl w:ilvl="5" w:tplc="1C0A001B" w:tentative="1">
      <w:start w:val="1"/>
      <w:numFmt w:val="lowerRoman"/>
      <w:lvlText w:val="%6."/>
      <w:lvlJc w:val="right"/>
      <w:pPr>
        <w:ind w:left="4390" w:hanging="180"/>
      </w:pPr>
    </w:lvl>
    <w:lvl w:ilvl="6" w:tplc="1C0A000F" w:tentative="1">
      <w:start w:val="1"/>
      <w:numFmt w:val="decimal"/>
      <w:lvlText w:val="%7."/>
      <w:lvlJc w:val="left"/>
      <w:pPr>
        <w:ind w:left="5110" w:hanging="360"/>
      </w:pPr>
    </w:lvl>
    <w:lvl w:ilvl="7" w:tplc="1C0A0019" w:tentative="1">
      <w:start w:val="1"/>
      <w:numFmt w:val="lowerLetter"/>
      <w:lvlText w:val="%8."/>
      <w:lvlJc w:val="left"/>
      <w:pPr>
        <w:ind w:left="5830" w:hanging="360"/>
      </w:pPr>
    </w:lvl>
    <w:lvl w:ilvl="8" w:tplc="1C0A001B" w:tentative="1">
      <w:start w:val="1"/>
      <w:numFmt w:val="lowerRoman"/>
      <w:lvlText w:val="%9."/>
      <w:lvlJc w:val="right"/>
      <w:pPr>
        <w:ind w:left="6550" w:hanging="180"/>
      </w:pPr>
    </w:lvl>
  </w:abstractNum>
  <w:abstractNum w:abstractNumId="4">
    <w:nsid w:val="085843AC"/>
    <w:multiLevelType w:val="hybridMultilevel"/>
    <w:tmpl w:val="AD8680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B2827F1"/>
    <w:multiLevelType w:val="hybridMultilevel"/>
    <w:tmpl w:val="E5383A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C4B3BF4"/>
    <w:multiLevelType w:val="hybridMultilevel"/>
    <w:tmpl w:val="6C92C01C"/>
    <w:lvl w:ilvl="0" w:tplc="9044F74C">
      <w:start w:val="1"/>
      <w:numFmt w:val="bullet"/>
      <w:lvlText w:val=""/>
      <w:lvlJc w:val="left"/>
      <w:pPr>
        <w:ind w:left="720" w:hanging="360"/>
      </w:pPr>
      <w:rPr>
        <w:rFonts w:ascii="Symbol" w:hAnsi="Symbol" w:hint="default"/>
      </w:rPr>
    </w:lvl>
    <w:lvl w:ilvl="1" w:tplc="DFD2F5D4">
      <w:start w:val="1"/>
      <w:numFmt w:val="bullet"/>
      <w:lvlText w:val="o"/>
      <w:lvlJc w:val="left"/>
      <w:pPr>
        <w:ind w:left="1440" w:hanging="360"/>
      </w:pPr>
      <w:rPr>
        <w:rFonts w:ascii="Courier New" w:hAnsi="Courier New" w:hint="default"/>
      </w:rPr>
    </w:lvl>
    <w:lvl w:ilvl="2" w:tplc="528410FA">
      <w:start w:val="1"/>
      <w:numFmt w:val="bullet"/>
      <w:lvlText w:val=""/>
      <w:lvlJc w:val="left"/>
      <w:pPr>
        <w:ind w:left="2160" w:hanging="360"/>
      </w:pPr>
      <w:rPr>
        <w:rFonts w:ascii="Wingdings" w:hAnsi="Wingdings" w:hint="default"/>
      </w:rPr>
    </w:lvl>
    <w:lvl w:ilvl="3" w:tplc="B1E4F92E">
      <w:start w:val="1"/>
      <w:numFmt w:val="bullet"/>
      <w:lvlText w:val=""/>
      <w:lvlJc w:val="left"/>
      <w:pPr>
        <w:ind w:left="2880" w:hanging="360"/>
      </w:pPr>
      <w:rPr>
        <w:rFonts w:ascii="Symbol" w:hAnsi="Symbol" w:hint="default"/>
      </w:rPr>
    </w:lvl>
    <w:lvl w:ilvl="4" w:tplc="F34AFAA2">
      <w:start w:val="1"/>
      <w:numFmt w:val="bullet"/>
      <w:lvlText w:val="o"/>
      <w:lvlJc w:val="left"/>
      <w:pPr>
        <w:ind w:left="3600" w:hanging="360"/>
      </w:pPr>
      <w:rPr>
        <w:rFonts w:ascii="Courier New" w:hAnsi="Courier New" w:hint="default"/>
      </w:rPr>
    </w:lvl>
    <w:lvl w:ilvl="5" w:tplc="C82E3876">
      <w:start w:val="1"/>
      <w:numFmt w:val="bullet"/>
      <w:lvlText w:val=""/>
      <w:lvlJc w:val="left"/>
      <w:pPr>
        <w:ind w:left="4320" w:hanging="360"/>
      </w:pPr>
      <w:rPr>
        <w:rFonts w:ascii="Wingdings" w:hAnsi="Wingdings" w:hint="default"/>
      </w:rPr>
    </w:lvl>
    <w:lvl w:ilvl="6" w:tplc="72745A2C">
      <w:start w:val="1"/>
      <w:numFmt w:val="bullet"/>
      <w:lvlText w:val=""/>
      <w:lvlJc w:val="left"/>
      <w:pPr>
        <w:ind w:left="5040" w:hanging="360"/>
      </w:pPr>
      <w:rPr>
        <w:rFonts w:ascii="Symbol" w:hAnsi="Symbol" w:hint="default"/>
      </w:rPr>
    </w:lvl>
    <w:lvl w:ilvl="7" w:tplc="ADCCDB4C">
      <w:start w:val="1"/>
      <w:numFmt w:val="bullet"/>
      <w:lvlText w:val="o"/>
      <w:lvlJc w:val="left"/>
      <w:pPr>
        <w:ind w:left="5760" w:hanging="360"/>
      </w:pPr>
      <w:rPr>
        <w:rFonts w:ascii="Courier New" w:hAnsi="Courier New" w:hint="default"/>
      </w:rPr>
    </w:lvl>
    <w:lvl w:ilvl="8" w:tplc="92C40EB0">
      <w:start w:val="1"/>
      <w:numFmt w:val="bullet"/>
      <w:lvlText w:val=""/>
      <w:lvlJc w:val="left"/>
      <w:pPr>
        <w:ind w:left="6480" w:hanging="360"/>
      </w:pPr>
      <w:rPr>
        <w:rFonts w:ascii="Wingdings" w:hAnsi="Wingdings" w:hint="default"/>
      </w:rPr>
    </w:lvl>
  </w:abstractNum>
  <w:abstractNum w:abstractNumId="7">
    <w:nsid w:val="11C726B0"/>
    <w:multiLevelType w:val="hybridMultilevel"/>
    <w:tmpl w:val="E886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840608"/>
    <w:multiLevelType w:val="hybridMultilevel"/>
    <w:tmpl w:val="1F183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BC029C"/>
    <w:multiLevelType w:val="hybridMultilevel"/>
    <w:tmpl w:val="C8B2D4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8127BA"/>
    <w:multiLevelType w:val="hybridMultilevel"/>
    <w:tmpl w:val="A2DA25A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26344626"/>
    <w:multiLevelType w:val="hybridMultilevel"/>
    <w:tmpl w:val="B46ABCE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nsid w:val="29072510"/>
    <w:multiLevelType w:val="hybridMultilevel"/>
    <w:tmpl w:val="7972AA5A"/>
    <w:lvl w:ilvl="0" w:tplc="08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2D7F234D"/>
    <w:multiLevelType w:val="hybridMultilevel"/>
    <w:tmpl w:val="7200F5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2F58021B"/>
    <w:multiLevelType w:val="hybridMultilevel"/>
    <w:tmpl w:val="A7F053D6"/>
    <w:lvl w:ilvl="0" w:tplc="08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3A74577"/>
    <w:multiLevelType w:val="hybridMultilevel"/>
    <w:tmpl w:val="426A6E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4584CCB"/>
    <w:multiLevelType w:val="hybridMultilevel"/>
    <w:tmpl w:val="FC64292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68C52D2"/>
    <w:multiLevelType w:val="hybridMultilevel"/>
    <w:tmpl w:val="58FC0C9C"/>
    <w:lvl w:ilvl="0" w:tplc="FB9C1C66">
      <w:start w:val="1"/>
      <w:numFmt w:val="upperRoman"/>
      <w:pStyle w:val="Ttulo1"/>
      <w:lvlText w:val="%1."/>
      <w:lvlJc w:val="right"/>
      <w:pPr>
        <w:ind w:left="720" w:hanging="360"/>
      </w:pPr>
      <w:rPr>
        <w:sz w:val="56"/>
        <w:szCs w:val="56"/>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39827B5B"/>
    <w:multiLevelType w:val="hybridMultilevel"/>
    <w:tmpl w:val="43EE8C48"/>
    <w:lvl w:ilvl="0" w:tplc="8534C00C">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3D10588C"/>
    <w:multiLevelType w:val="hybridMultilevel"/>
    <w:tmpl w:val="520039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3DDC529D"/>
    <w:multiLevelType w:val="hybridMultilevel"/>
    <w:tmpl w:val="6CC41B6E"/>
    <w:lvl w:ilvl="0" w:tplc="1C0A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5000D6"/>
    <w:multiLevelType w:val="hybridMultilevel"/>
    <w:tmpl w:val="74A44F02"/>
    <w:lvl w:ilvl="0" w:tplc="EA58BD8E">
      <w:start w:val="1"/>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761D85"/>
    <w:multiLevelType w:val="hybridMultilevel"/>
    <w:tmpl w:val="58DA279E"/>
    <w:lvl w:ilvl="0" w:tplc="33CC9F6E">
      <w:start w:val="1"/>
      <w:numFmt w:val="bullet"/>
      <w:lvlText w:val=""/>
      <w:lvlJc w:val="left"/>
      <w:pPr>
        <w:ind w:left="720" w:hanging="360"/>
      </w:pPr>
      <w:rPr>
        <w:rFonts w:ascii="Symbol" w:hAnsi="Symbol" w:hint="default"/>
      </w:rPr>
    </w:lvl>
    <w:lvl w:ilvl="1" w:tplc="E0F6FCD6">
      <w:start w:val="1"/>
      <w:numFmt w:val="bullet"/>
      <w:lvlText w:val="o"/>
      <w:lvlJc w:val="left"/>
      <w:pPr>
        <w:ind w:left="1440" w:hanging="360"/>
      </w:pPr>
      <w:rPr>
        <w:rFonts w:ascii="Courier New" w:hAnsi="Courier New" w:hint="default"/>
      </w:rPr>
    </w:lvl>
    <w:lvl w:ilvl="2" w:tplc="24809EC8">
      <w:start w:val="1"/>
      <w:numFmt w:val="bullet"/>
      <w:lvlText w:val=""/>
      <w:lvlJc w:val="left"/>
      <w:pPr>
        <w:ind w:left="2160" w:hanging="360"/>
      </w:pPr>
      <w:rPr>
        <w:rFonts w:ascii="Wingdings" w:hAnsi="Wingdings" w:hint="default"/>
      </w:rPr>
    </w:lvl>
    <w:lvl w:ilvl="3" w:tplc="0DDC0982">
      <w:start w:val="1"/>
      <w:numFmt w:val="bullet"/>
      <w:lvlText w:val=""/>
      <w:lvlJc w:val="left"/>
      <w:pPr>
        <w:ind w:left="2880" w:hanging="360"/>
      </w:pPr>
      <w:rPr>
        <w:rFonts w:ascii="Symbol" w:hAnsi="Symbol" w:hint="default"/>
      </w:rPr>
    </w:lvl>
    <w:lvl w:ilvl="4" w:tplc="0E02D52E">
      <w:start w:val="1"/>
      <w:numFmt w:val="bullet"/>
      <w:lvlText w:val="o"/>
      <w:lvlJc w:val="left"/>
      <w:pPr>
        <w:ind w:left="3600" w:hanging="360"/>
      </w:pPr>
      <w:rPr>
        <w:rFonts w:ascii="Courier New" w:hAnsi="Courier New" w:hint="default"/>
      </w:rPr>
    </w:lvl>
    <w:lvl w:ilvl="5" w:tplc="F97EFDC6">
      <w:start w:val="1"/>
      <w:numFmt w:val="bullet"/>
      <w:lvlText w:val=""/>
      <w:lvlJc w:val="left"/>
      <w:pPr>
        <w:ind w:left="4320" w:hanging="360"/>
      </w:pPr>
      <w:rPr>
        <w:rFonts w:ascii="Wingdings" w:hAnsi="Wingdings" w:hint="default"/>
      </w:rPr>
    </w:lvl>
    <w:lvl w:ilvl="6" w:tplc="46A6E24C">
      <w:start w:val="1"/>
      <w:numFmt w:val="bullet"/>
      <w:lvlText w:val=""/>
      <w:lvlJc w:val="left"/>
      <w:pPr>
        <w:ind w:left="5040" w:hanging="360"/>
      </w:pPr>
      <w:rPr>
        <w:rFonts w:ascii="Symbol" w:hAnsi="Symbol" w:hint="default"/>
      </w:rPr>
    </w:lvl>
    <w:lvl w:ilvl="7" w:tplc="19846472">
      <w:start w:val="1"/>
      <w:numFmt w:val="bullet"/>
      <w:lvlText w:val="o"/>
      <w:lvlJc w:val="left"/>
      <w:pPr>
        <w:ind w:left="5760" w:hanging="360"/>
      </w:pPr>
      <w:rPr>
        <w:rFonts w:ascii="Courier New" w:hAnsi="Courier New" w:hint="default"/>
      </w:rPr>
    </w:lvl>
    <w:lvl w:ilvl="8" w:tplc="D6203020">
      <w:start w:val="1"/>
      <w:numFmt w:val="bullet"/>
      <w:lvlText w:val=""/>
      <w:lvlJc w:val="left"/>
      <w:pPr>
        <w:ind w:left="6480" w:hanging="360"/>
      </w:pPr>
      <w:rPr>
        <w:rFonts w:ascii="Wingdings" w:hAnsi="Wingdings" w:hint="default"/>
      </w:rPr>
    </w:lvl>
  </w:abstractNum>
  <w:abstractNum w:abstractNumId="23">
    <w:nsid w:val="487D3478"/>
    <w:multiLevelType w:val="hybridMultilevel"/>
    <w:tmpl w:val="158AAD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684C05"/>
    <w:multiLevelType w:val="hybridMultilevel"/>
    <w:tmpl w:val="22D0D99C"/>
    <w:lvl w:ilvl="0" w:tplc="CDBC2B7E">
      <w:start w:val="1"/>
      <w:numFmt w:val="bullet"/>
      <w:lvlText w:val=""/>
      <w:lvlJc w:val="left"/>
      <w:pPr>
        <w:ind w:left="720" w:hanging="360"/>
      </w:pPr>
      <w:rPr>
        <w:rFonts w:ascii="Symbol" w:hAnsi="Symbol" w:hint="default"/>
      </w:rPr>
    </w:lvl>
    <w:lvl w:ilvl="1" w:tplc="07E42FEC">
      <w:start w:val="1"/>
      <w:numFmt w:val="bullet"/>
      <w:lvlText w:val="o"/>
      <w:lvlJc w:val="left"/>
      <w:pPr>
        <w:ind w:left="1440" w:hanging="360"/>
      </w:pPr>
      <w:rPr>
        <w:rFonts w:ascii="Courier New" w:hAnsi="Courier New" w:hint="default"/>
      </w:rPr>
    </w:lvl>
    <w:lvl w:ilvl="2" w:tplc="FE0C9A10">
      <w:start w:val="1"/>
      <w:numFmt w:val="bullet"/>
      <w:lvlText w:val=""/>
      <w:lvlJc w:val="left"/>
      <w:pPr>
        <w:ind w:left="2160" w:hanging="360"/>
      </w:pPr>
      <w:rPr>
        <w:rFonts w:ascii="Wingdings" w:hAnsi="Wingdings" w:hint="default"/>
      </w:rPr>
    </w:lvl>
    <w:lvl w:ilvl="3" w:tplc="D060A37C">
      <w:start w:val="1"/>
      <w:numFmt w:val="bullet"/>
      <w:lvlText w:val=""/>
      <w:lvlJc w:val="left"/>
      <w:pPr>
        <w:ind w:left="2880" w:hanging="360"/>
      </w:pPr>
      <w:rPr>
        <w:rFonts w:ascii="Symbol" w:hAnsi="Symbol" w:hint="default"/>
      </w:rPr>
    </w:lvl>
    <w:lvl w:ilvl="4" w:tplc="40A8C96C">
      <w:start w:val="1"/>
      <w:numFmt w:val="bullet"/>
      <w:lvlText w:val="o"/>
      <w:lvlJc w:val="left"/>
      <w:pPr>
        <w:ind w:left="3600" w:hanging="360"/>
      </w:pPr>
      <w:rPr>
        <w:rFonts w:ascii="Courier New" w:hAnsi="Courier New" w:hint="default"/>
      </w:rPr>
    </w:lvl>
    <w:lvl w:ilvl="5" w:tplc="A8B25C74">
      <w:start w:val="1"/>
      <w:numFmt w:val="bullet"/>
      <w:lvlText w:val=""/>
      <w:lvlJc w:val="left"/>
      <w:pPr>
        <w:ind w:left="4320" w:hanging="360"/>
      </w:pPr>
      <w:rPr>
        <w:rFonts w:ascii="Wingdings" w:hAnsi="Wingdings" w:hint="default"/>
      </w:rPr>
    </w:lvl>
    <w:lvl w:ilvl="6" w:tplc="36EEC4A8">
      <w:start w:val="1"/>
      <w:numFmt w:val="bullet"/>
      <w:lvlText w:val=""/>
      <w:lvlJc w:val="left"/>
      <w:pPr>
        <w:ind w:left="5040" w:hanging="360"/>
      </w:pPr>
      <w:rPr>
        <w:rFonts w:ascii="Symbol" w:hAnsi="Symbol" w:hint="default"/>
      </w:rPr>
    </w:lvl>
    <w:lvl w:ilvl="7" w:tplc="E606FD5E">
      <w:start w:val="1"/>
      <w:numFmt w:val="bullet"/>
      <w:lvlText w:val="o"/>
      <w:lvlJc w:val="left"/>
      <w:pPr>
        <w:ind w:left="5760" w:hanging="360"/>
      </w:pPr>
      <w:rPr>
        <w:rFonts w:ascii="Courier New" w:hAnsi="Courier New" w:hint="default"/>
      </w:rPr>
    </w:lvl>
    <w:lvl w:ilvl="8" w:tplc="B34AC2AC">
      <w:start w:val="1"/>
      <w:numFmt w:val="bullet"/>
      <w:lvlText w:val=""/>
      <w:lvlJc w:val="left"/>
      <w:pPr>
        <w:ind w:left="6480" w:hanging="360"/>
      </w:pPr>
      <w:rPr>
        <w:rFonts w:ascii="Wingdings" w:hAnsi="Wingdings" w:hint="default"/>
      </w:rPr>
    </w:lvl>
  </w:abstractNum>
  <w:abstractNum w:abstractNumId="25">
    <w:nsid w:val="4B4E36A8"/>
    <w:multiLevelType w:val="multilevel"/>
    <w:tmpl w:val="33D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C1F0696"/>
    <w:multiLevelType w:val="hybridMultilevel"/>
    <w:tmpl w:val="9E686ACC"/>
    <w:lvl w:ilvl="0" w:tplc="82B6E38C">
      <w:start w:val="1"/>
      <w:numFmt w:val="bullet"/>
      <w:lvlText w:val=""/>
      <w:lvlJc w:val="left"/>
      <w:pPr>
        <w:ind w:left="720" w:hanging="360"/>
      </w:pPr>
      <w:rPr>
        <w:rFonts w:ascii="Symbol" w:hAnsi="Symbol" w:hint="default"/>
      </w:rPr>
    </w:lvl>
    <w:lvl w:ilvl="1" w:tplc="16D09AAE">
      <w:start w:val="1"/>
      <w:numFmt w:val="bullet"/>
      <w:lvlText w:val="o"/>
      <w:lvlJc w:val="left"/>
      <w:pPr>
        <w:ind w:left="1440" w:hanging="360"/>
      </w:pPr>
      <w:rPr>
        <w:rFonts w:ascii="Courier New" w:hAnsi="Courier New" w:hint="default"/>
      </w:rPr>
    </w:lvl>
    <w:lvl w:ilvl="2" w:tplc="929CEBFA">
      <w:start w:val="1"/>
      <w:numFmt w:val="bullet"/>
      <w:lvlText w:val=""/>
      <w:lvlJc w:val="left"/>
      <w:pPr>
        <w:ind w:left="2160" w:hanging="360"/>
      </w:pPr>
      <w:rPr>
        <w:rFonts w:ascii="Wingdings" w:hAnsi="Wingdings" w:hint="default"/>
      </w:rPr>
    </w:lvl>
    <w:lvl w:ilvl="3" w:tplc="940AE2D2">
      <w:start w:val="1"/>
      <w:numFmt w:val="bullet"/>
      <w:lvlText w:val=""/>
      <w:lvlJc w:val="left"/>
      <w:pPr>
        <w:ind w:left="2880" w:hanging="360"/>
      </w:pPr>
      <w:rPr>
        <w:rFonts w:ascii="Symbol" w:hAnsi="Symbol" w:hint="default"/>
      </w:rPr>
    </w:lvl>
    <w:lvl w:ilvl="4" w:tplc="1D5A55C6">
      <w:start w:val="1"/>
      <w:numFmt w:val="bullet"/>
      <w:lvlText w:val="o"/>
      <w:lvlJc w:val="left"/>
      <w:pPr>
        <w:ind w:left="3600" w:hanging="360"/>
      </w:pPr>
      <w:rPr>
        <w:rFonts w:ascii="Courier New" w:hAnsi="Courier New" w:hint="default"/>
      </w:rPr>
    </w:lvl>
    <w:lvl w:ilvl="5" w:tplc="E5EE7C72">
      <w:start w:val="1"/>
      <w:numFmt w:val="bullet"/>
      <w:lvlText w:val=""/>
      <w:lvlJc w:val="left"/>
      <w:pPr>
        <w:ind w:left="4320" w:hanging="360"/>
      </w:pPr>
      <w:rPr>
        <w:rFonts w:ascii="Wingdings" w:hAnsi="Wingdings" w:hint="default"/>
      </w:rPr>
    </w:lvl>
    <w:lvl w:ilvl="6" w:tplc="BC3013EE">
      <w:start w:val="1"/>
      <w:numFmt w:val="bullet"/>
      <w:lvlText w:val=""/>
      <w:lvlJc w:val="left"/>
      <w:pPr>
        <w:ind w:left="5040" w:hanging="360"/>
      </w:pPr>
      <w:rPr>
        <w:rFonts w:ascii="Symbol" w:hAnsi="Symbol" w:hint="default"/>
      </w:rPr>
    </w:lvl>
    <w:lvl w:ilvl="7" w:tplc="15B8AEF2">
      <w:start w:val="1"/>
      <w:numFmt w:val="bullet"/>
      <w:lvlText w:val="o"/>
      <w:lvlJc w:val="left"/>
      <w:pPr>
        <w:ind w:left="5760" w:hanging="360"/>
      </w:pPr>
      <w:rPr>
        <w:rFonts w:ascii="Courier New" w:hAnsi="Courier New" w:hint="default"/>
      </w:rPr>
    </w:lvl>
    <w:lvl w:ilvl="8" w:tplc="E5FA538C">
      <w:start w:val="1"/>
      <w:numFmt w:val="bullet"/>
      <w:lvlText w:val=""/>
      <w:lvlJc w:val="left"/>
      <w:pPr>
        <w:ind w:left="6480" w:hanging="360"/>
      </w:pPr>
      <w:rPr>
        <w:rFonts w:ascii="Wingdings" w:hAnsi="Wingdings" w:hint="default"/>
      </w:rPr>
    </w:lvl>
  </w:abstractNum>
  <w:abstractNum w:abstractNumId="27">
    <w:nsid w:val="4CFD4500"/>
    <w:multiLevelType w:val="hybridMultilevel"/>
    <w:tmpl w:val="C1A21CD4"/>
    <w:lvl w:ilvl="0" w:tplc="7796460C">
      <w:start w:val="1"/>
      <w:numFmt w:val="decimal"/>
      <w:lvlText w:val="%1."/>
      <w:lvlJc w:val="left"/>
      <w:pPr>
        <w:ind w:left="720" w:hanging="360"/>
      </w:pPr>
    </w:lvl>
    <w:lvl w:ilvl="1" w:tplc="A642A7A8">
      <w:start w:val="1"/>
      <w:numFmt w:val="lowerLetter"/>
      <w:lvlText w:val="%2."/>
      <w:lvlJc w:val="left"/>
      <w:pPr>
        <w:ind w:left="1440" w:hanging="360"/>
      </w:pPr>
    </w:lvl>
    <w:lvl w:ilvl="2" w:tplc="892AB53A">
      <w:start w:val="1"/>
      <w:numFmt w:val="lowerRoman"/>
      <w:lvlText w:val="%3."/>
      <w:lvlJc w:val="right"/>
      <w:pPr>
        <w:ind w:left="2160" w:hanging="180"/>
      </w:pPr>
    </w:lvl>
    <w:lvl w:ilvl="3" w:tplc="1CBE1F7A">
      <w:start w:val="1"/>
      <w:numFmt w:val="decimal"/>
      <w:lvlText w:val="%4."/>
      <w:lvlJc w:val="left"/>
      <w:pPr>
        <w:ind w:left="2880" w:hanging="360"/>
      </w:pPr>
    </w:lvl>
    <w:lvl w:ilvl="4" w:tplc="F14C777A">
      <w:start w:val="1"/>
      <w:numFmt w:val="lowerLetter"/>
      <w:lvlText w:val="%5."/>
      <w:lvlJc w:val="left"/>
      <w:pPr>
        <w:ind w:left="3600" w:hanging="360"/>
      </w:pPr>
    </w:lvl>
    <w:lvl w:ilvl="5" w:tplc="F49CCFC0">
      <w:start w:val="1"/>
      <w:numFmt w:val="lowerRoman"/>
      <w:lvlText w:val="%6."/>
      <w:lvlJc w:val="right"/>
      <w:pPr>
        <w:ind w:left="4320" w:hanging="180"/>
      </w:pPr>
    </w:lvl>
    <w:lvl w:ilvl="6" w:tplc="AB3467D2">
      <w:start w:val="1"/>
      <w:numFmt w:val="decimal"/>
      <w:lvlText w:val="%7."/>
      <w:lvlJc w:val="left"/>
      <w:pPr>
        <w:ind w:left="5040" w:hanging="360"/>
      </w:pPr>
    </w:lvl>
    <w:lvl w:ilvl="7" w:tplc="7F62605A">
      <w:start w:val="1"/>
      <w:numFmt w:val="lowerLetter"/>
      <w:lvlText w:val="%8."/>
      <w:lvlJc w:val="left"/>
      <w:pPr>
        <w:ind w:left="5760" w:hanging="360"/>
      </w:pPr>
    </w:lvl>
    <w:lvl w:ilvl="8" w:tplc="BADC17E0">
      <w:start w:val="1"/>
      <w:numFmt w:val="lowerRoman"/>
      <w:lvlText w:val="%9."/>
      <w:lvlJc w:val="right"/>
      <w:pPr>
        <w:ind w:left="6480" w:hanging="180"/>
      </w:pPr>
    </w:lvl>
  </w:abstractNum>
  <w:abstractNum w:abstractNumId="28">
    <w:nsid w:val="4F3E44A9"/>
    <w:multiLevelType w:val="hybridMultilevel"/>
    <w:tmpl w:val="D4C636DE"/>
    <w:lvl w:ilvl="0" w:tplc="08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5175456E"/>
    <w:multiLevelType w:val="hybridMultilevel"/>
    <w:tmpl w:val="BAE67A08"/>
    <w:lvl w:ilvl="0" w:tplc="28FE11A0">
      <w:start w:val="1"/>
      <w:numFmt w:val="bullet"/>
      <w:lvlText w:val=""/>
      <w:lvlJc w:val="left"/>
      <w:pPr>
        <w:ind w:left="720" w:hanging="360"/>
      </w:pPr>
      <w:rPr>
        <w:rFonts w:ascii="Symbol" w:hAnsi="Symbol" w:hint="default"/>
      </w:rPr>
    </w:lvl>
    <w:lvl w:ilvl="1" w:tplc="ACD889B4">
      <w:start w:val="1"/>
      <w:numFmt w:val="bullet"/>
      <w:lvlText w:val="o"/>
      <w:lvlJc w:val="left"/>
      <w:pPr>
        <w:ind w:left="1440" w:hanging="360"/>
      </w:pPr>
      <w:rPr>
        <w:rFonts w:ascii="Courier New" w:hAnsi="Courier New" w:hint="default"/>
      </w:rPr>
    </w:lvl>
    <w:lvl w:ilvl="2" w:tplc="69102544">
      <w:start w:val="1"/>
      <w:numFmt w:val="bullet"/>
      <w:lvlText w:val=""/>
      <w:lvlJc w:val="left"/>
      <w:pPr>
        <w:ind w:left="2160" w:hanging="360"/>
      </w:pPr>
      <w:rPr>
        <w:rFonts w:ascii="Wingdings" w:hAnsi="Wingdings" w:hint="default"/>
      </w:rPr>
    </w:lvl>
    <w:lvl w:ilvl="3" w:tplc="1396BCA8">
      <w:start w:val="1"/>
      <w:numFmt w:val="bullet"/>
      <w:lvlText w:val=""/>
      <w:lvlJc w:val="left"/>
      <w:pPr>
        <w:ind w:left="2880" w:hanging="360"/>
      </w:pPr>
      <w:rPr>
        <w:rFonts w:ascii="Symbol" w:hAnsi="Symbol" w:hint="default"/>
      </w:rPr>
    </w:lvl>
    <w:lvl w:ilvl="4" w:tplc="0C2EB21A">
      <w:start w:val="1"/>
      <w:numFmt w:val="bullet"/>
      <w:lvlText w:val="o"/>
      <w:lvlJc w:val="left"/>
      <w:pPr>
        <w:ind w:left="3600" w:hanging="360"/>
      </w:pPr>
      <w:rPr>
        <w:rFonts w:ascii="Courier New" w:hAnsi="Courier New" w:hint="default"/>
      </w:rPr>
    </w:lvl>
    <w:lvl w:ilvl="5" w:tplc="1FAE966C">
      <w:start w:val="1"/>
      <w:numFmt w:val="bullet"/>
      <w:lvlText w:val=""/>
      <w:lvlJc w:val="left"/>
      <w:pPr>
        <w:ind w:left="4320" w:hanging="360"/>
      </w:pPr>
      <w:rPr>
        <w:rFonts w:ascii="Wingdings" w:hAnsi="Wingdings" w:hint="default"/>
      </w:rPr>
    </w:lvl>
    <w:lvl w:ilvl="6" w:tplc="22D0EB5E">
      <w:start w:val="1"/>
      <w:numFmt w:val="bullet"/>
      <w:lvlText w:val=""/>
      <w:lvlJc w:val="left"/>
      <w:pPr>
        <w:ind w:left="5040" w:hanging="360"/>
      </w:pPr>
      <w:rPr>
        <w:rFonts w:ascii="Symbol" w:hAnsi="Symbol" w:hint="default"/>
      </w:rPr>
    </w:lvl>
    <w:lvl w:ilvl="7" w:tplc="377638AC">
      <w:start w:val="1"/>
      <w:numFmt w:val="bullet"/>
      <w:lvlText w:val="o"/>
      <w:lvlJc w:val="left"/>
      <w:pPr>
        <w:ind w:left="5760" w:hanging="360"/>
      </w:pPr>
      <w:rPr>
        <w:rFonts w:ascii="Courier New" w:hAnsi="Courier New" w:hint="default"/>
      </w:rPr>
    </w:lvl>
    <w:lvl w:ilvl="8" w:tplc="9BE8ADB0">
      <w:start w:val="1"/>
      <w:numFmt w:val="bullet"/>
      <w:lvlText w:val=""/>
      <w:lvlJc w:val="left"/>
      <w:pPr>
        <w:ind w:left="6480" w:hanging="360"/>
      </w:pPr>
      <w:rPr>
        <w:rFonts w:ascii="Wingdings" w:hAnsi="Wingdings" w:hint="default"/>
      </w:rPr>
    </w:lvl>
  </w:abstractNum>
  <w:abstractNum w:abstractNumId="30">
    <w:nsid w:val="60BD771B"/>
    <w:multiLevelType w:val="hybridMultilevel"/>
    <w:tmpl w:val="194272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634E68BD"/>
    <w:multiLevelType w:val="hybridMultilevel"/>
    <w:tmpl w:val="B0A2DEC8"/>
    <w:lvl w:ilvl="0" w:tplc="3B2681B0">
      <w:start w:val="1"/>
      <w:numFmt w:val="bullet"/>
      <w:lvlText w:val=""/>
      <w:lvlJc w:val="left"/>
      <w:pPr>
        <w:ind w:left="720" w:hanging="360"/>
      </w:pPr>
      <w:rPr>
        <w:rFonts w:ascii="Symbol" w:hAnsi="Symbol" w:hint="default"/>
      </w:rPr>
    </w:lvl>
    <w:lvl w:ilvl="1" w:tplc="DD022640">
      <w:start w:val="1"/>
      <w:numFmt w:val="bullet"/>
      <w:lvlText w:val="o"/>
      <w:lvlJc w:val="left"/>
      <w:pPr>
        <w:ind w:left="1440" w:hanging="360"/>
      </w:pPr>
      <w:rPr>
        <w:rFonts w:ascii="Courier New" w:hAnsi="Courier New" w:hint="default"/>
      </w:rPr>
    </w:lvl>
    <w:lvl w:ilvl="2" w:tplc="B29CC0E4">
      <w:start w:val="1"/>
      <w:numFmt w:val="bullet"/>
      <w:lvlText w:val=""/>
      <w:lvlJc w:val="left"/>
      <w:pPr>
        <w:ind w:left="2160" w:hanging="360"/>
      </w:pPr>
      <w:rPr>
        <w:rFonts w:ascii="Wingdings" w:hAnsi="Wingdings" w:hint="default"/>
      </w:rPr>
    </w:lvl>
    <w:lvl w:ilvl="3" w:tplc="7C6CD78C">
      <w:start w:val="1"/>
      <w:numFmt w:val="bullet"/>
      <w:lvlText w:val=""/>
      <w:lvlJc w:val="left"/>
      <w:pPr>
        <w:ind w:left="2880" w:hanging="360"/>
      </w:pPr>
      <w:rPr>
        <w:rFonts w:ascii="Symbol" w:hAnsi="Symbol" w:hint="default"/>
      </w:rPr>
    </w:lvl>
    <w:lvl w:ilvl="4" w:tplc="CD04C634">
      <w:start w:val="1"/>
      <w:numFmt w:val="bullet"/>
      <w:lvlText w:val="o"/>
      <w:lvlJc w:val="left"/>
      <w:pPr>
        <w:ind w:left="3600" w:hanging="360"/>
      </w:pPr>
      <w:rPr>
        <w:rFonts w:ascii="Courier New" w:hAnsi="Courier New" w:hint="default"/>
      </w:rPr>
    </w:lvl>
    <w:lvl w:ilvl="5" w:tplc="54409692">
      <w:start w:val="1"/>
      <w:numFmt w:val="bullet"/>
      <w:lvlText w:val=""/>
      <w:lvlJc w:val="left"/>
      <w:pPr>
        <w:ind w:left="4320" w:hanging="360"/>
      </w:pPr>
      <w:rPr>
        <w:rFonts w:ascii="Wingdings" w:hAnsi="Wingdings" w:hint="default"/>
      </w:rPr>
    </w:lvl>
    <w:lvl w:ilvl="6" w:tplc="D2EC4994">
      <w:start w:val="1"/>
      <w:numFmt w:val="bullet"/>
      <w:lvlText w:val=""/>
      <w:lvlJc w:val="left"/>
      <w:pPr>
        <w:ind w:left="5040" w:hanging="360"/>
      </w:pPr>
      <w:rPr>
        <w:rFonts w:ascii="Symbol" w:hAnsi="Symbol" w:hint="default"/>
      </w:rPr>
    </w:lvl>
    <w:lvl w:ilvl="7" w:tplc="40903F3E">
      <w:start w:val="1"/>
      <w:numFmt w:val="bullet"/>
      <w:lvlText w:val="o"/>
      <w:lvlJc w:val="left"/>
      <w:pPr>
        <w:ind w:left="5760" w:hanging="360"/>
      </w:pPr>
      <w:rPr>
        <w:rFonts w:ascii="Courier New" w:hAnsi="Courier New" w:hint="default"/>
      </w:rPr>
    </w:lvl>
    <w:lvl w:ilvl="8" w:tplc="B07E3DD4">
      <w:start w:val="1"/>
      <w:numFmt w:val="bullet"/>
      <w:lvlText w:val=""/>
      <w:lvlJc w:val="left"/>
      <w:pPr>
        <w:ind w:left="6480" w:hanging="360"/>
      </w:pPr>
      <w:rPr>
        <w:rFonts w:ascii="Wingdings" w:hAnsi="Wingdings" w:hint="default"/>
      </w:rPr>
    </w:lvl>
  </w:abstractNum>
  <w:abstractNum w:abstractNumId="32">
    <w:nsid w:val="670B6EE5"/>
    <w:multiLevelType w:val="hybridMultilevel"/>
    <w:tmpl w:val="178CB51C"/>
    <w:lvl w:ilvl="0" w:tplc="8B76B754">
      <w:start w:val="1"/>
      <w:numFmt w:val="bullet"/>
      <w:lvlText w:val=""/>
      <w:lvlJc w:val="left"/>
      <w:pPr>
        <w:ind w:left="720" w:hanging="360"/>
      </w:pPr>
      <w:rPr>
        <w:rFonts w:ascii="Symbol" w:hAnsi="Symbol" w:hint="default"/>
      </w:rPr>
    </w:lvl>
    <w:lvl w:ilvl="1" w:tplc="BECABFC6">
      <w:start w:val="1"/>
      <w:numFmt w:val="bullet"/>
      <w:lvlText w:val="o"/>
      <w:lvlJc w:val="left"/>
      <w:pPr>
        <w:ind w:left="1440" w:hanging="360"/>
      </w:pPr>
      <w:rPr>
        <w:rFonts w:ascii="Courier New" w:hAnsi="Courier New" w:hint="default"/>
      </w:rPr>
    </w:lvl>
    <w:lvl w:ilvl="2" w:tplc="7EE0D66C">
      <w:start w:val="1"/>
      <w:numFmt w:val="bullet"/>
      <w:lvlText w:val=""/>
      <w:lvlJc w:val="left"/>
      <w:pPr>
        <w:ind w:left="2160" w:hanging="360"/>
      </w:pPr>
      <w:rPr>
        <w:rFonts w:ascii="Wingdings" w:hAnsi="Wingdings" w:hint="default"/>
      </w:rPr>
    </w:lvl>
    <w:lvl w:ilvl="3" w:tplc="892C029C">
      <w:start w:val="1"/>
      <w:numFmt w:val="bullet"/>
      <w:lvlText w:val=""/>
      <w:lvlJc w:val="left"/>
      <w:pPr>
        <w:ind w:left="2880" w:hanging="360"/>
      </w:pPr>
      <w:rPr>
        <w:rFonts w:ascii="Symbol" w:hAnsi="Symbol" w:hint="default"/>
      </w:rPr>
    </w:lvl>
    <w:lvl w:ilvl="4" w:tplc="5AC011FC">
      <w:start w:val="1"/>
      <w:numFmt w:val="bullet"/>
      <w:lvlText w:val="o"/>
      <w:lvlJc w:val="left"/>
      <w:pPr>
        <w:ind w:left="3600" w:hanging="360"/>
      </w:pPr>
      <w:rPr>
        <w:rFonts w:ascii="Courier New" w:hAnsi="Courier New" w:hint="default"/>
      </w:rPr>
    </w:lvl>
    <w:lvl w:ilvl="5" w:tplc="4482BDDC">
      <w:start w:val="1"/>
      <w:numFmt w:val="bullet"/>
      <w:lvlText w:val=""/>
      <w:lvlJc w:val="left"/>
      <w:pPr>
        <w:ind w:left="4320" w:hanging="360"/>
      </w:pPr>
      <w:rPr>
        <w:rFonts w:ascii="Wingdings" w:hAnsi="Wingdings" w:hint="default"/>
      </w:rPr>
    </w:lvl>
    <w:lvl w:ilvl="6" w:tplc="27EE4ECA">
      <w:start w:val="1"/>
      <w:numFmt w:val="bullet"/>
      <w:lvlText w:val=""/>
      <w:lvlJc w:val="left"/>
      <w:pPr>
        <w:ind w:left="5040" w:hanging="360"/>
      </w:pPr>
      <w:rPr>
        <w:rFonts w:ascii="Symbol" w:hAnsi="Symbol" w:hint="default"/>
      </w:rPr>
    </w:lvl>
    <w:lvl w:ilvl="7" w:tplc="2834A3A2">
      <w:start w:val="1"/>
      <w:numFmt w:val="bullet"/>
      <w:lvlText w:val="o"/>
      <w:lvlJc w:val="left"/>
      <w:pPr>
        <w:ind w:left="5760" w:hanging="360"/>
      </w:pPr>
      <w:rPr>
        <w:rFonts w:ascii="Courier New" w:hAnsi="Courier New" w:hint="default"/>
      </w:rPr>
    </w:lvl>
    <w:lvl w:ilvl="8" w:tplc="2460FEA8">
      <w:start w:val="1"/>
      <w:numFmt w:val="bullet"/>
      <w:lvlText w:val=""/>
      <w:lvlJc w:val="left"/>
      <w:pPr>
        <w:ind w:left="6480" w:hanging="360"/>
      </w:pPr>
      <w:rPr>
        <w:rFonts w:ascii="Wingdings" w:hAnsi="Wingdings" w:hint="default"/>
      </w:rPr>
    </w:lvl>
  </w:abstractNum>
  <w:abstractNum w:abstractNumId="33">
    <w:nsid w:val="673B1870"/>
    <w:multiLevelType w:val="hybridMultilevel"/>
    <w:tmpl w:val="D9E82AB6"/>
    <w:lvl w:ilvl="0" w:tplc="1C0A0001">
      <w:start w:val="1"/>
      <w:numFmt w:val="bullet"/>
      <w:lvlText w:val=""/>
      <w:lvlJc w:val="left"/>
      <w:pPr>
        <w:ind w:left="450" w:hanging="360"/>
      </w:pPr>
      <w:rPr>
        <w:rFonts w:ascii="Symbol" w:hAnsi="Symbol" w:hint="default"/>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34">
    <w:nsid w:val="6CB95706"/>
    <w:multiLevelType w:val="hybridMultilevel"/>
    <w:tmpl w:val="AA4EF682"/>
    <w:lvl w:ilvl="0" w:tplc="1C0A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EC41F7A"/>
    <w:multiLevelType w:val="hybridMultilevel"/>
    <w:tmpl w:val="A6F8F34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6">
    <w:nsid w:val="6F234E6F"/>
    <w:multiLevelType w:val="hybridMultilevel"/>
    <w:tmpl w:val="7E724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6FDF0C99"/>
    <w:multiLevelType w:val="hybridMultilevel"/>
    <w:tmpl w:val="A2DA25A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70AE19CF"/>
    <w:multiLevelType w:val="hybridMultilevel"/>
    <w:tmpl w:val="C27476E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73CD6163"/>
    <w:multiLevelType w:val="hybridMultilevel"/>
    <w:tmpl w:val="CBE00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68165B"/>
    <w:multiLevelType w:val="hybridMultilevel"/>
    <w:tmpl w:val="A642B3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75866E73"/>
    <w:multiLevelType w:val="hybridMultilevel"/>
    <w:tmpl w:val="C964B31A"/>
    <w:lvl w:ilvl="0" w:tplc="0809000F">
      <w:start w:val="1"/>
      <w:numFmt w:val="decimal"/>
      <w:lvlText w:val="%1."/>
      <w:lvlJc w:val="left"/>
      <w:pPr>
        <w:ind w:left="540" w:hanging="360"/>
      </w:pPr>
      <w:rPr>
        <w:rFonts w:hint="default"/>
      </w:rPr>
    </w:lvl>
    <w:lvl w:ilvl="1" w:tplc="1C0A0003" w:tentative="1">
      <w:start w:val="1"/>
      <w:numFmt w:val="bullet"/>
      <w:lvlText w:val="o"/>
      <w:lvlJc w:val="left"/>
      <w:pPr>
        <w:ind w:left="1260" w:hanging="360"/>
      </w:pPr>
      <w:rPr>
        <w:rFonts w:ascii="Courier New" w:hAnsi="Courier New" w:cs="Courier New" w:hint="default"/>
      </w:rPr>
    </w:lvl>
    <w:lvl w:ilvl="2" w:tplc="1C0A0005" w:tentative="1">
      <w:start w:val="1"/>
      <w:numFmt w:val="bullet"/>
      <w:lvlText w:val=""/>
      <w:lvlJc w:val="left"/>
      <w:pPr>
        <w:ind w:left="1980" w:hanging="360"/>
      </w:pPr>
      <w:rPr>
        <w:rFonts w:ascii="Wingdings" w:hAnsi="Wingdings" w:hint="default"/>
      </w:rPr>
    </w:lvl>
    <w:lvl w:ilvl="3" w:tplc="1C0A0001" w:tentative="1">
      <w:start w:val="1"/>
      <w:numFmt w:val="bullet"/>
      <w:lvlText w:val=""/>
      <w:lvlJc w:val="left"/>
      <w:pPr>
        <w:ind w:left="2700" w:hanging="360"/>
      </w:pPr>
      <w:rPr>
        <w:rFonts w:ascii="Symbol" w:hAnsi="Symbol" w:hint="default"/>
      </w:rPr>
    </w:lvl>
    <w:lvl w:ilvl="4" w:tplc="1C0A0003" w:tentative="1">
      <w:start w:val="1"/>
      <w:numFmt w:val="bullet"/>
      <w:lvlText w:val="o"/>
      <w:lvlJc w:val="left"/>
      <w:pPr>
        <w:ind w:left="3420" w:hanging="360"/>
      </w:pPr>
      <w:rPr>
        <w:rFonts w:ascii="Courier New" w:hAnsi="Courier New" w:cs="Courier New" w:hint="default"/>
      </w:rPr>
    </w:lvl>
    <w:lvl w:ilvl="5" w:tplc="1C0A0005" w:tentative="1">
      <w:start w:val="1"/>
      <w:numFmt w:val="bullet"/>
      <w:lvlText w:val=""/>
      <w:lvlJc w:val="left"/>
      <w:pPr>
        <w:ind w:left="4140" w:hanging="360"/>
      </w:pPr>
      <w:rPr>
        <w:rFonts w:ascii="Wingdings" w:hAnsi="Wingdings" w:hint="default"/>
      </w:rPr>
    </w:lvl>
    <w:lvl w:ilvl="6" w:tplc="1C0A0001" w:tentative="1">
      <w:start w:val="1"/>
      <w:numFmt w:val="bullet"/>
      <w:lvlText w:val=""/>
      <w:lvlJc w:val="left"/>
      <w:pPr>
        <w:ind w:left="4860" w:hanging="360"/>
      </w:pPr>
      <w:rPr>
        <w:rFonts w:ascii="Symbol" w:hAnsi="Symbol" w:hint="default"/>
      </w:rPr>
    </w:lvl>
    <w:lvl w:ilvl="7" w:tplc="1C0A0003" w:tentative="1">
      <w:start w:val="1"/>
      <w:numFmt w:val="bullet"/>
      <w:lvlText w:val="o"/>
      <w:lvlJc w:val="left"/>
      <w:pPr>
        <w:ind w:left="5580" w:hanging="360"/>
      </w:pPr>
      <w:rPr>
        <w:rFonts w:ascii="Courier New" w:hAnsi="Courier New" w:cs="Courier New" w:hint="default"/>
      </w:rPr>
    </w:lvl>
    <w:lvl w:ilvl="8" w:tplc="1C0A0005" w:tentative="1">
      <w:start w:val="1"/>
      <w:numFmt w:val="bullet"/>
      <w:lvlText w:val=""/>
      <w:lvlJc w:val="left"/>
      <w:pPr>
        <w:ind w:left="6300" w:hanging="360"/>
      </w:pPr>
      <w:rPr>
        <w:rFonts w:ascii="Wingdings" w:hAnsi="Wingdings" w:hint="default"/>
      </w:rPr>
    </w:lvl>
  </w:abstractNum>
  <w:abstractNum w:abstractNumId="42">
    <w:nsid w:val="7B874F67"/>
    <w:multiLevelType w:val="hybridMultilevel"/>
    <w:tmpl w:val="EF203F66"/>
    <w:lvl w:ilvl="0" w:tplc="1C0A0001">
      <w:start w:val="1"/>
      <w:numFmt w:val="bullet"/>
      <w:lvlText w:val=""/>
      <w:lvlJc w:val="left"/>
      <w:pPr>
        <w:ind w:left="540" w:hanging="360"/>
      </w:pPr>
      <w:rPr>
        <w:rFonts w:ascii="Symbol" w:hAnsi="Symbol" w:hint="default"/>
      </w:rPr>
    </w:lvl>
    <w:lvl w:ilvl="1" w:tplc="1C0A0003" w:tentative="1">
      <w:start w:val="1"/>
      <w:numFmt w:val="bullet"/>
      <w:lvlText w:val="o"/>
      <w:lvlJc w:val="left"/>
      <w:pPr>
        <w:ind w:left="1260" w:hanging="360"/>
      </w:pPr>
      <w:rPr>
        <w:rFonts w:ascii="Courier New" w:hAnsi="Courier New" w:cs="Courier New" w:hint="default"/>
      </w:rPr>
    </w:lvl>
    <w:lvl w:ilvl="2" w:tplc="1C0A0005" w:tentative="1">
      <w:start w:val="1"/>
      <w:numFmt w:val="bullet"/>
      <w:lvlText w:val=""/>
      <w:lvlJc w:val="left"/>
      <w:pPr>
        <w:ind w:left="1980" w:hanging="360"/>
      </w:pPr>
      <w:rPr>
        <w:rFonts w:ascii="Wingdings" w:hAnsi="Wingdings" w:hint="default"/>
      </w:rPr>
    </w:lvl>
    <w:lvl w:ilvl="3" w:tplc="1C0A0001" w:tentative="1">
      <w:start w:val="1"/>
      <w:numFmt w:val="bullet"/>
      <w:lvlText w:val=""/>
      <w:lvlJc w:val="left"/>
      <w:pPr>
        <w:ind w:left="2700" w:hanging="360"/>
      </w:pPr>
      <w:rPr>
        <w:rFonts w:ascii="Symbol" w:hAnsi="Symbol" w:hint="default"/>
      </w:rPr>
    </w:lvl>
    <w:lvl w:ilvl="4" w:tplc="1C0A0003" w:tentative="1">
      <w:start w:val="1"/>
      <w:numFmt w:val="bullet"/>
      <w:lvlText w:val="o"/>
      <w:lvlJc w:val="left"/>
      <w:pPr>
        <w:ind w:left="3420" w:hanging="360"/>
      </w:pPr>
      <w:rPr>
        <w:rFonts w:ascii="Courier New" w:hAnsi="Courier New" w:cs="Courier New" w:hint="default"/>
      </w:rPr>
    </w:lvl>
    <w:lvl w:ilvl="5" w:tplc="1C0A0005" w:tentative="1">
      <w:start w:val="1"/>
      <w:numFmt w:val="bullet"/>
      <w:lvlText w:val=""/>
      <w:lvlJc w:val="left"/>
      <w:pPr>
        <w:ind w:left="4140" w:hanging="360"/>
      </w:pPr>
      <w:rPr>
        <w:rFonts w:ascii="Wingdings" w:hAnsi="Wingdings" w:hint="default"/>
      </w:rPr>
    </w:lvl>
    <w:lvl w:ilvl="6" w:tplc="1C0A0001" w:tentative="1">
      <w:start w:val="1"/>
      <w:numFmt w:val="bullet"/>
      <w:lvlText w:val=""/>
      <w:lvlJc w:val="left"/>
      <w:pPr>
        <w:ind w:left="4860" w:hanging="360"/>
      </w:pPr>
      <w:rPr>
        <w:rFonts w:ascii="Symbol" w:hAnsi="Symbol" w:hint="default"/>
      </w:rPr>
    </w:lvl>
    <w:lvl w:ilvl="7" w:tplc="1C0A0003" w:tentative="1">
      <w:start w:val="1"/>
      <w:numFmt w:val="bullet"/>
      <w:lvlText w:val="o"/>
      <w:lvlJc w:val="left"/>
      <w:pPr>
        <w:ind w:left="5580" w:hanging="360"/>
      </w:pPr>
      <w:rPr>
        <w:rFonts w:ascii="Courier New" w:hAnsi="Courier New" w:cs="Courier New" w:hint="default"/>
      </w:rPr>
    </w:lvl>
    <w:lvl w:ilvl="8" w:tplc="1C0A0005" w:tentative="1">
      <w:start w:val="1"/>
      <w:numFmt w:val="bullet"/>
      <w:lvlText w:val=""/>
      <w:lvlJc w:val="left"/>
      <w:pPr>
        <w:ind w:left="6300" w:hanging="360"/>
      </w:pPr>
      <w:rPr>
        <w:rFonts w:ascii="Wingdings" w:hAnsi="Wingdings" w:hint="default"/>
      </w:rPr>
    </w:lvl>
  </w:abstractNum>
  <w:abstractNum w:abstractNumId="43">
    <w:nsid w:val="7E4F685B"/>
    <w:multiLevelType w:val="hybridMultilevel"/>
    <w:tmpl w:val="68641F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41"/>
  </w:num>
  <w:num w:numId="4">
    <w:abstractNumId w:val="12"/>
  </w:num>
  <w:num w:numId="5">
    <w:abstractNumId w:val="10"/>
  </w:num>
  <w:num w:numId="6">
    <w:abstractNumId w:val="36"/>
  </w:num>
  <w:num w:numId="7">
    <w:abstractNumId w:val="39"/>
  </w:num>
  <w:num w:numId="8">
    <w:abstractNumId w:val="21"/>
  </w:num>
  <w:num w:numId="9">
    <w:abstractNumId w:val="18"/>
  </w:num>
  <w:num w:numId="10">
    <w:abstractNumId w:val="43"/>
  </w:num>
  <w:num w:numId="11">
    <w:abstractNumId w:val="4"/>
  </w:num>
  <w:num w:numId="12">
    <w:abstractNumId w:val="40"/>
  </w:num>
  <w:num w:numId="13">
    <w:abstractNumId w:val="13"/>
  </w:num>
  <w:num w:numId="14">
    <w:abstractNumId w:val="29"/>
  </w:num>
  <w:num w:numId="15">
    <w:abstractNumId w:val="16"/>
  </w:num>
  <w:num w:numId="16">
    <w:abstractNumId w:val="19"/>
  </w:num>
  <w:num w:numId="17">
    <w:abstractNumId w:val="35"/>
  </w:num>
  <w:num w:numId="18">
    <w:abstractNumId w:val="11"/>
  </w:num>
  <w:num w:numId="19">
    <w:abstractNumId w:val="0"/>
  </w:num>
  <w:num w:numId="20">
    <w:abstractNumId w:val="20"/>
  </w:num>
  <w:num w:numId="21">
    <w:abstractNumId w:val="34"/>
  </w:num>
  <w:num w:numId="22">
    <w:abstractNumId w:val="33"/>
  </w:num>
  <w:num w:numId="23">
    <w:abstractNumId w:val="42"/>
  </w:num>
  <w:num w:numId="24">
    <w:abstractNumId w:val="30"/>
  </w:num>
  <w:num w:numId="25">
    <w:abstractNumId w:val="1"/>
  </w:num>
  <w:num w:numId="26">
    <w:abstractNumId w:val="3"/>
  </w:num>
  <w:num w:numId="27">
    <w:abstractNumId w:val="25"/>
  </w:num>
  <w:num w:numId="28">
    <w:abstractNumId w:val="23"/>
  </w:num>
  <w:num w:numId="29">
    <w:abstractNumId w:val="2"/>
  </w:num>
  <w:num w:numId="30">
    <w:abstractNumId w:val="5"/>
  </w:num>
  <w:num w:numId="31">
    <w:abstractNumId w:val="14"/>
  </w:num>
  <w:num w:numId="32">
    <w:abstractNumId w:val="15"/>
  </w:num>
  <w:num w:numId="33">
    <w:abstractNumId w:val="38"/>
  </w:num>
  <w:num w:numId="34">
    <w:abstractNumId w:val="27"/>
  </w:num>
  <w:num w:numId="35">
    <w:abstractNumId w:val="22"/>
  </w:num>
  <w:num w:numId="36">
    <w:abstractNumId w:val="26"/>
  </w:num>
  <w:num w:numId="37">
    <w:abstractNumId w:val="24"/>
  </w:num>
  <w:num w:numId="38">
    <w:abstractNumId w:val="32"/>
  </w:num>
  <w:num w:numId="39">
    <w:abstractNumId w:val="6"/>
  </w:num>
  <w:num w:numId="40">
    <w:abstractNumId w:val="31"/>
  </w:num>
  <w:num w:numId="41">
    <w:abstractNumId w:val="37"/>
  </w:num>
  <w:num w:numId="42">
    <w:abstractNumId w:val="7"/>
  </w:num>
  <w:num w:numId="43">
    <w:abstractNumId w:val="8"/>
  </w:num>
  <w:num w:numId="44">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D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s-ES_tradnl" w:vendorID="64" w:dllVersion="131078" w:nlCheck="1" w:checkStyle="1"/>
  <w:activeWritingStyle w:appName="MSWord" w:lang="es-419" w:vendorID="64" w:dllVersion="131078" w:nlCheck="1" w:checkStyle="1"/>
  <w:proofState w:spelling="clean" w:grammar="clean"/>
  <w:defaultTabStop w:val="708"/>
  <w:hyphenationZone w:val="425"/>
  <w:characterSpacingControl w:val="doNotCompress"/>
  <w:hdrShapeDefaults>
    <o:shapedefaults v:ext="edit" spidmax="2049">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0650"/>
    <w:rsid w:val="00000774"/>
    <w:rsid w:val="00005D58"/>
    <w:rsid w:val="000110B8"/>
    <w:rsid w:val="0001158C"/>
    <w:rsid w:val="000116C8"/>
    <w:rsid w:val="0001178F"/>
    <w:rsid w:val="00013075"/>
    <w:rsid w:val="00014FF4"/>
    <w:rsid w:val="0003010C"/>
    <w:rsid w:val="000316E6"/>
    <w:rsid w:val="00033014"/>
    <w:rsid w:val="00033F3F"/>
    <w:rsid w:val="00035116"/>
    <w:rsid w:val="00035383"/>
    <w:rsid w:val="00036E37"/>
    <w:rsid w:val="0004158B"/>
    <w:rsid w:val="00043007"/>
    <w:rsid w:val="00043377"/>
    <w:rsid w:val="000437CA"/>
    <w:rsid w:val="00045AD1"/>
    <w:rsid w:val="00046CBC"/>
    <w:rsid w:val="0005127E"/>
    <w:rsid w:val="00052D97"/>
    <w:rsid w:val="00054640"/>
    <w:rsid w:val="00054746"/>
    <w:rsid w:val="000555AC"/>
    <w:rsid w:val="000614BF"/>
    <w:rsid w:val="000621E8"/>
    <w:rsid w:val="0006365B"/>
    <w:rsid w:val="00066824"/>
    <w:rsid w:val="0007078C"/>
    <w:rsid w:val="00072220"/>
    <w:rsid w:val="0007418D"/>
    <w:rsid w:val="000742F3"/>
    <w:rsid w:val="00080601"/>
    <w:rsid w:val="00080945"/>
    <w:rsid w:val="000816DB"/>
    <w:rsid w:val="0008209D"/>
    <w:rsid w:val="00082147"/>
    <w:rsid w:val="00085565"/>
    <w:rsid w:val="000862B6"/>
    <w:rsid w:val="000870B5"/>
    <w:rsid w:val="00090E07"/>
    <w:rsid w:val="00090FB2"/>
    <w:rsid w:val="00091520"/>
    <w:rsid w:val="0009175E"/>
    <w:rsid w:val="00092F61"/>
    <w:rsid w:val="0009329A"/>
    <w:rsid w:val="00094126"/>
    <w:rsid w:val="000944E7"/>
    <w:rsid w:val="00095D44"/>
    <w:rsid w:val="0009741D"/>
    <w:rsid w:val="000A2B26"/>
    <w:rsid w:val="000A5B99"/>
    <w:rsid w:val="000A6044"/>
    <w:rsid w:val="000B1CA3"/>
    <w:rsid w:val="000B295A"/>
    <w:rsid w:val="000B5025"/>
    <w:rsid w:val="000B5D67"/>
    <w:rsid w:val="000C1A0E"/>
    <w:rsid w:val="000C2BA2"/>
    <w:rsid w:val="000C4133"/>
    <w:rsid w:val="000C59D8"/>
    <w:rsid w:val="000C5DC1"/>
    <w:rsid w:val="000D0246"/>
    <w:rsid w:val="000D1AC0"/>
    <w:rsid w:val="000D6781"/>
    <w:rsid w:val="000D727A"/>
    <w:rsid w:val="000E06D1"/>
    <w:rsid w:val="000E7CF0"/>
    <w:rsid w:val="000F3292"/>
    <w:rsid w:val="000F5C4F"/>
    <w:rsid w:val="000F71BF"/>
    <w:rsid w:val="00102AC1"/>
    <w:rsid w:val="001031AD"/>
    <w:rsid w:val="001041C0"/>
    <w:rsid w:val="00104737"/>
    <w:rsid w:val="00105CD0"/>
    <w:rsid w:val="00105CF2"/>
    <w:rsid w:val="0010755C"/>
    <w:rsid w:val="001076E8"/>
    <w:rsid w:val="001112AA"/>
    <w:rsid w:val="00113804"/>
    <w:rsid w:val="00116620"/>
    <w:rsid w:val="0012155D"/>
    <w:rsid w:val="001245F8"/>
    <w:rsid w:val="001262B9"/>
    <w:rsid w:val="00130B76"/>
    <w:rsid w:val="00131C77"/>
    <w:rsid w:val="0013368A"/>
    <w:rsid w:val="00134421"/>
    <w:rsid w:val="001351ED"/>
    <w:rsid w:val="00136CD6"/>
    <w:rsid w:val="0014102C"/>
    <w:rsid w:val="0014446C"/>
    <w:rsid w:val="00144ADC"/>
    <w:rsid w:val="00145953"/>
    <w:rsid w:val="00146F1F"/>
    <w:rsid w:val="00150772"/>
    <w:rsid w:val="00151930"/>
    <w:rsid w:val="00151E9E"/>
    <w:rsid w:val="00156A5B"/>
    <w:rsid w:val="001574A1"/>
    <w:rsid w:val="0016073D"/>
    <w:rsid w:val="00161AD6"/>
    <w:rsid w:val="00162885"/>
    <w:rsid w:val="0016370C"/>
    <w:rsid w:val="00163F19"/>
    <w:rsid w:val="00164EFD"/>
    <w:rsid w:val="0016583C"/>
    <w:rsid w:val="001659A0"/>
    <w:rsid w:val="00165A75"/>
    <w:rsid w:val="001705B6"/>
    <w:rsid w:val="001735FD"/>
    <w:rsid w:val="001740E3"/>
    <w:rsid w:val="00174CD6"/>
    <w:rsid w:val="001764FC"/>
    <w:rsid w:val="0018202A"/>
    <w:rsid w:val="00182F8F"/>
    <w:rsid w:val="00183736"/>
    <w:rsid w:val="00191E22"/>
    <w:rsid w:val="001925AA"/>
    <w:rsid w:val="001952D5"/>
    <w:rsid w:val="00196A3A"/>
    <w:rsid w:val="001970B1"/>
    <w:rsid w:val="001A1EAB"/>
    <w:rsid w:val="001A4CFE"/>
    <w:rsid w:val="001B0C23"/>
    <w:rsid w:val="001B16A3"/>
    <w:rsid w:val="001B7C9C"/>
    <w:rsid w:val="001C30D5"/>
    <w:rsid w:val="001C577F"/>
    <w:rsid w:val="001D0486"/>
    <w:rsid w:val="001D1F0B"/>
    <w:rsid w:val="001D6C1E"/>
    <w:rsid w:val="001D72E9"/>
    <w:rsid w:val="001D7C78"/>
    <w:rsid w:val="001E379A"/>
    <w:rsid w:val="001E6A99"/>
    <w:rsid w:val="001E6E21"/>
    <w:rsid w:val="001F187D"/>
    <w:rsid w:val="001F2DDD"/>
    <w:rsid w:val="001F32E4"/>
    <w:rsid w:val="001F4EEF"/>
    <w:rsid w:val="002065A9"/>
    <w:rsid w:val="00206C19"/>
    <w:rsid w:val="00212DD0"/>
    <w:rsid w:val="00214D75"/>
    <w:rsid w:val="002252F1"/>
    <w:rsid w:val="002265E5"/>
    <w:rsid w:val="002271BB"/>
    <w:rsid w:val="0022786D"/>
    <w:rsid w:val="00231020"/>
    <w:rsid w:val="00234D88"/>
    <w:rsid w:val="00240410"/>
    <w:rsid w:val="002412BA"/>
    <w:rsid w:val="00245E33"/>
    <w:rsid w:val="00252348"/>
    <w:rsid w:val="002532AE"/>
    <w:rsid w:val="00257ADC"/>
    <w:rsid w:val="00257B6B"/>
    <w:rsid w:val="002639AF"/>
    <w:rsid w:val="00263E68"/>
    <w:rsid w:val="00264A4E"/>
    <w:rsid w:val="00264DF1"/>
    <w:rsid w:val="00265DC7"/>
    <w:rsid w:val="002752BD"/>
    <w:rsid w:val="002757D5"/>
    <w:rsid w:val="00275984"/>
    <w:rsid w:val="002768E4"/>
    <w:rsid w:val="002773BC"/>
    <w:rsid w:val="00277994"/>
    <w:rsid w:val="002800F3"/>
    <w:rsid w:val="00281E8D"/>
    <w:rsid w:val="00282327"/>
    <w:rsid w:val="00283F7A"/>
    <w:rsid w:val="00284BAC"/>
    <w:rsid w:val="00287ED5"/>
    <w:rsid w:val="002940B6"/>
    <w:rsid w:val="00295500"/>
    <w:rsid w:val="00295DE9"/>
    <w:rsid w:val="00297EC4"/>
    <w:rsid w:val="002A1931"/>
    <w:rsid w:val="002A2BAD"/>
    <w:rsid w:val="002A3F95"/>
    <w:rsid w:val="002A505C"/>
    <w:rsid w:val="002A6CB7"/>
    <w:rsid w:val="002A7A49"/>
    <w:rsid w:val="002B026C"/>
    <w:rsid w:val="002B0D9F"/>
    <w:rsid w:val="002B1191"/>
    <w:rsid w:val="002B11E8"/>
    <w:rsid w:val="002B1FEF"/>
    <w:rsid w:val="002B2CBD"/>
    <w:rsid w:val="002B3E80"/>
    <w:rsid w:val="002B7F74"/>
    <w:rsid w:val="002C0272"/>
    <w:rsid w:val="002C37F4"/>
    <w:rsid w:val="002C593F"/>
    <w:rsid w:val="002C627A"/>
    <w:rsid w:val="002D087F"/>
    <w:rsid w:val="002D10DD"/>
    <w:rsid w:val="002E00CB"/>
    <w:rsid w:val="002E5C44"/>
    <w:rsid w:val="002E7202"/>
    <w:rsid w:val="002E75DC"/>
    <w:rsid w:val="002E7F21"/>
    <w:rsid w:val="002F2D95"/>
    <w:rsid w:val="002F325F"/>
    <w:rsid w:val="002F4CBF"/>
    <w:rsid w:val="002F5F77"/>
    <w:rsid w:val="003017F4"/>
    <w:rsid w:val="00301D04"/>
    <w:rsid w:val="00313F70"/>
    <w:rsid w:val="00314720"/>
    <w:rsid w:val="00315F06"/>
    <w:rsid w:val="00316635"/>
    <w:rsid w:val="00316EEB"/>
    <w:rsid w:val="00323985"/>
    <w:rsid w:val="00323D7F"/>
    <w:rsid w:val="00324CAB"/>
    <w:rsid w:val="00324CE8"/>
    <w:rsid w:val="0032710A"/>
    <w:rsid w:val="00330A21"/>
    <w:rsid w:val="0033150E"/>
    <w:rsid w:val="00331A02"/>
    <w:rsid w:val="00333CFD"/>
    <w:rsid w:val="0034228B"/>
    <w:rsid w:val="003426F5"/>
    <w:rsid w:val="00342BCC"/>
    <w:rsid w:val="0034358E"/>
    <w:rsid w:val="00344523"/>
    <w:rsid w:val="00351413"/>
    <w:rsid w:val="00351F6E"/>
    <w:rsid w:val="00352940"/>
    <w:rsid w:val="003538F5"/>
    <w:rsid w:val="00357902"/>
    <w:rsid w:val="0036302F"/>
    <w:rsid w:val="003656DF"/>
    <w:rsid w:val="00365C36"/>
    <w:rsid w:val="00370811"/>
    <w:rsid w:val="003716F2"/>
    <w:rsid w:val="00374517"/>
    <w:rsid w:val="00374805"/>
    <w:rsid w:val="0037494E"/>
    <w:rsid w:val="0037734D"/>
    <w:rsid w:val="00377A6A"/>
    <w:rsid w:val="00380F03"/>
    <w:rsid w:val="003837EB"/>
    <w:rsid w:val="00384CFB"/>
    <w:rsid w:val="00385839"/>
    <w:rsid w:val="003869C5"/>
    <w:rsid w:val="00386D49"/>
    <w:rsid w:val="00387E6F"/>
    <w:rsid w:val="00391748"/>
    <w:rsid w:val="00391B2B"/>
    <w:rsid w:val="00394BA1"/>
    <w:rsid w:val="00395770"/>
    <w:rsid w:val="00395A7C"/>
    <w:rsid w:val="00395D71"/>
    <w:rsid w:val="003A47C9"/>
    <w:rsid w:val="003B020C"/>
    <w:rsid w:val="003B2146"/>
    <w:rsid w:val="003B2D68"/>
    <w:rsid w:val="003B4C9A"/>
    <w:rsid w:val="003B53E0"/>
    <w:rsid w:val="003B7A63"/>
    <w:rsid w:val="003B7E48"/>
    <w:rsid w:val="003C1AB8"/>
    <w:rsid w:val="003D077E"/>
    <w:rsid w:val="003D218B"/>
    <w:rsid w:val="003D5ABA"/>
    <w:rsid w:val="003D6FFF"/>
    <w:rsid w:val="003D7BF8"/>
    <w:rsid w:val="003E0427"/>
    <w:rsid w:val="003E1DA6"/>
    <w:rsid w:val="003E2AE7"/>
    <w:rsid w:val="003E70B2"/>
    <w:rsid w:val="003E78C0"/>
    <w:rsid w:val="003F7804"/>
    <w:rsid w:val="00404718"/>
    <w:rsid w:val="00410BA5"/>
    <w:rsid w:val="00414C4F"/>
    <w:rsid w:val="00414DD4"/>
    <w:rsid w:val="00415F77"/>
    <w:rsid w:val="004166ED"/>
    <w:rsid w:val="00420A07"/>
    <w:rsid w:val="00420C51"/>
    <w:rsid w:val="004235FF"/>
    <w:rsid w:val="004244A8"/>
    <w:rsid w:val="00425312"/>
    <w:rsid w:val="00426D0B"/>
    <w:rsid w:val="00431E35"/>
    <w:rsid w:val="0043515E"/>
    <w:rsid w:val="00436E51"/>
    <w:rsid w:val="0044107B"/>
    <w:rsid w:val="004422AD"/>
    <w:rsid w:val="004431C8"/>
    <w:rsid w:val="00443F0D"/>
    <w:rsid w:val="004441BA"/>
    <w:rsid w:val="00445044"/>
    <w:rsid w:val="004450E0"/>
    <w:rsid w:val="00446009"/>
    <w:rsid w:val="0044743A"/>
    <w:rsid w:val="00447727"/>
    <w:rsid w:val="00453D73"/>
    <w:rsid w:val="004544B2"/>
    <w:rsid w:val="0046001D"/>
    <w:rsid w:val="00461A4D"/>
    <w:rsid w:val="0046203E"/>
    <w:rsid w:val="0046272E"/>
    <w:rsid w:val="00462758"/>
    <w:rsid w:val="00470473"/>
    <w:rsid w:val="00472528"/>
    <w:rsid w:val="00472965"/>
    <w:rsid w:val="004758E6"/>
    <w:rsid w:val="00475B8C"/>
    <w:rsid w:val="00475F09"/>
    <w:rsid w:val="00475FCE"/>
    <w:rsid w:val="00476D3F"/>
    <w:rsid w:val="00477AF1"/>
    <w:rsid w:val="00481959"/>
    <w:rsid w:val="00484C92"/>
    <w:rsid w:val="004878DD"/>
    <w:rsid w:val="00487FE6"/>
    <w:rsid w:val="00493B8C"/>
    <w:rsid w:val="00495C12"/>
    <w:rsid w:val="004A1347"/>
    <w:rsid w:val="004A41C2"/>
    <w:rsid w:val="004A568A"/>
    <w:rsid w:val="004A6C3C"/>
    <w:rsid w:val="004B17EE"/>
    <w:rsid w:val="004B2A1D"/>
    <w:rsid w:val="004B2AC8"/>
    <w:rsid w:val="004B7523"/>
    <w:rsid w:val="004B790A"/>
    <w:rsid w:val="004B7985"/>
    <w:rsid w:val="004C0BC7"/>
    <w:rsid w:val="004C21E3"/>
    <w:rsid w:val="004C567E"/>
    <w:rsid w:val="004C6C5F"/>
    <w:rsid w:val="004C7A59"/>
    <w:rsid w:val="004D2B39"/>
    <w:rsid w:val="004D43DE"/>
    <w:rsid w:val="004D4E81"/>
    <w:rsid w:val="004D50D2"/>
    <w:rsid w:val="004D625F"/>
    <w:rsid w:val="004E28C1"/>
    <w:rsid w:val="004E29BA"/>
    <w:rsid w:val="004E3FFB"/>
    <w:rsid w:val="004E473A"/>
    <w:rsid w:val="004E476F"/>
    <w:rsid w:val="004E571C"/>
    <w:rsid w:val="004E681F"/>
    <w:rsid w:val="004E6850"/>
    <w:rsid w:val="004F0459"/>
    <w:rsid w:val="004F1B76"/>
    <w:rsid w:val="004F1E40"/>
    <w:rsid w:val="004F30C1"/>
    <w:rsid w:val="004F3359"/>
    <w:rsid w:val="004F6AC3"/>
    <w:rsid w:val="00500456"/>
    <w:rsid w:val="0050084A"/>
    <w:rsid w:val="00500BB7"/>
    <w:rsid w:val="00500CD5"/>
    <w:rsid w:val="00501E39"/>
    <w:rsid w:val="00502FD3"/>
    <w:rsid w:val="00503E50"/>
    <w:rsid w:val="00506640"/>
    <w:rsid w:val="00512CEB"/>
    <w:rsid w:val="005130D4"/>
    <w:rsid w:val="00514256"/>
    <w:rsid w:val="00515FDA"/>
    <w:rsid w:val="00516859"/>
    <w:rsid w:val="005171DE"/>
    <w:rsid w:val="00521113"/>
    <w:rsid w:val="005214CA"/>
    <w:rsid w:val="00521A06"/>
    <w:rsid w:val="00522171"/>
    <w:rsid w:val="0052422C"/>
    <w:rsid w:val="00525119"/>
    <w:rsid w:val="005255FA"/>
    <w:rsid w:val="005277E7"/>
    <w:rsid w:val="005347AB"/>
    <w:rsid w:val="00537035"/>
    <w:rsid w:val="005370E3"/>
    <w:rsid w:val="00537AD3"/>
    <w:rsid w:val="00537B44"/>
    <w:rsid w:val="00537FAB"/>
    <w:rsid w:val="00540A73"/>
    <w:rsid w:val="00541E47"/>
    <w:rsid w:val="005429D6"/>
    <w:rsid w:val="00542B1C"/>
    <w:rsid w:val="005460F8"/>
    <w:rsid w:val="00546F13"/>
    <w:rsid w:val="0055250D"/>
    <w:rsid w:val="005556AA"/>
    <w:rsid w:val="00555732"/>
    <w:rsid w:val="00556470"/>
    <w:rsid w:val="005606D8"/>
    <w:rsid w:val="00561FB9"/>
    <w:rsid w:val="00562EE8"/>
    <w:rsid w:val="00566AC0"/>
    <w:rsid w:val="00567D87"/>
    <w:rsid w:val="005709E6"/>
    <w:rsid w:val="00570E33"/>
    <w:rsid w:val="0057298E"/>
    <w:rsid w:val="00575A72"/>
    <w:rsid w:val="0057695E"/>
    <w:rsid w:val="00577CF0"/>
    <w:rsid w:val="005801DC"/>
    <w:rsid w:val="005802C7"/>
    <w:rsid w:val="00580BFE"/>
    <w:rsid w:val="0058123B"/>
    <w:rsid w:val="00582222"/>
    <w:rsid w:val="0058649C"/>
    <w:rsid w:val="005902C7"/>
    <w:rsid w:val="005902F6"/>
    <w:rsid w:val="005932A8"/>
    <w:rsid w:val="0059407D"/>
    <w:rsid w:val="00595209"/>
    <w:rsid w:val="00595243"/>
    <w:rsid w:val="00596770"/>
    <w:rsid w:val="00597E30"/>
    <w:rsid w:val="005A4D94"/>
    <w:rsid w:val="005B03A2"/>
    <w:rsid w:val="005B1981"/>
    <w:rsid w:val="005B2945"/>
    <w:rsid w:val="005B48BB"/>
    <w:rsid w:val="005B60E7"/>
    <w:rsid w:val="005B644C"/>
    <w:rsid w:val="005B673D"/>
    <w:rsid w:val="005B75BB"/>
    <w:rsid w:val="005B7C8D"/>
    <w:rsid w:val="005C27FC"/>
    <w:rsid w:val="005C4370"/>
    <w:rsid w:val="005C5B6E"/>
    <w:rsid w:val="005D0A88"/>
    <w:rsid w:val="005D41E1"/>
    <w:rsid w:val="005E7E29"/>
    <w:rsid w:val="005E7F52"/>
    <w:rsid w:val="005F520D"/>
    <w:rsid w:val="005F5A71"/>
    <w:rsid w:val="005F701A"/>
    <w:rsid w:val="006010BC"/>
    <w:rsid w:val="00603214"/>
    <w:rsid w:val="00604B26"/>
    <w:rsid w:val="00605045"/>
    <w:rsid w:val="00605050"/>
    <w:rsid w:val="006062D3"/>
    <w:rsid w:val="00610833"/>
    <w:rsid w:val="006108C7"/>
    <w:rsid w:val="00613062"/>
    <w:rsid w:val="00613458"/>
    <w:rsid w:val="00621316"/>
    <w:rsid w:val="00623377"/>
    <w:rsid w:val="0062408C"/>
    <w:rsid w:val="0063339A"/>
    <w:rsid w:val="006334B7"/>
    <w:rsid w:val="00634932"/>
    <w:rsid w:val="006365D2"/>
    <w:rsid w:val="0063671D"/>
    <w:rsid w:val="00640819"/>
    <w:rsid w:val="00640DAE"/>
    <w:rsid w:val="0064324B"/>
    <w:rsid w:val="00644B03"/>
    <w:rsid w:val="00644D99"/>
    <w:rsid w:val="006506CD"/>
    <w:rsid w:val="00652769"/>
    <w:rsid w:val="006531C0"/>
    <w:rsid w:val="006564E3"/>
    <w:rsid w:val="0066039D"/>
    <w:rsid w:val="00663602"/>
    <w:rsid w:val="006647B2"/>
    <w:rsid w:val="0066778C"/>
    <w:rsid w:val="00670D8F"/>
    <w:rsid w:val="00671E87"/>
    <w:rsid w:val="006732A3"/>
    <w:rsid w:val="006741EE"/>
    <w:rsid w:val="00676AE8"/>
    <w:rsid w:val="00681DB3"/>
    <w:rsid w:val="00684ECE"/>
    <w:rsid w:val="0068530D"/>
    <w:rsid w:val="00692CB0"/>
    <w:rsid w:val="006932C0"/>
    <w:rsid w:val="0069364B"/>
    <w:rsid w:val="006959EE"/>
    <w:rsid w:val="006A18FB"/>
    <w:rsid w:val="006A2846"/>
    <w:rsid w:val="006A4DBD"/>
    <w:rsid w:val="006A580A"/>
    <w:rsid w:val="006B075E"/>
    <w:rsid w:val="006B5513"/>
    <w:rsid w:val="006B6B40"/>
    <w:rsid w:val="006B72F0"/>
    <w:rsid w:val="006C2750"/>
    <w:rsid w:val="006C317D"/>
    <w:rsid w:val="006C48AD"/>
    <w:rsid w:val="006C674D"/>
    <w:rsid w:val="006C74E2"/>
    <w:rsid w:val="006D1358"/>
    <w:rsid w:val="006D3A2F"/>
    <w:rsid w:val="006D3BF1"/>
    <w:rsid w:val="006D5DD8"/>
    <w:rsid w:val="006D65CC"/>
    <w:rsid w:val="006E54DB"/>
    <w:rsid w:val="006E679C"/>
    <w:rsid w:val="006F0B65"/>
    <w:rsid w:val="006F0C62"/>
    <w:rsid w:val="006F1C35"/>
    <w:rsid w:val="006F23FE"/>
    <w:rsid w:val="006F424A"/>
    <w:rsid w:val="006F513E"/>
    <w:rsid w:val="006F59B8"/>
    <w:rsid w:val="006F5CAE"/>
    <w:rsid w:val="006F7A42"/>
    <w:rsid w:val="00701180"/>
    <w:rsid w:val="00702765"/>
    <w:rsid w:val="007028B4"/>
    <w:rsid w:val="007065E3"/>
    <w:rsid w:val="00710DD2"/>
    <w:rsid w:val="00711A47"/>
    <w:rsid w:val="00712CE2"/>
    <w:rsid w:val="0071352B"/>
    <w:rsid w:val="00716CA9"/>
    <w:rsid w:val="007227AA"/>
    <w:rsid w:val="00722C1D"/>
    <w:rsid w:val="00725EB7"/>
    <w:rsid w:val="007315FC"/>
    <w:rsid w:val="0073258A"/>
    <w:rsid w:val="0073399A"/>
    <w:rsid w:val="00735B8D"/>
    <w:rsid w:val="00742027"/>
    <w:rsid w:val="00744C53"/>
    <w:rsid w:val="00746FFE"/>
    <w:rsid w:val="0074736E"/>
    <w:rsid w:val="00753735"/>
    <w:rsid w:val="00753D20"/>
    <w:rsid w:val="00766264"/>
    <w:rsid w:val="0076705C"/>
    <w:rsid w:val="007735D3"/>
    <w:rsid w:val="00774EBF"/>
    <w:rsid w:val="00775563"/>
    <w:rsid w:val="007755A3"/>
    <w:rsid w:val="0077610F"/>
    <w:rsid w:val="0077657F"/>
    <w:rsid w:val="00777D92"/>
    <w:rsid w:val="00782223"/>
    <w:rsid w:val="00782C29"/>
    <w:rsid w:val="00787368"/>
    <w:rsid w:val="007907EC"/>
    <w:rsid w:val="00791569"/>
    <w:rsid w:val="00792ACF"/>
    <w:rsid w:val="007944A9"/>
    <w:rsid w:val="0079558C"/>
    <w:rsid w:val="00796D1D"/>
    <w:rsid w:val="007A1BD8"/>
    <w:rsid w:val="007A2DA8"/>
    <w:rsid w:val="007A4B14"/>
    <w:rsid w:val="007A5485"/>
    <w:rsid w:val="007A6259"/>
    <w:rsid w:val="007A6B9F"/>
    <w:rsid w:val="007A6D2E"/>
    <w:rsid w:val="007A6E04"/>
    <w:rsid w:val="007C3BB9"/>
    <w:rsid w:val="007C5737"/>
    <w:rsid w:val="007C59C5"/>
    <w:rsid w:val="007C7BB1"/>
    <w:rsid w:val="007D1D89"/>
    <w:rsid w:val="007D204E"/>
    <w:rsid w:val="007D36FC"/>
    <w:rsid w:val="007D3DDD"/>
    <w:rsid w:val="007D4C18"/>
    <w:rsid w:val="007F0B1F"/>
    <w:rsid w:val="007F0B79"/>
    <w:rsid w:val="007F0DAD"/>
    <w:rsid w:val="007F24D9"/>
    <w:rsid w:val="007F55BA"/>
    <w:rsid w:val="007F635D"/>
    <w:rsid w:val="0081124C"/>
    <w:rsid w:val="00813D4A"/>
    <w:rsid w:val="00815BAE"/>
    <w:rsid w:val="00816F63"/>
    <w:rsid w:val="00817A7F"/>
    <w:rsid w:val="00817E2F"/>
    <w:rsid w:val="008229ED"/>
    <w:rsid w:val="00824C62"/>
    <w:rsid w:val="00830D61"/>
    <w:rsid w:val="00832D6D"/>
    <w:rsid w:val="00833DD1"/>
    <w:rsid w:val="00834E7D"/>
    <w:rsid w:val="008414B3"/>
    <w:rsid w:val="00841683"/>
    <w:rsid w:val="00843D95"/>
    <w:rsid w:val="00845009"/>
    <w:rsid w:val="00853DD7"/>
    <w:rsid w:val="00853E93"/>
    <w:rsid w:val="008573C7"/>
    <w:rsid w:val="00867F3C"/>
    <w:rsid w:val="00870A97"/>
    <w:rsid w:val="008722B2"/>
    <w:rsid w:val="00874E6D"/>
    <w:rsid w:val="00875EC2"/>
    <w:rsid w:val="008765BA"/>
    <w:rsid w:val="008779F5"/>
    <w:rsid w:val="0088011B"/>
    <w:rsid w:val="00884C06"/>
    <w:rsid w:val="00885FA4"/>
    <w:rsid w:val="008866C5"/>
    <w:rsid w:val="00886C77"/>
    <w:rsid w:val="00890A47"/>
    <w:rsid w:val="00892597"/>
    <w:rsid w:val="0089322F"/>
    <w:rsid w:val="00894DAF"/>
    <w:rsid w:val="00897C41"/>
    <w:rsid w:val="00897DF5"/>
    <w:rsid w:val="008A0347"/>
    <w:rsid w:val="008A16EB"/>
    <w:rsid w:val="008A267F"/>
    <w:rsid w:val="008A28ED"/>
    <w:rsid w:val="008A3506"/>
    <w:rsid w:val="008A49AE"/>
    <w:rsid w:val="008B0A0F"/>
    <w:rsid w:val="008B3862"/>
    <w:rsid w:val="008C0828"/>
    <w:rsid w:val="008C2784"/>
    <w:rsid w:val="008D1DE5"/>
    <w:rsid w:val="008D2FF9"/>
    <w:rsid w:val="008D35CF"/>
    <w:rsid w:val="008D46AC"/>
    <w:rsid w:val="008E5012"/>
    <w:rsid w:val="008E6469"/>
    <w:rsid w:val="008E71A1"/>
    <w:rsid w:val="008F0E84"/>
    <w:rsid w:val="008F16F9"/>
    <w:rsid w:val="008F2095"/>
    <w:rsid w:val="008F2154"/>
    <w:rsid w:val="008F4582"/>
    <w:rsid w:val="008F5E55"/>
    <w:rsid w:val="008F7AE6"/>
    <w:rsid w:val="00903B44"/>
    <w:rsid w:val="00903F8B"/>
    <w:rsid w:val="0090595F"/>
    <w:rsid w:val="00906476"/>
    <w:rsid w:val="00910BC1"/>
    <w:rsid w:val="00910F05"/>
    <w:rsid w:val="00910FCA"/>
    <w:rsid w:val="00916292"/>
    <w:rsid w:val="009179CD"/>
    <w:rsid w:val="00920627"/>
    <w:rsid w:val="009212B1"/>
    <w:rsid w:val="00924410"/>
    <w:rsid w:val="00931ADB"/>
    <w:rsid w:val="00931DAE"/>
    <w:rsid w:val="009331A6"/>
    <w:rsid w:val="0093486B"/>
    <w:rsid w:val="00936564"/>
    <w:rsid w:val="00936C2A"/>
    <w:rsid w:val="00940118"/>
    <w:rsid w:val="00940803"/>
    <w:rsid w:val="00941A45"/>
    <w:rsid w:val="00944984"/>
    <w:rsid w:val="00945A27"/>
    <w:rsid w:val="00946438"/>
    <w:rsid w:val="00951A67"/>
    <w:rsid w:val="00952DF4"/>
    <w:rsid w:val="009547E7"/>
    <w:rsid w:val="00961990"/>
    <w:rsid w:val="00964CD4"/>
    <w:rsid w:val="009662DE"/>
    <w:rsid w:val="00966E5E"/>
    <w:rsid w:val="00970154"/>
    <w:rsid w:val="00971757"/>
    <w:rsid w:val="009750A4"/>
    <w:rsid w:val="0098420C"/>
    <w:rsid w:val="00984EF3"/>
    <w:rsid w:val="00987C81"/>
    <w:rsid w:val="00990955"/>
    <w:rsid w:val="009912D1"/>
    <w:rsid w:val="009913DD"/>
    <w:rsid w:val="009914C7"/>
    <w:rsid w:val="009915AD"/>
    <w:rsid w:val="00993D6F"/>
    <w:rsid w:val="00996404"/>
    <w:rsid w:val="009A046A"/>
    <w:rsid w:val="009A42A2"/>
    <w:rsid w:val="009A54F9"/>
    <w:rsid w:val="009A6F49"/>
    <w:rsid w:val="009A7C2C"/>
    <w:rsid w:val="009B1987"/>
    <w:rsid w:val="009B254F"/>
    <w:rsid w:val="009B7964"/>
    <w:rsid w:val="009C09CF"/>
    <w:rsid w:val="009C11C1"/>
    <w:rsid w:val="009C1ED7"/>
    <w:rsid w:val="009C660A"/>
    <w:rsid w:val="009D02AF"/>
    <w:rsid w:val="009D4C58"/>
    <w:rsid w:val="009D6621"/>
    <w:rsid w:val="009D6C2A"/>
    <w:rsid w:val="009D73FA"/>
    <w:rsid w:val="009D7653"/>
    <w:rsid w:val="009E187E"/>
    <w:rsid w:val="009E4E0E"/>
    <w:rsid w:val="009E52D6"/>
    <w:rsid w:val="009E698D"/>
    <w:rsid w:val="009E6D8E"/>
    <w:rsid w:val="009F1C0E"/>
    <w:rsid w:val="009F6313"/>
    <w:rsid w:val="009F6D5C"/>
    <w:rsid w:val="009F7061"/>
    <w:rsid w:val="00A00A04"/>
    <w:rsid w:val="00A04715"/>
    <w:rsid w:val="00A06D87"/>
    <w:rsid w:val="00A07988"/>
    <w:rsid w:val="00A17C7C"/>
    <w:rsid w:val="00A23504"/>
    <w:rsid w:val="00A26E4C"/>
    <w:rsid w:val="00A272A5"/>
    <w:rsid w:val="00A2756D"/>
    <w:rsid w:val="00A30AF4"/>
    <w:rsid w:val="00A31BBC"/>
    <w:rsid w:val="00A331A6"/>
    <w:rsid w:val="00A36BBB"/>
    <w:rsid w:val="00A3748B"/>
    <w:rsid w:val="00A3761D"/>
    <w:rsid w:val="00A37FAC"/>
    <w:rsid w:val="00A407BC"/>
    <w:rsid w:val="00A40BD4"/>
    <w:rsid w:val="00A46A2E"/>
    <w:rsid w:val="00A574A1"/>
    <w:rsid w:val="00A6022C"/>
    <w:rsid w:val="00A62DDD"/>
    <w:rsid w:val="00A70D70"/>
    <w:rsid w:val="00A71B1E"/>
    <w:rsid w:val="00A72136"/>
    <w:rsid w:val="00A72318"/>
    <w:rsid w:val="00A74FC9"/>
    <w:rsid w:val="00A75C10"/>
    <w:rsid w:val="00A80ABE"/>
    <w:rsid w:val="00A8282C"/>
    <w:rsid w:val="00A829C6"/>
    <w:rsid w:val="00A8741D"/>
    <w:rsid w:val="00A87A1A"/>
    <w:rsid w:val="00A91557"/>
    <w:rsid w:val="00A94425"/>
    <w:rsid w:val="00A946EE"/>
    <w:rsid w:val="00A954BA"/>
    <w:rsid w:val="00A964C9"/>
    <w:rsid w:val="00A974AF"/>
    <w:rsid w:val="00A97653"/>
    <w:rsid w:val="00AA13E4"/>
    <w:rsid w:val="00AA268F"/>
    <w:rsid w:val="00AA6A5B"/>
    <w:rsid w:val="00AA6BF9"/>
    <w:rsid w:val="00AA7F04"/>
    <w:rsid w:val="00AB08EA"/>
    <w:rsid w:val="00AB0C1C"/>
    <w:rsid w:val="00AB2201"/>
    <w:rsid w:val="00AB2218"/>
    <w:rsid w:val="00AB2910"/>
    <w:rsid w:val="00AB2CEA"/>
    <w:rsid w:val="00AB34EE"/>
    <w:rsid w:val="00AC18AC"/>
    <w:rsid w:val="00AC24B1"/>
    <w:rsid w:val="00AC34E5"/>
    <w:rsid w:val="00AC6DC5"/>
    <w:rsid w:val="00AD0505"/>
    <w:rsid w:val="00AD12CC"/>
    <w:rsid w:val="00AD3244"/>
    <w:rsid w:val="00AD788E"/>
    <w:rsid w:val="00AE0D5D"/>
    <w:rsid w:val="00AE3334"/>
    <w:rsid w:val="00AE6953"/>
    <w:rsid w:val="00AE7454"/>
    <w:rsid w:val="00AF1EE9"/>
    <w:rsid w:val="00AF3770"/>
    <w:rsid w:val="00AF5081"/>
    <w:rsid w:val="00AF71DD"/>
    <w:rsid w:val="00AF7BAA"/>
    <w:rsid w:val="00AF7EB5"/>
    <w:rsid w:val="00B00478"/>
    <w:rsid w:val="00B01BF6"/>
    <w:rsid w:val="00B042D8"/>
    <w:rsid w:val="00B055AF"/>
    <w:rsid w:val="00B07CFF"/>
    <w:rsid w:val="00B11211"/>
    <w:rsid w:val="00B12500"/>
    <w:rsid w:val="00B15747"/>
    <w:rsid w:val="00B177D0"/>
    <w:rsid w:val="00B200D9"/>
    <w:rsid w:val="00B21FEB"/>
    <w:rsid w:val="00B24656"/>
    <w:rsid w:val="00B2682C"/>
    <w:rsid w:val="00B27378"/>
    <w:rsid w:val="00B27616"/>
    <w:rsid w:val="00B3100E"/>
    <w:rsid w:val="00B31413"/>
    <w:rsid w:val="00B331C4"/>
    <w:rsid w:val="00B34726"/>
    <w:rsid w:val="00B35F06"/>
    <w:rsid w:val="00B360E2"/>
    <w:rsid w:val="00B3628C"/>
    <w:rsid w:val="00B3658D"/>
    <w:rsid w:val="00B37041"/>
    <w:rsid w:val="00B402ED"/>
    <w:rsid w:val="00B41A33"/>
    <w:rsid w:val="00B4523A"/>
    <w:rsid w:val="00B453B4"/>
    <w:rsid w:val="00B45605"/>
    <w:rsid w:val="00B47C46"/>
    <w:rsid w:val="00B500F6"/>
    <w:rsid w:val="00B51261"/>
    <w:rsid w:val="00B51515"/>
    <w:rsid w:val="00B5157A"/>
    <w:rsid w:val="00B54CD7"/>
    <w:rsid w:val="00B57425"/>
    <w:rsid w:val="00B63014"/>
    <w:rsid w:val="00B647A0"/>
    <w:rsid w:val="00B70CDD"/>
    <w:rsid w:val="00B7421D"/>
    <w:rsid w:val="00B743A9"/>
    <w:rsid w:val="00B74FD5"/>
    <w:rsid w:val="00B763B5"/>
    <w:rsid w:val="00B76D38"/>
    <w:rsid w:val="00B77501"/>
    <w:rsid w:val="00B813BC"/>
    <w:rsid w:val="00B8298A"/>
    <w:rsid w:val="00B82EB1"/>
    <w:rsid w:val="00B84E20"/>
    <w:rsid w:val="00B85285"/>
    <w:rsid w:val="00B9225B"/>
    <w:rsid w:val="00B92861"/>
    <w:rsid w:val="00B9386A"/>
    <w:rsid w:val="00B943AB"/>
    <w:rsid w:val="00B94CC6"/>
    <w:rsid w:val="00B96AEE"/>
    <w:rsid w:val="00B978FD"/>
    <w:rsid w:val="00BA3000"/>
    <w:rsid w:val="00BB02E8"/>
    <w:rsid w:val="00BB2749"/>
    <w:rsid w:val="00BB4634"/>
    <w:rsid w:val="00BC0360"/>
    <w:rsid w:val="00BC1148"/>
    <w:rsid w:val="00BC4F59"/>
    <w:rsid w:val="00BC5D1E"/>
    <w:rsid w:val="00BD23D2"/>
    <w:rsid w:val="00BD4006"/>
    <w:rsid w:val="00BD4D47"/>
    <w:rsid w:val="00BD71CA"/>
    <w:rsid w:val="00BE0041"/>
    <w:rsid w:val="00BE00CE"/>
    <w:rsid w:val="00BE0C34"/>
    <w:rsid w:val="00BE2864"/>
    <w:rsid w:val="00BE37BE"/>
    <w:rsid w:val="00BF6C75"/>
    <w:rsid w:val="00BF7B3E"/>
    <w:rsid w:val="00C02BC2"/>
    <w:rsid w:val="00C0331A"/>
    <w:rsid w:val="00C06B5C"/>
    <w:rsid w:val="00C112E2"/>
    <w:rsid w:val="00C1347C"/>
    <w:rsid w:val="00C147BA"/>
    <w:rsid w:val="00C14C3A"/>
    <w:rsid w:val="00C14CFE"/>
    <w:rsid w:val="00C17184"/>
    <w:rsid w:val="00C17326"/>
    <w:rsid w:val="00C17A2F"/>
    <w:rsid w:val="00C222B8"/>
    <w:rsid w:val="00C222C6"/>
    <w:rsid w:val="00C22A32"/>
    <w:rsid w:val="00C24E0B"/>
    <w:rsid w:val="00C24E29"/>
    <w:rsid w:val="00C2771E"/>
    <w:rsid w:val="00C27CD1"/>
    <w:rsid w:val="00C336E0"/>
    <w:rsid w:val="00C33BBB"/>
    <w:rsid w:val="00C36B5E"/>
    <w:rsid w:val="00C36E96"/>
    <w:rsid w:val="00C411E9"/>
    <w:rsid w:val="00C42104"/>
    <w:rsid w:val="00C431B0"/>
    <w:rsid w:val="00C4729A"/>
    <w:rsid w:val="00C52DA4"/>
    <w:rsid w:val="00C6016B"/>
    <w:rsid w:val="00C60394"/>
    <w:rsid w:val="00C60F34"/>
    <w:rsid w:val="00C64087"/>
    <w:rsid w:val="00C653E2"/>
    <w:rsid w:val="00C75A23"/>
    <w:rsid w:val="00C7640B"/>
    <w:rsid w:val="00C771DD"/>
    <w:rsid w:val="00C805E1"/>
    <w:rsid w:val="00C818A6"/>
    <w:rsid w:val="00C821BD"/>
    <w:rsid w:val="00C86C96"/>
    <w:rsid w:val="00C86CBA"/>
    <w:rsid w:val="00C86F8A"/>
    <w:rsid w:val="00C87CB3"/>
    <w:rsid w:val="00C90123"/>
    <w:rsid w:val="00C9040F"/>
    <w:rsid w:val="00C90852"/>
    <w:rsid w:val="00C90B8C"/>
    <w:rsid w:val="00C9146C"/>
    <w:rsid w:val="00C93128"/>
    <w:rsid w:val="00C953AC"/>
    <w:rsid w:val="00C956B9"/>
    <w:rsid w:val="00C96273"/>
    <w:rsid w:val="00CA1760"/>
    <w:rsid w:val="00CA2E51"/>
    <w:rsid w:val="00CA7817"/>
    <w:rsid w:val="00CB0E1A"/>
    <w:rsid w:val="00CB1A05"/>
    <w:rsid w:val="00CB2040"/>
    <w:rsid w:val="00CB2840"/>
    <w:rsid w:val="00CB5BAC"/>
    <w:rsid w:val="00CB6914"/>
    <w:rsid w:val="00CC04CB"/>
    <w:rsid w:val="00CC22C1"/>
    <w:rsid w:val="00CC24C3"/>
    <w:rsid w:val="00CC6A92"/>
    <w:rsid w:val="00CD6752"/>
    <w:rsid w:val="00CD7A0D"/>
    <w:rsid w:val="00CE6D1D"/>
    <w:rsid w:val="00CE794B"/>
    <w:rsid w:val="00CF2475"/>
    <w:rsid w:val="00CF2D83"/>
    <w:rsid w:val="00CF41AF"/>
    <w:rsid w:val="00CF57C9"/>
    <w:rsid w:val="00D000D3"/>
    <w:rsid w:val="00D00E09"/>
    <w:rsid w:val="00D01653"/>
    <w:rsid w:val="00D04791"/>
    <w:rsid w:val="00D048D0"/>
    <w:rsid w:val="00D04D4C"/>
    <w:rsid w:val="00D14276"/>
    <w:rsid w:val="00D14742"/>
    <w:rsid w:val="00D215C9"/>
    <w:rsid w:val="00D22EDA"/>
    <w:rsid w:val="00D237C0"/>
    <w:rsid w:val="00D27136"/>
    <w:rsid w:val="00D3090E"/>
    <w:rsid w:val="00D31E77"/>
    <w:rsid w:val="00D32DD3"/>
    <w:rsid w:val="00D36EB6"/>
    <w:rsid w:val="00D36F54"/>
    <w:rsid w:val="00D43727"/>
    <w:rsid w:val="00D44F00"/>
    <w:rsid w:val="00D53B90"/>
    <w:rsid w:val="00D55B20"/>
    <w:rsid w:val="00D61CED"/>
    <w:rsid w:val="00D621F3"/>
    <w:rsid w:val="00D65CE7"/>
    <w:rsid w:val="00D673B5"/>
    <w:rsid w:val="00D677D7"/>
    <w:rsid w:val="00D706FA"/>
    <w:rsid w:val="00D7265A"/>
    <w:rsid w:val="00D76AF0"/>
    <w:rsid w:val="00D81DED"/>
    <w:rsid w:val="00D837F9"/>
    <w:rsid w:val="00D84988"/>
    <w:rsid w:val="00D86A3B"/>
    <w:rsid w:val="00D9060A"/>
    <w:rsid w:val="00D978F9"/>
    <w:rsid w:val="00DA1DAF"/>
    <w:rsid w:val="00DA4FB5"/>
    <w:rsid w:val="00DA57CA"/>
    <w:rsid w:val="00DA7B87"/>
    <w:rsid w:val="00DB6190"/>
    <w:rsid w:val="00DB62E8"/>
    <w:rsid w:val="00DB7256"/>
    <w:rsid w:val="00DC0913"/>
    <w:rsid w:val="00DC17C5"/>
    <w:rsid w:val="00DC5D95"/>
    <w:rsid w:val="00DC7D33"/>
    <w:rsid w:val="00DD3826"/>
    <w:rsid w:val="00DD76E7"/>
    <w:rsid w:val="00DE15DD"/>
    <w:rsid w:val="00DE5EC3"/>
    <w:rsid w:val="00DE61A2"/>
    <w:rsid w:val="00DF040F"/>
    <w:rsid w:val="00DF11E2"/>
    <w:rsid w:val="00DF1FC0"/>
    <w:rsid w:val="00DF25C1"/>
    <w:rsid w:val="00DF5649"/>
    <w:rsid w:val="00E020CA"/>
    <w:rsid w:val="00E0226D"/>
    <w:rsid w:val="00E038E2"/>
    <w:rsid w:val="00E050A0"/>
    <w:rsid w:val="00E057CB"/>
    <w:rsid w:val="00E1233D"/>
    <w:rsid w:val="00E129B1"/>
    <w:rsid w:val="00E16992"/>
    <w:rsid w:val="00E16D83"/>
    <w:rsid w:val="00E17B7E"/>
    <w:rsid w:val="00E25B8F"/>
    <w:rsid w:val="00E268D8"/>
    <w:rsid w:val="00E30869"/>
    <w:rsid w:val="00E31F1F"/>
    <w:rsid w:val="00E4050B"/>
    <w:rsid w:val="00E417DA"/>
    <w:rsid w:val="00E421A6"/>
    <w:rsid w:val="00E42B47"/>
    <w:rsid w:val="00E472FB"/>
    <w:rsid w:val="00E53CB1"/>
    <w:rsid w:val="00E5663E"/>
    <w:rsid w:val="00E66DC5"/>
    <w:rsid w:val="00E70827"/>
    <w:rsid w:val="00E711A9"/>
    <w:rsid w:val="00E715BA"/>
    <w:rsid w:val="00E71EA3"/>
    <w:rsid w:val="00E724BE"/>
    <w:rsid w:val="00E76399"/>
    <w:rsid w:val="00E7699D"/>
    <w:rsid w:val="00E83D14"/>
    <w:rsid w:val="00E83EBC"/>
    <w:rsid w:val="00E85734"/>
    <w:rsid w:val="00E874F6"/>
    <w:rsid w:val="00E93397"/>
    <w:rsid w:val="00E96B51"/>
    <w:rsid w:val="00E97E26"/>
    <w:rsid w:val="00EA104D"/>
    <w:rsid w:val="00EA3894"/>
    <w:rsid w:val="00EA7910"/>
    <w:rsid w:val="00EB3CB6"/>
    <w:rsid w:val="00EB5DCF"/>
    <w:rsid w:val="00EC5627"/>
    <w:rsid w:val="00EC6D44"/>
    <w:rsid w:val="00ED2901"/>
    <w:rsid w:val="00ED347D"/>
    <w:rsid w:val="00ED3A74"/>
    <w:rsid w:val="00ED5929"/>
    <w:rsid w:val="00ED5DFA"/>
    <w:rsid w:val="00ED781A"/>
    <w:rsid w:val="00EE126D"/>
    <w:rsid w:val="00EE2C31"/>
    <w:rsid w:val="00EE3D13"/>
    <w:rsid w:val="00EE42AE"/>
    <w:rsid w:val="00EF39AD"/>
    <w:rsid w:val="00EF4333"/>
    <w:rsid w:val="00EF448D"/>
    <w:rsid w:val="00EF4CF8"/>
    <w:rsid w:val="00EF5677"/>
    <w:rsid w:val="00EF59A5"/>
    <w:rsid w:val="00EF62F0"/>
    <w:rsid w:val="00EF66A0"/>
    <w:rsid w:val="00F00095"/>
    <w:rsid w:val="00F027F8"/>
    <w:rsid w:val="00F06194"/>
    <w:rsid w:val="00F07B25"/>
    <w:rsid w:val="00F100F2"/>
    <w:rsid w:val="00F11D29"/>
    <w:rsid w:val="00F14420"/>
    <w:rsid w:val="00F171CC"/>
    <w:rsid w:val="00F17FB6"/>
    <w:rsid w:val="00F202FC"/>
    <w:rsid w:val="00F235FA"/>
    <w:rsid w:val="00F24B97"/>
    <w:rsid w:val="00F24D08"/>
    <w:rsid w:val="00F2785A"/>
    <w:rsid w:val="00F45C58"/>
    <w:rsid w:val="00F559D2"/>
    <w:rsid w:val="00F577B8"/>
    <w:rsid w:val="00F57AFB"/>
    <w:rsid w:val="00F6196C"/>
    <w:rsid w:val="00F63F07"/>
    <w:rsid w:val="00F65EB2"/>
    <w:rsid w:val="00F71625"/>
    <w:rsid w:val="00F73307"/>
    <w:rsid w:val="00F804C6"/>
    <w:rsid w:val="00F82FD0"/>
    <w:rsid w:val="00F83165"/>
    <w:rsid w:val="00F83420"/>
    <w:rsid w:val="00F873B7"/>
    <w:rsid w:val="00F875AC"/>
    <w:rsid w:val="00F90BB8"/>
    <w:rsid w:val="00F91086"/>
    <w:rsid w:val="00F932ED"/>
    <w:rsid w:val="00F9771C"/>
    <w:rsid w:val="00F97D6D"/>
    <w:rsid w:val="00FA0B68"/>
    <w:rsid w:val="00FA1393"/>
    <w:rsid w:val="00FA26CF"/>
    <w:rsid w:val="00FA508D"/>
    <w:rsid w:val="00FA64D8"/>
    <w:rsid w:val="00FA70F0"/>
    <w:rsid w:val="00FA7B3B"/>
    <w:rsid w:val="00FB146D"/>
    <w:rsid w:val="00FB3911"/>
    <w:rsid w:val="00FB3B97"/>
    <w:rsid w:val="00FB4312"/>
    <w:rsid w:val="00FB4A50"/>
    <w:rsid w:val="00FB4D99"/>
    <w:rsid w:val="00FB6A5E"/>
    <w:rsid w:val="00FB7EF0"/>
    <w:rsid w:val="00FC3C6B"/>
    <w:rsid w:val="00FC6D8A"/>
    <w:rsid w:val="00FC78F7"/>
    <w:rsid w:val="00FD295B"/>
    <w:rsid w:val="00FD3D35"/>
    <w:rsid w:val="00FD45A4"/>
    <w:rsid w:val="00FD4BC9"/>
    <w:rsid w:val="00FD7B04"/>
    <w:rsid w:val="00FE27B0"/>
    <w:rsid w:val="00FE2876"/>
    <w:rsid w:val="00FE30EF"/>
    <w:rsid w:val="00FE5DB5"/>
    <w:rsid w:val="00FE7502"/>
    <w:rsid w:val="00FF2B69"/>
    <w:rsid w:val="00FF532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2a24"/>
    </o:shapedefaults>
    <o:shapelayout v:ext="edit">
      <o:idmap v:ext="edit" data="1"/>
    </o:shapelayout>
  </w:shapeDefaults>
  <w:decimalSymbol w:val="."/>
  <w:listSeparator w:val=";"/>
  <w15:chartTrackingRefBased/>
  <w15:docId w15:val="{61EE12F9-4448-4599-AEC6-FCEC0510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9E187E"/>
    <w:pPr>
      <w:spacing w:after="160" w:line="259" w:lineRule="auto"/>
      <w:jc w:val="both"/>
    </w:pPr>
    <w:rPr>
      <w:color w:val="767171"/>
      <w:sz w:val="24"/>
      <w:szCs w:val="22"/>
    </w:rPr>
  </w:style>
  <w:style w:type="paragraph" w:styleId="Ttulo1">
    <w:name w:val="heading 1"/>
    <w:basedOn w:val="Normal"/>
    <w:next w:val="Normal"/>
    <w:link w:val="Ttulo1Car"/>
    <w:uiPriority w:val="9"/>
    <w:qFormat/>
    <w:rsid w:val="00E85734"/>
    <w:pPr>
      <w:keepNext/>
      <w:keepLines/>
      <w:numPr>
        <w:numId w:val="1"/>
      </w:numPr>
      <w:spacing w:before="240" w:after="0"/>
      <w:jc w:val="center"/>
      <w:outlineLvl w:val="0"/>
    </w:pPr>
    <w:rPr>
      <w:rFonts w:eastAsia="Times New Roman"/>
      <w:color w:val="FFFFFF"/>
      <w:sz w:val="56"/>
      <w:szCs w:val="32"/>
    </w:rPr>
  </w:style>
  <w:style w:type="paragraph" w:styleId="Ttulo2">
    <w:name w:val="heading 2"/>
    <w:basedOn w:val="Normal"/>
    <w:next w:val="Normal"/>
    <w:link w:val="Ttulo2Car"/>
    <w:uiPriority w:val="9"/>
    <w:unhideWhenUsed/>
    <w:rsid w:val="007C7BB1"/>
    <w:pPr>
      <w:keepNext/>
      <w:spacing w:before="240" w:after="60"/>
      <w:outlineLvl w:val="1"/>
    </w:pPr>
    <w:rPr>
      <w:rFonts w:eastAsia="Times New Roman"/>
      <w:b/>
      <w:bCs/>
      <w:iCs/>
      <w:sz w:val="28"/>
      <w:szCs w:val="28"/>
    </w:rPr>
  </w:style>
  <w:style w:type="paragraph" w:styleId="Ttulo3">
    <w:name w:val="heading 3"/>
    <w:basedOn w:val="Normal"/>
    <w:next w:val="Normal"/>
    <w:link w:val="Ttulo3Car"/>
    <w:uiPriority w:val="9"/>
    <w:unhideWhenUsed/>
    <w:qFormat/>
    <w:rsid w:val="00A91557"/>
    <w:pPr>
      <w:keepNext/>
      <w:spacing w:before="240" w:after="60"/>
      <w:outlineLvl w:val="2"/>
    </w:pPr>
    <w:rPr>
      <w:rFonts w:eastAsia="Times New Roman"/>
      <w:b/>
      <w:bCs/>
      <w:szCs w:val="26"/>
    </w:rPr>
  </w:style>
  <w:style w:type="paragraph" w:styleId="Ttulo4">
    <w:name w:val="heading 4"/>
    <w:aliases w:val="Subtitulo Memoria"/>
    <w:basedOn w:val="Normal"/>
    <w:next w:val="Normal"/>
    <w:link w:val="Ttulo4Car"/>
    <w:uiPriority w:val="9"/>
    <w:unhideWhenUsed/>
    <w:qFormat/>
    <w:rsid w:val="00A91557"/>
    <w:pPr>
      <w:keepNext/>
      <w:spacing w:after="0"/>
      <w:outlineLvl w:val="3"/>
    </w:pPr>
    <w:rPr>
      <w:rFonts w:eastAsia="Times New Roman"/>
      <w:b/>
      <w:bCs/>
      <w:szCs w:val="28"/>
    </w:rPr>
  </w:style>
  <w:style w:type="paragraph" w:styleId="Ttulo5">
    <w:name w:val="heading 5"/>
    <w:basedOn w:val="Normal"/>
    <w:next w:val="Normal"/>
    <w:link w:val="Ttulo5Car"/>
    <w:uiPriority w:val="9"/>
    <w:unhideWhenUsed/>
    <w:qFormat/>
    <w:rsid w:val="00644D9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85734"/>
    <w:rPr>
      <w:rFonts w:eastAsia="Times New Roman"/>
      <w:color w:val="FFFFFF"/>
      <w:sz w:val="56"/>
      <w:szCs w:val="32"/>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7C7BB1"/>
    <w:pPr>
      <w:numPr>
        <w:ilvl w:val="1"/>
      </w:numPr>
      <w:jc w:val="left"/>
    </w:pPr>
    <w:rPr>
      <w:rFonts w:eastAsia="Times New Roman"/>
      <w:spacing w:val="15"/>
      <w:sz w:val="28"/>
    </w:rPr>
  </w:style>
  <w:style w:type="character" w:customStyle="1" w:styleId="SubttuloCar">
    <w:name w:val="Subtítulo Car"/>
    <w:link w:val="Subttulo"/>
    <w:uiPriority w:val="11"/>
    <w:rsid w:val="007C7BB1"/>
    <w:rPr>
      <w:rFonts w:eastAsia="Times New Roman"/>
      <w:color w:val="767171"/>
      <w:spacing w:val="15"/>
      <w:sz w:val="28"/>
      <w:szCs w:val="22"/>
    </w:rPr>
  </w:style>
  <w:style w:type="paragraph" w:styleId="Ttulode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Textodeglobo">
    <w:name w:val="Balloon Text"/>
    <w:basedOn w:val="Normal"/>
    <w:link w:val="TextodegloboCar"/>
    <w:uiPriority w:val="99"/>
    <w:semiHidden/>
    <w:unhideWhenUsed/>
    <w:rsid w:val="00E020CA"/>
    <w:pPr>
      <w:spacing w:after="0" w:line="240" w:lineRule="auto"/>
    </w:pPr>
    <w:rPr>
      <w:rFonts w:ascii="Segoe UI" w:hAnsi="Segoe UI" w:cs="Segoe UI"/>
      <w:szCs w:val="18"/>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character" w:customStyle="1" w:styleId="TextodegloboCar">
    <w:name w:val="Texto de globo Car"/>
    <w:link w:val="Textodeglobo"/>
    <w:uiPriority w:val="99"/>
    <w:semiHidden/>
    <w:rsid w:val="00E020CA"/>
    <w:rPr>
      <w:rFonts w:ascii="Segoe UI" w:hAnsi="Segoe UI" w:cs="Segoe UI"/>
      <w:color w:val="003876"/>
      <w:sz w:val="18"/>
      <w:szCs w:val="18"/>
      <w:lang w:val="es-ES" w:eastAsia="en-US"/>
    </w:rPr>
  </w:style>
  <w:style w:type="paragraph" w:styleId="TDC1">
    <w:name w:val="toc 1"/>
    <w:basedOn w:val="Normal"/>
    <w:next w:val="Normal"/>
    <w:autoRedefine/>
    <w:uiPriority w:val="39"/>
    <w:unhideWhenUsed/>
    <w:rsid w:val="005B2945"/>
    <w:pPr>
      <w:spacing w:before="360" w:after="0"/>
      <w:jc w:val="left"/>
    </w:pPr>
    <w:rPr>
      <w:rFonts w:cs="Calibri Light"/>
      <w:b/>
      <w:bCs/>
      <w:caps/>
      <w:szCs w:val="24"/>
    </w:rPr>
  </w:style>
  <w:style w:type="character" w:styleId="Hipervnculo">
    <w:name w:val="Hyperlink"/>
    <w:uiPriority w:val="99"/>
    <w:unhideWhenUsed/>
    <w:rsid w:val="0001158C"/>
    <w:rPr>
      <w:color w:val="0563C1"/>
      <w:u w:val="single"/>
    </w:rPr>
  </w:style>
  <w:style w:type="character" w:customStyle="1" w:styleId="Ttulo2Car">
    <w:name w:val="Título 2 Car"/>
    <w:link w:val="Ttulo2"/>
    <w:uiPriority w:val="9"/>
    <w:rsid w:val="007C7BB1"/>
    <w:rPr>
      <w:rFonts w:eastAsia="Times New Roman"/>
      <w:b/>
      <w:bCs/>
      <w:iCs/>
      <w:color w:val="767171"/>
      <w:sz w:val="28"/>
      <w:szCs w:val="28"/>
    </w:rPr>
  </w:style>
  <w:style w:type="character" w:customStyle="1" w:styleId="Ttulo3Car">
    <w:name w:val="Título 3 Car"/>
    <w:link w:val="Ttulo3"/>
    <w:uiPriority w:val="9"/>
    <w:rsid w:val="00A91557"/>
    <w:rPr>
      <w:rFonts w:eastAsia="Times New Roman"/>
      <w:b/>
      <w:bCs/>
      <w:color w:val="767171"/>
      <w:sz w:val="24"/>
      <w:szCs w:val="26"/>
    </w:rPr>
  </w:style>
  <w:style w:type="paragraph" w:styleId="TDC2">
    <w:name w:val="toc 2"/>
    <w:basedOn w:val="Normal"/>
    <w:next w:val="Normal"/>
    <w:autoRedefine/>
    <w:uiPriority w:val="39"/>
    <w:unhideWhenUsed/>
    <w:rsid w:val="00910FCA"/>
    <w:pPr>
      <w:spacing w:before="240" w:after="0"/>
      <w:jc w:val="left"/>
    </w:pPr>
    <w:rPr>
      <w:rFonts w:ascii="Calibri" w:hAnsi="Calibri" w:cs="Calibri"/>
      <w:b/>
      <w:bCs/>
      <w:sz w:val="20"/>
      <w:szCs w:val="20"/>
    </w:rPr>
  </w:style>
  <w:style w:type="paragraph" w:styleId="TDC3">
    <w:name w:val="toc 3"/>
    <w:basedOn w:val="Normal"/>
    <w:next w:val="Normal"/>
    <w:autoRedefine/>
    <w:uiPriority w:val="39"/>
    <w:unhideWhenUsed/>
    <w:rsid w:val="00910FCA"/>
    <w:pPr>
      <w:spacing w:after="0"/>
      <w:ind w:left="240"/>
      <w:jc w:val="left"/>
    </w:pPr>
    <w:rPr>
      <w:rFonts w:ascii="Calibri" w:hAnsi="Calibri" w:cs="Calibri"/>
      <w:sz w:val="20"/>
      <w:szCs w:val="20"/>
    </w:rPr>
  </w:style>
  <w:style w:type="character" w:customStyle="1" w:styleId="Ttulo4Car">
    <w:name w:val="Título 4 Car"/>
    <w:aliases w:val="Subtitulo Memoria Car"/>
    <w:link w:val="Ttulo4"/>
    <w:uiPriority w:val="9"/>
    <w:rsid w:val="00A91557"/>
    <w:rPr>
      <w:rFonts w:eastAsia="Times New Roman"/>
      <w:b/>
      <w:bCs/>
      <w:color w:val="767171"/>
      <w:sz w:val="24"/>
      <w:szCs w:val="28"/>
    </w:rPr>
  </w:style>
  <w:style w:type="paragraph" w:styleId="Sinespaciado">
    <w:name w:val="No Spacing"/>
    <w:link w:val="SinespaciadoCar"/>
    <w:uiPriority w:val="1"/>
    <w:qFormat/>
    <w:rsid w:val="008722B2"/>
    <w:rPr>
      <w:rFonts w:eastAsia="Times New Roman"/>
      <w:sz w:val="24"/>
      <w:szCs w:val="22"/>
    </w:rPr>
  </w:style>
  <w:style w:type="character" w:customStyle="1" w:styleId="SinespaciadoCar">
    <w:name w:val="Sin espaciado Car"/>
    <w:link w:val="Sinespaciado"/>
    <w:uiPriority w:val="1"/>
    <w:rsid w:val="008722B2"/>
    <w:rPr>
      <w:rFonts w:eastAsia="Times New Roman"/>
      <w:sz w:val="24"/>
      <w:szCs w:val="22"/>
    </w:rPr>
  </w:style>
  <w:style w:type="paragraph" w:styleId="Prrafodelista">
    <w:name w:val="List Paragraph"/>
    <w:basedOn w:val="Normal"/>
    <w:link w:val="PrrafodelistaCar"/>
    <w:uiPriority w:val="34"/>
    <w:qFormat/>
    <w:rsid w:val="001C30D5"/>
    <w:pPr>
      <w:ind w:left="708"/>
    </w:pPr>
  </w:style>
  <w:style w:type="paragraph" w:styleId="TDC4">
    <w:name w:val="toc 4"/>
    <w:basedOn w:val="Normal"/>
    <w:next w:val="Normal"/>
    <w:autoRedefine/>
    <w:uiPriority w:val="39"/>
    <w:unhideWhenUsed/>
    <w:rsid w:val="00562EE8"/>
    <w:pPr>
      <w:spacing w:after="0"/>
      <w:ind w:left="480"/>
      <w:jc w:val="left"/>
    </w:pPr>
    <w:rPr>
      <w:rFonts w:ascii="Calibri" w:hAnsi="Calibri" w:cs="Calibri"/>
      <w:sz w:val="20"/>
      <w:szCs w:val="20"/>
    </w:rPr>
  </w:style>
  <w:style w:type="paragraph" w:styleId="TDC5">
    <w:name w:val="toc 5"/>
    <w:basedOn w:val="Normal"/>
    <w:next w:val="Normal"/>
    <w:autoRedefine/>
    <w:uiPriority w:val="39"/>
    <w:unhideWhenUsed/>
    <w:rsid w:val="00562EE8"/>
    <w:pPr>
      <w:spacing w:after="0"/>
      <w:ind w:left="720"/>
      <w:jc w:val="left"/>
    </w:pPr>
    <w:rPr>
      <w:rFonts w:ascii="Calibri" w:hAnsi="Calibri" w:cs="Calibri"/>
      <w:sz w:val="20"/>
      <w:szCs w:val="20"/>
    </w:rPr>
  </w:style>
  <w:style w:type="paragraph" w:styleId="TDC6">
    <w:name w:val="toc 6"/>
    <w:basedOn w:val="Normal"/>
    <w:next w:val="Normal"/>
    <w:autoRedefine/>
    <w:uiPriority w:val="39"/>
    <w:unhideWhenUsed/>
    <w:rsid w:val="00562EE8"/>
    <w:pPr>
      <w:spacing w:after="0"/>
      <w:ind w:left="960"/>
      <w:jc w:val="left"/>
    </w:pPr>
    <w:rPr>
      <w:rFonts w:ascii="Calibri" w:hAnsi="Calibri" w:cs="Calibri"/>
      <w:sz w:val="20"/>
      <w:szCs w:val="20"/>
    </w:rPr>
  </w:style>
  <w:style w:type="paragraph" w:styleId="TDC7">
    <w:name w:val="toc 7"/>
    <w:basedOn w:val="Normal"/>
    <w:next w:val="Normal"/>
    <w:autoRedefine/>
    <w:uiPriority w:val="39"/>
    <w:unhideWhenUsed/>
    <w:rsid w:val="00562EE8"/>
    <w:pPr>
      <w:spacing w:after="0"/>
      <w:ind w:left="1200"/>
      <w:jc w:val="left"/>
    </w:pPr>
    <w:rPr>
      <w:rFonts w:ascii="Calibri" w:hAnsi="Calibri" w:cs="Calibri"/>
      <w:sz w:val="20"/>
      <w:szCs w:val="20"/>
    </w:rPr>
  </w:style>
  <w:style w:type="paragraph" w:styleId="TDC8">
    <w:name w:val="toc 8"/>
    <w:basedOn w:val="Normal"/>
    <w:next w:val="Normal"/>
    <w:autoRedefine/>
    <w:uiPriority w:val="39"/>
    <w:unhideWhenUsed/>
    <w:rsid w:val="00562EE8"/>
    <w:pPr>
      <w:spacing w:after="0"/>
      <w:ind w:left="1440"/>
      <w:jc w:val="left"/>
    </w:pPr>
    <w:rPr>
      <w:rFonts w:ascii="Calibri" w:hAnsi="Calibri" w:cs="Calibri"/>
      <w:sz w:val="20"/>
      <w:szCs w:val="20"/>
    </w:rPr>
  </w:style>
  <w:style w:type="paragraph" w:styleId="TDC9">
    <w:name w:val="toc 9"/>
    <w:basedOn w:val="Normal"/>
    <w:next w:val="Normal"/>
    <w:autoRedefine/>
    <w:uiPriority w:val="39"/>
    <w:unhideWhenUsed/>
    <w:rsid w:val="00562EE8"/>
    <w:pPr>
      <w:spacing w:after="0"/>
      <w:ind w:left="1680"/>
      <w:jc w:val="left"/>
    </w:pPr>
    <w:rPr>
      <w:rFonts w:ascii="Calibri" w:hAnsi="Calibri" w:cs="Calibri"/>
      <w:sz w:val="20"/>
      <w:szCs w:val="20"/>
    </w:rPr>
  </w:style>
  <w:style w:type="paragraph" w:styleId="NormalWeb">
    <w:name w:val="Normal (Web)"/>
    <w:basedOn w:val="Normal"/>
    <w:uiPriority w:val="99"/>
    <w:unhideWhenUsed/>
    <w:rsid w:val="00265DC7"/>
    <w:pPr>
      <w:spacing w:before="100" w:beforeAutospacing="1" w:after="100" w:afterAutospacing="1" w:line="240" w:lineRule="auto"/>
      <w:jc w:val="left"/>
    </w:pPr>
    <w:rPr>
      <w:rFonts w:eastAsia="Times New Roman"/>
      <w:color w:val="auto"/>
      <w:szCs w:val="24"/>
    </w:rPr>
  </w:style>
  <w:style w:type="table" w:styleId="Tablaconcuadrcula">
    <w:name w:val="Table Grid"/>
    <w:basedOn w:val="Tablanormal"/>
    <w:uiPriority w:val="39"/>
    <w:rsid w:val="006D5DD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basedOn w:val="Fuentedeprrafopredeter"/>
    <w:link w:val="Prrafodelista"/>
    <w:uiPriority w:val="34"/>
    <w:rsid w:val="00461A4D"/>
    <w:rPr>
      <w:color w:val="767171"/>
      <w:sz w:val="24"/>
      <w:szCs w:val="22"/>
    </w:rPr>
  </w:style>
  <w:style w:type="paragraph" w:customStyle="1" w:styleId="Default">
    <w:name w:val="Default"/>
    <w:rsid w:val="00461A4D"/>
    <w:pPr>
      <w:autoSpaceDE w:val="0"/>
      <w:autoSpaceDN w:val="0"/>
      <w:adjustRightInd w:val="0"/>
    </w:pPr>
    <w:rPr>
      <w:rFonts w:ascii="Calibri" w:eastAsiaTheme="minorHAnsi" w:hAnsi="Calibri" w:cs="Calibri"/>
      <w:color w:val="000000"/>
      <w:sz w:val="24"/>
      <w:szCs w:val="24"/>
      <w:lang w:val="es-ES" w:eastAsia="en-US"/>
    </w:rPr>
  </w:style>
  <w:style w:type="character" w:customStyle="1" w:styleId="Ttulo5Car">
    <w:name w:val="Título 5 Car"/>
    <w:basedOn w:val="Fuentedeprrafopredeter"/>
    <w:link w:val="Ttulo5"/>
    <w:uiPriority w:val="9"/>
    <w:rsid w:val="00644D99"/>
    <w:rPr>
      <w:rFonts w:asciiTheme="majorHAnsi" w:eastAsiaTheme="majorEastAsia" w:hAnsiTheme="majorHAnsi" w:cstheme="majorBidi"/>
      <w:color w:val="2E74B5" w:themeColor="accent1" w:themeShade="BF"/>
      <w:sz w:val="24"/>
      <w:szCs w:val="22"/>
    </w:rPr>
  </w:style>
  <w:style w:type="character" w:customStyle="1" w:styleId="normaltextrun">
    <w:name w:val="normaltextrun"/>
    <w:basedOn w:val="Fuentedeprrafopredeter"/>
    <w:rsid w:val="005A4D94"/>
  </w:style>
  <w:style w:type="character" w:customStyle="1" w:styleId="eop">
    <w:name w:val="eop"/>
    <w:basedOn w:val="Fuentedeprrafopredeter"/>
    <w:rsid w:val="005A4D94"/>
  </w:style>
  <w:style w:type="table" w:customStyle="1" w:styleId="Tablaconcuadrcula1">
    <w:name w:val="Tabla con cuadrícula1"/>
    <w:basedOn w:val="Tablanormal"/>
    <w:next w:val="Tablaconcuadrcula"/>
    <w:uiPriority w:val="39"/>
    <w:rsid w:val="00FB391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62D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136CD6"/>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msonormal">
    <w:name w:val="x_msonormal"/>
    <w:basedOn w:val="Normal"/>
    <w:rsid w:val="00136CD6"/>
    <w:pPr>
      <w:spacing w:before="100" w:beforeAutospacing="1" w:after="100" w:afterAutospacing="1" w:line="240" w:lineRule="auto"/>
      <w:jc w:val="left"/>
    </w:pPr>
    <w:rPr>
      <w:rFonts w:eastAsia="Times New Roman"/>
      <w:color w:val="auto"/>
      <w:szCs w:val="24"/>
    </w:rPr>
  </w:style>
  <w:style w:type="table" w:customStyle="1" w:styleId="Tablaconcuadrcula4">
    <w:name w:val="Tabla con cuadrícula4"/>
    <w:basedOn w:val="Tablanormal"/>
    <w:next w:val="Tablaconcuadrcula"/>
    <w:uiPriority w:val="39"/>
    <w:rsid w:val="00FA64D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412B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66360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39"/>
    <w:rsid w:val="008F21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39"/>
    <w:rsid w:val="008F2154"/>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0F329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59"/>
    <w:rsid w:val="009E698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59"/>
    <w:rsid w:val="00163F19"/>
    <w:rPr>
      <w:rFonts w:ascii="Gill Sans MT" w:eastAsiaTheme="minorHAnsi" w:hAnsi="Gill Sans MT" w:cstheme="minorBidi"/>
      <w:sz w:val="24"/>
      <w:szCs w:val="24"/>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6370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072">
      <w:bodyDiv w:val="1"/>
      <w:marLeft w:val="0"/>
      <w:marRight w:val="0"/>
      <w:marTop w:val="0"/>
      <w:marBottom w:val="0"/>
      <w:divBdr>
        <w:top w:val="none" w:sz="0" w:space="0" w:color="auto"/>
        <w:left w:val="none" w:sz="0" w:space="0" w:color="auto"/>
        <w:bottom w:val="none" w:sz="0" w:space="0" w:color="auto"/>
        <w:right w:val="none" w:sz="0" w:space="0" w:color="auto"/>
      </w:divBdr>
    </w:div>
    <w:div w:id="33161670">
      <w:bodyDiv w:val="1"/>
      <w:marLeft w:val="0"/>
      <w:marRight w:val="0"/>
      <w:marTop w:val="0"/>
      <w:marBottom w:val="0"/>
      <w:divBdr>
        <w:top w:val="none" w:sz="0" w:space="0" w:color="auto"/>
        <w:left w:val="none" w:sz="0" w:space="0" w:color="auto"/>
        <w:bottom w:val="none" w:sz="0" w:space="0" w:color="auto"/>
        <w:right w:val="none" w:sz="0" w:space="0" w:color="auto"/>
      </w:divBdr>
    </w:div>
    <w:div w:id="66154007">
      <w:bodyDiv w:val="1"/>
      <w:marLeft w:val="0"/>
      <w:marRight w:val="0"/>
      <w:marTop w:val="0"/>
      <w:marBottom w:val="0"/>
      <w:divBdr>
        <w:top w:val="none" w:sz="0" w:space="0" w:color="auto"/>
        <w:left w:val="none" w:sz="0" w:space="0" w:color="auto"/>
        <w:bottom w:val="none" w:sz="0" w:space="0" w:color="auto"/>
        <w:right w:val="none" w:sz="0" w:space="0" w:color="auto"/>
      </w:divBdr>
    </w:div>
    <w:div w:id="69892687">
      <w:bodyDiv w:val="1"/>
      <w:marLeft w:val="0"/>
      <w:marRight w:val="0"/>
      <w:marTop w:val="0"/>
      <w:marBottom w:val="0"/>
      <w:divBdr>
        <w:top w:val="none" w:sz="0" w:space="0" w:color="auto"/>
        <w:left w:val="none" w:sz="0" w:space="0" w:color="auto"/>
        <w:bottom w:val="none" w:sz="0" w:space="0" w:color="auto"/>
        <w:right w:val="none" w:sz="0" w:space="0" w:color="auto"/>
      </w:divBdr>
    </w:div>
    <w:div w:id="76170537">
      <w:bodyDiv w:val="1"/>
      <w:marLeft w:val="0"/>
      <w:marRight w:val="0"/>
      <w:marTop w:val="0"/>
      <w:marBottom w:val="0"/>
      <w:divBdr>
        <w:top w:val="none" w:sz="0" w:space="0" w:color="auto"/>
        <w:left w:val="none" w:sz="0" w:space="0" w:color="auto"/>
        <w:bottom w:val="none" w:sz="0" w:space="0" w:color="auto"/>
        <w:right w:val="none" w:sz="0" w:space="0" w:color="auto"/>
      </w:divBdr>
    </w:div>
    <w:div w:id="77530004">
      <w:bodyDiv w:val="1"/>
      <w:marLeft w:val="0"/>
      <w:marRight w:val="0"/>
      <w:marTop w:val="0"/>
      <w:marBottom w:val="0"/>
      <w:divBdr>
        <w:top w:val="none" w:sz="0" w:space="0" w:color="auto"/>
        <w:left w:val="none" w:sz="0" w:space="0" w:color="auto"/>
        <w:bottom w:val="none" w:sz="0" w:space="0" w:color="auto"/>
        <w:right w:val="none" w:sz="0" w:space="0" w:color="auto"/>
      </w:divBdr>
    </w:div>
    <w:div w:id="77874279">
      <w:bodyDiv w:val="1"/>
      <w:marLeft w:val="0"/>
      <w:marRight w:val="0"/>
      <w:marTop w:val="0"/>
      <w:marBottom w:val="0"/>
      <w:divBdr>
        <w:top w:val="none" w:sz="0" w:space="0" w:color="auto"/>
        <w:left w:val="none" w:sz="0" w:space="0" w:color="auto"/>
        <w:bottom w:val="none" w:sz="0" w:space="0" w:color="auto"/>
        <w:right w:val="none" w:sz="0" w:space="0" w:color="auto"/>
      </w:divBdr>
    </w:div>
    <w:div w:id="88745546">
      <w:bodyDiv w:val="1"/>
      <w:marLeft w:val="0"/>
      <w:marRight w:val="0"/>
      <w:marTop w:val="0"/>
      <w:marBottom w:val="0"/>
      <w:divBdr>
        <w:top w:val="none" w:sz="0" w:space="0" w:color="auto"/>
        <w:left w:val="none" w:sz="0" w:space="0" w:color="auto"/>
        <w:bottom w:val="none" w:sz="0" w:space="0" w:color="auto"/>
        <w:right w:val="none" w:sz="0" w:space="0" w:color="auto"/>
      </w:divBdr>
    </w:div>
    <w:div w:id="97140051">
      <w:bodyDiv w:val="1"/>
      <w:marLeft w:val="0"/>
      <w:marRight w:val="0"/>
      <w:marTop w:val="0"/>
      <w:marBottom w:val="0"/>
      <w:divBdr>
        <w:top w:val="none" w:sz="0" w:space="0" w:color="auto"/>
        <w:left w:val="none" w:sz="0" w:space="0" w:color="auto"/>
        <w:bottom w:val="none" w:sz="0" w:space="0" w:color="auto"/>
        <w:right w:val="none" w:sz="0" w:space="0" w:color="auto"/>
      </w:divBdr>
    </w:div>
    <w:div w:id="118188257">
      <w:bodyDiv w:val="1"/>
      <w:marLeft w:val="0"/>
      <w:marRight w:val="0"/>
      <w:marTop w:val="0"/>
      <w:marBottom w:val="0"/>
      <w:divBdr>
        <w:top w:val="none" w:sz="0" w:space="0" w:color="auto"/>
        <w:left w:val="none" w:sz="0" w:space="0" w:color="auto"/>
        <w:bottom w:val="none" w:sz="0" w:space="0" w:color="auto"/>
        <w:right w:val="none" w:sz="0" w:space="0" w:color="auto"/>
      </w:divBdr>
    </w:div>
    <w:div w:id="166680756">
      <w:bodyDiv w:val="1"/>
      <w:marLeft w:val="0"/>
      <w:marRight w:val="0"/>
      <w:marTop w:val="0"/>
      <w:marBottom w:val="0"/>
      <w:divBdr>
        <w:top w:val="none" w:sz="0" w:space="0" w:color="auto"/>
        <w:left w:val="none" w:sz="0" w:space="0" w:color="auto"/>
        <w:bottom w:val="none" w:sz="0" w:space="0" w:color="auto"/>
        <w:right w:val="none" w:sz="0" w:space="0" w:color="auto"/>
      </w:divBdr>
    </w:div>
    <w:div w:id="177620841">
      <w:bodyDiv w:val="1"/>
      <w:marLeft w:val="0"/>
      <w:marRight w:val="0"/>
      <w:marTop w:val="0"/>
      <w:marBottom w:val="0"/>
      <w:divBdr>
        <w:top w:val="none" w:sz="0" w:space="0" w:color="auto"/>
        <w:left w:val="none" w:sz="0" w:space="0" w:color="auto"/>
        <w:bottom w:val="none" w:sz="0" w:space="0" w:color="auto"/>
        <w:right w:val="none" w:sz="0" w:space="0" w:color="auto"/>
      </w:divBdr>
    </w:div>
    <w:div w:id="191462909">
      <w:bodyDiv w:val="1"/>
      <w:marLeft w:val="0"/>
      <w:marRight w:val="0"/>
      <w:marTop w:val="0"/>
      <w:marBottom w:val="0"/>
      <w:divBdr>
        <w:top w:val="none" w:sz="0" w:space="0" w:color="auto"/>
        <w:left w:val="none" w:sz="0" w:space="0" w:color="auto"/>
        <w:bottom w:val="none" w:sz="0" w:space="0" w:color="auto"/>
        <w:right w:val="none" w:sz="0" w:space="0" w:color="auto"/>
      </w:divBdr>
    </w:div>
    <w:div w:id="194315299">
      <w:bodyDiv w:val="1"/>
      <w:marLeft w:val="0"/>
      <w:marRight w:val="0"/>
      <w:marTop w:val="0"/>
      <w:marBottom w:val="0"/>
      <w:divBdr>
        <w:top w:val="none" w:sz="0" w:space="0" w:color="auto"/>
        <w:left w:val="none" w:sz="0" w:space="0" w:color="auto"/>
        <w:bottom w:val="none" w:sz="0" w:space="0" w:color="auto"/>
        <w:right w:val="none" w:sz="0" w:space="0" w:color="auto"/>
      </w:divBdr>
    </w:div>
    <w:div w:id="194779963">
      <w:bodyDiv w:val="1"/>
      <w:marLeft w:val="0"/>
      <w:marRight w:val="0"/>
      <w:marTop w:val="0"/>
      <w:marBottom w:val="0"/>
      <w:divBdr>
        <w:top w:val="none" w:sz="0" w:space="0" w:color="auto"/>
        <w:left w:val="none" w:sz="0" w:space="0" w:color="auto"/>
        <w:bottom w:val="none" w:sz="0" w:space="0" w:color="auto"/>
        <w:right w:val="none" w:sz="0" w:space="0" w:color="auto"/>
      </w:divBdr>
    </w:div>
    <w:div w:id="250744791">
      <w:bodyDiv w:val="1"/>
      <w:marLeft w:val="0"/>
      <w:marRight w:val="0"/>
      <w:marTop w:val="0"/>
      <w:marBottom w:val="0"/>
      <w:divBdr>
        <w:top w:val="none" w:sz="0" w:space="0" w:color="auto"/>
        <w:left w:val="none" w:sz="0" w:space="0" w:color="auto"/>
        <w:bottom w:val="none" w:sz="0" w:space="0" w:color="auto"/>
        <w:right w:val="none" w:sz="0" w:space="0" w:color="auto"/>
      </w:divBdr>
    </w:div>
    <w:div w:id="273754922">
      <w:bodyDiv w:val="1"/>
      <w:marLeft w:val="0"/>
      <w:marRight w:val="0"/>
      <w:marTop w:val="0"/>
      <w:marBottom w:val="0"/>
      <w:divBdr>
        <w:top w:val="none" w:sz="0" w:space="0" w:color="auto"/>
        <w:left w:val="none" w:sz="0" w:space="0" w:color="auto"/>
        <w:bottom w:val="none" w:sz="0" w:space="0" w:color="auto"/>
        <w:right w:val="none" w:sz="0" w:space="0" w:color="auto"/>
      </w:divBdr>
    </w:div>
    <w:div w:id="276374204">
      <w:bodyDiv w:val="1"/>
      <w:marLeft w:val="0"/>
      <w:marRight w:val="0"/>
      <w:marTop w:val="0"/>
      <w:marBottom w:val="0"/>
      <w:divBdr>
        <w:top w:val="none" w:sz="0" w:space="0" w:color="auto"/>
        <w:left w:val="none" w:sz="0" w:space="0" w:color="auto"/>
        <w:bottom w:val="none" w:sz="0" w:space="0" w:color="auto"/>
        <w:right w:val="none" w:sz="0" w:space="0" w:color="auto"/>
      </w:divBdr>
    </w:div>
    <w:div w:id="297734702">
      <w:bodyDiv w:val="1"/>
      <w:marLeft w:val="0"/>
      <w:marRight w:val="0"/>
      <w:marTop w:val="0"/>
      <w:marBottom w:val="0"/>
      <w:divBdr>
        <w:top w:val="none" w:sz="0" w:space="0" w:color="auto"/>
        <w:left w:val="none" w:sz="0" w:space="0" w:color="auto"/>
        <w:bottom w:val="none" w:sz="0" w:space="0" w:color="auto"/>
        <w:right w:val="none" w:sz="0" w:space="0" w:color="auto"/>
      </w:divBdr>
    </w:div>
    <w:div w:id="319816453">
      <w:bodyDiv w:val="1"/>
      <w:marLeft w:val="0"/>
      <w:marRight w:val="0"/>
      <w:marTop w:val="0"/>
      <w:marBottom w:val="0"/>
      <w:divBdr>
        <w:top w:val="none" w:sz="0" w:space="0" w:color="auto"/>
        <w:left w:val="none" w:sz="0" w:space="0" w:color="auto"/>
        <w:bottom w:val="none" w:sz="0" w:space="0" w:color="auto"/>
        <w:right w:val="none" w:sz="0" w:space="0" w:color="auto"/>
      </w:divBdr>
    </w:div>
    <w:div w:id="325867423">
      <w:bodyDiv w:val="1"/>
      <w:marLeft w:val="0"/>
      <w:marRight w:val="0"/>
      <w:marTop w:val="0"/>
      <w:marBottom w:val="0"/>
      <w:divBdr>
        <w:top w:val="none" w:sz="0" w:space="0" w:color="auto"/>
        <w:left w:val="none" w:sz="0" w:space="0" w:color="auto"/>
        <w:bottom w:val="none" w:sz="0" w:space="0" w:color="auto"/>
        <w:right w:val="none" w:sz="0" w:space="0" w:color="auto"/>
      </w:divBdr>
    </w:div>
    <w:div w:id="365712975">
      <w:bodyDiv w:val="1"/>
      <w:marLeft w:val="0"/>
      <w:marRight w:val="0"/>
      <w:marTop w:val="0"/>
      <w:marBottom w:val="0"/>
      <w:divBdr>
        <w:top w:val="none" w:sz="0" w:space="0" w:color="auto"/>
        <w:left w:val="none" w:sz="0" w:space="0" w:color="auto"/>
        <w:bottom w:val="none" w:sz="0" w:space="0" w:color="auto"/>
        <w:right w:val="none" w:sz="0" w:space="0" w:color="auto"/>
      </w:divBdr>
    </w:div>
    <w:div w:id="378405249">
      <w:bodyDiv w:val="1"/>
      <w:marLeft w:val="0"/>
      <w:marRight w:val="0"/>
      <w:marTop w:val="0"/>
      <w:marBottom w:val="0"/>
      <w:divBdr>
        <w:top w:val="none" w:sz="0" w:space="0" w:color="auto"/>
        <w:left w:val="none" w:sz="0" w:space="0" w:color="auto"/>
        <w:bottom w:val="none" w:sz="0" w:space="0" w:color="auto"/>
        <w:right w:val="none" w:sz="0" w:space="0" w:color="auto"/>
      </w:divBdr>
    </w:div>
    <w:div w:id="380247390">
      <w:bodyDiv w:val="1"/>
      <w:marLeft w:val="0"/>
      <w:marRight w:val="0"/>
      <w:marTop w:val="0"/>
      <w:marBottom w:val="0"/>
      <w:divBdr>
        <w:top w:val="none" w:sz="0" w:space="0" w:color="auto"/>
        <w:left w:val="none" w:sz="0" w:space="0" w:color="auto"/>
        <w:bottom w:val="none" w:sz="0" w:space="0" w:color="auto"/>
        <w:right w:val="none" w:sz="0" w:space="0" w:color="auto"/>
      </w:divBdr>
    </w:div>
    <w:div w:id="425542433">
      <w:bodyDiv w:val="1"/>
      <w:marLeft w:val="0"/>
      <w:marRight w:val="0"/>
      <w:marTop w:val="0"/>
      <w:marBottom w:val="0"/>
      <w:divBdr>
        <w:top w:val="none" w:sz="0" w:space="0" w:color="auto"/>
        <w:left w:val="none" w:sz="0" w:space="0" w:color="auto"/>
        <w:bottom w:val="none" w:sz="0" w:space="0" w:color="auto"/>
        <w:right w:val="none" w:sz="0" w:space="0" w:color="auto"/>
      </w:divBdr>
    </w:div>
    <w:div w:id="502208475">
      <w:bodyDiv w:val="1"/>
      <w:marLeft w:val="0"/>
      <w:marRight w:val="0"/>
      <w:marTop w:val="0"/>
      <w:marBottom w:val="0"/>
      <w:divBdr>
        <w:top w:val="none" w:sz="0" w:space="0" w:color="auto"/>
        <w:left w:val="none" w:sz="0" w:space="0" w:color="auto"/>
        <w:bottom w:val="none" w:sz="0" w:space="0" w:color="auto"/>
        <w:right w:val="none" w:sz="0" w:space="0" w:color="auto"/>
      </w:divBdr>
    </w:div>
    <w:div w:id="509371020">
      <w:bodyDiv w:val="1"/>
      <w:marLeft w:val="0"/>
      <w:marRight w:val="0"/>
      <w:marTop w:val="0"/>
      <w:marBottom w:val="0"/>
      <w:divBdr>
        <w:top w:val="none" w:sz="0" w:space="0" w:color="auto"/>
        <w:left w:val="none" w:sz="0" w:space="0" w:color="auto"/>
        <w:bottom w:val="none" w:sz="0" w:space="0" w:color="auto"/>
        <w:right w:val="none" w:sz="0" w:space="0" w:color="auto"/>
      </w:divBdr>
    </w:div>
    <w:div w:id="519706697">
      <w:bodyDiv w:val="1"/>
      <w:marLeft w:val="0"/>
      <w:marRight w:val="0"/>
      <w:marTop w:val="0"/>
      <w:marBottom w:val="0"/>
      <w:divBdr>
        <w:top w:val="none" w:sz="0" w:space="0" w:color="auto"/>
        <w:left w:val="none" w:sz="0" w:space="0" w:color="auto"/>
        <w:bottom w:val="none" w:sz="0" w:space="0" w:color="auto"/>
        <w:right w:val="none" w:sz="0" w:space="0" w:color="auto"/>
      </w:divBdr>
    </w:div>
    <w:div w:id="521747456">
      <w:bodyDiv w:val="1"/>
      <w:marLeft w:val="0"/>
      <w:marRight w:val="0"/>
      <w:marTop w:val="0"/>
      <w:marBottom w:val="0"/>
      <w:divBdr>
        <w:top w:val="none" w:sz="0" w:space="0" w:color="auto"/>
        <w:left w:val="none" w:sz="0" w:space="0" w:color="auto"/>
        <w:bottom w:val="none" w:sz="0" w:space="0" w:color="auto"/>
        <w:right w:val="none" w:sz="0" w:space="0" w:color="auto"/>
      </w:divBdr>
    </w:div>
    <w:div w:id="536313521">
      <w:bodyDiv w:val="1"/>
      <w:marLeft w:val="0"/>
      <w:marRight w:val="0"/>
      <w:marTop w:val="0"/>
      <w:marBottom w:val="0"/>
      <w:divBdr>
        <w:top w:val="none" w:sz="0" w:space="0" w:color="auto"/>
        <w:left w:val="none" w:sz="0" w:space="0" w:color="auto"/>
        <w:bottom w:val="none" w:sz="0" w:space="0" w:color="auto"/>
        <w:right w:val="none" w:sz="0" w:space="0" w:color="auto"/>
      </w:divBdr>
    </w:div>
    <w:div w:id="538398854">
      <w:bodyDiv w:val="1"/>
      <w:marLeft w:val="0"/>
      <w:marRight w:val="0"/>
      <w:marTop w:val="0"/>
      <w:marBottom w:val="0"/>
      <w:divBdr>
        <w:top w:val="none" w:sz="0" w:space="0" w:color="auto"/>
        <w:left w:val="none" w:sz="0" w:space="0" w:color="auto"/>
        <w:bottom w:val="none" w:sz="0" w:space="0" w:color="auto"/>
        <w:right w:val="none" w:sz="0" w:space="0" w:color="auto"/>
      </w:divBdr>
    </w:div>
    <w:div w:id="570695753">
      <w:bodyDiv w:val="1"/>
      <w:marLeft w:val="0"/>
      <w:marRight w:val="0"/>
      <w:marTop w:val="0"/>
      <w:marBottom w:val="0"/>
      <w:divBdr>
        <w:top w:val="none" w:sz="0" w:space="0" w:color="auto"/>
        <w:left w:val="none" w:sz="0" w:space="0" w:color="auto"/>
        <w:bottom w:val="none" w:sz="0" w:space="0" w:color="auto"/>
        <w:right w:val="none" w:sz="0" w:space="0" w:color="auto"/>
      </w:divBdr>
    </w:div>
    <w:div w:id="620500153">
      <w:bodyDiv w:val="1"/>
      <w:marLeft w:val="0"/>
      <w:marRight w:val="0"/>
      <w:marTop w:val="0"/>
      <w:marBottom w:val="0"/>
      <w:divBdr>
        <w:top w:val="none" w:sz="0" w:space="0" w:color="auto"/>
        <w:left w:val="none" w:sz="0" w:space="0" w:color="auto"/>
        <w:bottom w:val="none" w:sz="0" w:space="0" w:color="auto"/>
        <w:right w:val="none" w:sz="0" w:space="0" w:color="auto"/>
      </w:divBdr>
    </w:div>
    <w:div w:id="636688490">
      <w:bodyDiv w:val="1"/>
      <w:marLeft w:val="0"/>
      <w:marRight w:val="0"/>
      <w:marTop w:val="0"/>
      <w:marBottom w:val="0"/>
      <w:divBdr>
        <w:top w:val="none" w:sz="0" w:space="0" w:color="auto"/>
        <w:left w:val="none" w:sz="0" w:space="0" w:color="auto"/>
        <w:bottom w:val="none" w:sz="0" w:space="0" w:color="auto"/>
        <w:right w:val="none" w:sz="0" w:space="0" w:color="auto"/>
      </w:divBdr>
    </w:div>
    <w:div w:id="674455657">
      <w:bodyDiv w:val="1"/>
      <w:marLeft w:val="0"/>
      <w:marRight w:val="0"/>
      <w:marTop w:val="0"/>
      <w:marBottom w:val="0"/>
      <w:divBdr>
        <w:top w:val="none" w:sz="0" w:space="0" w:color="auto"/>
        <w:left w:val="none" w:sz="0" w:space="0" w:color="auto"/>
        <w:bottom w:val="none" w:sz="0" w:space="0" w:color="auto"/>
        <w:right w:val="none" w:sz="0" w:space="0" w:color="auto"/>
      </w:divBdr>
    </w:div>
    <w:div w:id="675762946">
      <w:bodyDiv w:val="1"/>
      <w:marLeft w:val="0"/>
      <w:marRight w:val="0"/>
      <w:marTop w:val="0"/>
      <w:marBottom w:val="0"/>
      <w:divBdr>
        <w:top w:val="none" w:sz="0" w:space="0" w:color="auto"/>
        <w:left w:val="none" w:sz="0" w:space="0" w:color="auto"/>
        <w:bottom w:val="none" w:sz="0" w:space="0" w:color="auto"/>
        <w:right w:val="none" w:sz="0" w:space="0" w:color="auto"/>
      </w:divBdr>
    </w:div>
    <w:div w:id="687830845">
      <w:bodyDiv w:val="1"/>
      <w:marLeft w:val="0"/>
      <w:marRight w:val="0"/>
      <w:marTop w:val="0"/>
      <w:marBottom w:val="0"/>
      <w:divBdr>
        <w:top w:val="none" w:sz="0" w:space="0" w:color="auto"/>
        <w:left w:val="none" w:sz="0" w:space="0" w:color="auto"/>
        <w:bottom w:val="none" w:sz="0" w:space="0" w:color="auto"/>
        <w:right w:val="none" w:sz="0" w:space="0" w:color="auto"/>
      </w:divBdr>
    </w:div>
    <w:div w:id="693068944">
      <w:bodyDiv w:val="1"/>
      <w:marLeft w:val="0"/>
      <w:marRight w:val="0"/>
      <w:marTop w:val="0"/>
      <w:marBottom w:val="0"/>
      <w:divBdr>
        <w:top w:val="none" w:sz="0" w:space="0" w:color="auto"/>
        <w:left w:val="none" w:sz="0" w:space="0" w:color="auto"/>
        <w:bottom w:val="none" w:sz="0" w:space="0" w:color="auto"/>
        <w:right w:val="none" w:sz="0" w:space="0" w:color="auto"/>
      </w:divBdr>
    </w:div>
    <w:div w:id="698968574">
      <w:bodyDiv w:val="1"/>
      <w:marLeft w:val="0"/>
      <w:marRight w:val="0"/>
      <w:marTop w:val="0"/>
      <w:marBottom w:val="0"/>
      <w:divBdr>
        <w:top w:val="none" w:sz="0" w:space="0" w:color="auto"/>
        <w:left w:val="none" w:sz="0" w:space="0" w:color="auto"/>
        <w:bottom w:val="none" w:sz="0" w:space="0" w:color="auto"/>
        <w:right w:val="none" w:sz="0" w:space="0" w:color="auto"/>
      </w:divBdr>
    </w:div>
    <w:div w:id="719211124">
      <w:bodyDiv w:val="1"/>
      <w:marLeft w:val="0"/>
      <w:marRight w:val="0"/>
      <w:marTop w:val="0"/>
      <w:marBottom w:val="0"/>
      <w:divBdr>
        <w:top w:val="none" w:sz="0" w:space="0" w:color="auto"/>
        <w:left w:val="none" w:sz="0" w:space="0" w:color="auto"/>
        <w:bottom w:val="none" w:sz="0" w:space="0" w:color="auto"/>
        <w:right w:val="none" w:sz="0" w:space="0" w:color="auto"/>
      </w:divBdr>
    </w:div>
    <w:div w:id="735861337">
      <w:bodyDiv w:val="1"/>
      <w:marLeft w:val="0"/>
      <w:marRight w:val="0"/>
      <w:marTop w:val="0"/>
      <w:marBottom w:val="0"/>
      <w:divBdr>
        <w:top w:val="none" w:sz="0" w:space="0" w:color="auto"/>
        <w:left w:val="none" w:sz="0" w:space="0" w:color="auto"/>
        <w:bottom w:val="none" w:sz="0" w:space="0" w:color="auto"/>
        <w:right w:val="none" w:sz="0" w:space="0" w:color="auto"/>
      </w:divBdr>
    </w:div>
    <w:div w:id="758906980">
      <w:bodyDiv w:val="1"/>
      <w:marLeft w:val="0"/>
      <w:marRight w:val="0"/>
      <w:marTop w:val="0"/>
      <w:marBottom w:val="0"/>
      <w:divBdr>
        <w:top w:val="none" w:sz="0" w:space="0" w:color="auto"/>
        <w:left w:val="none" w:sz="0" w:space="0" w:color="auto"/>
        <w:bottom w:val="none" w:sz="0" w:space="0" w:color="auto"/>
        <w:right w:val="none" w:sz="0" w:space="0" w:color="auto"/>
      </w:divBdr>
    </w:div>
    <w:div w:id="759570332">
      <w:bodyDiv w:val="1"/>
      <w:marLeft w:val="0"/>
      <w:marRight w:val="0"/>
      <w:marTop w:val="0"/>
      <w:marBottom w:val="0"/>
      <w:divBdr>
        <w:top w:val="none" w:sz="0" w:space="0" w:color="auto"/>
        <w:left w:val="none" w:sz="0" w:space="0" w:color="auto"/>
        <w:bottom w:val="none" w:sz="0" w:space="0" w:color="auto"/>
        <w:right w:val="none" w:sz="0" w:space="0" w:color="auto"/>
      </w:divBdr>
    </w:div>
    <w:div w:id="810251788">
      <w:bodyDiv w:val="1"/>
      <w:marLeft w:val="0"/>
      <w:marRight w:val="0"/>
      <w:marTop w:val="0"/>
      <w:marBottom w:val="0"/>
      <w:divBdr>
        <w:top w:val="none" w:sz="0" w:space="0" w:color="auto"/>
        <w:left w:val="none" w:sz="0" w:space="0" w:color="auto"/>
        <w:bottom w:val="none" w:sz="0" w:space="0" w:color="auto"/>
        <w:right w:val="none" w:sz="0" w:space="0" w:color="auto"/>
      </w:divBdr>
    </w:div>
    <w:div w:id="823283188">
      <w:bodyDiv w:val="1"/>
      <w:marLeft w:val="0"/>
      <w:marRight w:val="0"/>
      <w:marTop w:val="0"/>
      <w:marBottom w:val="0"/>
      <w:divBdr>
        <w:top w:val="none" w:sz="0" w:space="0" w:color="auto"/>
        <w:left w:val="none" w:sz="0" w:space="0" w:color="auto"/>
        <w:bottom w:val="none" w:sz="0" w:space="0" w:color="auto"/>
        <w:right w:val="none" w:sz="0" w:space="0" w:color="auto"/>
      </w:divBdr>
    </w:div>
    <w:div w:id="844250717">
      <w:bodyDiv w:val="1"/>
      <w:marLeft w:val="0"/>
      <w:marRight w:val="0"/>
      <w:marTop w:val="0"/>
      <w:marBottom w:val="0"/>
      <w:divBdr>
        <w:top w:val="none" w:sz="0" w:space="0" w:color="auto"/>
        <w:left w:val="none" w:sz="0" w:space="0" w:color="auto"/>
        <w:bottom w:val="none" w:sz="0" w:space="0" w:color="auto"/>
        <w:right w:val="none" w:sz="0" w:space="0" w:color="auto"/>
      </w:divBdr>
    </w:div>
    <w:div w:id="851181870">
      <w:bodyDiv w:val="1"/>
      <w:marLeft w:val="0"/>
      <w:marRight w:val="0"/>
      <w:marTop w:val="0"/>
      <w:marBottom w:val="0"/>
      <w:divBdr>
        <w:top w:val="none" w:sz="0" w:space="0" w:color="auto"/>
        <w:left w:val="none" w:sz="0" w:space="0" w:color="auto"/>
        <w:bottom w:val="none" w:sz="0" w:space="0" w:color="auto"/>
        <w:right w:val="none" w:sz="0" w:space="0" w:color="auto"/>
      </w:divBdr>
    </w:div>
    <w:div w:id="853572199">
      <w:bodyDiv w:val="1"/>
      <w:marLeft w:val="0"/>
      <w:marRight w:val="0"/>
      <w:marTop w:val="0"/>
      <w:marBottom w:val="0"/>
      <w:divBdr>
        <w:top w:val="none" w:sz="0" w:space="0" w:color="auto"/>
        <w:left w:val="none" w:sz="0" w:space="0" w:color="auto"/>
        <w:bottom w:val="none" w:sz="0" w:space="0" w:color="auto"/>
        <w:right w:val="none" w:sz="0" w:space="0" w:color="auto"/>
      </w:divBdr>
    </w:div>
    <w:div w:id="900792635">
      <w:bodyDiv w:val="1"/>
      <w:marLeft w:val="0"/>
      <w:marRight w:val="0"/>
      <w:marTop w:val="0"/>
      <w:marBottom w:val="0"/>
      <w:divBdr>
        <w:top w:val="none" w:sz="0" w:space="0" w:color="auto"/>
        <w:left w:val="none" w:sz="0" w:space="0" w:color="auto"/>
        <w:bottom w:val="none" w:sz="0" w:space="0" w:color="auto"/>
        <w:right w:val="none" w:sz="0" w:space="0" w:color="auto"/>
      </w:divBdr>
    </w:div>
    <w:div w:id="911307192">
      <w:bodyDiv w:val="1"/>
      <w:marLeft w:val="0"/>
      <w:marRight w:val="0"/>
      <w:marTop w:val="0"/>
      <w:marBottom w:val="0"/>
      <w:divBdr>
        <w:top w:val="none" w:sz="0" w:space="0" w:color="auto"/>
        <w:left w:val="none" w:sz="0" w:space="0" w:color="auto"/>
        <w:bottom w:val="none" w:sz="0" w:space="0" w:color="auto"/>
        <w:right w:val="none" w:sz="0" w:space="0" w:color="auto"/>
      </w:divBdr>
    </w:div>
    <w:div w:id="912858193">
      <w:bodyDiv w:val="1"/>
      <w:marLeft w:val="0"/>
      <w:marRight w:val="0"/>
      <w:marTop w:val="0"/>
      <w:marBottom w:val="0"/>
      <w:divBdr>
        <w:top w:val="none" w:sz="0" w:space="0" w:color="auto"/>
        <w:left w:val="none" w:sz="0" w:space="0" w:color="auto"/>
        <w:bottom w:val="none" w:sz="0" w:space="0" w:color="auto"/>
        <w:right w:val="none" w:sz="0" w:space="0" w:color="auto"/>
      </w:divBdr>
    </w:div>
    <w:div w:id="970598586">
      <w:bodyDiv w:val="1"/>
      <w:marLeft w:val="0"/>
      <w:marRight w:val="0"/>
      <w:marTop w:val="0"/>
      <w:marBottom w:val="0"/>
      <w:divBdr>
        <w:top w:val="none" w:sz="0" w:space="0" w:color="auto"/>
        <w:left w:val="none" w:sz="0" w:space="0" w:color="auto"/>
        <w:bottom w:val="none" w:sz="0" w:space="0" w:color="auto"/>
        <w:right w:val="none" w:sz="0" w:space="0" w:color="auto"/>
      </w:divBdr>
    </w:div>
    <w:div w:id="971791968">
      <w:bodyDiv w:val="1"/>
      <w:marLeft w:val="0"/>
      <w:marRight w:val="0"/>
      <w:marTop w:val="0"/>
      <w:marBottom w:val="0"/>
      <w:divBdr>
        <w:top w:val="none" w:sz="0" w:space="0" w:color="auto"/>
        <w:left w:val="none" w:sz="0" w:space="0" w:color="auto"/>
        <w:bottom w:val="none" w:sz="0" w:space="0" w:color="auto"/>
        <w:right w:val="none" w:sz="0" w:space="0" w:color="auto"/>
      </w:divBdr>
    </w:div>
    <w:div w:id="983510050">
      <w:bodyDiv w:val="1"/>
      <w:marLeft w:val="0"/>
      <w:marRight w:val="0"/>
      <w:marTop w:val="0"/>
      <w:marBottom w:val="0"/>
      <w:divBdr>
        <w:top w:val="none" w:sz="0" w:space="0" w:color="auto"/>
        <w:left w:val="none" w:sz="0" w:space="0" w:color="auto"/>
        <w:bottom w:val="none" w:sz="0" w:space="0" w:color="auto"/>
        <w:right w:val="none" w:sz="0" w:space="0" w:color="auto"/>
      </w:divBdr>
    </w:div>
    <w:div w:id="1009138856">
      <w:bodyDiv w:val="1"/>
      <w:marLeft w:val="0"/>
      <w:marRight w:val="0"/>
      <w:marTop w:val="0"/>
      <w:marBottom w:val="0"/>
      <w:divBdr>
        <w:top w:val="none" w:sz="0" w:space="0" w:color="auto"/>
        <w:left w:val="none" w:sz="0" w:space="0" w:color="auto"/>
        <w:bottom w:val="none" w:sz="0" w:space="0" w:color="auto"/>
        <w:right w:val="none" w:sz="0" w:space="0" w:color="auto"/>
      </w:divBdr>
    </w:div>
    <w:div w:id="1024356992">
      <w:bodyDiv w:val="1"/>
      <w:marLeft w:val="0"/>
      <w:marRight w:val="0"/>
      <w:marTop w:val="0"/>
      <w:marBottom w:val="0"/>
      <w:divBdr>
        <w:top w:val="none" w:sz="0" w:space="0" w:color="auto"/>
        <w:left w:val="none" w:sz="0" w:space="0" w:color="auto"/>
        <w:bottom w:val="none" w:sz="0" w:space="0" w:color="auto"/>
        <w:right w:val="none" w:sz="0" w:space="0" w:color="auto"/>
      </w:divBdr>
    </w:div>
    <w:div w:id="1033119864">
      <w:bodyDiv w:val="1"/>
      <w:marLeft w:val="0"/>
      <w:marRight w:val="0"/>
      <w:marTop w:val="0"/>
      <w:marBottom w:val="0"/>
      <w:divBdr>
        <w:top w:val="none" w:sz="0" w:space="0" w:color="auto"/>
        <w:left w:val="none" w:sz="0" w:space="0" w:color="auto"/>
        <w:bottom w:val="none" w:sz="0" w:space="0" w:color="auto"/>
        <w:right w:val="none" w:sz="0" w:space="0" w:color="auto"/>
      </w:divBdr>
    </w:div>
    <w:div w:id="1062555481">
      <w:bodyDiv w:val="1"/>
      <w:marLeft w:val="0"/>
      <w:marRight w:val="0"/>
      <w:marTop w:val="0"/>
      <w:marBottom w:val="0"/>
      <w:divBdr>
        <w:top w:val="none" w:sz="0" w:space="0" w:color="auto"/>
        <w:left w:val="none" w:sz="0" w:space="0" w:color="auto"/>
        <w:bottom w:val="none" w:sz="0" w:space="0" w:color="auto"/>
        <w:right w:val="none" w:sz="0" w:space="0" w:color="auto"/>
      </w:divBdr>
    </w:div>
    <w:div w:id="1068460501">
      <w:bodyDiv w:val="1"/>
      <w:marLeft w:val="0"/>
      <w:marRight w:val="0"/>
      <w:marTop w:val="0"/>
      <w:marBottom w:val="0"/>
      <w:divBdr>
        <w:top w:val="none" w:sz="0" w:space="0" w:color="auto"/>
        <w:left w:val="none" w:sz="0" w:space="0" w:color="auto"/>
        <w:bottom w:val="none" w:sz="0" w:space="0" w:color="auto"/>
        <w:right w:val="none" w:sz="0" w:space="0" w:color="auto"/>
      </w:divBdr>
    </w:div>
    <w:div w:id="1083724193">
      <w:bodyDiv w:val="1"/>
      <w:marLeft w:val="0"/>
      <w:marRight w:val="0"/>
      <w:marTop w:val="0"/>
      <w:marBottom w:val="0"/>
      <w:divBdr>
        <w:top w:val="none" w:sz="0" w:space="0" w:color="auto"/>
        <w:left w:val="none" w:sz="0" w:space="0" w:color="auto"/>
        <w:bottom w:val="none" w:sz="0" w:space="0" w:color="auto"/>
        <w:right w:val="none" w:sz="0" w:space="0" w:color="auto"/>
      </w:divBdr>
    </w:div>
    <w:div w:id="1097407517">
      <w:bodyDiv w:val="1"/>
      <w:marLeft w:val="0"/>
      <w:marRight w:val="0"/>
      <w:marTop w:val="0"/>
      <w:marBottom w:val="0"/>
      <w:divBdr>
        <w:top w:val="none" w:sz="0" w:space="0" w:color="auto"/>
        <w:left w:val="none" w:sz="0" w:space="0" w:color="auto"/>
        <w:bottom w:val="none" w:sz="0" w:space="0" w:color="auto"/>
        <w:right w:val="none" w:sz="0" w:space="0" w:color="auto"/>
      </w:divBdr>
    </w:div>
    <w:div w:id="1158418303">
      <w:bodyDiv w:val="1"/>
      <w:marLeft w:val="0"/>
      <w:marRight w:val="0"/>
      <w:marTop w:val="0"/>
      <w:marBottom w:val="0"/>
      <w:divBdr>
        <w:top w:val="none" w:sz="0" w:space="0" w:color="auto"/>
        <w:left w:val="none" w:sz="0" w:space="0" w:color="auto"/>
        <w:bottom w:val="none" w:sz="0" w:space="0" w:color="auto"/>
        <w:right w:val="none" w:sz="0" w:space="0" w:color="auto"/>
      </w:divBdr>
    </w:div>
    <w:div w:id="1186554383">
      <w:bodyDiv w:val="1"/>
      <w:marLeft w:val="0"/>
      <w:marRight w:val="0"/>
      <w:marTop w:val="0"/>
      <w:marBottom w:val="0"/>
      <w:divBdr>
        <w:top w:val="none" w:sz="0" w:space="0" w:color="auto"/>
        <w:left w:val="none" w:sz="0" w:space="0" w:color="auto"/>
        <w:bottom w:val="none" w:sz="0" w:space="0" w:color="auto"/>
        <w:right w:val="none" w:sz="0" w:space="0" w:color="auto"/>
      </w:divBdr>
    </w:div>
    <w:div w:id="1191603272">
      <w:bodyDiv w:val="1"/>
      <w:marLeft w:val="0"/>
      <w:marRight w:val="0"/>
      <w:marTop w:val="0"/>
      <w:marBottom w:val="0"/>
      <w:divBdr>
        <w:top w:val="none" w:sz="0" w:space="0" w:color="auto"/>
        <w:left w:val="none" w:sz="0" w:space="0" w:color="auto"/>
        <w:bottom w:val="none" w:sz="0" w:space="0" w:color="auto"/>
        <w:right w:val="none" w:sz="0" w:space="0" w:color="auto"/>
      </w:divBdr>
    </w:div>
    <w:div w:id="1205630086">
      <w:bodyDiv w:val="1"/>
      <w:marLeft w:val="0"/>
      <w:marRight w:val="0"/>
      <w:marTop w:val="0"/>
      <w:marBottom w:val="0"/>
      <w:divBdr>
        <w:top w:val="none" w:sz="0" w:space="0" w:color="auto"/>
        <w:left w:val="none" w:sz="0" w:space="0" w:color="auto"/>
        <w:bottom w:val="none" w:sz="0" w:space="0" w:color="auto"/>
        <w:right w:val="none" w:sz="0" w:space="0" w:color="auto"/>
      </w:divBdr>
    </w:div>
    <w:div w:id="1257665066">
      <w:bodyDiv w:val="1"/>
      <w:marLeft w:val="0"/>
      <w:marRight w:val="0"/>
      <w:marTop w:val="0"/>
      <w:marBottom w:val="0"/>
      <w:divBdr>
        <w:top w:val="none" w:sz="0" w:space="0" w:color="auto"/>
        <w:left w:val="none" w:sz="0" w:space="0" w:color="auto"/>
        <w:bottom w:val="none" w:sz="0" w:space="0" w:color="auto"/>
        <w:right w:val="none" w:sz="0" w:space="0" w:color="auto"/>
      </w:divBdr>
    </w:div>
    <w:div w:id="1282762166">
      <w:bodyDiv w:val="1"/>
      <w:marLeft w:val="0"/>
      <w:marRight w:val="0"/>
      <w:marTop w:val="0"/>
      <w:marBottom w:val="0"/>
      <w:divBdr>
        <w:top w:val="none" w:sz="0" w:space="0" w:color="auto"/>
        <w:left w:val="none" w:sz="0" w:space="0" w:color="auto"/>
        <w:bottom w:val="none" w:sz="0" w:space="0" w:color="auto"/>
        <w:right w:val="none" w:sz="0" w:space="0" w:color="auto"/>
      </w:divBdr>
    </w:div>
    <w:div w:id="1290863466">
      <w:bodyDiv w:val="1"/>
      <w:marLeft w:val="0"/>
      <w:marRight w:val="0"/>
      <w:marTop w:val="0"/>
      <w:marBottom w:val="0"/>
      <w:divBdr>
        <w:top w:val="none" w:sz="0" w:space="0" w:color="auto"/>
        <w:left w:val="none" w:sz="0" w:space="0" w:color="auto"/>
        <w:bottom w:val="none" w:sz="0" w:space="0" w:color="auto"/>
        <w:right w:val="none" w:sz="0" w:space="0" w:color="auto"/>
      </w:divBdr>
    </w:div>
    <w:div w:id="1303268787">
      <w:bodyDiv w:val="1"/>
      <w:marLeft w:val="0"/>
      <w:marRight w:val="0"/>
      <w:marTop w:val="0"/>
      <w:marBottom w:val="0"/>
      <w:divBdr>
        <w:top w:val="none" w:sz="0" w:space="0" w:color="auto"/>
        <w:left w:val="none" w:sz="0" w:space="0" w:color="auto"/>
        <w:bottom w:val="none" w:sz="0" w:space="0" w:color="auto"/>
        <w:right w:val="none" w:sz="0" w:space="0" w:color="auto"/>
      </w:divBdr>
    </w:div>
    <w:div w:id="1305813271">
      <w:bodyDiv w:val="1"/>
      <w:marLeft w:val="0"/>
      <w:marRight w:val="0"/>
      <w:marTop w:val="0"/>
      <w:marBottom w:val="0"/>
      <w:divBdr>
        <w:top w:val="none" w:sz="0" w:space="0" w:color="auto"/>
        <w:left w:val="none" w:sz="0" w:space="0" w:color="auto"/>
        <w:bottom w:val="none" w:sz="0" w:space="0" w:color="auto"/>
        <w:right w:val="none" w:sz="0" w:space="0" w:color="auto"/>
      </w:divBdr>
    </w:div>
    <w:div w:id="1372609578">
      <w:bodyDiv w:val="1"/>
      <w:marLeft w:val="0"/>
      <w:marRight w:val="0"/>
      <w:marTop w:val="0"/>
      <w:marBottom w:val="0"/>
      <w:divBdr>
        <w:top w:val="none" w:sz="0" w:space="0" w:color="auto"/>
        <w:left w:val="none" w:sz="0" w:space="0" w:color="auto"/>
        <w:bottom w:val="none" w:sz="0" w:space="0" w:color="auto"/>
        <w:right w:val="none" w:sz="0" w:space="0" w:color="auto"/>
      </w:divBdr>
    </w:div>
    <w:div w:id="1376539956">
      <w:bodyDiv w:val="1"/>
      <w:marLeft w:val="0"/>
      <w:marRight w:val="0"/>
      <w:marTop w:val="0"/>
      <w:marBottom w:val="0"/>
      <w:divBdr>
        <w:top w:val="none" w:sz="0" w:space="0" w:color="auto"/>
        <w:left w:val="none" w:sz="0" w:space="0" w:color="auto"/>
        <w:bottom w:val="none" w:sz="0" w:space="0" w:color="auto"/>
        <w:right w:val="none" w:sz="0" w:space="0" w:color="auto"/>
      </w:divBdr>
    </w:div>
    <w:div w:id="1377700807">
      <w:bodyDiv w:val="1"/>
      <w:marLeft w:val="0"/>
      <w:marRight w:val="0"/>
      <w:marTop w:val="0"/>
      <w:marBottom w:val="0"/>
      <w:divBdr>
        <w:top w:val="none" w:sz="0" w:space="0" w:color="auto"/>
        <w:left w:val="none" w:sz="0" w:space="0" w:color="auto"/>
        <w:bottom w:val="none" w:sz="0" w:space="0" w:color="auto"/>
        <w:right w:val="none" w:sz="0" w:space="0" w:color="auto"/>
      </w:divBdr>
    </w:div>
    <w:div w:id="1425103240">
      <w:bodyDiv w:val="1"/>
      <w:marLeft w:val="0"/>
      <w:marRight w:val="0"/>
      <w:marTop w:val="0"/>
      <w:marBottom w:val="0"/>
      <w:divBdr>
        <w:top w:val="none" w:sz="0" w:space="0" w:color="auto"/>
        <w:left w:val="none" w:sz="0" w:space="0" w:color="auto"/>
        <w:bottom w:val="none" w:sz="0" w:space="0" w:color="auto"/>
        <w:right w:val="none" w:sz="0" w:space="0" w:color="auto"/>
      </w:divBdr>
    </w:div>
    <w:div w:id="1446803632">
      <w:bodyDiv w:val="1"/>
      <w:marLeft w:val="0"/>
      <w:marRight w:val="0"/>
      <w:marTop w:val="0"/>
      <w:marBottom w:val="0"/>
      <w:divBdr>
        <w:top w:val="none" w:sz="0" w:space="0" w:color="auto"/>
        <w:left w:val="none" w:sz="0" w:space="0" w:color="auto"/>
        <w:bottom w:val="none" w:sz="0" w:space="0" w:color="auto"/>
        <w:right w:val="none" w:sz="0" w:space="0" w:color="auto"/>
      </w:divBdr>
    </w:div>
    <w:div w:id="1459295658">
      <w:bodyDiv w:val="1"/>
      <w:marLeft w:val="0"/>
      <w:marRight w:val="0"/>
      <w:marTop w:val="0"/>
      <w:marBottom w:val="0"/>
      <w:divBdr>
        <w:top w:val="none" w:sz="0" w:space="0" w:color="auto"/>
        <w:left w:val="none" w:sz="0" w:space="0" w:color="auto"/>
        <w:bottom w:val="none" w:sz="0" w:space="0" w:color="auto"/>
        <w:right w:val="none" w:sz="0" w:space="0" w:color="auto"/>
      </w:divBdr>
    </w:div>
    <w:div w:id="1467044846">
      <w:bodyDiv w:val="1"/>
      <w:marLeft w:val="0"/>
      <w:marRight w:val="0"/>
      <w:marTop w:val="0"/>
      <w:marBottom w:val="0"/>
      <w:divBdr>
        <w:top w:val="none" w:sz="0" w:space="0" w:color="auto"/>
        <w:left w:val="none" w:sz="0" w:space="0" w:color="auto"/>
        <w:bottom w:val="none" w:sz="0" w:space="0" w:color="auto"/>
        <w:right w:val="none" w:sz="0" w:space="0" w:color="auto"/>
      </w:divBdr>
    </w:div>
    <w:div w:id="1478573014">
      <w:bodyDiv w:val="1"/>
      <w:marLeft w:val="0"/>
      <w:marRight w:val="0"/>
      <w:marTop w:val="0"/>
      <w:marBottom w:val="0"/>
      <w:divBdr>
        <w:top w:val="none" w:sz="0" w:space="0" w:color="auto"/>
        <w:left w:val="none" w:sz="0" w:space="0" w:color="auto"/>
        <w:bottom w:val="none" w:sz="0" w:space="0" w:color="auto"/>
        <w:right w:val="none" w:sz="0" w:space="0" w:color="auto"/>
      </w:divBdr>
    </w:div>
    <w:div w:id="1525090538">
      <w:bodyDiv w:val="1"/>
      <w:marLeft w:val="0"/>
      <w:marRight w:val="0"/>
      <w:marTop w:val="0"/>
      <w:marBottom w:val="0"/>
      <w:divBdr>
        <w:top w:val="none" w:sz="0" w:space="0" w:color="auto"/>
        <w:left w:val="none" w:sz="0" w:space="0" w:color="auto"/>
        <w:bottom w:val="none" w:sz="0" w:space="0" w:color="auto"/>
        <w:right w:val="none" w:sz="0" w:space="0" w:color="auto"/>
      </w:divBdr>
    </w:div>
    <w:div w:id="1553887055">
      <w:bodyDiv w:val="1"/>
      <w:marLeft w:val="0"/>
      <w:marRight w:val="0"/>
      <w:marTop w:val="0"/>
      <w:marBottom w:val="0"/>
      <w:divBdr>
        <w:top w:val="none" w:sz="0" w:space="0" w:color="auto"/>
        <w:left w:val="none" w:sz="0" w:space="0" w:color="auto"/>
        <w:bottom w:val="none" w:sz="0" w:space="0" w:color="auto"/>
        <w:right w:val="none" w:sz="0" w:space="0" w:color="auto"/>
      </w:divBdr>
    </w:div>
    <w:div w:id="1555963338">
      <w:bodyDiv w:val="1"/>
      <w:marLeft w:val="0"/>
      <w:marRight w:val="0"/>
      <w:marTop w:val="0"/>
      <w:marBottom w:val="0"/>
      <w:divBdr>
        <w:top w:val="none" w:sz="0" w:space="0" w:color="auto"/>
        <w:left w:val="none" w:sz="0" w:space="0" w:color="auto"/>
        <w:bottom w:val="none" w:sz="0" w:space="0" w:color="auto"/>
        <w:right w:val="none" w:sz="0" w:space="0" w:color="auto"/>
      </w:divBdr>
      <w:divsChild>
        <w:div w:id="2038190701">
          <w:marLeft w:val="0"/>
          <w:marRight w:val="0"/>
          <w:marTop w:val="0"/>
          <w:marBottom w:val="0"/>
          <w:divBdr>
            <w:top w:val="none" w:sz="0" w:space="0" w:color="auto"/>
            <w:left w:val="none" w:sz="0" w:space="0" w:color="auto"/>
            <w:bottom w:val="none" w:sz="0" w:space="0" w:color="auto"/>
            <w:right w:val="none" w:sz="0" w:space="0" w:color="auto"/>
          </w:divBdr>
        </w:div>
        <w:div w:id="1210731000">
          <w:marLeft w:val="0"/>
          <w:marRight w:val="0"/>
          <w:marTop w:val="0"/>
          <w:marBottom w:val="0"/>
          <w:divBdr>
            <w:top w:val="none" w:sz="0" w:space="0" w:color="auto"/>
            <w:left w:val="none" w:sz="0" w:space="0" w:color="auto"/>
            <w:bottom w:val="none" w:sz="0" w:space="0" w:color="auto"/>
            <w:right w:val="none" w:sz="0" w:space="0" w:color="auto"/>
          </w:divBdr>
        </w:div>
      </w:divsChild>
    </w:div>
    <w:div w:id="1601716966">
      <w:bodyDiv w:val="1"/>
      <w:marLeft w:val="0"/>
      <w:marRight w:val="0"/>
      <w:marTop w:val="0"/>
      <w:marBottom w:val="0"/>
      <w:divBdr>
        <w:top w:val="none" w:sz="0" w:space="0" w:color="auto"/>
        <w:left w:val="none" w:sz="0" w:space="0" w:color="auto"/>
        <w:bottom w:val="none" w:sz="0" w:space="0" w:color="auto"/>
        <w:right w:val="none" w:sz="0" w:space="0" w:color="auto"/>
      </w:divBdr>
    </w:div>
    <w:div w:id="1620143368">
      <w:bodyDiv w:val="1"/>
      <w:marLeft w:val="0"/>
      <w:marRight w:val="0"/>
      <w:marTop w:val="0"/>
      <w:marBottom w:val="0"/>
      <w:divBdr>
        <w:top w:val="none" w:sz="0" w:space="0" w:color="auto"/>
        <w:left w:val="none" w:sz="0" w:space="0" w:color="auto"/>
        <w:bottom w:val="none" w:sz="0" w:space="0" w:color="auto"/>
        <w:right w:val="none" w:sz="0" w:space="0" w:color="auto"/>
      </w:divBdr>
    </w:div>
    <w:div w:id="1636250725">
      <w:bodyDiv w:val="1"/>
      <w:marLeft w:val="0"/>
      <w:marRight w:val="0"/>
      <w:marTop w:val="0"/>
      <w:marBottom w:val="0"/>
      <w:divBdr>
        <w:top w:val="none" w:sz="0" w:space="0" w:color="auto"/>
        <w:left w:val="none" w:sz="0" w:space="0" w:color="auto"/>
        <w:bottom w:val="none" w:sz="0" w:space="0" w:color="auto"/>
        <w:right w:val="none" w:sz="0" w:space="0" w:color="auto"/>
      </w:divBdr>
    </w:div>
    <w:div w:id="1638872956">
      <w:bodyDiv w:val="1"/>
      <w:marLeft w:val="0"/>
      <w:marRight w:val="0"/>
      <w:marTop w:val="0"/>
      <w:marBottom w:val="0"/>
      <w:divBdr>
        <w:top w:val="none" w:sz="0" w:space="0" w:color="auto"/>
        <w:left w:val="none" w:sz="0" w:space="0" w:color="auto"/>
        <w:bottom w:val="none" w:sz="0" w:space="0" w:color="auto"/>
        <w:right w:val="none" w:sz="0" w:space="0" w:color="auto"/>
      </w:divBdr>
    </w:div>
    <w:div w:id="1645502794">
      <w:bodyDiv w:val="1"/>
      <w:marLeft w:val="0"/>
      <w:marRight w:val="0"/>
      <w:marTop w:val="0"/>
      <w:marBottom w:val="0"/>
      <w:divBdr>
        <w:top w:val="none" w:sz="0" w:space="0" w:color="auto"/>
        <w:left w:val="none" w:sz="0" w:space="0" w:color="auto"/>
        <w:bottom w:val="none" w:sz="0" w:space="0" w:color="auto"/>
        <w:right w:val="none" w:sz="0" w:space="0" w:color="auto"/>
      </w:divBdr>
    </w:div>
    <w:div w:id="1655837848">
      <w:bodyDiv w:val="1"/>
      <w:marLeft w:val="0"/>
      <w:marRight w:val="0"/>
      <w:marTop w:val="0"/>
      <w:marBottom w:val="0"/>
      <w:divBdr>
        <w:top w:val="none" w:sz="0" w:space="0" w:color="auto"/>
        <w:left w:val="none" w:sz="0" w:space="0" w:color="auto"/>
        <w:bottom w:val="none" w:sz="0" w:space="0" w:color="auto"/>
        <w:right w:val="none" w:sz="0" w:space="0" w:color="auto"/>
      </w:divBdr>
    </w:div>
    <w:div w:id="1669017893">
      <w:bodyDiv w:val="1"/>
      <w:marLeft w:val="0"/>
      <w:marRight w:val="0"/>
      <w:marTop w:val="0"/>
      <w:marBottom w:val="0"/>
      <w:divBdr>
        <w:top w:val="none" w:sz="0" w:space="0" w:color="auto"/>
        <w:left w:val="none" w:sz="0" w:space="0" w:color="auto"/>
        <w:bottom w:val="none" w:sz="0" w:space="0" w:color="auto"/>
        <w:right w:val="none" w:sz="0" w:space="0" w:color="auto"/>
      </w:divBdr>
    </w:div>
    <w:div w:id="1670327962">
      <w:bodyDiv w:val="1"/>
      <w:marLeft w:val="0"/>
      <w:marRight w:val="0"/>
      <w:marTop w:val="0"/>
      <w:marBottom w:val="0"/>
      <w:divBdr>
        <w:top w:val="none" w:sz="0" w:space="0" w:color="auto"/>
        <w:left w:val="none" w:sz="0" w:space="0" w:color="auto"/>
        <w:bottom w:val="none" w:sz="0" w:space="0" w:color="auto"/>
        <w:right w:val="none" w:sz="0" w:space="0" w:color="auto"/>
      </w:divBdr>
    </w:div>
    <w:div w:id="1677733848">
      <w:bodyDiv w:val="1"/>
      <w:marLeft w:val="0"/>
      <w:marRight w:val="0"/>
      <w:marTop w:val="0"/>
      <w:marBottom w:val="0"/>
      <w:divBdr>
        <w:top w:val="none" w:sz="0" w:space="0" w:color="auto"/>
        <w:left w:val="none" w:sz="0" w:space="0" w:color="auto"/>
        <w:bottom w:val="none" w:sz="0" w:space="0" w:color="auto"/>
        <w:right w:val="none" w:sz="0" w:space="0" w:color="auto"/>
      </w:divBdr>
    </w:div>
    <w:div w:id="1692876447">
      <w:bodyDiv w:val="1"/>
      <w:marLeft w:val="0"/>
      <w:marRight w:val="0"/>
      <w:marTop w:val="0"/>
      <w:marBottom w:val="0"/>
      <w:divBdr>
        <w:top w:val="none" w:sz="0" w:space="0" w:color="auto"/>
        <w:left w:val="none" w:sz="0" w:space="0" w:color="auto"/>
        <w:bottom w:val="none" w:sz="0" w:space="0" w:color="auto"/>
        <w:right w:val="none" w:sz="0" w:space="0" w:color="auto"/>
      </w:divBdr>
    </w:div>
    <w:div w:id="1728261554">
      <w:bodyDiv w:val="1"/>
      <w:marLeft w:val="0"/>
      <w:marRight w:val="0"/>
      <w:marTop w:val="0"/>
      <w:marBottom w:val="0"/>
      <w:divBdr>
        <w:top w:val="none" w:sz="0" w:space="0" w:color="auto"/>
        <w:left w:val="none" w:sz="0" w:space="0" w:color="auto"/>
        <w:bottom w:val="none" w:sz="0" w:space="0" w:color="auto"/>
        <w:right w:val="none" w:sz="0" w:space="0" w:color="auto"/>
      </w:divBdr>
    </w:div>
    <w:div w:id="1740862715">
      <w:bodyDiv w:val="1"/>
      <w:marLeft w:val="0"/>
      <w:marRight w:val="0"/>
      <w:marTop w:val="0"/>
      <w:marBottom w:val="0"/>
      <w:divBdr>
        <w:top w:val="none" w:sz="0" w:space="0" w:color="auto"/>
        <w:left w:val="none" w:sz="0" w:space="0" w:color="auto"/>
        <w:bottom w:val="none" w:sz="0" w:space="0" w:color="auto"/>
        <w:right w:val="none" w:sz="0" w:space="0" w:color="auto"/>
      </w:divBdr>
    </w:div>
    <w:div w:id="1742369564">
      <w:bodyDiv w:val="1"/>
      <w:marLeft w:val="0"/>
      <w:marRight w:val="0"/>
      <w:marTop w:val="0"/>
      <w:marBottom w:val="0"/>
      <w:divBdr>
        <w:top w:val="none" w:sz="0" w:space="0" w:color="auto"/>
        <w:left w:val="none" w:sz="0" w:space="0" w:color="auto"/>
        <w:bottom w:val="none" w:sz="0" w:space="0" w:color="auto"/>
        <w:right w:val="none" w:sz="0" w:space="0" w:color="auto"/>
      </w:divBdr>
    </w:div>
    <w:div w:id="1761558655">
      <w:bodyDiv w:val="1"/>
      <w:marLeft w:val="0"/>
      <w:marRight w:val="0"/>
      <w:marTop w:val="0"/>
      <w:marBottom w:val="0"/>
      <w:divBdr>
        <w:top w:val="none" w:sz="0" w:space="0" w:color="auto"/>
        <w:left w:val="none" w:sz="0" w:space="0" w:color="auto"/>
        <w:bottom w:val="none" w:sz="0" w:space="0" w:color="auto"/>
        <w:right w:val="none" w:sz="0" w:space="0" w:color="auto"/>
      </w:divBdr>
    </w:div>
    <w:div w:id="1815022613">
      <w:bodyDiv w:val="1"/>
      <w:marLeft w:val="0"/>
      <w:marRight w:val="0"/>
      <w:marTop w:val="0"/>
      <w:marBottom w:val="0"/>
      <w:divBdr>
        <w:top w:val="none" w:sz="0" w:space="0" w:color="auto"/>
        <w:left w:val="none" w:sz="0" w:space="0" w:color="auto"/>
        <w:bottom w:val="none" w:sz="0" w:space="0" w:color="auto"/>
        <w:right w:val="none" w:sz="0" w:space="0" w:color="auto"/>
      </w:divBdr>
    </w:div>
    <w:div w:id="1845895063">
      <w:bodyDiv w:val="1"/>
      <w:marLeft w:val="0"/>
      <w:marRight w:val="0"/>
      <w:marTop w:val="0"/>
      <w:marBottom w:val="0"/>
      <w:divBdr>
        <w:top w:val="none" w:sz="0" w:space="0" w:color="auto"/>
        <w:left w:val="none" w:sz="0" w:space="0" w:color="auto"/>
        <w:bottom w:val="none" w:sz="0" w:space="0" w:color="auto"/>
        <w:right w:val="none" w:sz="0" w:space="0" w:color="auto"/>
      </w:divBdr>
    </w:div>
    <w:div w:id="1849564992">
      <w:bodyDiv w:val="1"/>
      <w:marLeft w:val="0"/>
      <w:marRight w:val="0"/>
      <w:marTop w:val="0"/>
      <w:marBottom w:val="0"/>
      <w:divBdr>
        <w:top w:val="none" w:sz="0" w:space="0" w:color="auto"/>
        <w:left w:val="none" w:sz="0" w:space="0" w:color="auto"/>
        <w:bottom w:val="none" w:sz="0" w:space="0" w:color="auto"/>
        <w:right w:val="none" w:sz="0" w:space="0" w:color="auto"/>
      </w:divBdr>
    </w:div>
    <w:div w:id="1873691979">
      <w:bodyDiv w:val="1"/>
      <w:marLeft w:val="0"/>
      <w:marRight w:val="0"/>
      <w:marTop w:val="0"/>
      <w:marBottom w:val="0"/>
      <w:divBdr>
        <w:top w:val="none" w:sz="0" w:space="0" w:color="auto"/>
        <w:left w:val="none" w:sz="0" w:space="0" w:color="auto"/>
        <w:bottom w:val="none" w:sz="0" w:space="0" w:color="auto"/>
        <w:right w:val="none" w:sz="0" w:space="0" w:color="auto"/>
      </w:divBdr>
    </w:div>
    <w:div w:id="1875654821">
      <w:bodyDiv w:val="1"/>
      <w:marLeft w:val="0"/>
      <w:marRight w:val="0"/>
      <w:marTop w:val="0"/>
      <w:marBottom w:val="0"/>
      <w:divBdr>
        <w:top w:val="none" w:sz="0" w:space="0" w:color="auto"/>
        <w:left w:val="none" w:sz="0" w:space="0" w:color="auto"/>
        <w:bottom w:val="none" w:sz="0" w:space="0" w:color="auto"/>
        <w:right w:val="none" w:sz="0" w:space="0" w:color="auto"/>
      </w:divBdr>
    </w:div>
    <w:div w:id="1920476127">
      <w:bodyDiv w:val="1"/>
      <w:marLeft w:val="0"/>
      <w:marRight w:val="0"/>
      <w:marTop w:val="0"/>
      <w:marBottom w:val="0"/>
      <w:divBdr>
        <w:top w:val="none" w:sz="0" w:space="0" w:color="auto"/>
        <w:left w:val="none" w:sz="0" w:space="0" w:color="auto"/>
        <w:bottom w:val="none" w:sz="0" w:space="0" w:color="auto"/>
        <w:right w:val="none" w:sz="0" w:space="0" w:color="auto"/>
      </w:divBdr>
    </w:div>
    <w:div w:id="1945727023">
      <w:bodyDiv w:val="1"/>
      <w:marLeft w:val="0"/>
      <w:marRight w:val="0"/>
      <w:marTop w:val="0"/>
      <w:marBottom w:val="0"/>
      <w:divBdr>
        <w:top w:val="none" w:sz="0" w:space="0" w:color="auto"/>
        <w:left w:val="none" w:sz="0" w:space="0" w:color="auto"/>
        <w:bottom w:val="none" w:sz="0" w:space="0" w:color="auto"/>
        <w:right w:val="none" w:sz="0" w:space="0" w:color="auto"/>
      </w:divBdr>
    </w:div>
    <w:div w:id="1956979383">
      <w:bodyDiv w:val="1"/>
      <w:marLeft w:val="0"/>
      <w:marRight w:val="0"/>
      <w:marTop w:val="0"/>
      <w:marBottom w:val="0"/>
      <w:divBdr>
        <w:top w:val="none" w:sz="0" w:space="0" w:color="auto"/>
        <w:left w:val="none" w:sz="0" w:space="0" w:color="auto"/>
        <w:bottom w:val="none" w:sz="0" w:space="0" w:color="auto"/>
        <w:right w:val="none" w:sz="0" w:space="0" w:color="auto"/>
      </w:divBdr>
    </w:div>
    <w:div w:id="1974090656">
      <w:bodyDiv w:val="1"/>
      <w:marLeft w:val="0"/>
      <w:marRight w:val="0"/>
      <w:marTop w:val="0"/>
      <w:marBottom w:val="0"/>
      <w:divBdr>
        <w:top w:val="none" w:sz="0" w:space="0" w:color="auto"/>
        <w:left w:val="none" w:sz="0" w:space="0" w:color="auto"/>
        <w:bottom w:val="none" w:sz="0" w:space="0" w:color="auto"/>
        <w:right w:val="none" w:sz="0" w:space="0" w:color="auto"/>
      </w:divBdr>
    </w:div>
    <w:div w:id="1994798635">
      <w:bodyDiv w:val="1"/>
      <w:marLeft w:val="0"/>
      <w:marRight w:val="0"/>
      <w:marTop w:val="0"/>
      <w:marBottom w:val="0"/>
      <w:divBdr>
        <w:top w:val="none" w:sz="0" w:space="0" w:color="auto"/>
        <w:left w:val="none" w:sz="0" w:space="0" w:color="auto"/>
        <w:bottom w:val="none" w:sz="0" w:space="0" w:color="auto"/>
        <w:right w:val="none" w:sz="0" w:space="0" w:color="auto"/>
      </w:divBdr>
    </w:div>
    <w:div w:id="2038919855">
      <w:bodyDiv w:val="1"/>
      <w:marLeft w:val="0"/>
      <w:marRight w:val="0"/>
      <w:marTop w:val="0"/>
      <w:marBottom w:val="0"/>
      <w:divBdr>
        <w:top w:val="none" w:sz="0" w:space="0" w:color="auto"/>
        <w:left w:val="none" w:sz="0" w:space="0" w:color="auto"/>
        <w:bottom w:val="none" w:sz="0" w:space="0" w:color="auto"/>
        <w:right w:val="none" w:sz="0" w:space="0" w:color="auto"/>
      </w:divBdr>
    </w:div>
    <w:div w:id="2041347785">
      <w:bodyDiv w:val="1"/>
      <w:marLeft w:val="0"/>
      <w:marRight w:val="0"/>
      <w:marTop w:val="0"/>
      <w:marBottom w:val="0"/>
      <w:divBdr>
        <w:top w:val="none" w:sz="0" w:space="0" w:color="auto"/>
        <w:left w:val="none" w:sz="0" w:space="0" w:color="auto"/>
        <w:bottom w:val="none" w:sz="0" w:space="0" w:color="auto"/>
        <w:right w:val="none" w:sz="0" w:space="0" w:color="auto"/>
      </w:divBdr>
    </w:div>
    <w:div w:id="2049141175">
      <w:bodyDiv w:val="1"/>
      <w:marLeft w:val="0"/>
      <w:marRight w:val="0"/>
      <w:marTop w:val="0"/>
      <w:marBottom w:val="0"/>
      <w:divBdr>
        <w:top w:val="none" w:sz="0" w:space="0" w:color="auto"/>
        <w:left w:val="none" w:sz="0" w:space="0" w:color="auto"/>
        <w:bottom w:val="none" w:sz="0" w:space="0" w:color="auto"/>
        <w:right w:val="none" w:sz="0" w:space="0" w:color="auto"/>
      </w:divBdr>
    </w:div>
    <w:div w:id="2051152632">
      <w:bodyDiv w:val="1"/>
      <w:marLeft w:val="0"/>
      <w:marRight w:val="0"/>
      <w:marTop w:val="0"/>
      <w:marBottom w:val="0"/>
      <w:divBdr>
        <w:top w:val="none" w:sz="0" w:space="0" w:color="auto"/>
        <w:left w:val="none" w:sz="0" w:space="0" w:color="auto"/>
        <w:bottom w:val="none" w:sz="0" w:space="0" w:color="auto"/>
        <w:right w:val="none" w:sz="0" w:space="0" w:color="auto"/>
      </w:divBdr>
    </w:div>
    <w:div w:id="2056738852">
      <w:bodyDiv w:val="1"/>
      <w:marLeft w:val="0"/>
      <w:marRight w:val="0"/>
      <w:marTop w:val="0"/>
      <w:marBottom w:val="0"/>
      <w:divBdr>
        <w:top w:val="none" w:sz="0" w:space="0" w:color="auto"/>
        <w:left w:val="none" w:sz="0" w:space="0" w:color="auto"/>
        <w:bottom w:val="none" w:sz="0" w:space="0" w:color="auto"/>
        <w:right w:val="none" w:sz="0" w:space="0" w:color="auto"/>
      </w:divBdr>
    </w:div>
    <w:div w:id="2057729042">
      <w:bodyDiv w:val="1"/>
      <w:marLeft w:val="0"/>
      <w:marRight w:val="0"/>
      <w:marTop w:val="0"/>
      <w:marBottom w:val="0"/>
      <w:divBdr>
        <w:top w:val="none" w:sz="0" w:space="0" w:color="auto"/>
        <w:left w:val="none" w:sz="0" w:space="0" w:color="auto"/>
        <w:bottom w:val="none" w:sz="0" w:space="0" w:color="auto"/>
        <w:right w:val="none" w:sz="0" w:space="0" w:color="auto"/>
      </w:divBdr>
    </w:div>
    <w:div w:id="2059744384">
      <w:bodyDiv w:val="1"/>
      <w:marLeft w:val="0"/>
      <w:marRight w:val="0"/>
      <w:marTop w:val="0"/>
      <w:marBottom w:val="0"/>
      <w:divBdr>
        <w:top w:val="none" w:sz="0" w:space="0" w:color="auto"/>
        <w:left w:val="none" w:sz="0" w:space="0" w:color="auto"/>
        <w:bottom w:val="none" w:sz="0" w:space="0" w:color="auto"/>
        <w:right w:val="none" w:sz="0" w:space="0" w:color="auto"/>
      </w:divBdr>
    </w:div>
    <w:div w:id="2063364363">
      <w:bodyDiv w:val="1"/>
      <w:marLeft w:val="0"/>
      <w:marRight w:val="0"/>
      <w:marTop w:val="0"/>
      <w:marBottom w:val="0"/>
      <w:divBdr>
        <w:top w:val="none" w:sz="0" w:space="0" w:color="auto"/>
        <w:left w:val="none" w:sz="0" w:space="0" w:color="auto"/>
        <w:bottom w:val="none" w:sz="0" w:space="0" w:color="auto"/>
        <w:right w:val="none" w:sz="0" w:space="0" w:color="auto"/>
      </w:divBdr>
    </w:div>
    <w:div w:id="2066027829">
      <w:bodyDiv w:val="1"/>
      <w:marLeft w:val="0"/>
      <w:marRight w:val="0"/>
      <w:marTop w:val="0"/>
      <w:marBottom w:val="0"/>
      <w:divBdr>
        <w:top w:val="none" w:sz="0" w:space="0" w:color="auto"/>
        <w:left w:val="none" w:sz="0" w:space="0" w:color="auto"/>
        <w:bottom w:val="none" w:sz="0" w:space="0" w:color="auto"/>
        <w:right w:val="none" w:sz="0" w:space="0" w:color="auto"/>
      </w:divBdr>
    </w:div>
    <w:div w:id="2084521537">
      <w:bodyDiv w:val="1"/>
      <w:marLeft w:val="0"/>
      <w:marRight w:val="0"/>
      <w:marTop w:val="0"/>
      <w:marBottom w:val="0"/>
      <w:divBdr>
        <w:top w:val="none" w:sz="0" w:space="0" w:color="auto"/>
        <w:left w:val="none" w:sz="0" w:space="0" w:color="auto"/>
        <w:bottom w:val="none" w:sz="0" w:space="0" w:color="auto"/>
        <w:right w:val="none" w:sz="0" w:space="0" w:color="auto"/>
      </w:divBdr>
    </w:div>
    <w:div w:id="2096247082">
      <w:bodyDiv w:val="1"/>
      <w:marLeft w:val="0"/>
      <w:marRight w:val="0"/>
      <w:marTop w:val="0"/>
      <w:marBottom w:val="0"/>
      <w:divBdr>
        <w:top w:val="none" w:sz="0" w:space="0" w:color="auto"/>
        <w:left w:val="none" w:sz="0" w:space="0" w:color="auto"/>
        <w:bottom w:val="none" w:sz="0" w:space="0" w:color="auto"/>
        <w:right w:val="none" w:sz="0" w:space="0" w:color="auto"/>
      </w:divBdr>
    </w:div>
    <w:div w:id="2104261417">
      <w:bodyDiv w:val="1"/>
      <w:marLeft w:val="0"/>
      <w:marRight w:val="0"/>
      <w:marTop w:val="0"/>
      <w:marBottom w:val="0"/>
      <w:divBdr>
        <w:top w:val="none" w:sz="0" w:space="0" w:color="auto"/>
        <w:left w:val="none" w:sz="0" w:space="0" w:color="auto"/>
        <w:bottom w:val="none" w:sz="0" w:space="0" w:color="auto"/>
        <w:right w:val="none" w:sz="0" w:space="0" w:color="auto"/>
      </w:divBdr>
    </w:div>
    <w:div w:id="2132624233">
      <w:bodyDiv w:val="1"/>
      <w:marLeft w:val="0"/>
      <w:marRight w:val="0"/>
      <w:marTop w:val="0"/>
      <w:marBottom w:val="0"/>
      <w:divBdr>
        <w:top w:val="none" w:sz="0" w:space="0" w:color="auto"/>
        <w:left w:val="none" w:sz="0" w:space="0" w:color="auto"/>
        <w:bottom w:val="none" w:sz="0" w:space="0" w:color="auto"/>
        <w:right w:val="none" w:sz="0" w:space="0" w:color="auto"/>
      </w:divBdr>
    </w:div>
    <w:div w:id="213332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chart" Target="charts/chart14.xml"/><Relationship Id="rId50"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image" Target="media/image13.png"/><Relationship Id="rId38" Type="http://schemas.openxmlformats.org/officeDocument/2006/relationships/image" Target="media/image17.jpeg"/><Relationship Id="rId46"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9.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9.xml"/><Relationship Id="rId32" Type="http://schemas.openxmlformats.org/officeDocument/2006/relationships/image" Target="media/image12.pn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hyperlink" Target="https://listindiario.com/" TargetMode="External"/><Relationship Id="rId5" Type="http://schemas.openxmlformats.org/officeDocument/2006/relationships/webSettings" Target="webSettings.xml"/><Relationship Id="rId15" Type="http://schemas.openxmlformats.org/officeDocument/2006/relationships/hyperlink" Target="http://www.atsc.org" TargetMode="External"/><Relationship Id="rId23" Type="http://schemas.openxmlformats.org/officeDocument/2006/relationships/chart" Target="charts/chart8.xml"/><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image" Target="media/image22.emf"/><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image" Target="media/image11.png"/><Relationship Id="rId44" Type="http://schemas.openxmlformats.org/officeDocument/2006/relationships/hyperlink" Target="https://hoy.com.d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chart" Target="charts/chart7.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chart" Target="charts/chart12.xml"/><Relationship Id="rId43" Type="http://schemas.openxmlformats.org/officeDocument/2006/relationships/hyperlink" Target="https://listindiario.com/" TargetMode="External"/><Relationship Id="rId48" Type="http://schemas.openxmlformats.org/officeDocument/2006/relationships/chart" Target="charts/chart15.xml"/><Relationship Id="rId8" Type="http://schemas.openxmlformats.org/officeDocument/2006/relationships/image" Target="media/image1.png"/><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Hoja_de_c_lculo_de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Hoja_de_c_lculo_de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Libro2"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asanchez\Desktop\OAI\Oficina\estadisticas-oai-3er-trimestre-2021.xlsx" TargetMode="External"/><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oleObject" Target="file:///C:\Users\jasanchez\Desktop\OAI\Oficina\Estadisticas%20trimestrales%20311%20T2%202021.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jasanchez\Desktop\OAI\Oficina\Estadisticas%20trimestrales%20311%20T4%2020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DO" sz="1200" b="1">
                <a:solidFill>
                  <a:srgbClr val="767171"/>
                </a:solidFill>
                <a:latin typeface="Times New Roman" panose="02020603050405020304" pitchFamily="18" charset="0"/>
                <a:cs typeface="Times New Roman" panose="02020603050405020304" pitchFamily="18" charset="0"/>
              </a:rPr>
              <a:t>Derecho de Uso (DU) del Espectro Radioeléctrico por</a:t>
            </a:r>
            <a:r>
              <a:rPr lang="es-DO" sz="1200" b="1" baseline="0">
                <a:solidFill>
                  <a:srgbClr val="767171"/>
                </a:solidFill>
                <a:latin typeface="Times New Roman" panose="02020603050405020304" pitchFamily="18" charset="0"/>
                <a:cs typeface="Times New Roman" panose="02020603050405020304" pitchFamily="18" charset="0"/>
              </a:rPr>
              <a:t> </a:t>
            </a:r>
            <a:r>
              <a:rPr lang="es-DO" sz="1200" b="1">
                <a:solidFill>
                  <a:srgbClr val="767171"/>
                </a:solidFill>
                <a:latin typeface="Times New Roman" panose="02020603050405020304" pitchFamily="18" charset="0"/>
                <a:cs typeface="Times New Roman" panose="02020603050405020304" pitchFamily="18" charset="0"/>
              </a:rPr>
              <a:t>Servicios </a:t>
            </a:r>
            <a:br>
              <a:rPr lang="es-DO" sz="1200" b="1">
                <a:solidFill>
                  <a:srgbClr val="767171"/>
                </a:solidFill>
                <a:latin typeface="Times New Roman" panose="02020603050405020304" pitchFamily="18" charset="0"/>
                <a:cs typeface="Times New Roman" panose="02020603050405020304" pitchFamily="18" charset="0"/>
              </a:rPr>
            </a:br>
            <a:r>
              <a:rPr lang="es-DO" sz="1200" b="1">
                <a:solidFill>
                  <a:srgbClr val="767171"/>
                </a:solidFill>
                <a:latin typeface="Times New Roman" panose="02020603050405020304" pitchFamily="18" charset="0"/>
                <a:cs typeface="Times New Roman" panose="02020603050405020304" pitchFamily="18" charset="0"/>
              </a:rPr>
              <a:t>Año  2021</a:t>
            </a:r>
          </a:p>
        </c:rich>
      </c:tx>
      <c:layout>
        <c:manualLayout>
          <c:xMode val="edge"/>
          <c:yMode val="edge"/>
          <c:x val="0.13222457566748669"/>
          <c:y val="1.64423180072518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n-US"/>
        </a:p>
      </c:txPr>
    </c:title>
    <c:autoTitleDeleted val="0"/>
    <c:plotArea>
      <c:layout>
        <c:manualLayout>
          <c:layoutTarget val="inner"/>
          <c:xMode val="edge"/>
          <c:yMode val="edge"/>
          <c:x val="0.23322469473924456"/>
          <c:y val="0.28568102171586096"/>
          <c:w val="0.54128023127543845"/>
          <c:h val="0.69549973851033986"/>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5.588238426718399E-2"/>
                  <c:y val="-4.165281015850672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1"/>
              <c:layout>
                <c:manualLayout>
                  <c:x val="-8.0945858944676014E-2"/>
                  <c:y val="1.5187447693753337E-3"/>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9.9009685056817481E-2"/>
                  <c:y val="8.4673996664327584E-3"/>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3"/>
              <c:layout>
                <c:manualLayout>
                  <c:x val="0.21265221057126987"/>
                  <c:y val="-1.0128278272209157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4054272769582932"/>
                      <c:h val="6.8038147138964583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 en Microsoft Word]Hoja1'!$A$2:$A$5</c:f>
              <c:strCache>
                <c:ptCount val="4"/>
                <c:pt idx="0">
                  <c:v>Telefonía</c:v>
                </c:pt>
                <c:pt idx="1">
                  <c:v>Radiodifusión Televisiva</c:v>
                </c:pt>
                <c:pt idx="2">
                  <c:v>Radiodifusión Sonora</c:v>
                </c:pt>
                <c:pt idx="3">
                  <c:v>Radiocomunicación</c:v>
                </c:pt>
              </c:strCache>
            </c:strRef>
          </c:cat>
          <c:val>
            <c:numRef>
              <c:f>'[Gráfico en Microsoft Word]Hoja1'!$B$2:$B$5</c:f>
              <c:numCache>
                <c:formatCode>#,##0.00</c:formatCode>
                <c:ptCount val="4"/>
                <c:pt idx="0">
                  <c:v>241925761.71000001</c:v>
                </c:pt>
                <c:pt idx="1">
                  <c:v>54509367.960000001</c:v>
                </c:pt>
                <c:pt idx="2">
                  <c:v>5138112.25</c:v>
                </c:pt>
                <c:pt idx="3">
                  <c:v>19768676.379999999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RDQ Cuerpos Colegiados</a:t>
            </a:r>
          </a:p>
          <a:p>
            <a:pPr>
              <a:defRPr sz="1200">
                <a:solidFill>
                  <a:srgbClr val="767171"/>
                </a:solidFill>
                <a:latin typeface="Times New Roman" panose="02020603050405020304" pitchFamily="18" charset="0"/>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Enero - Noviembre de 2021</a:t>
            </a:r>
          </a:p>
        </c:rich>
      </c:tx>
      <c:layout>
        <c:manualLayout>
          <c:xMode val="edge"/>
          <c:yMode val="edge"/>
          <c:x val="0.43218605239186603"/>
          <c:y val="2.9913368564601202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manualLayout>
          <c:layoutTarget val="inner"/>
          <c:xMode val="edge"/>
          <c:yMode val="edge"/>
          <c:x val="0.32419317037067497"/>
          <c:y val="0.1512101397161901"/>
          <c:w val="0.67580682962932503"/>
          <c:h val="0.48083136605016441"/>
        </c:manualLayout>
      </c:layout>
      <c:barChart>
        <c:barDir val="col"/>
        <c:grouping val="clustered"/>
        <c:varyColors val="0"/>
        <c:ser>
          <c:idx val="0"/>
          <c:order val="0"/>
          <c:tx>
            <c:strRef>
              <c:f>'Data Grafico'!$B$63</c:f>
              <c:strCache>
                <c:ptCount val="1"/>
                <c:pt idx="0">
                  <c:v>RDQ´s Apoderados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Grafico'!$C$62:$H$62</c:f>
              <c:strCache>
                <c:ptCount val="6"/>
                <c:pt idx="0">
                  <c:v>Enero - Junio</c:v>
                </c:pt>
                <c:pt idx="1">
                  <c:v>Julio</c:v>
                </c:pt>
                <c:pt idx="2">
                  <c:v>Agosto</c:v>
                </c:pt>
                <c:pt idx="3">
                  <c:v>Septiembre</c:v>
                </c:pt>
                <c:pt idx="4">
                  <c:v>Octubre</c:v>
                </c:pt>
                <c:pt idx="5">
                  <c:v>Noviembre</c:v>
                </c:pt>
              </c:strCache>
            </c:strRef>
          </c:cat>
          <c:val>
            <c:numRef>
              <c:f>'Data Grafico'!$C$63:$H$63</c:f>
              <c:numCache>
                <c:formatCode>General</c:formatCode>
                <c:ptCount val="6"/>
                <c:pt idx="0">
                  <c:v>62</c:v>
                </c:pt>
                <c:pt idx="1">
                  <c:v>2</c:v>
                </c:pt>
                <c:pt idx="2">
                  <c:v>2</c:v>
                </c:pt>
                <c:pt idx="3">
                  <c:v>3</c:v>
                </c:pt>
                <c:pt idx="4">
                  <c:v>0</c:v>
                </c:pt>
                <c:pt idx="5">
                  <c:v>0</c:v>
                </c:pt>
              </c:numCache>
            </c:numRef>
          </c:val>
          <c:extLst xmlns:c16r2="http://schemas.microsoft.com/office/drawing/2015/06/chart">
            <c:ext xmlns:c16="http://schemas.microsoft.com/office/drawing/2014/chart" uri="{C3380CC4-5D6E-409C-BE32-E72D297353CC}">
              <c16:uniqueId val="{00000000-AED7-4D5C-8A2C-774B35D88370}"/>
            </c:ext>
          </c:extLst>
        </c:ser>
        <c:ser>
          <c:idx val="1"/>
          <c:order val="1"/>
          <c:tx>
            <c:strRef>
              <c:f>'Data Grafico'!$B$64</c:f>
              <c:strCache>
                <c:ptCount val="1"/>
                <c:pt idx="0">
                  <c:v>Fallados a Favor del Usuario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Grafico'!$C$62:$H$62</c:f>
              <c:strCache>
                <c:ptCount val="6"/>
                <c:pt idx="0">
                  <c:v>Enero - Junio</c:v>
                </c:pt>
                <c:pt idx="1">
                  <c:v>Julio</c:v>
                </c:pt>
                <c:pt idx="2">
                  <c:v>Agosto</c:v>
                </c:pt>
                <c:pt idx="3">
                  <c:v>Septiembre</c:v>
                </c:pt>
                <c:pt idx="4">
                  <c:v>Octubre</c:v>
                </c:pt>
                <c:pt idx="5">
                  <c:v>Noviembre</c:v>
                </c:pt>
              </c:strCache>
            </c:strRef>
          </c:cat>
          <c:val>
            <c:numRef>
              <c:f>'Data Grafico'!$C$64:$H$64</c:f>
              <c:numCache>
                <c:formatCode>General</c:formatCode>
                <c:ptCount val="6"/>
                <c:pt idx="0">
                  <c:v>30</c:v>
                </c:pt>
                <c:pt idx="1">
                  <c:v>0</c:v>
                </c:pt>
                <c:pt idx="2">
                  <c:v>0</c:v>
                </c:pt>
                <c:pt idx="3">
                  <c:v>3</c:v>
                </c:pt>
                <c:pt idx="4">
                  <c:v>0</c:v>
                </c:pt>
                <c:pt idx="5">
                  <c:v>0</c:v>
                </c:pt>
              </c:numCache>
            </c:numRef>
          </c:val>
          <c:extLst xmlns:c16r2="http://schemas.microsoft.com/office/drawing/2015/06/chart">
            <c:ext xmlns:c16="http://schemas.microsoft.com/office/drawing/2014/chart" uri="{C3380CC4-5D6E-409C-BE32-E72D297353CC}">
              <c16:uniqueId val="{00000001-AED7-4D5C-8A2C-774B35D88370}"/>
            </c:ext>
          </c:extLst>
        </c:ser>
        <c:ser>
          <c:idx val="2"/>
          <c:order val="2"/>
          <c:tx>
            <c:strRef>
              <c:f>'Data Grafico'!$B$65</c:f>
              <c:strCache>
                <c:ptCount val="1"/>
                <c:pt idx="0">
                  <c:v>Fallados a Favor de la Prestadora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Grafico'!$C$62:$H$62</c:f>
              <c:strCache>
                <c:ptCount val="6"/>
                <c:pt idx="0">
                  <c:v>Enero - Junio</c:v>
                </c:pt>
                <c:pt idx="1">
                  <c:v>Julio</c:v>
                </c:pt>
                <c:pt idx="2">
                  <c:v>Agosto</c:v>
                </c:pt>
                <c:pt idx="3">
                  <c:v>Septiembre</c:v>
                </c:pt>
                <c:pt idx="4">
                  <c:v>Octubre</c:v>
                </c:pt>
                <c:pt idx="5">
                  <c:v>Noviembre</c:v>
                </c:pt>
              </c:strCache>
            </c:strRef>
          </c:cat>
          <c:val>
            <c:numRef>
              <c:f>'Data Grafico'!$C$65:$H$65</c:f>
              <c:numCache>
                <c:formatCode>General</c:formatCode>
                <c:ptCount val="6"/>
                <c:pt idx="0">
                  <c:v>32</c:v>
                </c:pt>
                <c:pt idx="1">
                  <c:v>2</c:v>
                </c:pt>
                <c:pt idx="2">
                  <c:v>2</c:v>
                </c:pt>
                <c:pt idx="3">
                  <c:v>0</c:v>
                </c:pt>
                <c:pt idx="4">
                  <c:v>0</c:v>
                </c:pt>
                <c:pt idx="5">
                  <c:v>0</c:v>
                </c:pt>
              </c:numCache>
            </c:numRef>
          </c:val>
          <c:extLst xmlns:c16r2="http://schemas.microsoft.com/office/drawing/2015/06/chart">
            <c:ext xmlns:c16="http://schemas.microsoft.com/office/drawing/2014/chart" uri="{C3380CC4-5D6E-409C-BE32-E72D297353CC}">
              <c16:uniqueId val="{00000002-AED7-4D5C-8A2C-774B35D88370}"/>
            </c:ext>
          </c:extLst>
        </c:ser>
        <c:dLbls>
          <c:dLblPos val="outEnd"/>
          <c:showLegendKey val="0"/>
          <c:showVal val="1"/>
          <c:showCatName val="0"/>
          <c:showSerName val="0"/>
          <c:showPercent val="0"/>
          <c:showBubbleSize val="0"/>
        </c:dLbls>
        <c:gapWidth val="267"/>
        <c:overlap val="-43"/>
        <c:axId val="441812064"/>
        <c:axId val="441809712"/>
      </c:barChart>
      <c:catAx>
        <c:axId val="44181206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441809712"/>
        <c:crosses val="autoZero"/>
        <c:auto val="1"/>
        <c:lblAlgn val="ctr"/>
        <c:lblOffset val="100"/>
        <c:noMultiLvlLbl val="0"/>
      </c:catAx>
      <c:valAx>
        <c:axId val="441809712"/>
        <c:scaling>
          <c:orientation val="minMax"/>
        </c:scaling>
        <c:delete val="1"/>
        <c:axPos val="l"/>
        <c:numFmt formatCode="General" sourceLinked="1"/>
        <c:majorTickMark val="none"/>
        <c:minorTickMark val="none"/>
        <c:tickLblPos val="nextTo"/>
        <c:crossAx val="441812064"/>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lt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Montos de Fallos</a:t>
            </a:r>
          </a:p>
          <a:p>
            <a:pPr>
              <a:defRPr sz="1200">
                <a:solidFill>
                  <a:srgbClr val="767171"/>
                </a:solidFill>
                <a:latin typeface="Times New Roman" panose="02020603050405020304" pitchFamily="18" charset="0"/>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Enero -Noviembre de 2021</a:t>
            </a:r>
          </a:p>
        </c:rich>
      </c:tx>
      <c:layout>
        <c:manualLayout>
          <c:xMode val="edge"/>
          <c:yMode val="edge"/>
          <c:x val="0.38802948702584961"/>
          <c:y val="3.5158177050438222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manualLayout>
          <c:layoutTarget val="inner"/>
          <c:xMode val="edge"/>
          <c:yMode val="edge"/>
          <c:x val="0.30948104588192293"/>
          <c:y val="0.11352184750491094"/>
          <c:w val="0.66309279378052421"/>
          <c:h val="0.67824658710114061"/>
        </c:manualLayout>
      </c:layout>
      <c:barChart>
        <c:barDir val="col"/>
        <c:grouping val="clustered"/>
        <c:varyColors val="0"/>
        <c:ser>
          <c:idx val="0"/>
          <c:order val="0"/>
          <c:tx>
            <c:strRef>
              <c:f>'Data Grafico'!$B$70</c:f>
              <c:strCache>
                <c:ptCount val="1"/>
                <c:pt idx="0">
                  <c:v>Montos a Favor del Usuario</c:v>
                </c:pt>
              </c:strCache>
            </c:strRef>
          </c:tx>
          <c:spPr>
            <a:solidFill>
              <a:schemeClr val="accent1"/>
            </a:solidFill>
            <a:ln>
              <a:noFill/>
            </a:ln>
            <a:effectLst/>
          </c:spPr>
          <c:invertIfNegative val="0"/>
          <c:cat>
            <c:strRef>
              <c:f>'Data Grafico'!$C$69:$H$69</c:f>
              <c:strCache>
                <c:ptCount val="6"/>
                <c:pt idx="0">
                  <c:v>Enero - Junio</c:v>
                </c:pt>
                <c:pt idx="1">
                  <c:v>Julio</c:v>
                </c:pt>
                <c:pt idx="2">
                  <c:v>Agosto</c:v>
                </c:pt>
                <c:pt idx="3">
                  <c:v>Septiembre</c:v>
                </c:pt>
                <c:pt idx="4">
                  <c:v>Octubre</c:v>
                </c:pt>
                <c:pt idx="5">
                  <c:v>Noviembre</c:v>
                </c:pt>
              </c:strCache>
            </c:strRef>
          </c:cat>
          <c:val>
            <c:numRef>
              <c:f>'Data Grafico'!$C$70:$H$70</c:f>
              <c:numCache>
                <c:formatCode>0.00</c:formatCode>
                <c:ptCount val="6"/>
                <c:pt idx="0" formatCode="_(&quot;$&quot;* #,##0.00_);_(&quot;$&quot;* \(#,##0.00\);_(&quot;$&quot;* &quot;-&quot;??_);_(@_)">
                  <c:v>2498437.9900000002</c:v>
                </c:pt>
                <c:pt idx="1">
                  <c:v>0</c:v>
                </c:pt>
                <c:pt idx="2">
                  <c:v>0</c:v>
                </c:pt>
                <c:pt idx="3" formatCode="_(&quot;$&quot;* #,##0.00_);_(&quot;$&quot;* \(#,##0.00\);_(&quot;$&quot;* &quot;-&quot;??_);_(@_)">
                  <c:v>43552</c:v>
                </c:pt>
                <c:pt idx="4">
                  <c:v>0</c:v>
                </c:pt>
                <c:pt idx="5">
                  <c:v>0</c:v>
                </c:pt>
              </c:numCache>
            </c:numRef>
          </c:val>
          <c:extLst xmlns:c16r2="http://schemas.microsoft.com/office/drawing/2015/06/chart">
            <c:ext xmlns:c16="http://schemas.microsoft.com/office/drawing/2014/chart" uri="{C3380CC4-5D6E-409C-BE32-E72D297353CC}">
              <c16:uniqueId val="{00000000-9179-4C48-969F-D80986FAE91F}"/>
            </c:ext>
          </c:extLst>
        </c:ser>
        <c:ser>
          <c:idx val="1"/>
          <c:order val="1"/>
          <c:tx>
            <c:strRef>
              <c:f>'Data Grafico'!$B$71</c:f>
              <c:strCache>
                <c:ptCount val="1"/>
                <c:pt idx="0">
                  <c:v>Montos a Favor de la Prestadora</c:v>
                </c:pt>
              </c:strCache>
            </c:strRef>
          </c:tx>
          <c:spPr>
            <a:solidFill>
              <a:schemeClr val="accent2"/>
            </a:solidFill>
            <a:ln>
              <a:noFill/>
            </a:ln>
            <a:effectLst/>
          </c:spPr>
          <c:invertIfNegative val="0"/>
          <c:cat>
            <c:strRef>
              <c:f>'Data Grafico'!$C$69:$H$69</c:f>
              <c:strCache>
                <c:ptCount val="6"/>
                <c:pt idx="0">
                  <c:v>Enero - Junio</c:v>
                </c:pt>
                <c:pt idx="1">
                  <c:v>Julio</c:v>
                </c:pt>
                <c:pt idx="2">
                  <c:v>Agosto</c:v>
                </c:pt>
                <c:pt idx="3">
                  <c:v>Septiembre</c:v>
                </c:pt>
                <c:pt idx="4">
                  <c:v>Octubre</c:v>
                </c:pt>
                <c:pt idx="5">
                  <c:v>Noviembre</c:v>
                </c:pt>
              </c:strCache>
            </c:strRef>
          </c:cat>
          <c:val>
            <c:numRef>
              <c:f>'Data Grafico'!$C$71:$H$71</c:f>
              <c:numCache>
                <c:formatCode>_("$"* #,##0.00_);_("$"* \(#,##0.00\);_("$"* "-"??_);_(@_)</c:formatCode>
                <c:ptCount val="6"/>
                <c:pt idx="0">
                  <c:v>841128.12</c:v>
                </c:pt>
                <c:pt idx="1">
                  <c:v>35606</c:v>
                </c:pt>
                <c:pt idx="2">
                  <c:v>244735.15</c:v>
                </c:pt>
                <c:pt idx="3" formatCode="0.00">
                  <c:v>0</c:v>
                </c:pt>
                <c:pt idx="4" formatCode="0.00">
                  <c:v>0</c:v>
                </c:pt>
                <c:pt idx="5" formatCode="0.00">
                  <c:v>0</c:v>
                </c:pt>
              </c:numCache>
            </c:numRef>
          </c:val>
          <c:extLst xmlns:c16r2="http://schemas.microsoft.com/office/drawing/2015/06/chart">
            <c:ext xmlns:c16="http://schemas.microsoft.com/office/drawing/2014/chart" uri="{C3380CC4-5D6E-409C-BE32-E72D297353CC}">
              <c16:uniqueId val="{00000001-9179-4C48-969F-D80986FAE91F}"/>
            </c:ext>
          </c:extLst>
        </c:ser>
        <c:dLbls>
          <c:showLegendKey val="0"/>
          <c:showVal val="0"/>
          <c:showCatName val="0"/>
          <c:showSerName val="0"/>
          <c:showPercent val="0"/>
          <c:showBubbleSize val="0"/>
        </c:dLbls>
        <c:gapWidth val="267"/>
        <c:overlap val="-43"/>
        <c:axId val="441815200"/>
        <c:axId val="441806968"/>
      </c:barChart>
      <c:catAx>
        <c:axId val="4418152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441806968"/>
        <c:crosses val="autoZero"/>
        <c:auto val="1"/>
        <c:lblAlgn val="ctr"/>
        <c:lblOffset val="100"/>
        <c:noMultiLvlLbl val="0"/>
      </c:catAx>
      <c:valAx>
        <c:axId val="441806968"/>
        <c:scaling>
          <c:orientation val="minMax"/>
        </c:scaling>
        <c:delete val="1"/>
        <c:axPos val="l"/>
        <c:numFmt formatCode="_(&quot;$&quot;* #,##0.00_);_(&quot;$&quot;* \(#,##0.00\);_(&quot;$&quot;* &quot;-&quot;??_);_(@_)" sourceLinked="1"/>
        <c:majorTickMark val="none"/>
        <c:minorTickMark val="none"/>
        <c:tickLblPos val="nextTo"/>
        <c:crossAx val="441815200"/>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lt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Estatus de Casos</a:t>
            </a:r>
          </a:p>
          <a:p>
            <a:pPr>
              <a:defRPr sz="1200">
                <a:solidFill>
                  <a:srgbClr val="767171"/>
                </a:solidFill>
                <a:latin typeface="Times New Roman" panose="02020603050405020304" pitchFamily="18" charset="0"/>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Enero - Octubre de 2021</a:t>
            </a:r>
          </a:p>
        </c:rich>
      </c:tx>
      <c:layout>
        <c:manualLayout>
          <c:xMode val="edge"/>
          <c:yMode val="edge"/>
          <c:x val="0.3635485564304462"/>
          <c:y val="1.47758092738407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885870516185476"/>
          <c:y val="0.24351851851851855"/>
          <c:w val="0.82058573928258971"/>
          <c:h val="0.705555555555555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Hoja1!$E$33:$F$33</c:f>
              <c:numCache>
                <c:formatCode>General</c:formatCode>
                <c:ptCount val="2"/>
                <c:pt idx="0">
                  <c:v>930</c:v>
                </c:pt>
                <c:pt idx="1">
                  <c:v>262</c:v>
                </c:pt>
              </c:numCache>
            </c:numRef>
          </c:val>
          <c:smooth val="0"/>
        </c:ser>
        <c:dLbls>
          <c:showLegendKey val="0"/>
          <c:showVal val="0"/>
          <c:showCatName val="0"/>
          <c:showSerName val="0"/>
          <c:showPercent val="0"/>
          <c:showBubbleSize val="0"/>
        </c:dLbls>
        <c:marker val="1"/>
        <c:smooth val="0"/>
        <c:axId val="441809320"/>
        <c:axId val="441815592"/>
      </c:lineChart>
      <c:catAx>
        <c:axId val="441809320"/>
        <c:scaling>
          <c:orientation val="minMax"/>
        </c:scaling>
        <c:delete val="1"/>
        <c:axPos val="b"/>
        <c:numFmt formatCode="General" sourceLinked="1"/>
        <c:majorTickMark val="none"/>
        <c:minorTickMark val="none"/>
        <c:tickLblPos val="nextTo"/>
        <c:crossAx val="441815592"/>
        <c:crosses val="autoZero"/>
        <c:auto val="1"/>
        <c:lblAlgn val="ctr"/>
        <c:lblOffset val="100"/>
        <c:noMultiLvlLbl val="0"/>
      </c:catAx>
      <c:valAx>
        <c:axId val="441815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Cantidad de Casos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809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b="1" i="0" baseline="0">
                <a:solidFill>
                  <a:schemeClr val="bg1">
                    <a:lumMod val="65000"/>
                  </a:schemeClr>
                </a:solidFill>
                <a:effectLst/>
                <a:latin typeface="Times New Roman" panose="02020603050405020304" pitchFamily="18" charset="0"/>
                <a:cs typeface="Times New Roman" panose="02020603050405020304" pitchFamily="18" charset="0"/>
              </a:rPr>
              <a:t>Solicitudes de Información </a:t>
            </a:r>
            <a:endParaRPr lang="es-DO" sz="1200">
              <a:solidFill>
                <a:schemeClr val="bg1">
                  <a:lumMod val="65000"/>
                </a:schemeClr>
              </a:solidFill>
              <a:effectLst/>
              <a:latin typeface="Times New Roman" panose="02020603050405020304" pitchFamily="18" charset="0"/>
              <a:cs typeface="Times New Roman" panose="02020603050405020304" pitchFamily="18" charset="0"/>
            </a:endParaRPr>
          </a:p>
          <a:p>
            <a:pPr>
              <a:defRPr/>
            </a:pPr>
            <a:r>
              <a:rPr lang="en-US" sz="1200" b="1" i="0" baseline="0">
                <a:solidFill>
                  <a:schemeClr val="bg1">
                    <a:lumMod val="65000"/>
                  </a:schemeClr>
                </a:solidFill>
                <a:effectLst/>
                <a:latin typeface="Times New Roman" panose="02020603050405020304" pitchFamily="18" charset="0"/>
                <a:cs typeface="Times New Roman" panose="02020603050405020304" pitchFamily="18" charset="0"/>
              </a:rPr>
              <a:t>Enero - Noviembre de 2021</a:t>
            </a:r>
            <a:endParaRPr lang="es-DO" sz="1200">
              <a:solidFill>
                <a:schemeClr val="bg1">
                  <a:lumMod val="65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'Estad. Trimestral'!$A$9</c:f>
              <c:strCache>
                <c:ptCount val="1"/>
                <c:pt idx="0">
                  <c:v>Enero</c:v>
                </c:pt>
              </c:strCache>
            </c:strRef>
          </c:tx>
          <c:spPr>
            <a:solidFill>
              <a:schemeClr val="accent1">
                <a:lumMod val="20000"/>
                <a:lumOff val="8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Trimestral'!$B$9:$E$9</c:f>
              <c:numCache>
                <c:formatCode>General</c:formatCode>
                <c:ptCount val="4"/>
                <c:pt idx="0">
                  <c:v>8</c:v>
                </c:pt>
                <c:pt idx="1">
                  <c:v>0</c:v>
                </c:pt>
                <c:pt idx="2">
                  <c:v>0</c:v>
                </c:pt>
                <c:pt idx="3">
                  <c:v>8</c:v>
                </c:pt>
              </c:numCache>
            </c:numRef>
          </c:val>
        </c:ser>
        <c:ser>
          <c:idx val="1"/>
          <c:order val="1"/>
          <c:tx>
            <c:strRef>
              <c:f>'Estad. Trimestral'!$A$10</c:f>
              <c:strCache>
                <c:ptCount val="1"/>
                <c:pt idx="0">
                  <c:v>Febrero</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Trimestral'!$B$10:$E$10</c:f>
              <c:numCache>
                <c:formatCode>General</c:formatCode>
                <c:ptCount val="4"/>
                <c:pt idx="0">
                  <c:v>20</c:v>
                </c:pt>
                <c:pt idx="1">
                  <c:v>5</c:v>
                </c:pt>
                <c:pt idx="2">
                  <c:v>1</c:v>
                </c:pt>
                <c:pt idx="3">
                  <c:v>14</c:v>
                </c:pt>
              </c:numCache>
            </c:numRef>
          </c:val>
        </c:ser>
        <c:ser>
          <c:idx val="2"/>
          <c:order val="2"/>
          <c:tx>
            <c:strRef>
              <c:f>'Estad. Trimestral'!$A$11</c:f>
              <c:strCache>
                <c:ptCount val="1"/>
                <c:pt idx="0">
                  <c:v>Marzo</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beve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Trimestral'!$B$11:$E$11</c:f>
              <c:numCache>
                <c:formatCode>General</c:formatCode>
                <c:ptCount val="4"/>
                <c:pt idx="0">
                  <c:v>9</c:v>
                </c:pt>
                <c:pt idx="1">
                  <c:v>2</c:v>
                </c:pt>
                <c:pt idx="2">
                  <c:v>3</c:v>
                </c:pt>
                <c:pt idx="3">
                  <c:v>4</c:v>
                </c:pt>
              </c:numCache>
            </c:numRef>
          </c:val>
        </c:ser>
        <c:ser>
          <c:idx val="3"/>
          <c:order val="3"/>
          <c:tx>
            <c:strRef>
              <c:f>'Estad. Trimestral'!$A$12</c:f>
              <c:strCache>
                <c:ptCount val="1"/>
                <c:pt idx="0">
                  <c:v>Abril</c:v>
                </c:pt>
              </c:strCache>
            </c:strRef>
          </c:tx>
          <c:spPr>
            <a:solidFill>
              <a:schemeClr val="accent1">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Trimestral'!$B$12:$E$12</c:f>
              <c:numCache>
                <c:formatCode>General</c:formatCode>
                <c:ptCount val="4"/>
                <c:pt idx="0">
                  <c:v>13</c:v>
                </c:pt>
                <c:pt idx="1">
                  <c:v>1</c:v>
                </c:pt>
                <c:pt idx="2">
                  <c:v>0</c:v>
                </c:pt>
                <c:pt idx="3">
                  <c:v>12</c:v>
                </c:pt>
              </c:numCache>
            </c:numRef>
          </c:val>
        </c:ser>
        <c:ser>
          <c:idx val="4"/>
          <c:order val="4"/>
          <c:tx>
            <c:strRef>
              <c:f>'Estad. Trimestral'!$A$13</c:f>
              <c:strCache>
                <c:ptCount val="1"/>
                <c:pt idx="0">
                  <c:v>Mayo</c:v>
                </c:pt>
              </c:strCache>
            </c:strRef>
          </c:tx>
          <c:spPr>
            <a:solidFill>
              <a:schemeClr val="accent1">
                <a:lumMod val="5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Trimestral'!$B$13:$E$13</c:f>
              <c:numCache>
                <c:formatCode>General</c:formatCode>
                <c:ptCount val="4"/>
                <c:pt idx="0">
                  <c:v>11</c:v>
                </c:pt>
                <c:pt idx="1">
                  <c:v>0</c:v>
                </c:pt>
                <c:pt idx="2">
                  <c:v>1</c:v>
                </c:pt>
                <c:pt idx="3">
                  <c:v>10</c:v>
                </c:pt>
              </c:numCache>
            </c:numRef>
          </c:val>
        </c:ser>
        <c:ser>
          <c:idx val="5"/>
          <c:order val="5"/>
          <c:tx>
            <c:strRef>
              <c:f>'Estad. Trimestral'!$A$14</c:f>
              <c:strCache>
                <c:ptCount val="1"/>
                <c:pt idx="0">
                  <c:v>Junio</c:v>
                </c:pt>
              </c:strCache>
            </c:strRef>
          </c:tx>
          <c:spPr>
            <a:solidFill>
              <a:schemeClr val="accent5">
                <a:lumMod val="40000"/>
                <a:lumOff val="6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Trimestral'!$B$14:$E$14</c:f>
              <c:numCache>
                <c:formatCode>General</c:formatCode>
                <c:ptCount val="4"/>
                <c:pt idx="0">
                  <c:v>10</c:v>
                </c:pt>
                <c:pt idx="1">
                  <c:v>0</c:v>
                </c:pt>
                <c:pt idx="2">
                  <c:v>2</c:v>
                </c:pt>
                <c:pt idx="3">
                  <c:v>8</c:v>
                </c:pt>
              </c:numCache>
            </c:numRef>
          </c:val>
        </c:ser>
        <c:ser>
          <c:idx val="6"/>
          <c:order val="6"/>
          <c:tx>
            <c:strRef>
              <c:f>'Estad. Trimestral'!$A$15</c:f>
              <c:strCache>
                <c:ptCount val="1"/>
                <c:pt idx="0">
                  <c:v>Julio</c:v>
                </c:pt>
              </c:strCache>
            </c:strRef>
          </c:tx>
          <c:spPr>
            <a:solidFill>
              <a:schemeClr val="accent1">
                <a:lumMod val="20000"/>
                <a:lumOff val="8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Trimestral'!$B$15:$E$15</c:f>
              <c:numCache>
                <c:formatCode>General</c:formatCode>
                <c:ptCount val="4"/>
                <c:pt idx="0">
                  <c:v>10</c:v>
                </c:pt>
                <c:pt idx="1">
                  <c:v>1</c:v>
                </c:pt>
                <c:pt idx="2">
                  <c:v>2</c:v>
                </c:pt>
                <c:pt idx="3">
                  <c:v>7</c:v>
                </c:pt>
              </c:numCache>
            </c:numRef>
          </c:val>
        </c:ser>
        <c:ser>
          <c:idx val="7"/>
          <c:order val="7"/>
          <c:tx>
            <c:strRef>
              <c:f>'Estad. Trimestral'!$A$16</c:f>
              <c:strCache>
                <c:ptCount val="1"/>
                <c:pt idx="0">
                  <c:v>Agosto</c:v>
                </c:pt>
              </c:strCache>
            </c:strRef>
          </c:tx>
          <c:spPr>
            <a:solidFill>
              <a:schemeClr val="accent5">
                <a:lumMod val="50000"/>
              </a:schemeClr>
            </a:solidFill>
            <a:ln>
              <a:noFill/>
            </a:ln>
            <a:effectLst>
              <a:outerShdw blurRad="57150" dist="19050" dir="5400000" algn="ctr" rotWithShape="0">
                <a:srgbClr val="000000">
                  <a:alpha val="63000"/>
                </a:srgbClr>
              </a:outerShdw>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Trimestral'!$B$16:$E$16</c:f>
              <c:numCache>
                <c:formatCode>General</c:formatCode>
                <c:ptCount val="4"/>
                <c:pt idx="0">
                  <c:v>10</c:v>
                </c:pt>
                <c:pt idx="1">
                  <c:v>1</c:v>
                </c:pt>
                <c:pt idx="2">
                  <c:v>0</c:v>
                </c:pt>
                <c:pt idx="3">
                  <c:v>9</c:v>
                </c:pt>
              </c:numCache>
            </c:numRef>
          </c:val>
        </c:ser>
        <c:ser>
          <c:idx val="8"/>
          <c:order val="8"/>
          <c:tx>
            <c:strRef>
              <c:f>'Estad. Trimestral'!$A$17</c:f>
              <c:strCache>
                <c:ptCount val="1"/>
                <c:pt idx="0">
                  <c:v>Septiembre</c:v>
                </c:pt>
              </c:strCache>
            </c:strRef>
          </c:tx>
          <c:spPr>
            <a:solidFill>
              <a:schemeClr val="accent5">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solidFill>
                        <a:schemeClr val="bg1">
                          <a:lumMod val="75000"/>
                        </a:schemeClr>
                      </a:solidFill>
                    </a:ln>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Trimestral'!$B$17:$E$17</c:f>
              <c:numCache>
                <c:formatCode>General</c:formatCode>
                <c:ptCount val="4"/>
                <c:pt idx="0">
                  <c:v>15</c:v>
                </c:pt>
                <c:pt idx="1">
                  <c:v>5</c:v>
                </c:pt>
                <c:pt idx="2">
                  <c:v>0</c:v>
                </c:pt>
                <c:pt idx="3">
                  <c:v>10</c:v>
                </c:pt>
              </c:numCache>
            </c:numRef>
          </c:val>
        </c:ser>
        <c:ser>
          <c:idx val="9"/>
          <c:order val="9"/>
          <c:tx>
            <c:strRef>
              <c:f>'Estad. Trimestral'!$A$18</c:f>
              <c:strCache>
                <c:ptCount val="1"/>
                <c:pt idx="0">
                  <c:v>Octubre</c:v>
                </c:pt>
              </c:strCache>
            </c:strRef>
          </c:tx>
          <c:spPr>
            <a:solidFill>
              <a:schemeClr val="accent1">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solidFill>
                        <a:schemeClr val="bg1">
                          <a:lumMod val="75000"/>
                        </a:schemeClr>
                      </a:solidFill>
                    </a:ln>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Trimestral'!$B$18:$E$18</c:f>
              <c:numCache>
                <c:formatCode>General</c:formatCode>
                <c:ptCount val="4"/>
                <c:pt idx="0">
                  <c:v>12</c:v>
                </c:pt>
                <c:pt idx="1">
                  <c:v>0</c:v>
                </c:pt>
                <c:pt idx="2">
                  <c:v>2</c:v>
                </c:pt>
                <c:pt idx="3">
                  <c:v>10</c:v>
                </c:pt>
              </c:numCache>
            </c:numRef>
          </c:val>
        </c:ser>
        <c:ser>
          <c:idx val="10"/>
          <c:order val="10"/>
          <c:tx>
            <c:strRef>
              <c:f>'Estad. Trimestral'!$A$19</c:f>
              <c:strCache>
                <c:ptCount val="1"/>
                <c:pt idx="0">
                  <c:v>Noviembre</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solidFill>
                        <a:schemeClr val="bg1">
                          <a:lumMod val="75000"/>
                        </a:schemeClr>
                      </a:solidFill>
                    </a:ln>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'Estad. Trimestral'!$B$8:$E$8</c:f>
              <c:strCache>
                <c:ptCount val="4"/>
                <c:pt idx="0">
                  <c:v>Total Solicitudes Recibidas</c:v>
                </c:pt>
                <c:pt idx="1">
                  <c:v>Presencial</c:v>
                </c:pt>
                <c:pt idx="2">
                  <c:v>Correo Electrónico </c:v>
                </c:pt>
                <c:pt idx="3">
                  <c:v>SAIP</c:v>
                </c:pt>
              </c:strCache>
            </c:strRef>
          </c:cat>
          <c:val>
            <c:numRef>
              <c:f>'Estad. Trimestral'!$B$19:$E$19</c:f>
              <c:numCache>
                <c:formatCode>General</c:formatCode>
                <c:ptCount val="4"/>
                <c:pt idx="0">
                  <c:v>5</c:v>
                </c:pt>
                <c:pt idx="1">
                  <c:v>1</c:v>
                </c:pt>
                <c:pt idx="2">
                  <c:v>1</c:v>
                </c:pt>
                <c:pt idx="3">
                  <c:v>3</c:v>
                </c:pt>
              </c:numCache>
            </c:numRef>
          </c:val>
        </c:ser>
        <c:dLbls>
          <c:dLblPos val="inEnd"/>
          <c:showLegendKey val="0"/>
          <c:showVal val="1"/>
          <c:showCatName val="0"/>
          <c:showSerName val="0"/>
          <c:showPercent val="0"/>
          <c:showBubbleSize val="0"/>
        </c:dLbls>
        <c:gapWidth val="100"/>
        <c:overlap val="-24"/>
        <c:axId val="441812456"/>
        <c:axId val="441812848"/>
      </c:barChart>
      <c:catAx>
        <c:axId val="441812456"/>
        <c:scaling>
          <c:orientation val="minMax"/>
        </c:scaling>
        <c:delete val="0"/>
        <c:axPos val="b"/>
        <c:numFmt formatCode="General" sourceLinked="1"/>
        <c:majorTickMark val="none"/>
        <c:minorTickMark val="none"/>
        <c:tickLblPos val="nextTo"/>
        <c:spPr>
          <a:solidFill>
            <a:schemeClr val="bg1"/>
          </a:solid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crossAx val="441812848"/>
        <c:crosses val="autoZero"/>
        <c:auto val="1"/>
        <c:lblAlgn val="ctr"/>
        <c:lblOffset val="100"/>
        <c:noMultiLvlLbl val="0"/>
      </c:catAx>
      <c:valAx>
        <c:axId val="441812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crossAx val="44181245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a:solidFill>
        <a:schemeClr val="bg1">
          <a:lumMod val="85000"/>
        </a:schemeClr>
      </a:solidFill>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spc="100" baseline="0">
                <a:solidFill>
                  <a:srgbClr val="767171"/>
                </a:solidFill>
                <a:effectLst>
                  <a:outerShdw blurRad="50800" dist="38100" dir="5400000" algn="t" rotWithShape="0">
                    <a:prstClr val="black">
                      <a:alpha val="40000"/>
                    </a:prstClr>
                  </a:outerShdw>
                </a:effectLst>
                <a:latin typeface="+mn-lt"/>
                <a:ea typeface="+mn-ea"/>
                <a:cs typeface="+mn-cs"/>
              </a:defRPr>
            </a:pPr>
            <a:r>
              <a:rPr lang="es-DO" sz="1200" b="1" i="0" kern="1200" spc="100" baseline="0">
                <a:solidFill>
                  <a:srgbClr val="767171"/>
                </a:solidFill>
                <a:effectLst/>
                <a:latin typeface="Times New Roman" panose="02020603050405020304" pitchFamily="18" charset="0"/>
                <a:cs typeface="Times New Roman" panose="02020603050405020304" pitchFamily="18" charset="0"/>
              </a:rPr>
              <a:t>Sistema de Atención Ciudadana 3-1-1 </a:t>
            </a:r>
            <a:r>
              <a:rPr lang="en-US" sz="1200" b="1" i="0" kern="1200" spc="100" baseline="0">
                <a:solidFill>
                  <a:srgbClr val="767171"/>
                </a:solidFill>
                <a:effectLst/>
                <a:latin typeface="Times New Roman" panose="02020603050405020304" pitchFamily="18" charset="0"/>
                <a:cs typeface="Times New Roman" panose="02020603050405020304" pitchFamily="18" charset="0"/>
              </a:rPr>
              <a:t>de Quejas, Reclamaciones y Sugerencias </a:t>
            </a:r>
          </a:p>
          <a:p>
            <a:pPr algn="ctr">
              <a:defRPr>
                <a:solidFill>
                  <a:srgbClr val="767171"/>
                </a:solidFill>
              </a:defRPr>
            </a:pPr>
            <a:r>
              <a:rPr lang="en-US" sz="1200" b="1" i="0" kern="1200" spc="100" baseline="0">
                <a:solidFill>
                  <a:srgbClr val="767171"/>
                </a:solidFill>
                <a:effectLst/>
                <a:latin typeface="Times New Roman" panose="02020603050405020304" pitchFamily="18" charset="0"/>
                <a:cs typeface="Times New Roman" panose="02020603050405020304" pitchFamily="18" charset="0"/>
              </a:rPr>
              <a:t>Enero - Noviembre de 2021</a:t>
            </a:r>
            <a:endParaRPr lang="es-DO" sz="1200" b="1">
              <a:solidFill>
                <a:srgbClr val="767171"/>
              </a:solidFill>
              <a:effectLst/>
            </a:endParaRPr>
          </a:p>
        </c:rich>
      </c:tx>
      <c:overlay val="0"/>
      <c:spPr>
        <a:noFill/>
        <a:ln>
          <a:noFill/>
        </a:ln>
        <a:effectLst/>
      </c:spPr>
      <c:txPr>
        <a:bodyPr rot="0" spcFirstLastPara="1" vertOverflow="ellipsis" vert="horz" wrap="square" anchor="ctr" anchorCtr="1"/>
        <a:lstStyle/>
        <a:p>
          <a:pPr algn="ctr">
            <a:defRPr sz="1600" b="1" i="0" u="none" strike="noStrike" kern="1200" spc="100" baseline="0">
              <a:solidFill>
                <a:srgbClr val="76717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Hoja1!$A$8</c:f>
              <c:strCache>
                <c:ptCount val="1"/>
                <c:pt idx="0">
                  <c:v>Enero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Hoja1!$B$8:$D$8</c:f>
              <c:numCache>
                <c:formatCode>General</c:formatCode>
                <c:ptCount val="3"/>
                <c:pt idx="0">
                  <c:v>0</c:v>
                </c:pt>
                <c:pt idx="1">
                  <c:v>0</c:v>
                </c:pt>
                <c:pt idx="2">
                  <c:v>0</c:v>
                </c:pt>
              </c:numCache>
            </c:numRef>
          </c:val>
        </c:ser>
        <c:ser>
          <c:idx val="1"/>
          <c:order val="1"/>
          <c:tx>
            <c:strRef>
              <c:f>Hoja1!$A$9</c:f>
              <c:strCache>
                <c:ptCount val="1"/>
                <c:pt idx="0">
                  <c:v>Febrero</c:v>
                </c:pt>
              </c:strCache>
            </c:strRef>
          </c:tx>
          <c:spPr>
            <a:solidFill>
              <a:srgbClr val="5B9BD5">
                <a:lumMod val="60000"/>
                <a:lumOff val="40000"/>
              </a:srgbClr>
            </a:soli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Hoja1!$B$9:$D$9</c:f>
              <c:numCache>
                <c:formatCode>General</c:formatCode>
                <c:ptCount val="3"/>
                <c:pt idx="0">
                  <c:v>0</c:v>
                </c:pt>
                <c:pt idx="1">
                  <c:v>0</c:v>
                </c:pt>
                <c:pt idx="2">
                  <c:v>0</c:v>
                </c:pt>
              </c:numCache>
            </c:numRef>
          </c:val>
        </c:ser>
        <c:ser>
          <c:idx val="2"/>
          <c:order val="2"/>
          <c:tx>
            <c:strRef>
              <c:f>Hoja1!$A$10</c:f>
              <c:strCache>
                <c:ptCount val="1"/>
                <c:pt idx="0">
                  <c:v>Marzo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Hoja1!$B$10:$D$10</c:f>
              <c:numCache>
                <c:formatCode>General</c:formatCode>
                <c:ptCount val="3"/>
                <c:pt idx="0">
                  <c:v>0</c:v>
                </c:pt>
                <c:pt idx="1">
                  <c:v>0</c:v>
                </c:pt>
                <c:pt idx="2">
                  <c:v>0</c:v>
                </c:pt>
              </c:numCache>
            </c:numRef>
          </c:val>
        </c:ser>
        <c:ser>
          <c:idx val="3"/>
          <c:order val="3"/>
          <c:tx>
            <c:strRef>
              <c:f>Hoja1!$A$11</c:f>
              <c:strCache>
                <c:ptCount val="1"/>
                <c:pt idx="0">
                  <c:v>Abril</c:v>
                </c:pt>
              </c:strCache>
            </c:strRef>
          </c:tx>
          <c:spPr>
            <a:solidFill>
              <a:srgbClr val="5B9BD5">
                <a:lumMod val="20000"/>
                <a:lumOff val="80000"/>
              </a:srgbClr>
            </a:soli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Hoja1!$B$11:$D$11</c:f>
              <c:numCache>
                <c:formatCode>General</c:formatCode>
                <c:ptCount val="3"/>
                <c:pt idx="0">
                  <c:v>0</c:v>
                </c:pt>
                <c:pt idx="1">
                  <c:v>0</c:v>
                </c:pt>
                <c:pt idx="2">
                  <c:v>0</c:v>
                </c:pt>
              </c:numCache>
            </c:numRef>
          </c:val>
        </c:ser>
        <c:ser>
          <c:idx val="4"/>
          <c:order val="4"/>
          <c:tx>
            <c:strRef>
              <c:f>Hoja1!$A$12</c:f>
              <c:strCache>
                <c:ptCount val="1"/>
                <c:pt idx="0">
                  <c:v>Mayo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Hoja1!$B$12:$D$12</c:f>
              <c:numCache>
                <c:formatCode>General</c:formatCode>
                <c:ptCount val="3"/>
                <c:pt idx="0">
                  <c:v>0</c:v>
                </c:pt>
                <c:pt idx="1">
                  <c:v>0</c:v>
                </c:pt>
                <c:pt idx="2">
                  <c:v>0</c:v>
                </c:pt>
              </c:numCache>
            </c:numRef>
          </c:val>
        </c:ser>
        <c:ser>
          <c:idx val="5"/>
          <c:order val="5"/>
          <c:tx>
            <c:strRef>
              <c:f>Hoja1!$A$13</c:f>
              <c:strCache>
                <c:ptCount val="1"/>
                <c:pt idx="0">
                  <c:v>Junio</c:v>
                </c:pt>
              </c:strCache>
            </c:strRef>
          </c:tx>
          <c:spPr>
            <a:solidFill>
              <a:srgbClr val="4472C4">
                <a:lumMod val="50000"/>
              </a:srgbClr>
            </a:solidFill>
            <a:ln>
              <a:noFill/>
            </a:ln>
            <a:effectLst>
              <a:outerShdw blurRad="57150" dist="19050" dir="5400000" algn="ctr" rotWithShape="0">
                <a:srgbClr val="000000">
                  <a:alpha val="63000"/>
                </a:srgbClr>
              </a:out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Lst>
            </c:dLbl>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Hoja1!$B$13:$D$13</c:f>
              <c:numCache>
                <c:formatCode>General</c:formatCode>
                <c:ptCount val="3"/>
                <c:pt idx="0">
                  <c:v>1</c:v>
                </c:pt>
                <c:pt idx="1">
                  <c:v>0</c:v>
                </c:pt>
                <c:pt idx="2">
                  <c:v>0</c:v>
                </c:pt>
              </c:numCache>
            </c:numRef>
          </c:val>
        </c:ser>
        <c:ser>
          <c:idx val="6"/>
          <c:order val="6"/>
          <c:tx>
            <c:strRef>
              <c:f>Hoja1!$A$14</c:f>
              <c:strCache>
                <c:ptCount val="1"/>
                <c:pt idx="0">
                  <c:v>Julio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Hoja1!$B$14:$D$14</c:f>
              <c:numCache>
                <c:formatCode>General</c:formatCode>
                <c:ptCount val="3"/>
                <c:pt idx="0">
                  <c:v>1</c:v>
                </c:pt>
                <c:pt idx="1">
                  <c:v>0</c:v>
                </c:pt>
                <c:pt idx="2">
                  <c:v>0</c:v>
                </c:pt>
              </c:numCache>
            </c:numRef>
          </c:val>
        </c:ser>
        <c:ser>
          <c:idx val="7"/>
          <c:order val="7"/>
          <c:tx>
            <c:strRef>
              <c:f>Hoja1!$A$15</c:f>
              <c:strCache>
                <c:ptCount val="1"/>
                <c:pt idx="0">
                  <c:v>Agosto</c:v>
                </c:pt>
              </c:strCache>
            </c:strRef>
          </c:tx>
          <c:spPr>
            <a:solidFill>
              <a:srgbClr val="0070C0"/>
            </a:soli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Hoja1!$B$15:$D$15</c:f>
              <c:numCache>
                <c:formatCode>General</c:formatCode>
                <c:ptCount val="3"/>
                <c:pt idx="0">
                  <c:v>3</c:v>
                </c:pt>
                <c:pt idx="1">
                  <c:v>0</c:v>
                </c:pt>
                <c:pt idx="2">
                  <c:v>0</c:v>
                </c:pt>
              </c:numCache>
            </c:numRef>
          </c:val>
        </c:ser>
        <c:ser>
          <c:idx val="8"/>
          <c:order val="8"/>
          <c:tx>
            <c:strRef>
              <c:f>Hoja1!$A$16</c:f>
              <c:strCache>
                <c:ptCount val="1"/>
                <c:pt idx="0">
                  <c:v>Septiembre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Hoja1!$B$16:$D$16</c:f>
              <c:numCache>
                <c:formatCode>General</c:formatCode>
                <c:ptCount val="3"/>
                <c:pt idx="0">
                  <c:v>0</c:v>
                </c:pt>
                <c:pt idx="1">
                  <c:v>0</c:v>
                </c:pt>
                <c:pt idx="2">
                  <c:v>0</c:v>
                </c:pt>
              </c:numCache>
            </c:numRef>
          </c:val>
        </c:ser>
        <c:ser>
          <c:idx val="9"/>
          <c:order val="9"/>
          <c:tx>
            <c:strRef>
              <c:f>Hoja1!$A$17</c:f>
              <c:strCache>
                <c:ptCount val="1"/>
                <c:pt idx="0">
                  <c:v>Octubre</c:v>
                </c:pt>
              </c:strCache>
            </c:strRef>
          </c:tx>
          <c:spPr>
            <a:solidFill>
              <a:srgbClr val="5B9BD5">
                <a:lumMod val="40000"/>
                <a:lumOff val="60000"/>
              </a:srgbClr>
            </a:solidFill>
            <a:ln>
              <a:noFill/>
            </a:ln>
            <a:effectLst>
              <a:outerShdw blurRad="57150" dist="19050" dir="5400000" algn="ctr" rotWithShape="0">
                <a:srgbClr val="000000">
                  <a:alpha val="63000"/>
                </a:srgbClr>
              </a:out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Lst>
            </c:dLbl>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Hoja1!$B$17:$D$17</c:f>
              <c:numCache>
                <c:formatCode>General</c:formatCode>
                <c:ptCount val="3"/>
                <c:pt idx="0">
                  <c:v>1</c:v>
                </c:pt>
                <c:pt idx="1">
                  <c:v>0</c:v>
                </c:pt>
                <c:pt idx="2">
                  <c:v>0</c:v>
                </c:pt>
              </c:numCache>
            </c:numRef>
          </c:val>
        </c:ser>
        <c:ser>
          <c:idx val="10"/>
          <c:order val="10"/>
          <c:tx>
            <c:strRef>
              <c:f>Hoja1!$A$18</c:f>
              <c:strCache>
                <c:ptCount val="1"/>
                <c:pt idx="0">
                  <c:v>Noviembre</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solidFill>
                  <a:sysClr val="window" lastClr="FFFFFF">
                    <a:lumMod val="8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Hoja1!$B$7:$D$7</c:f>
              <c:strCache>
                <c:ptCount val="3"/>
                <c:pt idx="0">
                  <c:v>Quejas</c:v>
                </c:pt>
                <c:pt idx="1">
                  <c:v>Reclamaciones</c:v>
                </c:pt>
                <c:pt idx="2">
                  <c:v>Sugerencias</c:v>
                </c:pt>
              </c:strCache>
            </c:strRef>
          </c:cat>
          <c:val>
            <c:numRef>
              <c:f>Hoja1!$B$18:$D$18</c:f>
              <c:numCache>
                <c:formatCode>General</c:formatCode>
                <c:ptCount val="3"/>
                <c:pt idx="0">
                  <c:v>0</c:v>
                </c:pt>
                <c:pt idx="1">
                  <c:v>0</c:v>
                </c:pt>
                <c:pt idx="2">
                  <c:v>0</c:v>
                </c:pt>
              </c:numCache>
            </c:numRef>
          </c:val>
        </c:ser>
        <c:dLbls>
          <c:dLblPos val="inEnd"/>
          <c:showLegendKey val="0"/>
          <c:showVal val="1"/>
          <c:showCatName val="0"/>
          <c:showSerName val="0"/>
          <c:showPercent val="0"/>
          <c:showBubbleSize val="0"/>
        </c:dLbls>
        <c:gapWidth val="100"/>
        <c:overlap val="-24"/>
        <c:axId val="441814024"/>
        <c:axId val="441819904"/>
      </c:barChart>
      <c:catAx>
        <c:axId val="441814024"/>
        <c:scaling>
          <c:orientation val="minMax"/>
        </c:scaling>
        <c:delete val="0"/>
        <c:axPos val="b"/>
        <c:numFmt formatCode="General" sourceLinked="1"/>
        <c:majorTickMark val="none"/>
        <c:minorTickMark val="none"/>
        <c:tickLblPos val="nextTo"/>
        <c:spPr>
          <a:noFill/>
          <a:ln w="15875" cap="flat" cmpd="sng" algn="ctr">
            <a:solidFill>
              <a:sysClr val="windowText" lastClr="000000">
                <a:lumMod val="95000"/>
                <a:lumOff val="5000"/>
              </a:sys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441819904"/>
        <c:crosses val="autoZero"/>
        <c:auto val="1"/>
        <c:lblAlgn val="ctr"/>
        <c:lblOffset val="100"/>
        <c:noMultiLvlLbl val="0"/>
      </c:catAx>
      <c:valAx>
        <c:axId val="441819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767171"/>
                </a:solidFill>
                <a:latin typeface="+mn-lt"/>
                <a:ea typeface="+mn-ea"/>
                <a:cs typeface="+mn-cs"/>
              </a:defRPr>
            </a:pPr>
            <a:endParaRPr lang="en-US"/>
          </a:p>
        </c:txPr>
        <c:crossAx val="441814024"/>
        <c:crosses val="autoZero"/>
        <c:crossBetween val="between"/>
      </c:valAx>
      <c:spPr>
        <a:noFill/>
        <a:ln>
          <a:solidFill>
            <a:sysClr val="window" lastClr="FFFFFF">
              <a:lumMod val="85000"/>
            </a:sys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a:solidFill>
        <a:sysClr val="windowText" lastClr="000000">
          <a:lumMod val="25000"/>
          <a:lumOff val="75000"/>
        </a:sysClr>
      </a:solidFill>
    </a:ln>
    <a:effectLst/>
  </c:spPr>
  <c:txPr>
    <a:bodyPr/>
    <a:lstStyle/>
    <a:p>
      <a:pPr>
        <a:defRPr/>
      </a:pPr>
      <a:endParaRPr lang="en-US"/>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100" baseline="0">
                <a:solidFill>
                  <a:srgbClr val="767171"/>
                </a:solidFill>
                <a:effectLst>
                  <a:outerShdw blurRad="50800" dist="38100" dir="5400000" algn="t" rotWithShape="0">
                    <a:prstClr val="black">
                      <a:alpha val="40000"/>
                    </a:prstClr>
                  </a:outerShdw>
                </a:effectLst>
                <a:latin typeface="+mn-lt"/>
                <a:ea typeface="+mn-ea"/>
                <a:cs typeface="+mn-cs"/>
              </a:defRPr>
            </a:pPr>
            <a:r>
              <a:rPr lang="en-US" sz="1200" b="1" i="0" baseline="0">
                <a:solidFill>
                  <a:srgbClr val="767171"/>
                </a:solidFill>
                <a:effectLst/>
                <a:latin typeface="Times New Roman" panose="02020603050405020304" pitchFamily="18" charset="0"/>
                <a:cs typeface="Times New Roman" panose="02020603050405020304" pitchFamily="18" charset="0"/>
              </a:rPr>
              <a:t>Evaluaciones Portal Transparencia </a:t>
            </a:r>
            <a:br>
              <a:rPr lang="en-US" sz="1200" b="1" i="0" baseline="0">
                <a:solidFill>
                  <a:srgbClr val="767171"/>
                </a:solidFill>
                <a:effectLst/>
                <a:latin typeface="Times New Roman" panose="02020603050405020304" pitchFamily="18" charset="0"/>
                <a:cs typeface="Times New Roman" panose="02020603050405020304" pitchFamily="18" charset="0"/>
              </a:rPr>
            </a:br>
            <a:r>
              <a:rPr lang="es-DO" sz="1200" b="1" i="0" u="none" strike="noStrike" baseline="0">
                <a:solidFill>
                  <a:srgbClr val="767171"/>
                </a:solidFill>
                <a:effectLst/>
                <a:latin typeface="Times New Roman" panose="02020603050405020304" pitchFamily="18" charset="0"/>
                <a:cs typeface="Times New Roman" panose="02020603050405020304" pitchFamily="18" charset="0"/>
              </a:rPr>
              <a:t>E</a:t>
            </a:r>
            <a:r>
              <a:rPr lang="es-DO" sz="1200" b="1" i="0" u="none" strike="noStrike" baseline="0">
                <a:effectLst/>
                <a:latin typeface="Times New Roman" panose="02020603050405020304" pitchFamily="18" charset="0"/>
                <a:cs typeface="Times New Roman" panose="02020603050405020304" pitchFamily="18" charset="0"/>
              </a:rPr>
              <a:t>nero - Julio de 2021</a:t>
            </a:r>
            <a:endParaRPr lang="en-US" sz="1200" b="1">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100" baseline="0">
              <a:solidFill>
                <a:srgbClr val="76717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6.1149145554105062E-2"/>
          <c:y val="0.19990614734866261"/>
          <c:w val="0.9152735315437408"/>
          <c:h val="0.64586882059733153"/>
        </c:manualLayout>
      </c:layout>
      <c:barChart>
        <c:barDir val="col"/>
        <c:grouping val="clustered"/>
        <c:varyColors val="0"/>
        <c:ser>
          <c:idx val="0"/>
          <c:order val="0"/>
          <c:tx>
            <c:strRef>
              <c:f>Hoja1!$A$8</c:f>
              <c:strCache>
                <c:ptCount val="1"/>
                <c:pt idx="0">
                  <c:v>Enero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Hoja1!$B$8</c:f>
              <c:numCache>
                <c:formatCode>General</c:formatCode>
                <c:ptCount val="1"/>
                <c:pt idx="0">
                  <c:v>100</c:v>
                </c:pt>
              </c:numCache>
            </c:numRef>
          </c:val>
        </c:ser>
        <c:ser>
          <c:idx val="1"/>
          <c:order val="1"/>
          <c:tx>
            <c:strRef>
              <c:f>Hoja1!$A$9</c:f>
              <c:strCache>
                <c:ptCount val="1"/>
                <c:pt idx="0">
                  <c:v>Febrero</c:v>
                </c:pt>
              </c:strCache>
            </c:strRef>
          </c:tx>
          <c:spPr>
            <a:solidFill>
              <a:srgbClr val="00206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Hoja1!$B$9</c:f>
              <c:numCache>
                <c:formatCode>General</c:formatCode>
                <c:ptCount val="1"/>
                <c:pt idx="0">
                  <c:v>100</c:v>
                </c:pt>
              </c:numCache>
            </c:numRef>
          </c:val>
        </c:ser>
        <c:ser>
          <c:idx val="2"/>
          <c:order val="2"/>
          <c:tx>
            <c:strRef>
              <c:f>Hoja1!$A$10</c:f>
              <c:strCache>
                <c:ptCount val="1"/>
                <c:pt idx="0">
                  <c:v>Marzo</c:v>
                </c:pt>
              </c:strCache>
            </c:strRef>
          </c:tx>
          <c:spPr>
            <a:solidFill>
              <a:srgbClr val="4472C4">
                <a:lumMod val="75000"/>
              </a:srgb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Hoja1!$B$10</c:f>
              <c:numCache>
                <c:formatCode>General</c:formatCode>
                <c:ptCount val="1"/>
                <c:pt idx="0">
                  <c:v>100</c:v>
                </c:pt>
              </c:numCache>
            </c:numRef>
          </c:val>
        </c:ser>
        <c:ser>
          <c:idx val="3"/>
          <c:order val="3"/>
          <c:tx>
            <c:strRef>
              <c:f>Hoja1!$A$11</c:f>
              <c:strCache>
                <c:ptCount val="1"/>
                <c:pt idx="0">
                  <c:v>Abril</c:v>
                </c:pt>
              </c:strCache>
            </c:strRef>
          </c:tx>
          <c:spPr>
            <a:solidFill>
              <a:srgbClr val="5B9BD5">
                <a:lumMod val="20000"/>
                <a:lumOff val="80000"/>
              </a:srgb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Hoja1!$B$11</c:f>
              <c:numCache>
                <c:formatCode>General</c:formatCode>
                <c:ptCount val="1"/>
                <c:pt idx="0">
                  <c:v>100</c:v>
                </c:pt>
              </c:numCache>
            </c:numRef>
          </c:val>
        </c:ser>
        <c:ser>
          <c:idx val="4"/>
          <c:order val="4"/>
          <c:tx>
            <c:strRef>
              <c:f>Hoja1!$A$12</c:f>
              <c:strCache>
                <c:ptCount val="1"/>
                <c:pt idx="0">
                  <c:v>Mayo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Hoja1!$B$12</c:f>
              <c:numCache>
                <c:formatCode>General</c:formatCode>
                <c:ptCount val="1"/>
                <c:pt idx="0">
                  <c:v>100</c:v>
                </c:pt>
              </c:numCache>
            </c:numRef>
          </c:val>
        </c:ser>
        <c:ser>
          <c:idx val="5"/>
          <c:order val="5"/>
          <c:tx>
            <c:strRef>
              <c:f>Hoja1!$A$13</c:f>
              <c:strCache>
                <c:ptCount val="1"/>
                <c:pt idx="0">
                  <c:v>Junio</c:v>
                </c:pt>
              </c:strCache>
            </c:strRef>
          </c:tx>
          <c:spPr>
            <a:solidFill>
              <a:srgbClr val="00B0F0"/>
            </a:solidFill>
            <a:ln>
              <a:noFill/>
            </a:ln>
            <a:effectLst>
              <a:outerShdw blurRad="57150" dist="19050" dir="5400000" algn="ctr" rotWithShape="0">
                <a:srgbClr val="000000">
                  <a:alpha val="63000"/>
                </a:srgbClr>
              </a:outerShdw>
            </a:effectLst>
          </c:spPr>
          <c:invertIfNegative val="0"/>
          <c:dLbls>
            <c:dLbl>
              <c:idx val="0"/>
              <c:layout>
                <c:manualLayout>
                  <c:x val="2.1433086055539308E-3"/>
                  <c:y val="-4.762652556745752E-3"/>
                </c:manualLayout>
              </c:layout>
              <c:tx>
                <c:rich>
                  <a:bodyPr/>
                  <a:lstStyle/>
                  <a:p>
                    <a:fld id="{87D40626-63FF-4FC9-B429-8AD6F1099C52}" type="VALUE">
                      <a:rPr lang="en-US">
                        <a:solidFill>
                          <a:schemeClr val="accent3">
                            <a:lumMod val="75000"/>
                          </a:schemeClr>
                        </a:solidFill>
                      </a:rPr>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4.179616332654592E-2"/>
                      <c:h val="6.2623366354193979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Hoja1!$B$13</c:f>
              <c:numCache>
                <c:formatCode>General</c:formatCode>
                <c:ptCount val="1"/>
                <c:pt idx="0">
                  <c:v>100</c:v>
                </c:pt>
              </c:numCache>
            </c:numRef>
          </c:val>
        </c:ser>
        <c:ser>
          <c:idx val="6"/>
          <c:order val="6"/>
          <c:tx>
            <c:strRef>
              <c:f>Hoja1!$A$14</c:f>
              <c:strCache>
                <c:ptCount val="1"/>
                <c:pt idx="0">
                  <c:v>Julio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2.8155795401220086E-2"/>
                </c:manualLayout>
              </c:layout>
              <c:tx>
                <c:rich>
                  <a:bodyPr/>
                  <a:lstStyle/>
                  <a:p>
                    <a:fld id="{A2D4FB25-0169-4C77-806D-F43850C06C41}" type="VALUE">
                      <a:rPr lang="en-US" b="1">
                        <a:solidFill>
                          <a:schemeClr val="bg1">
                            <a:lumMod val="50000"/>
                          </a:schemeClr>
                        </a:solidFill>
                      </a:rPr>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Hoja1!$B$14</c:f>
              <c:numCache>
                <c:formatCode>General</c:formatCode>
                <c:ptCount val="1"/>
                <c:pt idx="0">
                  <c:v>96.1</c:v>
                </c:pt>
              </c:numCache>
            </c:numRef>
          </c:val>
        </c:ser>
        <c:ser>
          <c:idx val="7"/>
          <c:order val="7"/>
          <c:tx>
            <c:strRef>
              <c:f>Hoja1!$A$15</c:f>
              <c:strCache>
                <c:ptCount val="1"/>
                <c:pt idx="0">
                  <c:v>Agosto</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Hoja1!$B$15</c:f>
              <c:numCache>
                <c:formatCode>General</c:formatCode>
                <c:ptCount val="1"/>
                <c:pt idx="0">
                  <c:v>0</c:v>
                </c:pt>
              </c:numCache>
            </c:numRef>
          </c:val>
        </c:ser>
        <c:ser>
          <c:idx val="8"/>
          <c:order val="8"/>
          <c:tx>
            <c:strRef>
              <c:f>Hoja1!$A$16</c:f>
              <c:strCache>
                <c:ptCount val="1"/>
                <c:pt idx="0">
                  <c:v>Septiembre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Hoja1!$B$16</c:f>
              <c:numCache>
                <c:formatCode>General</c:formatCode>
                <c:ptCount val="1"/>
                <c:pt idx="0">
                  <c:v>0</c:v>
                </c:pt>
              </c:numCache>
            </c:numRef>
          </c:val>
        </c:ser>
        <c:ser>
          <c:idx val="9"/>
          <c:order val="9"/>
          <c:tx>
            <c:strRef>
              <c:f>Hoja1!$A$17</c:f>
              <c:strCache>
                <c:ptCount val="1"/>
                <c:pt idx="0">
                  <c:v>Octubre</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Hoja1!$B$17</c:f>
              <c:numCache>
                <c:formatCode>General</c:formatCode>
                <c:ptCount val="1"/>
                <c:pt idx="0">
                  <c:v>0</c:v>
                </c:pt>
              </c:numCache>
            </c:numRef>
          </c:val>
        </c:ser>
        <c:ser>
          <c:idx val="10"/>
          <c:order val="10"/>
          <c:tx>
            <c:strRef>
              <c:f>Hoja1!$A$18</c:f>
              <c:strCache>
                <c:ptCount val="1"/>
                <c:pt idx="0">
                  <c:v>Noviembre</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Hoja1!$B$7</c:f>
              <c:strCache>
                <c:ptCount val="1"/>
                <c:pt idx="0">
                  <c:v>Porcentajes</c:v>
                </c:pt>
              </c:strCache>
            </c:strRef>
          </c:cat>
          <c:val>
            <c:numRef>
              <c:f>Hoja1!$B$18</c:f>
              <c:numCache>
                <c:formatCode>General</c:formatCode>
                <c:ptCount val="1"/>
                <c:pt idx="0">
                  <c:v>0</c:v>
                </c:pt>
              </c:numCache>
            </c:numRef>
          </c:val>
        </c:ser>
        <c:dLbls>
          <c:dLblPos val="inEnd"/>
          <c:showLegendKey val="0"/>
          <c:showVal val="1"/>
          <c:showCatName val="0"/>
          <c:showSerName val="0"/>
          <c:showPercent val="0"/>
          <c:showBubbleSize val="0"/>
        </c:dLbls>
        <c:gapWidth val="100"/>
        <c:overlap val="-24"/>
        <c:axId val="441822648"/>
        <c:axId val="441820296"/>
      </c:barChart>
      <c:catAx>
        <c:axId val="441822648"/>
        <c:scaling>
          <c:orientation val="minMax"/>
        </c:scaling>
        <c:delete val="1"/>
        <c:axPos val="b"/>
        <c:numFmt formatCode="General" sourceLinked="1"/>
        <c:majorTickMark val="none"/>
        <c:minorTickMark val="none"/>
        <c:tickLblPos val="nextTo"/>
        <c:crossAx val="441820296"/>
        <c:crosses val="autoZero"/>
        <c:auto val="1"/>
        <c:lblAlgn val="ctr"/>
        <c:lblOffset val="100"/>
        <c:noMultiLvlLbl val="0"/>
      </c:catAx>
      <c:valAx>
        <c:axId val="441820296"/>
        <c:scaling>
          <c:orientation val="minMax"/>
          <c:min val="2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767171"/>
                </a:solidFill>
                <a:latin typeface="+mn-lt"/>
                <a:ea typeface="+mn-ea"/>
                <a:cs typeface="+mn-cs"/>
              </a:defRPr>
            </a:pPr>
            <a:endParaRPr lang="en-US"/>
          </a:p>
        </c:txPr>
        <c:crossAx val="441822648"/>
        <c:crosses val="autoZero"/>
        <c:crossBetween val="between"/>
        <c:majorUnit val="10"/>
      </c:valAx>
      <c:spPr>
        <a:noFill/>
        <a:ln>
          <a:solidFill>
            <a:sysClr val="window" lastClr="FFFFFF">
              <a:lumMod val="85000"/>
            </a:sys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a:solidFill>
        <a:sysClr val="windowText" lastClr="000000"/>
      </a:solidFill>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DO" sz="1200" b="1">
                <a:latin typeface="Times New Roman" panose="02020603050405020304" pitchFamily="18" charset="0"/>
                <a:cs typeface="Times New Roman" panose="02020603050405020304" pitchFamily="18" charset="0"/>
              </a:rPr>
              <a:t>Distribución de Casos por Servicios                                  </a:t>
            </a:r>
            <a:br>
              <a:rPr lang="es-DO" sz="1200" b="1">
                <a:latin typeface="Times New Roman" panose="02020603050405020304" pitchFamily="18" charset="0"/>
                <a:cs typeface="Times New Roman" panose="02020603050405020304" pitchFamily="18" charset="0"/>
              </a:rPr>
            </a:br>
            <a:r>
              <a:rPr lang="es-DO" sz="1200" b="1">
                <a:latin typeface="Times New Roman" panose="02020603050405020304" pitchFamily="18" charset="0"/>
                <a:cs typeface="Times New Roman" panose="02020603050405020304" pitchFamily="18" charset="0"/>
              </a:rPr>
              <a:t>Enero - Junio de 2021</a:t>
            </a:r>
          </a:p>
        </c:rich>
      </c:tx>
      <c:layout>
        <c:manualLayout>
          <c:xMode val="edge"/>
          <c:yMode val="edge"/>
          <c:x val="0.25873506849260608"/>
          <c:y val="1.365498406918525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1.7396325459317585E-2"/>
                  <c:y val="5.7608964682523495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1"/>
              <c:layout>
                <c:manualLayout>
                  <c:x val="-0.1429660771668386"/>
                  <c:y val="5.3434715640348768E-3"/>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30098963242224319"/>
                      <c:h val="6.8349682631275249E-2"/>
                    </c:manualLayout>
                  </c15:layout>
                </c:ext>
              </c:extLst>
            </c:dLbl>
            <c:dLbl>
              <c:idx val="2"/>
              <c:layout>
                <c:manualLayout>
                  <c:x val="-5.6377792470597703E-2"/>
                  <c:y val="-4.6403655501611523E-3"/>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3"/>
              <c:layout>
                <c:manualLayout>
                  <c:x val="-0.12368308756410161"/>
                  <c:y val="8.6995833541580525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0.10650478303784131"/>
                  <c:y val="2.139455952310635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5"/>
              <c:layout>
                <c:manualLayout>
                  <c:x val="-0.13000567730635937"/>
                  <c:y val="-4.4653802290870598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2673176397248171"/>
                      <c:h val="6.8349682631275249E-2"/>
                    </c:manualLayout>
                  </c15:layout>
                </c:ext>
              </c:extLst>
            </c:dLbl>
            <c:dLbl>
              <c:idx val="6"/>
              <c:layout>
                <c:manualLayout>
                  <c:x val="0.38080708661417312"/>
                  <c:y val="-1.2006851711337597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2733270499528743"/>
                      <c:h val="6.8349682631275249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Hoja1!$A$1:$G$1</c:f>
              <c:strCache>
                <c:ptCount val="7"/>
                <c:pt idx="0">
                  <c:v>Radiodifusión Sonora FM </c:v>
                </c:pt>
                <c:pt idx="1">
                  <c:v>Radiodifusión Sonora AM </c:v>
                </c:pt>
                <c:pt idx="2">
                  <c:v>Telefónicas</c:v>
                </c:pt>
                <c:pt idx="3">
                  <c:v>Radiodifusión Televisiva</c:v>
                </c:pt>
                <c:pt idx="4">
                  <c:v>Usuarios Particulares</c:v>
                </c:pt>
                <c:pt idx="5">
                  <c:v>Entidades Estatales</c:v>
                </c:pt>
                <c:pt idx="6">
                  <c:v>Radiocomunicación</c:v>
                </c:pt>
              </c:strCache>
            </c:strRef>
          </c:cat>
          <c:val>
            <c:numRef>
              <c:f>Hoja1!$A$2:$G$2</c:f>
              <c:numCache>
                <c:formatCode>General</c:formatCode>
                <c:ptCount val="7"/>
                <c:pt idx="0">
                  <c:v>112</c:v>
                </c:pt>
                <c:pt idx="1">
                  <c:v>4</c:v>
                </c:pt>
                <c:pt idx="2">
                  <c:v>67</c:v>
                </c:pt>
                <c:pt idx="3">
                  <c:v>13</c:v>
                </c:pt>
                <c:pt idx="4">
                  <c:v>4</c:v>
                </c:pt>
                <c:pt idx="5">
                  <c:v>12</c:v>
                </c:pt>
                <c:pt idx="6">
                  <c:v>6</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5.4516612614752102E-2"/>
          <c:y val="0.88143086268861515"/>
          <c:w val="0.89567912458162335"/>
          <c:h val="0.101258115961125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Tipo de Solicitud</a:t>
            </a:r>
          </a:p>
          <a:p>
            <a:pPr>
              <a:defRPr sz="12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Enero - Noviembre de 2021</a:t>
            </a:r>
          </a:p>
        </c:rich>
      </c:tx>
      <c:overlay val="0"/>
      <c:spPr>
        <a:noFill/>
        <a:ln>
          <a:noFill/>
        </a:ln>
        <a:effectLst/>
      </c:spPr>
    </c:title>
    <c:autoTitleDeleted val="0"/>
    <c:pivotFmts>
      <c:pivotFmt>
        <c:idx val="0"/>
        <c:marker>
          <c:symbol val="none"/>
        </c:marker>
        <c:dLbl>
          <c:idx val="0"/>
          <c:spPr>
            <a:noFill/>
            <a:ln>
              <a:noFill/>
            </a:ln>
            <a:effectLst/>
          </c:spPr>
          <c:txPr>
            <a:bodyPr wrap="square" lIns="38100" tIns="19050" rIns="38100" bIns="19050" anchor="ctr">
              <a:spAutoFit/>
            </a:bodyPr>
            <a:lstStyle/>
            <a:p>
              <a:pPr>
                <a:defRPr sz="900" baseline="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marker>
          <c:symbol val="none"/>
        </c:marker>
        <c:dLbl>
          <c:idx val="0"/>
          <c:spPr>
            <a:noFill/>
            <a:ln>
              <a:noFill/>
            </a:ln>
            <a:effectLst/>
          </c:spPr>
          <c:txPr>
            <a:bodyPr wrap="square" lIns="38100" tIns="19050" rIns="38100" bIns="19050" anchor="ctr">
              <a:spAutoFit/>
            </a:bodyPr>
            <a:lstStyle/>
            <a:p>
              <a:pPr>
                <a:defRPr sz="900" baseline="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marker>
          <c:symbol val="none"/>
        </c:marker>
        <c:dLbl>
          <c:idx val="0"/>
          <c:spPr>
            <a:noFill/>
            <a:ln>
              <a:noFill/>
            </a:ln>
            <a:effectLst/>
          </c:spPr>
          <c:txPr>
            <a:bodyPr wrap="square" lIns="38100" tIns="19050" rIns="38100" bIns="19050" anchor="ctr">
              <a:spAutoFit/>
            </a:bodyPr>
            <a:lstStyle/>
            <a:p>
              <a:pPr>
                <a:defRPr sz="900" baseline="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barChart>
        <c:barDir val="col"/>
        <c:grouping val="clustered"/>
        <c:varyColors val="0"/>
        <c:ser>
          <c:idx val="0"/>
          <c:order val="0"/>
          <c:tx>
            <c:v>Total</c:v>
          </c:tx>
          <c:invertIfNegative val="0"/>
          <c:dLbls>
            <c:spPr>
              <a:noFill/>
              <a:ln>
                <a:noFill/>
              </a:ln>
              <a:effectLst/>
            </c:spPr>
            <c:txPr>
              <a:bodyPr wrap="square" lIns="38100" tIns="19050" rIns="38100" bIns="19050" anchor="ctr">
                <a:spAutoFit/>
              </a:bodyPr>
              <a:lstStyle/>
              <a:p>
                <a:pPr>
                  <a:defRPr sz="800" baseline="0">
                    <a:latin typeface="Calibri" panose="020F0502020204030204" pitchFamily="34"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'Data Grafico'!$B$3:$B$9</c:f>
              <c:strCache>
                <c:ptCount val="7"/>
                <c:pt idx="0">
                  <c:v>Casos de Información</c:v>
                </c:pt>
                <c:pt idx="1">
                  <c:v>Casos de Pre-Formalización</c:v>
                </c:pt>
                <c:pt idx="2">
                  <c:v>Casos de Quejas</c:v>
                </c:pt>
                <c:pt idx="3">
                  <c:v>Casos de Denuncias</c:v>
                </c:pt>
                <c:pt idx="4">
                  <c:v>Recursos de Quejas</c:v>
                </c:pt>
                <c:pt idx="5">
                  <c:v>Referidos a Prestadoras</c:v>
                </c:pt>
                <c:pt idx="6">
                  <c:v>Verificación Estado de Casos</c:v>
                </c:pt>
              </c:strCache>
            </c:strRef>
          </c:cat>
          <c:val>
            <c:numRef>
              <c:f>'Data Grafico'!$C$3:$C$9</c:f>
              <c:numCache>
                <c:formatCode>_(* #,##0_);_(* \(#,##0\);_(* "-"??_);_(@_)</c:formatCode>
                <c:ptCount val="7"/>
                <c:pt idx="0">
                  <c:v>4972</c:v>
                </c:pt>
                <c:pt idx="1">
                  <c:v>1370</c:v>
                </c:pt>
                <c:pt idx="2">
                  <c:v>204</c:v>
                </c:pt>
                <c:pt idx="3">
                  <c:v>699</c:v>
                </c:pt>
                <c:pt idx="4">
                  <c:v>413</c:v>
                </c:pt>
                <c:pt idx="5">
                  <c:v>5873</c:v>
                </c:pt>
                <c:pt idx="6">
                  <c:v>1645</c:v>
                </c:pt>
              </c:numCache>
            </c:numRef>
          </c:val>
          <c:extLst xmlns:c16r2="http://schemas.microsoft.com/office/drawing/2015/06/chart">
            <c:ext xmlns:c16="http://schemas.microsoft.com/office/drawing/2014/chart" uri="{C3380CC4-5D6E-409C-BE32-E72D297353CC}">
              <c16:uniqueId val="{00000000-4CD2-4D01-8F0E-98958B4C9AFA}"/>
            </c:ext>
          </c:extLst>
        </c:ser>
        <c:dLbls>
          <c:dLblPos val="outEnd"/>
          <c:showLegendKey val="0"/>
          <c:showVal val="1"/>
          <c:showCatName val="0"/>
          <c:showSerName val="0"/>
          <c:showPercent val="0"/>
          <c:showBubbleSize val="0"/>
        </c:dLbls>
        <c:gapWidth val="267"/>
        <c:overlap val="-43"/>
        <c:axId val="361083376"/>
        <c:axId val="361085728"/>
      </c:barChart>
      <c:catAx>
        <c:axId val="361083376"/>
        <c:scaling>
          <c:orientation val="minMax"/>
        </c:scaling>
        <c:delete val="0"/>
        <c:axPos val="b"/>
        <c:numFmt formatCode="General" sourceLinked="1"/>
        <c:majorTickMark val="none"/>
        <c:minorTickMark val="none"/>
        <c:tickLblPos val="nextTo"/>
        <c:spPr>
          <a:noFill/>
          <a:ln w="9524"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61085728"/>
        <c:crosses val="autoZero"/>
        <c:auto val="1"/>
        <c:lblAlgn val="ctr"/>
        <c:lblOffset val="100"/>
        <c:noMultiLvlLbl val="0"/>
      </c:catAx>
      <c:valAx>
        <c:axId val="361085728"/>
        <c:scaling>
          <c:orientation val="minMax"/>
        </c:scaling>
        <c:delete val="1"/>
        <c:axPos val="l"/>
        <c:numFmt formatCode="_(* #,##0_);_(* \(#,##0\);_(* &quot;-&quot;??_);_(@_)" sourceLinked="1"/>
        <c:majorTickMark val="out"/>
        <c:minorTickMark val="none"/>
        <c:tickLblPos val="nextTo"/>
        <c:crossAx val="361083376"/>
        <c:crosses val="autoZero"/>
        <c:crossBetween val="between"/>
      </c:valAx>
      <c:dTable>
        <c:showHorzBorder val="1"/>
        <c:showVertBorder val="1"/>
        <c:showOutline val="1"/>
        <c:showKeys val="1"/>
        <c:spPr>
          <a:noFill/>
          <a:ln w="9524"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w="25398">
          <a:noFill/>
        </a:ln>
      </c:spPr>
    </c:plotArea>
    <c:plotVisOnly val="1"/>
    <c:dispBlanksAs val="gap"/>
    <c:showDLblsOverMax val="0"/>
  </c:chart>
  <c:spPr>
    <a:solidFill>
      <a:schemeClr val="lt1"/>
    </a:solidFill>
    <a:ln w="6350" cap="flat" cmpd="sng" algn="ctr">
      <a:solidFill>
        <a:sysClr val="windowText" lastClr="000000"/>
      </a:solidFill>
      <a:round/>
    </a:ln>
    <a:effectLst/>
  </c:spPr>
  <c:txPr>
    <a:bodyPr/>
    <a:lstStyle/>
    <a:p>
      <a:pPr>
        <a:defRPr/>
      </a:pPr>
      <a:endParaRPr lang="en-US"/>
    </a:p>
  </c:txPr>
  <c:externalData r:id="rId2">
    <c:autoUpdate val="0"/>
  </c:externalData>
  <c:extLst xmlns:c16r2="http://schemas.microsoft.com/office/drawing/2015/06/char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sz="1200">
                <a:solidFill>
                  <a:srgbClr val="767171"/>
                </a:solidFill>
              </a:rPr>
              <a:t>Vía de Solicitud</a:t>
            </a:r>
          </a:p>
          <a:p>
            <a:pPr>
              <a:defRPr/>
            </a:pPr>
            <a:r>
              <a:rPr lang="en-US" sz="1200">
                <a:solidFill>
                  <a:srgbClr val="767171"/>
                </a:solidFill>
              </a:rPr>
              <a:t>Enero - Noviembre de 2021</a:t>
            </a:r>
          </a:p>
        </c:rich>
      </c:tx>
      <c:overlay val="0"/>
      <c:spPr>
        <a:noFill/>
        <a:ln w="25338">
          <a:noFill/>
        </a:ln>
      </c:spPr>
    </c:title>
    <c:autoTitleDeleted val="0"/>
    <c:pivotFmts>
      <c:pivotFmt>
        <c:idx val="0"/>
        <c:marker>
          <c:symbol val="none"/>
        </c:marker>
        <c:dLbl>
          <c:idx val="0"/>
          <c:spPr>
            <a:noFill/>
            <a:ln>
              <a:noFill/>
            </a:ln>
            <a:effectLst/>
          </c:spPr>
          <c:txPr>
            <a:bodyPr wrap="square" lIns="38100" tIns="19050" rIns="38100" bIns="19050" anchor="ctr">
              <a:spAutoFit/>
            </a:bodyPr>
            <a:lstStyle/>
            <a:p>
              <a:pPr>
                <a:defRPr sz="700" baseline="0">
                  <a:latin typeface="Times New Roman" panose="02020603050405020304" pitchFamily="18" charset="0"/>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marker>
          <c:symbol val="none"/>
        </c:marker>
        <c:dLbl>
          <c:idx val="0"/>
          <c:spPr>
            <a:noFill/>
            <a:ln>
              <a:noFill/>
            </a:ln>
            <a:effectLst/>
          </c:spPr>
          <c:txPr>
            <a:bodyPr wrap="square" lIns="38100" tIns="19050" rIns="38100" bIns="19050" anchor="ctr">
              <a:spAutoFit/>
            </a:bodyPr>
            <a:lstStyle/>
            <a:p>
              <a:pPr>
                <a:defRPr sz="700" baseline="0">
                  <a:latin typeface="Times New Roman" panose="02020603050405020304" pitchFamily="18" charset="0"/>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barChart>
        <c:barDir val="col"/>
        <c:grouping val="clustered"/>
        <c:varyColors val="0"/>
        <c:ser>
          <c:idx val="0"/>
          <c:order val="0"/>
          <c:tx>
            <c:v>Total</c:v>
          </c:tx>
          <c:invertIfNegative val="0"/>
          <c:dLbls>
            <c:spPr>
              <a:noFill/>
              <a:ln>
                <a:noFill/>
              </a:ln>
              <a:effectLst/>
            </c:spPr>
            <c:txPr>
              <a:bodyPr wrap="square" lIns="38100" tIns="19050" rIns="38100" bIns="19050" anchor="ctr">
                <a:spAutoFit/>
              </a:bodyPr>
              <a:lstStyle/>
              <a:p>
                <a:pPr>
                  <a:defRPr>
                    <a:solidFill>
                      <a:srgbClr val="76717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'Data Grafico'!$B$12:$B$19</c:f>
              <c:strCache>
                <c:ptCount val="8"/>
                <c:pt idx="0">
                  <c:v>Correo Electrónico</c:v>
                </c:pt>
                <c:pt idx="1">
                  <c:v>Correspondencia</c:v>
                </c:pt>
                <c:pt idx="2">
                  <c:v>Formulario Web</c:v>
                </c:pt>
                <c:pt idx="3">
                  <c:v>Live Chat</c:v>
                </c:pt>
                <c:pt idx="4">
                  <c:v>Personal</c:v>
                </c:pt>
                <c:pt idx="5">
                  <c:v>Punto Gob</c:v>
                </c:pt>
                <c:pt idx="6">
                  <c:v>Redes Sociales</c:v>
                </c:pt>
                <c:pt idx="7">
                  <c:v>Teléfono</c:v>
                </c:pt>
              </c:strCache>
            </c:strRef>
          </c:cat>
          <c:val>
            <c:numRef>
              <c:f>'Data Grafico'!$C$12:$C$19</c:f>
              <c:numCache>
                <c:formatCode>_(* #,##0_);_(* \(#,##0\);_(* "-"??_);_(@_)</c:formatCode>
                <c:ptCount val="8"/>
                <c:pt idx="0">
                  <c:v>179</c:v>
                </c:pt>
                <c:pt idx="1">
                  <c:v>34</c:v>
                </c:pt>
                <c:pt idx="2">
                  <c:v>2108</c:v>
                </c:pt>
                <c:pt idx="3">
                  <c:v>437</c:v>
                </c:pt>
                <c:pt idx="4">
                  <c:v>1463</c:v>
                </c:pt>
                <c:pt idx="5">
                  <c:v>117</c:v>
                </c:pt>
                <c:pt idx="6">
                  <c:v>387</c:v>
                </c:pt>
                <c:pt idx="7">
                  <c:v>10451</c:v>
                </c:pt>
              </c:numCache>
            </c:numRef>
          </c:val>
          <c:extLst xmlns:c16r2="http://schemas.microsoft.com/office/drawing/2015/06/chart">
            <c:ext xmlns:c16="http://schemas.microsoft.com/office/drawing/2014/chart" uri="{C3380CC4-5D6E-409C-BE32-E72D297353CC}">
              <c16:uniqueId val="{00000000-3136-4A13-9C4E-803ACA615C7E}"/>
            </c:ext>
          </c:extLst>
        </c:ser>
        <c:dLbls>
          <c:dLblPos val="outEnd"/>
          <c:showLegendKey val="0"/>
          <c:showVal val="1"/>
          <c:showCatName val="0"/>
          <c:showSerName val="0"/>
          <c:showPercent val="0"/>
          <c:showBubbleSize val="0"/>
        </c:dLbls>
        <c:gapWidth val="267"/>
        <c:overlap val="-43"/>
        <c:axId val="229339832"/>
        <c:axId val="548678704"/>
      </c:barChart>
      <c:catAx>
        <c:axId val="229339832"/>
        <c:scaling>
          <c:orientation val="minMax"/>
        </c:scaling>
        <c:delete val="0"/>
        <c:axPos val="b"/>
        <c:numFmt formatCode="General" sourceLinked="1"/>
        <c:majorTickMark val="none"/>
        <c:minorTickMark val="none"/>
        <c:tickLblPos val="nextTo"/>
        <c:spPr>
          <a:noFill/>
          <a:ln w="9502" cap="flat" cmpd="sng" algn="ctr">
            <a:solidFill>
              <a:schemeClr val="dk1">
                <a:lumMod val="15000"/>
                <a:lumOff val="85000"/>
              </a:schemeClr>
            </a:solidFill>
            <a:round/>
          </a:ln>
          <a:effectLst/>
        </c:spPr>
        <c:txPr>
          <a:bodyPr rot="-60000000" vert="horz"/>
          <a:lstStyle/>
          <a:p>
            <a:pPr>
              <a:defRPr/>
            </a:pPr>
            <a:endParaRPr lang="en-US"/>
          </a:p>
        </c:txPr>
        <c:crossAx val="548678704"/>
        <c:crosses val="autoZero"/>
        <c:auto val="1"/>
        <c:lblAlgn val="ctr"/>
        <c:lblOffset val="100"/>
        <c:noMultiLvlLbl val="0"/>
      </c:catAx>
      <c:valAx>
        <c:axId val="548678704"/>
        <c:scaling>
          <c:orientation val="minMax"/>
        </c:scaling>
        <c:delete val="1"/>
        <c:axPos val="l"/>
        <c:numFmt formatCode="_(* #,##0_);_(* \(#,##0\);_(* &quot;-&quot;??_);_(@_)" sourceLinked="1"/>
        <c:majorTickMark val="out"/>
        <c:minorTickMark val="none"/>
        <c:tickLblPos val="nextTo"/>
        <c:crossAx val="229339832"/>
        <c:crosses val="autoZero"/>
        <c:crossBetween val="between"/>
      </c:valAx>
      <c:dTable>
        <c:showHorzBorder val="1"/>
        <c:showVertBorder val="1"/>
        <c:showOutline val="1"/>
        <c:showKeys val="1"/>
        <c:spPr>
          <a:noFill/>
          <a:ln w="9502" cap="flat" cmpd="sng" algn="ctr">
            <a:solidFill>
              <a:schemeClr val="dk1">
                <a:lumMod val="15000"/>
                <a:lumOff val="85000"/>
              </a:schemeClr>
            </a:solidFill>
            <a:round/>
          </a:ln>
          <a:effectLst/>
        </c:spPr>
        <c:txPr>
          <a:bodyPr/>
          <a:lstStyle/>
          <a:p>
            <a:pPr rtl="0">
              <a:defRPr>
                <a:solidFill>
                  <a:srgbClr val="767171"/>
                </a:solidFill>
              </a:defRPr>
            </a:pPr>
            <a:endParaRPr lang="en-US"/>
          </a:p>
        </c:txPr>
      </c:dTable>
      <c:spPr>
        <a:noFill/>
        <a:ln w="25338">
          <a:noFill/>
        </a:ln>
      </c:spPr>
    </c:plotArea>
    <c:plotVisOnly val="1"/>
    <c:dispBlanksAs val="gap"/>
    <c:showDLblsOverMax val="0"/>
  </c:chart>
  <c:spPr>
    <a:solidFill>
      <a:schemeClr val="lt1"/>
    </a:solidFill>
    <a:ln w="9502"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extLst xmlns:c16r2="http://schemas.microsoft.com/office/drawing/2015/06/char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a:solidFill>
                  <a:srgbClr val="767171"/>
                </a:solidFill>
              </a:rPr>
              <a:t>Motivos de Reclamos</a:t>
            </a:r>
          </a:p>
          <a:p>
            <a:pPr>
              <a:defRPr sz="1200">
                <a:solidFill>
                  <a:srgbClr val="767171"/>
                </a:solidFill>
              </a:defRPr>
            </a:pPr>
            <a:r>
              <a:rPr lang="es-DO" sz="1200">
                <a:solidFill>
                  <a:srgbClr val="767171"/>
                </a:solidFill>
              </a:rPr>
              <a:t>Enero -</a:t>
            </a:r>
            <a:r>
              <a:rPr lang="es-DO" sz="1200" baseline="0">
                <a:solidFill>
                  <a:srgbClr val="767171"/>
                </a:solidFill>
              </a:rPr>
              <a:t> Noviembre</a:t>
            </a:r>
            <a:r>
              <a:rPr lang="es-DO" sz="1200">
                <a:solidFill>
                  <a:srgbClr val="767171"/>
                </a:solidFill>
              </a:rPr>
              <a:t> de 2021</a:t>
            </a:r>
          </a:p>
        </c:rich>
      </c:tx>
      <c:layout>
        <c:manualLayout>
          <c:xMode val="edge"/>
          <c:yMode val="edge"/>
          <c:x val="0.33490762351774434"/>
          <c:y val="1.9002375296912115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'Data Grafico'!$J$15</c:f>
              <c:strCache>
                <c:ptCount val="1"/>
                <c:pt idx="0">
                  <c:v>Avería</c:v>
                </c:pt>
              </c:strCache>
            </c:strRef>
          </c:tx>
          <c:spPr>
            <a:solidFill>
              <a:schemeClr val="accent1"/>
            </a:solidFill>
            <a:ln>
              <a:noFill/>
            </a:ln>
            <a:effectLst/>
          </c:spPr>
          <c:invertIfNegative val="0"/>
          <c:cat>
            <c:strRef>
              <c:f>'Data Grafico'!$K$14:$Q$14</c:f>
              <c:strCache>
                <c:ptCount val="7"/>
                <c:pt idx="0">
                  <c:v>Enero - Junio</c:v>
                </c:pt>
                <c:pt idx="1">
                  <c:v>Julio</c:v>
                </c:pt>
                <c:pt idx="2">
                  <c:v>Agosto</c:v>
                </c:pt>
                <c:pt idx="3">
                  <c:v>Septiembre</c:v>
                </c:pt>
                <c:pt idx="4">
                  <c:v>Octubre</c:v>
                </c:pt>
                <c:pt idx="5">
                  <c:v>Noviembre</c:v>
                </c:pt>
                <c:pt idx="6">
                  <c:v>Total</c:v>
                </c:pt>
              </c:strCache>
            </c:strRef>
          </c:cat>
          <c:val>
            <c:numRef>
              <c:f>'Data Grafico'!$K$15:$Q$15</c:f>
              <c:numCache>
                <c:formatCode>_(* #,##0_);_(* \(#,##0\);_(* "-"??_);_(@_)</c:formatCode>
                <c:ptCount val="7"/>
                <c:pt idx="0">
                  <c:v>424</c:v>
                </c:pt>
                <c:pt idx="1">
                  <c:v>64</c:v>
                </c:pt>
                <c:pt idx="2">
                  <c:v>93</c:v>
                </c:pt>
                <c:pt idx="3">
                  <c:v>71</c:v>
                </c:pt>
                <c:pt idx="4">
                  <c:v>66</c:v>
                </c:pt>
                <c:pt idx="5">
                  <c:v>42</c:v>
                </c:pt>
                <c:pt idx="6">
                  <c:v>760</c:v>
                </c:pt>
              </c:numCache>
            </c:numRef>
          </c:val>
          <c:extLst xmlns:c16r2="http://schemas.microsoft.com/office/drawing/2015/06/chart">
            <c:ext xmlns:c16="http://schemas.microsoft.com/office/drawing/2014/chart" uri="{C3380CC4-5D6E-409C-BE32-E72D297353CC}">
              <c16:uniqueId val="{00000000-FCCF-4FD9-B340-24AEEB14E428}"/>
            </c:ext>
          </c:extLst>
        </c:ser>
        <c:ser>
          <c:idx val="1"/>
          <c:order val="1"/>
          <c:tx>
            <c:strRef>
              <c:f>'Data Grafico'!$J$16</c:f>
              <c:strCache>
                <c:ptCount val="1"/>
                <c:pt idx="0">
                  <c:v>Cargos de Penalidad</c:v>
                </c:pt>
              </c:strCache>
            </c:strRef>
          </c:tx>
          <c:spPr>
            <a:solidFill>
              <a:schemeClr val="accent2"/>
            </a:solidFill>
            <a:ln>
              <a:noFill/>
            </a:ln>
            <a:effectLst/>
          </c:spPr>
          <c:invertIfNegative val="0"/>
          <c:cat>
            <c:strRef>
              <c:f>'Data Grafico'!$K$14:$Q$14</c:f>
              <c:strCache>
                <c:ptCount val="7"/>
                <c:pt idx="0">
                  <c:v>Enero - Junio</c:v>
                </c:pt>
                <c:pt idx="1">
                  <c:v>Julio</c:v>
                </c:pt>
                <c:pt idx="2">
                  <c:v>Agosto</c:v>
                </c:pt>
                <c:pt idx="3">
                  <c:v>Septiembre</c:v>
                </c:pt>
                <c:pt idx="4">
                  <c:v>Octubre</c:v>
                </c:pt>
                <c:pt idx="5">
                  <c:v>Noviembre</c:v>
                </c:pt>
                <c:pt idx="6">
                  <c:v>Total</c:v>
                </c:pt>
              </c:strCache>
            </c:strRef>
          </c:cat>
          <c:val>
            <c:numRef>
              <c:f>'Data Grafico'!$K$16:$Q$16</c:f>
              <c:numCache>
                <c:formatCode>_(* #,##0_);_(* \(#,##0\);_(* "-"??_);_(@_)</c:formatCode>
                <c:ptCount val="7"/>
                <c:pt idx="0">
                  <c:v>1423</c:v>
                </c:pt>
                <c:pt idx="1">
                  <c:v>181</c:v>
                </c:pt>
                <c:pt idx="2">
                  <c:v>212</c:v>
                </c:pt>
                <c:pt idx="3">
                  <c:v>225</c:v>
                </c:pt>
                <c:pt idx="4">
                  <c:v>143</c:v>
                </c:pt>
                <c:pt idx="5">
                  <c:v>84</c:v>
                </c:pt>
                <c:pt idx="6">
                  <c:v>2268</c:v>
                </c:pt>
              </c:numCache>
            </c:numRef>
          </c:val>
          <c:extLst xmlns:c16r2="http://schemas.microsoft.com/office/drawing/2015/06/chart">
            <c:ext xmlns:c16="http://schemas.microsoft.com/office/drawing/2014/chart" uri="{C3380CC4-5D6E-409C-BE32-E72D297353CC}">
              <c16:uniqueId val="{00000001-FCCF-4FD9-B340-24AEEB14E428}"/>
            </c:ext>
          </c:extLst>
        </c:ser>
        <c:ser>
          <c:idx val="2"/>
          <c:order val="2"/>
          <c:tx>
            <c:strRef>
              <c:f>'Data Grafico'!$J$17</c:f>
              <c:strCache>
                <c:ptCount val="1"/>
                <c:pt idx="0">
                  <c:v>Cancelación</c:v>
                </c:pt>
              </c:strCache>
            </c:strRef>
          </c:tx>
          <c:spPr>
            <a:solidFill>
              <a:schemeClr val="accent3"/>
            </a:solidFill>
            <a:ln>
              <a:noFill/>
            </a:ln>
            <a:effectLst/>
          </c:spPr>
          <c:invertIfNegative val="0"/>
          <c:cat>
            <c:strRef>
              <c:f>'Data Grafico'!$K$14:$Q$14</c:f>
              <c:strCache>
                <c:ptCount val="7"/>
                <c:pt idx="0">
                  <c:v>Enero - Junio</c:v>
                </c:pt>
                <c:pt idx="1">
                  <c:v>Julio</c:v>
                </c:pt>
                <c:pt idx="2">
                  <c:v>Agosto</c:v>
                </c:pt>
                <c:pt idx="3">
                  <c:v>Septiembre</c:v>
                </c:pt>
                <c:pt idx="4">
                  <c:v>Octubre</c:v>
                </c:pt>
                <c:pt idx="5">
                  <c:v>Noviembre</c:v>
                </c:pt>
                <c:pt idx="6">
                  <c:v>Total</c:v>
                </c:pt>
              </c:strCache>
            </c:strRef>
          </c:cat>
          <c:val>
            <c:numRef>
              <c:f>'Data Grafico'!$K$17:$Q$17</c:f>
              <c:numCache>
                <c:formatCode>_(* #,##0_);_(* \(#,##0\);_(* "-"??_);_(@_)</c:formatCode>
                <c:ptCount val="7"/>
                <c:pt idx="0">
                  <c:v>231</c:v>
                </c:pt>
                <c:pt idx="1">
                  <c:v>20</c:v>
                </c:pt>
                <c:pt idx="2">
                  <c:v>25</c:v>
                </c:pt>
                <c:pt idx="3">
                  <c:v>21</c:v>
                </c:pt>
                <c:pt idx="4">
                  <c:v>8</c:v>
                </c:pt>
                <c:pt idx="5">
                  <c:v>4</c:v>
                </c:pt>
                <c:pt idx="6">
                  <c:v>309</c:v>
                </c:pt>
              </c:numCache>
            </c:numRef>
          </c:val>
          <c:extLst xmlns:c16r2="http://schemas.microsoft.com/office/drawing/2015/06/chart">
            <c:ext xmlns:c16="http://schemas.microsoft.com/office/drawing/2014/chart" uri="{C3380CC4-5D6E-409C-BE32-E72D297353CC}">
              <c16:uniqueId val="{00000002-FCCF-4FD9-B340-24AEEB14E428}"/>
            </c:ext>
          </c:extLst>
        </c:ser>
        <c:ser>
          <c:idx val="3"/>
          <c:order val="3"/>
          <c:tx>
            <c:strRef>
              <c:f>'Data Grafico'!$J$18</c:f>
              <c:strCache>
                <c:ptCount val="1"/>
                <c:pt idx="0">
                  <c:v>Facturación del Servicio</c:v>
                </c:pt>
              </c:strCache>
            </c:strRef>
          </c:tx>
          <c:spPr>
            <a:solidFill>
              <a:schemeClr val="accent4"/>
            </a:solidFill>
            <a:ln>
              <a:noFill/>
            </a:ln>
            <a:effectLst/>
          </c:spPr>
          <c:invertIfNegative val="0"/>
          <c:cat>
            <c:strRef>
              <c:f>'Data Grafico'!$K$14:$Q$14</c:f>
              <c:strCache>
                <c:ptCount val="7"/>
                <c:pt idx="0">
                  <c:v>Enero - Junio</c:v>
                </c:pt>
                <c:pt idx="1">
                  <c:v>Julio</c:v>
                </c:pt>
                <c:pt idx="2">
                  <c:v>Agosto</c:v>
                </c:pt>
                <c:pt idx="3">
                  <c:v>Septiembre</c:v>
                </c:pt>
                <c:pt idx="4">
                  <c:v>Octubre</c:v>
                </c:pt>
                <c:pt idx="5">
                  <c:v>Noviembre</c:v>
                </c:pt>
                <c:pt idx="6">
                  <c:v>Total</c:v>
                </c:pt>
              </c:strCache>
            </c:strRef>
          </c:cat>
          <c:val>
            <c:numRef>
              <c:f>'Data Grafico'!$K$18:$Q$18</c:f>
              <c:numCache>
                <c:formatCode>_(* #,##0_);_(* \(#,##0\);_(* "-"??_);_(@_)</c:formatCode>
                <c:ptCount val="7"/>
                <c:pt idx="0">
                  <c:v>1130</c:v>
                </c:pt>
                <c:pt idx="1">
                  <c:v>119</c:v>
                </c:pt>
                <c:pt idx="2">
                  <c:v>93</c:v>
                </c:pt>
                <c:pt idx="3">
                  <c:v>99</c:v>
                </c:pt>
                <c:pt idx="4">
                  <c:v>68</c:v>
                </c:pt>
                <c:pt idx="5">
                  <c:v>33</c:v>
                </c:pt>
                <c:pt idx="6">
                  <c:v>1542</c:v>
                </c:pt>
              </c:numCache>
            </c:numRef>
          </c:val>
          <c:extLst xmlns:c16r2="http://schemas.microsoft.com/office/drawing/2015/06/chart">
            <c:ext xmlns:c16="http://schemas.microsoft.com/office/drawing/2014/chart" uri="{C3380CC4-5D6E-409C-BE32-E72D297353CC}">
              <c16:uniqueId val="{00000003-FCCF-4FD9-B340-24AEEB14E428}"/>
            </c:ext>
          </c:extLst>
        </c:ser>
        <c:ser>
          <c:idx val="4"/>
          <c:order val="4"/>
          <c:tx>
            <c:strRef>
              <c:f>'Data Grafico'!$J$19</c:f>
              <c:strCache>
                <c:ptCount val="1"/>
                <c:pt idx="0">
                  <c:v>Calidad del Servicio</c:v>
                </c:pt>
              </c:strCache>
            </c:strRef>
          </c:tx>
          <c:spPr>
            <a:solidFill>
              <a:schemeClr val="accent5"/>
            </a:solidFill>
            <a:ln>
              <a:noFill/>
            </a:ln>
            <a:effectLst/>
          </c:spPr>
          <c:invertIfNegative val="0"/>
          <c:cat>
            <c:strRef>
              <c:f>'Data Grafico'!$K$14:$Q$14</c:f>
              <c:strCache>
                <c:ptCount val="7"/>
                <c:pt idx="0">
                  <c:v>Enero - Junio</c:v>
                </c:pt>
                <c:pt idx="1">
                  <c:v>Julio</c:v>
                </c:pt>
                <c:pt idx="2">
                  <c:v>Agosto</c:v>
                </c:pt>
                <c:pt idx="3">
                  <c:v>Septiembre</c:v>
                </c:pt>
                <c:pt idx="4">
                  <c:v>Octubre</c:v>
                </c:pt>
                <c:pt idx="5">
                  <c:v>Noviembre</c:v>
                </c:pt>
                <c:pt idx="6">
                  <c:v>Total</c:v>
                </c:pt>
              </c:strCache>
            </c:strRef>
          </c:cat>
          <c:val>
            <c:numRef>
              <c:f>'Data Grafico'!$K$19:$Q$19</c:f>
              <c:numCache>
                <c:formatCode>_(* #,##0_);_(* \(#,##0\);_(* "-"??_);_(@_)</c:formatCode>
                <c:ptCount val="7"/>
                <c:pt idx="0">
                  <c:v>795</c:v>
                </c:pt>
                <c:pt idx="1">
                  <c:v>108</c:v>
                </c:pt>
                <c:pt idx="2">
                  <c:v>82</c:v>
                </c:pt>
                <c:pt idx="3">
                  <c:v>55</c:v>
                </c:pt>
                <c:pt idx="4">
                  <c:v>45</c:v>
                </c:pt>
                <c:pt idx="5">
                  <c:v>31</c:v>
                </c:pt>
                <c:pt idx="6">
                  <c:v>1116</c:v>
                </c:pt>
              </c:numCache>
            </c:numRef>
          </c:val>
          <c:extLst xmlns:c16r2="http://schemas.microsoft.com/office/drawing/2015/06/chart">
            <c:ext xmlns:c16="http://schemas.microsoft.com/office/drawing/2014/chart" uri="{C3380CC4-5D6E-409C-BE32-E72D297353CC}">
              <c16:uniqueId val="{00000004-FCCF-4FD9-B340-24AEEB14E428}"/>
            </c:ext>
          </c:extLst>
        </c:ser>
        <c:ser>
          <c:idx val="5"/>
          <c:order val="5"/>
          <c:tx>
            <c:strRef>
              <c:f>'Data Grafico'!$J$20</c:f>
              <c:strCache>
                <c:ptCount val="1"/>
                <c:pt idx="0">
                  <c:v>Otros</c:v>
                </c:pt>
              </c:strCache>
            </c:strRef>
          </c:tx>
          <c:spPr>
            <a:solidFill>
              <a:schemeClr val="accent6"/>
            </a:solidFill>
            <a:ln>
              <a:noFill/>
            </a:ln>
            <a:effectLst/>
          </c:spPr>
          <c:invertIfNegative val="0"/>
          <c:cat>
            <c:strRef>
              <c:f>'Data Grafico'!$K$14:$Q$14</c:f>
              <c:strCache>
                <c:ptCount val="7"/>
                <c:pt idx="0">
                  <c:v>Enero - Junio</c:v>
                </c:pt>
                <c:pt idx="1">
                  <c:v>Julio</c:v>
                </c:pt>
                <c:pt idx="2">
                  <c:v>Agosto</c:v>
                </c:pt>
                <c:pt idx="3">
                  <c:v>Septiembre</c:v>
                </c:pt>
                <c:pt idx="4">
                  <c:v>Octubre</c:v>
                </c:pt>
                <c:pt idx="5">
                  <c:v>Noviembre</c:v>
                </c:pt>
                <c:pt idx="6">
                  <c:v>Total</c:v>
                </c:pt>
              </c:strCache>
            </c:strRef>
          </c:cat>
          <c:val>
            <c:numRef>
              <c:f>'Data Grafico'!$K$20:$Q$20</c:f>
              <c:numCache>
                <c:formatCode>_(* #,##0_);_(* \(#,##0\);_(* "-"??_);_(@_)</c:formatCode>
                <c:ptCount val="7"/>
                <c:pt idx="0">
                  <c:v>5364</c:v>
                </c:pt>
                <c:pt idx="1">
                  <c:v>940</c:v>
                </c:pt>
                <c:pt idx="2">
                  <c:v>992</c:v>
                </c:pt>
                <c:pt idx="3">
                  <c:v>867</c:v>
                </c:pt>
                <c:pt idx="4">
                  <c:v>689</c:v>
                </c:pt>
                <c:pt idx="5">
                  <c:v>329</c:v>
                </c:pt>
                <c:pt idx="6">
                  <c:v>9181</c:v>
                </c:pt>
              </c:numCache>
            </c:numRef>
          </c:val>
          <c:extLst xmlns:c16r2="http://schemas.microsoft.com/office/drawing/2015/06/chart">
            <c:ext xmlns:c16="http://schemas.microsoft.com/office/drawing/2014/chart" uri="{C3380CC4-5D6E-409C-BE32-E72D297353CC}">
              <c16:uniqueId val="{00000005-FCCF-4FD9-B340-24AEEB14E428}"/>
            </c:ext>
          </c:extLst>
        </c:ser>
        <c:dLbls>
          <c:showLegendKey val="0"/>
          <c:showVal val="0"/>
          <c:showCatName val="0"/>
          <c:showSerName val="0"/>
          <c:showPercent val="0"/>
          <c:showBubbleSize val="0"/>
        </c:dLbls>
        <c:gapWidth val="267"/>
        <c:overlap val="-43"/>
        <c:axId val="573810880"/>
        <c:axId val="385586344"/>
      </c:barChart>
      <c:catAx>
        <c:axId val="5738108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5586344"/>
        <c:crosses val="autoZero"/>
        <c:auto val="1"/>
        <c:lblAlgn val="ctr"/>
        <c:lblOffset val="100"/>
        <c:noMultiLvlLbl val="0"/>
      </c:catAx>
      <c:valAx>
        <c:axId val="385586344"/>
        <c:scaling>
          <c:orientation val="minMax"/>
        </c:scaling>
        <c:delete val="1"/>
        <c:axPos val="l"/>
        <c:numFmt formatCode="_(* #,##0_);_(* \(#,##0\);_(* &quot;-&quot;??_);_(@_)" sourceLinked="1"/>
        <c:majorTickMark val="none"/>
        <c:minorTickMark val="none"/>
        <c:tickLblPos val="nextTo"/>
        <c:crossAx val="573810880"/>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lt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8"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199">
                <a:solidFill>
                  <a:srgbClr val="767171"/>
                </a:solidFill>
              </a:rPr>
              <a:t>Distribuidor Automático de Llamadas (ACD) </a:t>
            </a:r>
          </a:p>
          <a:p>
            <a:pPr>
              <a:defRPr sz="1198"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199">
                <a:solidFill>
                  <a:srgbClr val="767171"/>
                </a:solidFill>
              </a:rPr>
              <a:t>Enero - Noviembre de 2021</a:t>
            </a:r>
          </a:p>
        </c:rich>
      </c:tx>
      <c:overlay val="0"/>
      <c:spPr>
        <a:noFill/>
        <a:ln>
          <a:noFill/>
        </a:ln>
        <a:effectLst/>
      </c:spPr>
    </c:title>
    <c:autoTitleDeleted val="0"/>
    <c:plotArea>
      <c:layout>
        <c:manualLayout>
          <c:layoutTarget val="inner"/>
          <c:xMode val="edge"/>
          <c:yMode val="edge"/>
          <c:x val="0.21994181977252847"/>
          <c:y val="0.34814814814814821"/>
          <c:w val="0.74672484689413821"/>
          <c:h val="0.24750838436862058"/>
        </c:manualLayout>
      </c:layout>
      <c:barChart>
        <c:barDir val="col"/>
        <c:grouping val="clustered"/>
        <c:varyColors val="0"/>
        <c:ser>
          <c:idx val="0"/>
          <c:order val="0"/>
          <c:tx>
            <c:strRef>
              <c:f>'Data Grafico'!$C$52:$C$53</c:f>
              <c:strCache>
                <c:ptCount val="2"/>
                <c:pt idx="0">
                  <c:v>Llamadas</c:v>
                </c:pt>
                <c:pt idx="1">
                  <c:v>Contestadas</c:v>
                </c:pt>
              </c:strCache>
            </c:strRef>
          </c:tx>
          <c:spPr>
            <a:solidFill>
              <a:schemeClr val="accent1"/>
            </a:solidFill>
            <a:ln>
              <a:noFill/>
            </a:ln>
            <a:effectLst/>
          </c:spPr>
          <c:invertIfNegative val="0"/>
          <c:cat>
            <c:strRef>
              <c:f>'Data Grafico'!$B$54:$B$59</c:f>
              <c:strCache>
                <c:ptCount val="6"/>
                <c:pt idx="0">
                  <c:v>Enero - Junio</c:v>
                </c:pt>
                <c:pt idx="1">
                  <c:v>Julio</c:v>
                </c:pt>
                <c:pt idx="2">
                  <c:v>Agosto</c:v>
                </c:pt>
                <c:pt idx="3">
                  <c:v>Septiembre</c:v>
                </c:pt>
                <c:pt idx="4">
                  <c:v>Octubre</c:v>
                </c:pt>
                <c:pt idx="5">
                  <c:v>Noviembre</c:v>
                </c:pt>
              </c:strCache>
            </c:strRef>
          </c:cat>
          <c:val>
            <c:numRef>
              <c:f>'Data Grafico'!$C$54:$C$59</c:f>
              <c:numCache>
                <c:formatCode>General</c:formatCode>
                <c:ptCount val="6"/>
                <c:pt idx="0">
                  <c:v>5964</c:v>
                </c:pt>
                <c:pt idx="1">
                  <c:v>1604</c:v>
                </c:pt>
                <c:pt idx="2">
                  <c:v>1796</c:v>
                </c:pt>
                <c:pt idx="3">
                  <c:v>1726</c:v>
                </c:pt>
                <c:pt idx="4">
                  <c:v>1359</c:v>
                </c:pt>
                <c:pt idx="5">
                  <c:v>773</c:v>
                </c:pt>
              </c:numCache>
            </c:numRef>
          </c:val>
          <c:extLst xmlns:c16r2="http://schemas.microsoft.com/office/drawing/2015/06/chart">
            <c:ext xmlns:c16="http://schemas.microsoft.com/office/drawing/2014/chart" uri="{C3380CC4-5D6E-409C-BE32-E72D297353CC}">
              <c16:uniqueId val="{00000000-5D6D-4D12-BA36-A13EC68E16F5}"/>
            </c:ext>
          </c:extLst>
        </c:ser>
        <c:ser>
          <c:idx val="1"/>
          <c:order val="1"/>
          <c:tx>
            <c:strRef>
              <c:f>'Data Grafico'!$D$52:$D$53</c:f>
              <c:strCache>
                <c:ptCount val="2"/>
                <c:pt idx="0">
                  <c:v>Llamadas</c:v>
                </c:pt>
                <c:pt idx="1">
                  <c:v>Abandonadas</c:v>
                </c:pt>
              </c:strCache>
            </c:strRef>
          </c:tx>
          <c:spPr>
            <a:solidFill>
              <a:schemeClr val="accent2"/>
            </a:solidFill>
            <a:ln>
              <a:noFill/>
            </a:ln>
            <a:effectLst/>
          </c:spPr>
          <c:invertIfNegative val="0"/>
          <c:cat>
            <c:strRef>
              <c:f>'Data Grafico'!$B$54:$B$59</c:f>
              <c:strCache>
                <c:ptCount val="6"/>
                <c:pt idx="0">
                  <c:v>Enero - Junio</c:v>
                </c:pt>
                <c:pt idx="1">
                  <c:v>Julio</c:v>
                </c:pt>
                <c:pt idx="2">
                  <c:v>Agosto</c:v>
                </c:pt>
                <c:pt idx="3">
                  <c:v>Septiembre</c:v>
                </c:pt>
                <c:pt idx="4">
                  <c:v>Octubre</c:v>
                </c:pt>
                <c:pt idx="5">
                  <c:v>Noviembre</c:v>
                </c:pt>
              </c:strCache>
            </c:strRef>
          </c:cat>
          <c:val>
            <c:numRef>
              <c:f>'Data Grafico'!$D$54:$D$59</c:f>
              <c:numCache>
                <c:formatCode>General</c:formatCode>
                <c:ptCount val="6"/>
                <c:pt idx="0">
                  <c:v>1826</c:v>
                </c:pt>
                <c:pt idx="1">
                  <c:v>204</c:v>
                </c:pt>
                <c:pt idx="2">
                  <c:v>181</c:v>
                </c:pt>
                <c:pt idx="3">
                  <c:v>209</c:v>
                </c:pt>
                <c:pt idx="4">
                  <c:v>111</c:v>
                </c:pt>
                <c:pt idx="5">
                  <c:v>81</c:v>
                </c:pt>
              </c:numCache>
            </c:numRef>
          </c:val>
          <c:extLst xmlns:c16r2="http://schemas.microsoft.com/office/drawing/2015/06/chart">
            <c:ext xmlns:c16="http://schemas.microsoft.com/office/drawing/2014/chart" uri="{C3380CC4-5D6E-409C-BE32-E72D297353CC}">
              <c16:uniqueId val="{00000001-5D6D-4D12-BA36-A13EC68E16F5}"/>
            </c:ext>
          </c:extLst>
        </c:ser>
        <c:ser>
          <c:idx val="2"/>
          <c:order val="2"/>
          <c:tx>
            <c:strRef>
              <c:f>'Data Grafico'!$E$52:$E$53</c:f>
              <c:strCache>
                <c:ptCount val="2"/>
                <c:pt idx="0">
                  <c:v>Llamadas</c:v>
                </c:pt>
                <c:pt idx="1">
                  <c:v>% Contestadas</c:v>
                </c:pt>
              </c:strCache>
            </c:strRef>
          </c:tx>
          <c:spPr>
            <a:solidFill>
              <a:schemeClr val="accent3"/>
            </a:solidFill>
            <a:ln>
              <a:noFill/>
            </a:ln>
            <a:effectLst/>
          </c:spPr>
          <c:invertIfNegative val="0"/>
          <c:cat>
            <c:strRef>
              <c:f>'Data Grafico'!$B$54:$B$59</c:f>
              <c:strCache>
                <c:ptCount val="6"/>
                <c:pt idx="0">
                  <c:v>Enero - Junio</c:v>
                </c:pt>
                <c:pt idx="1">
                  <c:v>Julio</c:v>
                </c:pt>
                <c:pt idx="2">
                  <c:v>Agosto</c:v>
                </c:pt>
                <c:pt idx="3">
                  <c:v>Septiembre</c:v>
                </c:pt>
                <c:pt idx="4">
                  <c:v>Octubre</c:v>
                </c:pt>
                <c:pt idx="5">
                  <c:v>Noviembre</c:v>
                </c:pt>
              </c:strCache>
            </c:strRef>
          </c:cat>
          <c:val>
            <c:numRef>
              <c:f>'Data Grafico'!$E$54:$E$59</c:f>
              <c:numCache>
                <c:formatCode>0.00</c:formatCode>
                <c:ptCount val="6"/>
                <c:pt idx="0">
                  <c:v>76.559691912708601</c:v>
                </c:pt>
                <c:pt idx="1">
                  <c:v>88.716814159292028</c:v>
                </c:pt>
                <c:pt idx="2">
                  <c:v>90.844714213454722</c:v>
                </c:pt>
                <c:pt idx="3">
                  <c:v>89.198966408268731</c:v>
                </c:pt>
                <c:pt idx="4">
                  <c:v>92.448979591836732</c:v>
                </c:pt>
                <c:pt idx="5">
                  <c:v>90.515222482435604</c:v>
                </c:pt>
              </c:numCache>
            </c:numRef>
          </c:val>
          <c:extLst xmlns:c16r2="http://schemas.microsoft.com/office/drawing/2015/06/chart">
            <c:ext xmlns:c16="http://schemas.microsoft.com/office/drawing/2014/chart" uri="{C3380CC4-5D6E-409C-BE32-E72D297353CC}">
              <c16:uniqueId val="{00000002-5D6D-4D12-BA36-A13EC68E16F5}"/>
            </c:ext>
          </c:extLst>
        </c:ser>
        <c:ser>
          <c:idx val="3"/>
          <c:order val="3"/>
          <c:tx>
            <c:strRef>
              <c:f>'Data Grafico'!$F$52:$F$53</c:f>
              <c:strCache>
                <c:ptCount val="2"/>
                <c:pt idx="0">
                  <c:v>Llamadas</c:v>
                </c:pt>
                <c:pt idx="1">
                  <c:v>% Abandonadas</c:v>
                </c:pt>
              </c:strCache>
            </c:strRef>
          </c:tx>
          <c:spPr>
            <a:solidFill>
              <a:schemeClr val="accent4"/>
            </a:solidFill>
            <a:ln>
              <a:noFill/>
            </a:ln>
            <a:effectLst/>
          </c:spPr>
          <c:invertIfNegative val="0"/>
          <c:cat>
            <c:strRef>
              <c:f>'Data Grafico'!$B$54:$B$59</c:f>
              <c:strCache>
                <c:ptCount val="6"/>
                <c:pt idx="0">
                  <c:v>Enero - Junio</c:v>
                </c:pt>
                <c:pt idx="1">
                  <c:v>Julio</c:v>
                </c:pt>
                <c:pt idx="2">
                  <c:v>Agosto</c:v>
                </c:pt>
                <c:pt idx="3">
                  <c:v>Septiembre</c:v>
                </c:pt>
                <c:pt idx="4">
                  <c:v>Octubre</c:v>
                </c:pt>
                <c:pt idx="5">
                  <c:v>Noviembre</c:v>
                </c:pt>
              </c:strCache>
            </c:strRef>
          </c:cat>
          <c:val>
            <c:numRef>
              <c:f>'Data Grafico'!$F$54:$F$59</c:f>
              <c:numCache>
                <c:formatCode>0.00</c:formatCode>
                <c:ptCount val="6"/>
                <c:pt idx="0">
                  <c:v>23.440308087291399</c:v>
                </c:pt>
                <c:pt idx="1">
                  <c:v>11.283185840707963</c:v>
                </c:pt>
                <c:pt idx="2">
                  <c:v>9.1552857865452708</c:v>
                </c:pt>
                <c:pt idx="3">
                  <c:v>10.801033591731265</c:v>
                </c:pt>
                <c:pt idx="4">
                  <c:v>7.5510204081632653</c:v>
                </c:pt>
                <c:pt idx="5">
                  <c:v>9.4847775175644031</c:v>
                </c:pt>
              </c:numCache>
            </c:numRef>
          </c:val>
          <c:extLst xmlns:c16r2="http://schemas.microsoft.com/office/drawing/2015/06/chart">
            <c:ext xmlns:c16="http://schemas.microsoft.com/office/drawing/2014/chart" uri="{C3380CC4-5D6E-409C-BE32-E72D297353CC}">
              <c16:uniqueId val="{00000003-5D6D-4D12-BA36-A13EC68E16F5}"/>
            </c:ext>
          </c:extLst>
        </c:ser>
        <c:dLbls>
          <c:showLegendKey val="0"/>
          <c:showVal val="0"/>
          <c:showCatName val="0"/>
          <c:showSerName val="0"/>
          <c:showPercent val="0"/>
          <c:showBubbleSize val="0"/>
        </c:dLbls>
        <c:gapWidth val="267"/>
        <c:overlap val="-43"/>
        <c:axId val="441810888"/>
        <c:axId val="441811280"/>
      </c:barChart>
      <c:catAx>
        <c:axId val="441810888"/>
        <c:scaling>
          <c:orientation val="minMax"/>
        </c:scaling>
        <c:delete val="0"/>
        <c:axPos val="b"/>
        <c:numFmt formatCode="General" sourceLinked="1"/>
        <c:majorTickMark val="none"/>
        <c:minorTickMark val="none"/>
        <c:tickLblPos val="nextTo"/>
        <c:spPr>
          <a:noFill/>
          <a:ln w="9517"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41811280"/>
        <c:crosses val="autoZero"/>
        <c:auto val="1"/>
        <c:lblAlgn val="ctr"/>
        <c:lblOffset val="100"/>
        <c:noMultiLvlLbl val="0"/>
      </c:catAx>
      <c:valAx>
        <c:axId val="441811280"/>
        <c:scaling>
          <c:orientation val="minMax"/>
        </c:scaling>
        <c:delete val="1"/>
        <c:axPos val="l"/>
        <c:numFmt formatCode="General" sourceLinked="1"/>
        <c:majorTickMark val="out"/>
        <c:minorTickMark val="none"/>
        <c:tickLblPos val="nextTo"/>
        <c:crossAx val="441810888"/>
        <c:crosses val="autoZero"/>
        <c:crossBetween val="between"/>
      </c:valAx>
      <c:dTable>
        <c:showHorzBorder val="1"/>
        <c:showVertBorder val="1"/>
        <c:showOutline val="1"/>
        <c:showKeys val="1"/>
        <c:spPr>
          <a:noFill/>
          <a:ln w="9517" cap="flat" cmpd="sng" algn="ctr">
            <a:solidFill>
              <a:schemeClr val="dk1">
                <a:lumMod val="15000"/>
                <a:lumOff val="85000"/>
              </a:schemeClr>
            </a:solidFill>
            <a:round/>
          </a:ln>
          <a:effectLst/>
        </c:spPr>
        <c:txPr>
          <a:bodyPr rot="0" spcFirstLastPara="1" vertOverflow="ellipsis" vert="horz" wrap="square" anchor="ctr" anchorCtr="1"/>
          <a:lstStyle/>
          <a:p>
            <a:pPr rtl="0">
              <a:defRPr sz="799"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w="25379">
          <a:noFill/>
        </a:ln>
      </c:spPr>
    </c:plotArea>
    <c:plotVisOnly val="1"/>
    <c:dispBlanksAs val="gap"/>
    <c:showDLblsOverMax val="0"/>
  </c:chart>
  <c:spPr>
    <a:solidFill>
      <a:schemeClr val="lt1"/>
    </a:solidFill>
    <a:ln w="3172"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b="1" i="0" baseline="0">
                <a:solidFill>
                  <a:srgbClr val="767171"/>
                </a:solidFill>
                <a:effectLst/>
              </a:rPr>
              <a:t>Casos de Denuncias </a:t>
            </a:r>
            <a:endParaRPr lang="es-DO" sz="1200">
              <a:solidFill>
                <a:srgbClr val="767171"/>
              </a:solidFill>
              <a:effectLst/>
            </a:endParaRPr>
          </a:p>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b="1" i="0" baseline="0">
                <a:solidFill>
                  <a:srgbClr val="767171"/>
                </a:solidFill>
                <a:effectLst/>
              </a:rPr>
              <a:t>Enero - Noviembre de 2021</a:t>
            </a:r>
            <a:endParaRPr lang="es-DO" sz="1200">
              <a:solidFill>
                <a:srgbClr val="767171"/>
              </a:solidFill>
              <a:effectLst/>
            </a:endParaRPr>
          </a:p>
        </c:rich>
      </c:tx>
      <c:overlay val="0"/>
      <c:spPr>
        <a:noFill/>
        <a:ln>
          <a:noFill/>
        </a:ln>
        <a:effectLst/>
      </c:spPr>
    </c:title>
    <c:autoTitleDeleted val="0"/>
    <c:plotArea>
      <c:layout/>
      <c:barChart>
        <c:barDir val="col"/>
        <c:grouping val="clustered"/>
        <c:varyColors val="0"/>
        <c:ser>
          <c:idx val="0"/>
          <c:order val="0"/>
          <c:tx>
            <c:strRef>
              <c:f>'Data Grafico'!$B$25</c:f>
              <c:strCache>
                <c:ptCount val="1"/>
                <c:pt idx="0">
                  <c:v>Recibidos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 Grafico'!$C$24:$H$24</c:f>
              <c:strCache>
                <c:ptCount val="5"/>
                <c:pt idx="0">
                  <c:v>Enero - Junio</c:v>
                </c:pt>
                <c:pt idx="1">
                  <c:v>Agosto</c:v>
                </c:pt>
                <c:pt idx="2">
                  <c:v>Septiembre</c:v>
                </c:pt>
                <c:pt idx="3">
                  <c:v>Octubre</c:v>
                </c:pt>
                <c:pt idx="4">
                  <c:v>Noviembre</c:v>
                </c:pt>
              </c:strCache>
            </c:strRef>
          </c:cat>
          <c:val>
            <c:numRef>
              <c:f>'Data Grafico'!$C$25:$H$25</c:f>
              <c:numCache>
                <c:formatCode>General</c:formatCode>
                <c:ptCount val="5"/>
                <c:pt idx="0">
                  <c:v>441</c:v>
                </c:pt>
                <c:pt idx="1">
                  <c:v>70</c:v>
                </c:pt>
                <c:pt idx="2">
                  <c:v>51</c:v>
                </c:pt>
                <c:pt idx="3">
                  <c:v>49</c:v>
                </c:pt>
                <c:pt idx="4">
                  <c:v>14</c:v>
                </c:pt>
              </c:numCache>
            </c:numRef>
          </c:val>
          <c:extLst xmlns:c16r2="http://schemas.microsoft.com/office/drawing/2015/06/chart">
            <c:ext xmlns:c16="http://schemas.microsoft.com/office/drawing/2014/chart" uri="{C3380CC4-5D6E-409C-BE32-E72D297353CC}">
              <c16:uniqueId val="{00000000-B911-4575-AD6A-2C463C13F8A9}"/>
            </c:ext>
          </c:extLst>
        </c:ser>
        <c:ser>
          <c:idx val="1"/>
          <c:order val="1"/>
          <c:tx>
            <c:strRef>
              <c:f>'Data Grafico'!$B$26</c:f>
              <c:strCache>
                <c:ptCount val="1"/>
                <c:pt idx="0">
                  <c:v>Concluidos</c:v>
                </c:pt>
              </c:strCache>
            </c:strRef>
          </c:tx>
          <c:spPr>
            <a:solidFill>
              <a:schemeClr val="accent2"/>
            </a:solidFill>
            <a:ln>
              <a:noFill/>
            </a:ln>
            <a:effectLst/>
          </c:spPr>
          <c:invertIfNegative val="0"/>
          <c:dLbls>
            <c:dLbl>
              <c:idx val="4"/>
              <c:layout>
                <c:manualLayout>
                  <c:x val="0"/>
                  <c:y val="-2.7378507871321012E-2"/>
                </c:manualLayout>
              </c:layout>
              <c:dLblPos val="outEnd"/>
              <c:showLegendKey val="0"/>
              <c:showVal val="1"/>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01-B911-4575-AD6A-2C463C13F8A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 Grafico'!$C$24:$H$24</c:f>
              <c:strCache>
                <c:ptCount val="5"/>
                <c:pt idx="0">
                  <c:v>Enero - Junio</c:v>
                </c:pt>
                <c:pt idx="1">
                  <c:v>Agosto</c:v>
                </c:pt>
                <c:pt idx="2">
                  <c:v>Septiembre</c:v>
                </c:pt>
                <c:pt idx="3">
                  <c:v>Octubre</c:v>
                </c:pt>
                <c:pt idx="4">
                  <c:v>Noviembre</c:v>
                </c:pt>
              </c:strCache>
            </c:strRef>
          </c:cat>
          <c:val>
            <c:numRef>
              <c:f>'Data Grafico'!$C$26:$H$26</c:f>
              <c:numCache>
                <c:formatCode>General</c:formatCode>
                <c:ptCount val="5"/>
                <c:pt idx="0">
                  <c:v>427</c:v>
                </c:pt>
                <c:pt idx="1">
                  <c:v>85</c:v>
                </c:pt>
                <c:pt idx="2">
                  <c:v>48</c:v>
                </c:pt>
                <c:pt idx="3">
                  <c:v>50</c:v>
                </c:pt>
                <c:pt idx="4">
                  <c:v>16</c:v>
                </c:pt>
              </c:numCache>
            </c:numRef>
          </c:val>
          <c:extLst xmlns:c16r2="http://schemas.microsoft.com/office/drawing/2015/06/chart">
            <c:ext xmlns:c16="http://schemas.microsoft.com/office/drawing/2014/chart" uri="{C3380CC4-5D6E-409C-BE32-E72D297353CC}">
              <c16:uniqueId val="{00000002-B911-4575-AD6A-2C463C13F8A9}"/>
            </c:ext>
          </c:extLst>
        </c:ser>
        <c:ser>
          <c:idx val="2"/>
          <c:order val="2"/>
          <c:tx>
            <c:strRef>
              <c:f>'Data Grafico'!$B$27</c:f>
              <c:strCache>
                <c:ptCount val="1"/>
                <c:pt idx="0">
                  <c:v>En Proceso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'Data Grafico'!$C$24:$H$24</c:f>
              <c:strCache>
                <c:ptCount val="5"/>
                <c:pt idx="0">
                  <c:v>Enero - Junio</c:v>
                </c:pt>
                <c:pt idx="1">
                  <c:v>Agosto</c:v>
                </c:pt>
                <c:pt idx="2">
                  <c:v>Septiembre</c:v>
                </c:pt>
                <c:pt idx="3">
                  <c:v>Octubre</c:v>
                </c:pt>
                <c:pt idx="4">
                  <c:v>Noviembre</c:v>
                </c:pt>
              </c:strCache>
            </c:strRef>
          </c:cat>
          <c:val>
            <c:numRef>
              <c:f>'Data Grafico'!$C$27:$H$27</c:f>
              <c:numCache>
                <c:formatCode>General</c:formatCode>
                <c:ptCount val="5"/>
                <c:pt idx="0">
                  <c:v>40</c:v>
                </c:pt>
                <c:pt idx="1">
                  <c:v>11</c:v>
                </c:pt>
                <c:pt idx="2">
                  <c:v>14</c:v>
                </c:pt>
                <c:pt idx="3">
                  <c:v>13</c:v>
                </c:pt>
                <c:pt idx="4">
                  <c:v>11</c:v>
                </c:pt>
              </c:numCache>
            </c:numRef>
          </c:val>
          <c:extLst xmlns:c16r2="http://schemas.microsoft.com/office/drawing/2015/06/chart">
            <c:ext xmlns:c16="http://schemas.microsoft.com/office/drawing/2014/chart" uri="{C3380CC4-5D6E-409C-BE32-E72D297353CC}">
              <c16:uniqueId val="{00000003-B911-4575-AD6A-2C463C13F8A9}"/>
            </c:ext>
          </c:extLst>
        </c:ser>
        <c:dLbls>
          <c:showLegendKey val="0"/>
          <c:showVal val="0"/>
          <c:showCatName val="0"/>
          <c:showSerName val="0"/>
          <c:showPercent val="0"/>
          <c:showBubbleSize val="0"/>
        </c:dLbls>
        <c:gapWidth val="267"/>
        <c:overlap val="-43"/>
        <c:axId val="441810104"/>
        <c:axId val="441807360"/>
      </c:barChart>
      <c:catAx>
        <c:axId val="441810104"/>
        <c:scaling>
          <c:orientation val="minMax"/>
        </c:scaling>
        <c:delete val="0"/>
        <c:axPos val="b"/>
        <c:numFmt formatCode="General" sourceLinked="1"/>
        <c:majorTickMark val="none"/>
        <c:minorTickMark val="none"/>
        <c:tickLblPos val="nextTo"/>
        <c:spPr>
          <a:noFill/>
          <a:ln w="9515"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41807360"/>
        <c:crosses val="autoZero"/>
        <c:auto val="1"/>
        <c:lblAlgn val="ctr"/>
        <c:lblOffset val="100"/>
        <c:noMultiLvlLbl val="0"/>
      </c:catAx>
      <c:valAx>
        <c:axId val="441807360"/>
        <c:scaling>
          <c:orientation val="minMax"/>
        </c:scaling>
        <c:delete val="1"/>
        <c:axPos val="l"/>
        <c:numFmt formatCode="General" sourceLinked="1"/>
        <c:majorTickMark val="out"/>
        <c:minorTickMark val="none"/>
        <c:tickLblPos val="nextTo"/>
        <c:crossAx val="441810104"/>
        <c:crosses val="autoZero"/>
        <c:crossBetween val="between"/>
      </c:valAx>
      <c:dTable>
        <c:showHorzBorder val="1"/>
        <c:showVertBorder val="1"/>
        <c:showOutline val="1"/>
        <c:showKeys val="1"/>
        <c:spPr>
          <a:noFill/>
          <a:ln w="9515" cap="flat" cmpd="sng" algn="ctr">
            <a:solidFill>
              <a:schemeClr val="dk1">
                <a:lumMod val="15000"/>
                <a:lumOff val="85000"/>
              </a:schemeClr>
            </a:solidFill>
            <a:round/>
          </a:ln>
          <a:effectLst/>
        </c:spPr>
        <c:txPr>
          <a:bodyPr rot="0" spcFirstLastPara="1" vertOverflow="ellipsis" vert="horz" wrap="square" anchor="ctr" anchorCtr="1"/>
          <a:lstStyle/>
          <a:p>
            <a:pPr rtl="0">
              <a:defRPr sz="799"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w="25373">
          <a:noFill/>
        </a:ln>
      </c:spPr>
    </c:plotArea>
    <c:plotVisOnly val="1"/>
    <c:dispBlanksAs val="gap"/>
    <c:showDLblsOverMax val="0"/>
  </c:chart>
  <c:spPr>
    <a:solidFill>
      <a:schemeClr val="lt1"/>
    </a:solidFill>
    <a:ln w="12700"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a:solidFill>
                  <a:srgbClr val="767171"/>
                </a:solidFill>
              </a:rPr>
              <a:t>Recurso de Quejas</a:t>
            </a:r>
            <a:r>
              <a:rPr lang="es-DO" sz="1200" baseline="0">
                <a:solidFill>
                  <a:srgbClr val="767171"/>
                </a:solidFill>
              </a:rPr>
              <a:t> </a:t>
            </a:r>
          </a:p>
          <a:p>
            <a:pPr>
              <a:defRPr sz="1200">
                <a:solidFill>
                  <a:srgbClr val="767171"/>
                </a:solidFill>
              </a:defRPr>
            </a:pPr>
            <a:r>
              <a:rPr lang="es-DO" sz="1200" baseline="0">
                <a:solidFill>
                  <a:srgbClr val="767171"/>
                </a:solidFill>
              </a:rPr>
              <a:t>Enero - Noviembre</a:t>
            </a:r>
            <a:r>
              <a:rPr lang="es-DO" sz="1200">
                <a:solidFill>
                  <a:srgbClr val="767171"/>
                </a:solidFill>
              </a:rPr>
              <a:t> de 2021</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'Data Grafico'!$B$31</c:f>
              <c:strCache>
                <c:ptCount val="1"/>
                <c:pt idx="0">
                  <c:v>Recibidos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Grafico'!$C$30:$H$30</c:f>
              <c:strCache>
                <c:ptCount val="6"/>
                <c:pt idx="0">
                  <c:v>Enero - Junio</c:v>
                </c:pt>
                <c:pt idx="1">
                  <c:v>Julio</c:v>
                </c:pt>
                <c:pt idx="2">
                  <c:v>Agosto</c:v>
                </c:pt>
                <c:pt idx="3">
                  <c:v>Septiembre</c:v>
                </c:pt>
                <c:pt idx="4">
                  <c:v>Octubre</c:v>
                </c:pt>
                <c:pt idx="5">
                  <c:v>Noviembre</c:v>
                </c:pt>
              </c:strCache>
            </c:strRef>
          </c:cat>
          <c:val>
            <c:numRef>
              <c:f>'Data Grafico'!$C$31:$H$31</c:f>
              <c:numCache>
                <c:formatCode>General</c:formatCode>
                <c:ptCount val="6"/>
                <c:pt idx="0">
                  <c:v>334</c:v>
                </c:pt>
                <c:pt idx="1">
                  <c:v>31</c:v>
                </c:pt>
                <c:pt idx="2">
                  <c:v>22</c:v>
                </c:pt>
                <c:pt idx="3">
                  <c:v>15</c:v>
                </c:pt>
                <c:pt idx="4">
                  <c:v>6</c:v>
                </c:pt>
                <c:pt idx="5">
                  <c:v>9</c:v>
                </c:pt>
              </c:numCache>
            </c:numRef>
          </c:val>
          <c:extLst xmlns:c16r2="http://schemas.microsoft.com/office/drawing/2015/06/chart">
            <c:ext xmlns:c16="http://schemas.microsoft.com/office/drawing/2014/chart" uri="{C3380CC4-5D6E-409C-BE32-E72D297353CC}">
              <c16:uniqueId val="{00000000-168C-4116-A707-A7B2DD29E48A}"/>
            </c:ext>
          </c:extLst>
        </c:ser>
        <c:ser>
          <c:idx val="1"/>
          <c:order val="1"/>
          <c:tx>
            <c:strRef>
              <c:f>'Data Grafico'!$B$32</c:f>
              <c:strCache>
                <c:ptCount val="1"/>
                <c:pt idx="0">
                  <c:v>Concluidos</c:v>
                </c:pt>
              </c:strCache>
            </c:strRef>
          </c:tx>
          <c:spPr>
            <a:solidFill>
              <a:schemeClr val="accent2"/>
            </a:solidFill>
            <a:ln>
              <a:noFill/>
            </a:ln>
            <a:effectLst/>
          </c:spPr>
          <c:invertIfNegative val="0"/>
          <c:dLbls>
            <c:dLbl>
              <c:idx val="0"/>
              <c:layout>
                <c:manualLayout>
                  <c:x val="1.2644889357218124E-2"/>
                  <c:y val="-4.233977262713346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96-4EC3-978E-1B4AC06F98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Grafico'!$C$30:$H$30</c:f>
              <c:strCache>
                <c:ptCount val="6"/>
                <c:pt idx="0">
                  <c:v>Enero - Junio</c:v>
                </c:pt>
                <c:pt idx="1">
                  <c:v>Julio</c:v>
                </c:pt>
                <c:pt idx="2">
                  <c:v>Agosto</c:v>
                </c:pt>
                <c:pt idx="3">
                  <c:v>Septiembre</c:v>
                </c:pt>
                <c:pt idx="4">
                  <c:v>Octubre</c:v>
                </c:pt>
                <c:pt idx="5">
                  <c:v>Noviembre</c:v>
                </c:pt>
              </c:strCache>
            </c:strRef>
          </c:cat>
          <c:val>
            <c:numRef>
              <c:f>'Data Grafico'!$C$32:$H$32</c:f>
              <c:numCache>
                <c:formatCode>General</c:formatCode>
                <c:ptCount val="6"/>
                <c:pt idx="0">
                  <c:v>330</c:v>
                </c:pt>
                <c:pt idx="1">
                  <c:v>31</c:v>
                </c:pt>
                <c:pt idx="2">
                  <c:v>27</c:v>
                </c:pt>
                <c:pt idx="3">
                  <c:v>10</c:v>
                </c:pt>
                <c:pt idx="4">
                  <c:v>12</c:v>
                </c:pt>
                <c:pt idx="5">
                  <c:v>2</c:v>
                </c:pt>
              </c:numCache>
            </c:numRef>
          </c:val>
          <c:extLst xmlns:c16r2="http://schemas.microsoft.com/office/drawing/2015/06/chart">
            <c:ext xmlns:c16="http://schemas.microsoft.com/office/drawing/2014/chart" uri="{C3380CC4-5D6E-409C-BE32-E72D297353CC}">
              <c16:uniqueId val="{00000001-168C-4116-A707-A7B2DD29E48A}"/>
            </c:ext>
          </c:extLst>
        </c:ser>
        <c:ser>
          <c:idx val="2"/>
          <c:order val="2"/>
          <c:tx>
            <c:strRef>
              <c:f>'Data Grafico'!$B$33</c:f>
              <c:strCache>
                <c:ptCount val="1"/>
                <c:pt idx="0">
                  <c:v>En Proceso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Grafico'!$C$30:$H$30</c:f>
              <c:strCache>
                <c:ptCount val="6"/>
                <c:pt idx="0">
                  <c:v>Enero - Junio</c:v>
                </c:pt>
                <c:pt idx="1">
                  <c:v>Julio</c:v>
                </c:pt>
                <c:pt idx="2">
                  <c:v>Agosto</c:v>
                </c:pt>
                <c:pt idx="3">
                  <c:v>Septiembre</c:v>
                </c:pt>
                <c:pt idx="4">
                  <c:v>Octubre</c:v>
                </c:pt>
                <c:pt idx="5">
                  <c:v>Noviembre</c:v>
                </c:pt>
              </c:strCache>
            </c:strRef>
          </c:cat>
          <c:val>
            <c:numRef>
              <c:f>'Data Grafico'!$C$33:$H$33</c:f>
              <c:numCache>
                <c:formatCode>General</c:formatCode>
                <c:ptCount val="6"/>
                <c:pt idx="0">
                  <c:v>17</c:v>
                </c:pt>
                <c:pt idx="1">
                  <c:v>15</c:v>
                </c:pt>
                <c:pt idx="2">
                  <c:v>6</c:v>
                </c:pt>
                <c:pt idx="3">
                  <c:v>9</c:v>
                </c:pt>
                <c:pt idx="4">
                  <c:v>3</c:v>
                </c:pt>
                <c:pt idx="5">
                  <c:v>10</c:v>
                </c:pt>
              </c:numCache>
            </c:numRef>
          </c:val>
          <c:extLst xmlns:c16r2="http://schemas.microsoft.com/office/drawing/2015/06/chart">
            <c:ext xmlns:c16="http://schemas.microsoft.com/office/drawing/2014/chart" uri="{C3380CC4-5D6E-409C-BE32-E72D297353CC}">
              <c16:uniqueId val="{00000002-168C-4116-A707-A7B2DD29E48A}"/>
            </c:ext>
          </c:extLst>
        </c:ser>
        <c:ser>
          <c:idx val="3"/>
          <c:order val="3"/>
          <c:tx>
            <c:strRef>
              <c:f>'Data Grafico'!$B$34</c:f>
              <c:strCache>
                <c:ptCount val="1"/>
                <c:pt idx="0">
                  <c:v>Remitidos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 Grafico'!$C$30:$H$30</c:f>
              <c:strCache>
                <c:ptCount val="6"/>
                <c:pt idx="0">
                  <c:v>Enero - Junio</c:v>
                </c:pt>
                <c:pt idx="1">
                  <c:v>Julio</c:v>
                </c:pt>
                <c:pt idx="2">
                  <c:v>Agosto</c:v>
                </c:pt>
                <c:pt idx="3">
                  <c:v>Septiembre</c:v>
                </c:pt>
                <c:pt idx="4">
                  <c:v>Octubre</c:v>
                </c:pt>
                <c:pt idx="5">
                  <c:v>Noviembre</c:v>
                </c:pt>
              </c:strCache>
            </c:strRef>
          </c:cat>
          <c:val>
            <c:numRef>
              <c:f>'Data Grafico'!$C$34:$H$34</c:f>
              <c:numCache>
                <c:formatCode>General</c:formatCode>
                <c:ptCount val="6"/>
                <c:pt idx="0">
                  <c:v>46</c:v>
                </c:pt>
                <c:pt idx="1">
                  <c:v>2</c:v>
                </c:pt>
                <c:pt idx="2">
                  <c:v>4</c:v>
                </c:pt>
                <c:pt idx="3">
                  <c:v>2</c:v>
                </c:pt>
                <c:pt idx="4">
                  <c:v>0</c:v>
                </c:pt>
                <c:pt idx="5">
                  <c:v>0</c:v>
                </c:pt>
              </c:numCache>
            </c:numRef>
          </c:val>
          <c:extLst xmlns:c16r2="http://schemas.microsoft.com/office/drawing/2015/06/chart">
            <c:ext xmlns:c16="http://schemas.microsoft.com/office/drawing/2014/chart" uri="{C3380CC4-5D6E-409C-BE32-E72D297353CC}">
              <c16:uniqueId val="{00000003-168C-4116-A707-A7B2DD29E48A}"/>
            </c:ext>
          </c:extLst>
        </c:ser>
        <c:dLbls>
          <c:dLblPos val="outEnd"/>
          <c:showLegendKey val="0"/>
          <c:showVal val="1"/>
          <c:showCatName val="0"/>
          <c:showSerName val="0"/>
          <c:showPercent val="0"/>
          <c:showBubbleSize val="0"/>
        </c:dLbls>
        <c:gapWidth val="267"/>
        <c:overlap val="-43"/>
        <c:axId val="441814416"/>
        <c:axId val="441811672"/>
      </c:barChart>
      <c:catAx>
        <c:axId val="441814416"/>
        <c:scaling>
          <c:orientation val="minMax"/>
        </c:scaling>
        <c:delete val="1"/>
        <c:axPos val="b"/>
        <c:numFmt formatCode="General" sourceLinked="1"/>
        <c:majorTickMark val="out"/>
        <c:minorTickMark val="none"/>
        <c:tickLblPos val="nextTo"/>
        <c:crossAx val="441811672"/>
        <c:crosses val="autoZero"/>
        <c:auto val="1"/>
        <c:lblAlgn val="ctr"/>
        <c:lblOffset val="100"/>
        <c:noMultiLvlLbl val="0"/>
      </c:catAx>
      <c:valAx>
        <c:axId val="441811672"/>
        <c:scaling>
          <c:orientation val="minMax"/>
        </c:scaling>
        <c:delete val="1"/>
        <c:axPos val="l"/>
        <c:numFmt formatCode="General" sourceLinked="1"/>
        <c:majorTickMark val="out"/>
        <c:minorTickMark val="none"/>
        <c:tickLblPos val="nextTo"/>
        <c:crossAx val="441814416"/>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lt1"/>
    </a:solidFill>
    <a:ln w="9525" cap="flat" cmpd="sng" algn="ctr">
      <a:solidFill>
        <a:sysClr val="windowText" lastClr="000000"/>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Monto Acreditado Usuarios</a:t>
            </a:r>
          </a:p>
          <a:p>
            <a:pPr>
              <a:defRPr sz="12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Enero - Noviembre de 2021</a:t>
            </a:r>
          </a:p>
        </c:rich>
      </c:tx>
      <c:overlay val="0"/>
      <c:spPr>
        <a:noFill/>
        <a:ln>
          <a:noFill/>
        </a:ln>
        <a:effectLst/>
      </c:spPr>
    </c:title>
    <c:autoTitleDeleted val="0"/>
    <c:plotArea>
      <c:layout/>
      <c:barChart>
        <c:barDir val="col"/>
        <c:grouping val="clustered"/>
        <c:varyColors val="0"/>
        <c:ser>
          <c:idx val="0"/>
          <c:order val="0"/>
          <c:tx>
            <c:strRef>
              <c:f>'Data Grafico'!$B$48</c:f>
              <c:strCache>
                <c:ptCount val="1"/>
                <c:pt idx="0">
                  <c:v>Balance reclamado</c:v>
                </c:pt>
              </c:strCache>
            </c:strRef>
          </c:tx>
          <c:spPr>
            <a:solidFill>
              <a:schemeClr val="accent1"/>
            </a:solidFill>
            <a:ln>
              <a:noFill/>
            </a:ln>
            <a:effectLst/>
          </c:spPr>
          <c:invertIfNegative val="0"/>
          <c:cat>
            <c:strRef>
              <c:f>'Data Grafico'!$C$47:$H$47</c:f>
              <c:strCache>
                <c:ptCount val="6"/>
                <c:pt idx="0">
                  <c:v>Enero - Junio</c:v>
                </c:pt>
                <c:pt idx="1">
                  <c:v>Julio</c:v>
                </c:pt>
                <c:pt idx="2">
                  <c:v>Agosto</c:v>
                </c:pt>
                <c:pt idx="3">
                  <c:v>Septiembre</c:v>
                </c:pt>
                <c:pt idx="4">
                  <c:v>Octubre</c:v>
                </c:pt>
                <c:pt idx="5">
                  <c:v>Noviembre</c:v>
                </c:pt>
              </c:strCache>
            </c:strRef>
          </c:cat>
          <c:val>
            <c:numRef>
              <c:f>'Data Grafico'!$C$48:$H$48</c:f>
              <c:numCache>
                <c:formatCode>_("$"* #,##0.00_);_("$"* \(#,##0.00\);_("$"* "-"??_);_(@_)</c:formatCode>
                <c:ptCount val="6"/>
                <c:pt idx="0">
                  <c:v>2956136.7699999996</c:v>
                </c:pt>
                <c:pt idx="1">
                  <c:v>252652.39</c:v>
                </c:pt>
                <c:pt idx="2">
                  <c:v>526718.02</c:v>
                </c:pt>
                <c:pt idx="3">
                  <c:v>64834.61</c:v>
                </c:pt>
                <c:pt idx="4">
                  <c:v>870043.88</c:v>
                </c:pt>
                <c:pt idx="5">
                  <c:v>15769.16</c:v>
                </c:pt>
              </c:numCache>
            </c:numRef>
          </c:val>
          <c:extLst xmlns:c16r2="http://schemas.microsoft.com/office/drawing/2015/06/chart">
            <c:ext xmlns:c16="http://schemas.microsoft.com/office/drawing/2014/chart" uri="{C3380CC4-5D6E-409C-BE32-E72D297353CC}">
              <c16:uniqueId val="{00000000-8311-4658-8DA7-166BA19A9E95}"/>
            </c:ext>
          </c:extLst>
        </c:ser>
        <c:ser>
          <c:idx val="1"/>
          <c:order val="1"/>
          <c:tx>
            <c:strRef>
              <c:f>'Data Grafico'!$B$49</c:f>
              <c:strCache>
                <c:ptCount val="1"/>
                <c:pt idx="0">
                  <c:v>Balance acreditado</c:v>
                </c:pt>
              </c:strCache>
            </c:strRef>
          </c:tx>
          <c:spPr>
            <a:solidFill>
              <a:schemeClr val="accent2"/>
            </a:solidFill>
            <a:ln>
              <a:noFill/>
            </a:ln>
            <a:effectLst/>
          </c:spPr>
          <c:invertIfNegative val="0"/>
          <c:cat>
            <c:strRef>
              <c:f>'Data Grafico'!$C$47:$H$47</c:f>
              <c:strCache>
                <c:ptCount val="6"/>
                <c:pt idx="0">
                  <c:v>Enero - Junio</c:v>
                </c:pt>
                <c:pt idx="1">
                  <c:v>Julio</c:v>
                </c:pt>
                <c:pt idx="2">
                  <c:v>Agosto</c:v>
                </c:pt>
                <c:pt idx="3">
                  <c:v>Septiembre</c:v>
                </c:pt>
                <c:pt idx="4">
                  <c:v>Octubre</c:v>
                </c:pt>
                <c:pt idx="5">
                  <c:v>Noviembre</c:v>
                </c:pt>
              </c:strCache>
            </c:strRef>
          </c:cat>
          <c:val>
            <c:numRef>
              <c:f>'Data Grafico'!$C$49:$H$49</c:f>
              <c:numCache>
                <c:formatCode>_("$"* #,##0.00_);_("$"* \(#,##0.00\);_("$"* "-"??_);_(@_)</c:formatCode>
                <c:ptCount val="6"/>
                <c:pt idx="0">
                  <c:v>2394733.6799999997</c:v>
                </c:pt>
                <c:pt idx="1">
                  <c:v>257146.38</c:v>
                </c:pt>
                <c:pt idx="2">
                  <c:v>196510.67</c:v>
                </c:pt>
                <c:pt idx="3">
                  <c:v>134147.53</c:v>
                </c:pt>
                <c:pt idx="4">
                  <c:v>731328.69000000006</c:v>
                </c:pt>
                <c:pt idx="5">
                  <c:v>75830.209999999992</c:v>
                </c:pt>
              </c:numCache>
            </c:numRef>
          </c:val>
          <c:extLst xmlns:c16r2="http://schemas.microsoft.com/office/drawing/2015/06/chart">
            <c:ext xmlns:c16="http://schemas.microsoft.com/office/drawing/2014/chart" uri="{C3380CC4-5D6E-409C-BE32-E72D297353CC}">
              <c16:uniqueId val="{00000001-8311-4658-8DA7-166BA19A9E95}"/>
            </c:ext>
          </c:extLst>
        </c:ser>
        <c:dLbls>
          <c:showLegendKey val="0"/>
          <c:showVal val="0"/>
          <c:showCatName val="0"/>
          <c:showSerName val="0"/>
          <c:showPercent val="0"/>
          <c:showBubbleSize val="0"/>
        </c:dLbls>
        <c:gapWidth val="267"/>
        <c:overlap val="-43"/>
        <c:axId val="441814808"/>
        <c:axId val="441817944"/>
      </c:barChart>
      <c:catAx>
        <c:axId val="441814808"/>
        <c:scaling>
          <c:orientation val="minMax"/>
        </c:scaling>
        <c:delete val="0"/>
        <c:axPos val="b"/>
        <c:numFmt formatCode="General" sourceLinked="1"/>
        <c:majorTickMark val="none"/>
        <c:minorTickMark val="none"/>
        <c:tickLblPos val="nextTo"/>
        <c:spPr>
          <a:noFill/>
          <a:ln w="9528"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441817944"/>
        <c:crosses val="autoZero"/>
        <c:auto val="1"/>
        <c:lblAlgn val="ctr"/>
        <c:lblOffset val="100"/>
        <c:noMultiLvlLbl val="0"/>
      </c:catAx>
      <c:valAx>
        <c:axId val="441817944"/>
        <c:scaling>
          <c:orientation val="minMax"/>
        </c:scaling>
        <c:delete val="1"/>
        <c:axPos val="l"/>
        <c:numFmt formatCode="_(&quot;$&quot;* #,##0.00_);_(&quot;$&quot;* \(#,##0.00\);_(&quot;$&quot;* &quot;-&quot;??_);_(@_)" sourceLinked="1"/>
        <c:majorTickMark val="out"/>
        <c:minorTickMark val="none"/>
        <c:tickLblPos val="nextTo"/>
        <c:crossAx val="441814808"/>
        <c:crosses val="autoZero"/>
        <c:crossBetween val="between"/>
      </c:valAx>
      <c:dTable>
        <c:showHorzBorder val="1"/>
        <c:showVertBorder val="1"/>
        <c:showOutline val="1"/>
        <c:showKeys val="1"/>
        <c:spPr>
          <a:noFill/>
          <a:ln w="9528"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Table>
      <c:spPr>
        <a:noFill/>
        <a:ln w="25408">
          <a:noFill/>
        </a:ln>
      </c:spPr>
    </c:plotArea>
    <c:plotVisOnly val="1"/>
    <c:dispBlanksAs val="gap"/>
    <c:showDLblsOverMax val="0"/>
  </c:chart>
  <c:spPr>
    <a:solidFill>
      <a:schemeClr val="lt1"/>
    </a:solidFill>
    <a:ln w="9528" cap="flat" cmpd="sng" algn="ctr">
      <a:solidFill>
        <a:sysClr val="windowText" lastClr="000000"/>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0.35844</cdr:x>
      <cdr:y>0.29706</cdr:y>
    </cdr:from>
    <cdr:to>
      <cdr:x>0.36012</cdr:x>
      <cdr:y>0.78727</cdr:y>
    </cdr:to>
    <cdr:cxnSp macro="">
      <cdr:nvCxnSpPr>
        <cdr:cNvPr id="4" name="Conector recto 3"/>
        <cdr:cNvCxnSpPr/>
      </cdr:nvCxnSpPr>
      <cdr:spPr>
        <a:xfrm xmlns:a="http://schemas.openxmlformats.org/drawingml/2006/main" flipH="1" flipV="1">
          <a:off x="2124075" y="809625"/>
          <a:ext cx="9932" cy="1336017"/>
        </a:xfrm>
        <a:prstGeom xmlns:a="http://schemas.openxmlformats.org/drawingml/2006/main" prst="line">
          <a:avLst/>
        </a:prstGeom>
        <a:ln xmlns:a="http://schemas.openxmlformats.org/drawingml/2006/main" w="19050">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0.67733</cdr:x>
      <cdr:y>0.30056</cdr:y>
    </cdr:from>
    <cdr:to>
      <cdr:x>0.67831</cdr:x>
      <cdr:y>0.78677</cdr:y>
    </cdr:to>
    <cdr:cxnSp macro="">
      <cdr:nvCxnSpPr>
        <cdr:cNvPr id="5" name="Conector recto 4"/>
        <cdr:cNvCxnSpPr/>
      </cdr:nvCxnSpPr>
      <cdr:spPr>
        <a:xfrm xmlns:a="http://schemas.openxmlformats.org/drawingml/2006/main" flipV="1">
          <a:off x="4013736" y="819150"/>
          <a:ext cx="5814" cy="1325130"/>
        </a:xfrm>
        <a:prstGeom xmlns:a="http://schemas.openxmlformats.org/drawingml/2006/main" prst="line">
          <a:avLst/>
        </a:prstGeom>
        <a:ln xmlns:a="http://schemas.openxmlformats.org/drawingml/2006/main" w="19050">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5918D-EA67-4715-B3D8-5C35DFE66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256</Pages>
  <Words>47020</Words>
  <Characters>268016</Characters>
  <Application>Microsoft Office Word</Application>
  <DocSecurity>0</DocSecurity>
  <Lines>2233</Lines>
  <Paragraphs>628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314408</CharactersWithSpaces>
  <SharedDoc>false</SharedDoc>
  <HLinks>
    <vt:vector size="336" baseType="variant">
      <vt:variant>
        <vt:i4>4849743</vt:i4>
      </vt:variant>
      <vt:variant>
        <vt:i4>333</vt:i4>
      </vt:variant>
      <vt:variant>
        <vt:i4>0</vt:i4>
      </vt:variant>
      <vt:variant>
        <vt:i4>5</vt:i4>
      </vt:variant>
      <vt:variant>
        <vt:lpwstr>http://www.atsc.org/</vt:lpwstr>
      </vt:variant>
      <vt:variant>
        <vt:lpwstr/>
      </vt:variant>
      <vt:variant>
        <vt:i4>1572913</vt:i4>
      </vt:variant>
      <vt:variant>
        <vt:i4>326</vt:i4>
      </vt:variant>
      <vt:variant>
        <vt:i4>0</vt:i4>
      </vt:variant>
      <vt:variant>
        <vt:i4>5</vt:i4>
      </vt:variant>
      <vt:variant>
        <vt:lpwstr/>
      </vt:variant>
      <vt:variant>
        <vt:lpwstr>_Toc78302770</vt:lpwstr>
      </vt:variant>
      <vt:variant>
        <vt:i4>1114160</vt:i4>
      </vt:variant>
      <vt:variant>
        <vt:i4>320</vt:i4>
      </vt:variant>
      <vt:variant>
        <vt:i4>0</vt:i4>
      </vt:variant>
      <vt:variant>
        <vt:i4>5</vt:i4>
      </vt:variant>
      <vt:variant>
        <vt:lpwstr/>
      </vt:variant>
      <vt:variant>
        <vt:lpwstr>_Toc78302769</vt:lpwstr>
      </vt:variant>
      <vt:variant>
        <vt:i4>1048624</vt:i4>
      </vt:variant>
      <vt:variant>
        <vt:i4>314</vt:i4>
      </vt:variant>
      <vt:variant>
        <vt:i4>0</vt:i4>
      </vt:variant>
      <vt:variant>
        <vt:i4>5</vt:i4>
      </vt:variant>
      <vt:variant>
        <vt:lpwstr/>
      </vt:variant>
      <vt:variant>
        <vt:lpwstr>_Toc78302768</vt:lpwstr>
      </vt:variant>
      <vt:variant>
        <vt:i4>2031664</vt:i4>
      </vt:variant>
      <vt:variant>
        <vt:i4>308</vt:i4>
      </vt:variant>
      <vt:variant>
        <vt:i4>0</vt:i4>
      </vt:variant>
      <vt:variant>
        <vt:i4>5</vt:i4>
      </vt:variant>
      <vt:variant>
        <vt:lpwstr/>
      </vt:variant>
      <vt:variant>
        <vt:lpwstr>_Toc78302767</vt:lpwstr>
      </vt:variant>
      <vt:variant>
        <vt:i4>1966128</vt:i4>
      </vt:variant>
      <vt:variant>
        <vt:i4>302</vt:i4>
      </vt:variant>
      <vt:variant>
        <vt:i4>0</vt:i4>
      </vt:variant>
      <vt:variant>
        <vt:i4>5</vt:i4>
      </vt:variant>
      <vt:variant>
        <vt:lpwstr/>
      </vt:variant>
      <vt:variant>
        <vt:lpwstr>_Toc78302766</vt:lpwstr>
      </vt:variant>
      <vt:variant>
        <vt:i4>1900592</vt:i4>
      </vt:variant>
      <vt:variant>
        <vt:i4>296</vt:i4>
      </vt:variant>
      <vt:variant>
        <vt:i4>0</vt:i4>
      </vt:variant>
      <vt:variant>
        <vt:i4>5</vt:i4>
      </vt:variant>
      <vt:variant>
        <vt:lpwstr/>
      </vt:variant>
      <vt:variant>
        <vt:lpwstr>_Toc78302765</vt:lpwstr>
      </vt:variant>
      <vt:variant>
        <vt:i4>1835056</vt:i4>
      </vt:variant>
      <vt:variant>
        <vt:i4>290</vt:i4>
      </vt:variant>
      <vt:variant>
        <vt:i4>0</vt:i4>
      </vt:variant>
      <vt:variant>
        <vt:i4>5</vt:i4>
      </vt:variant>
      <vt:variant>
        <vt:lpwstr/>
      </vt:variant>
      <vt:variant>
        <vt:lpwstr>_Toc78302764</vt:lpwstr>
      </vt:variant>
      <vt:variant>
        <vt:i4>1769520</vt:i4>
      </vt:variant>
      <vt:variant>
        <vt:i4>284</vt:i4>
      </vt:variant>
      <vt:variant>
        <vt:i4>0</vt:i4>
      </vt:variant>
      <vt:variant>
        <vt:i4>5</vt:i4>
      </vt:variant>
      <vt:variant>
        <vt:lpwstr/>
      </vt:variant>
      <vt:variant>
        <vt:lpwstr>_Toc78302763</vt:lpwstr>
      </vt:variant>
      <vt:variant>
        <vt:i4>1703984</vt:i4>
      </vt:variant>
      <vt:variant>
        <vt:i4>278</vt:i4>
      </vt:variant>
      <vt:variant>
        <vt:i4>0</vt:i4>
      </vt:variant>
      <vt:variant>
        <vt:i4>5</vt:i4>
      </vt:variant>
      <vt:variant>
        <vt:lpwstr/>
      </vt:variant>
      <vt:variant>
        <vt:lpwstr>_Toc78302762</vt:lpwstr>
      </vt:variant>
      <vt:variant>
        <vt:i4>1638448</vt:i4>
      </vt:variant>
      <vt:variant>
        <vt:i4>272</vt:i4>
      </vt:variant>
      <vt:variant>
        <vt:i4>0</vt:i4>
      </vt:variant>
      <vt:variant>
        <vt:i4>5</vt:i4>
      </vt:variant>
      <vt:variant>
        <vt:lpwstr/>
      </vt:variant>
      <vt:variant>
        <vt:lpwstr>_Toc78302761</vt:lpwstr>
      </vt:variant>
      <vt:variant>
        <vt:i4>1572912</vt:i4>
      </vt:variant>
      <vt:variant>
        <vt:i4>266</vt:i4>
      </vt:variant>
      <vt:variant>
        <vt:i4>0</vt:i4>
      </vt:variant>
      <vt:variant>
        <vt:i4>5</vt:i4>
      </vt:variant>
      <vt:variant>
        <vt:lpwstr/>
      </vt:variant>
      <vt:variant>
        <vt:lpwstr>_Toc78302760</vt:lpwstr>
      </vt:variant>
      <vt:variant>
        <vt:i4>1114163</vt:i4>
      </vt:variant>
      <vt:variant>
        <vt:i4>260</vt:i4>
      </vt:variant>
      <vt:variant>
        <vt:i4>0</vt:i4>
      </vt:variant>
      <vt:variant>
        <vt:i4>5</vt:i4>
      </vt:variant>
      <vt:variant>
        <vt:lpwstr/>
      </vt:variant>
      <vt:variant>
        <vt:lpwstr>_Toc78302759</vt:lpwstr>
      </vt:variant>
      <vt:variant>
        <vt:i4>1048627</vt:i4>
      </vt:variant>
      <vt:variant>
        <vt:i4>254</vt:i4>
      </vt:variant>
      <vt:variant>
        <vt:i4>0</vt:i4>
      </vt:variant>
      <vt:variant>
        <vt:i4>5</vt:i4>
      </vt:variant>
      <vt:variant>
        <vt:lpwstr/>
      </vt:variant>
      <vt:variant>
        <vt:lpwstr>_Toc78302758</vt:lpwstr>
      </vt:variant>
      <vt:variant>
        <vt:i4>2031667</vt:i4>
      </vt:variant>
      <vt:variant>
        <vt:i4>248</vt:i4>
      </vt:variant>
      <vt:variant>
        <vt:i4>0</vt:i4>
      </vt:variant>
      <vt:variant>
        <vt:i4>5</vt:i4>
      </vt:variant>
      <vt:variant>
        <vt:lpwstr/>
      </vt:variant>
      <vt:variant>
        <vt:lpwstr>_Toc78302757</vt:lpwstr>
      </vt:variant>
      <vt:variant>
        <vt:i4>1966131</vt:i4>
      </vt:variant>
      <vt:variant>
        <vt:i4>242</vt:i4>
      </vt:variant>
      <vt:variant>
        <vt:i4>0</vt:i4>
      </vt:variant>
      <vt:variant>
        <vt:i4>5</vt:i4>
      </vt:variant>
      <vt:variant>
        <vt:lpwstr/>
      </vt:variant>
      <vt:variant>
        <vt:lpwstr>_Toc78302756</vt:lpwstr>
      </vt:variant>
      <vt:variant>
        <vt:i4>1900595</vt:i4>
      </vt:variant>
      <vt:variant>
        <vt:i4>236</vt:i4>
      </vt:variant>
      <vt:variant>
        <vt:i4>0</vt:i4>
      </vt:variant>
      <vt:variant>
        <vt:i4>5</vt:i4>
      </vt:variant>
      <vt:variant>
        <vt:lpwstr/>
      </vt:variant>
      <vt:variant>
        <vt:lpwstr>_Toc78302755</vt:lpwstr>
      </vt:variant>
      <vt:variant>
        <vt:i4>1835059</vt:i4>
      </vt:variant>
      <vt:variant>
        <vt:i4>230</vt:i4>
      </vt:variant>
      <vt:variant>
        <vt:i4>0</vt:i4>
      </vt:variant>
      <vt:variant>
        <vt:i4>5</vt:i4>
      </vt:variant>
      <vt:variant>
        <vt:lpwstr/>
      </vt:variant>
      <vt:variant>
        <vt:lpwstr>_Toc78302754</vt:lpwstr>
      </vt:variant>
      <vt:variant>
        <vt:i4>1769523</vt:i4>
      </vt:variant>
      <vt:variant>
        <vt:i4>224</vt:i4>
      </vt:variant>
      <vt:variant>
        <vt:i4>0</vt:i4>
      </vt:variant>
      <vt:variant>
        <vt:i4>5</vt:i4>
      </vt:variant>
      <vt:variant>
        <vt:lpwstr/>
      </vt:variant>
      <vt:variant>
        <vt:lpwstr>_Toc78302753</vt:lpwstr>
      </vt:variant>
      <vt:variant>
        <vt:i4>1703987</vt:i4>
      </vt:variant>
      <vt:variant>
        <vt:i4>218</vt:i4>
      </vt:variant>
      <vt:variant>
        <vt:i4>0</vt:i4>
      </vt:variant>
      <vt:variant>
        <vt:i4>5</vt:i4>
      </vt:variant>
      <vt:variant>
        <vt:lpwstr/>
      </vt:variant>
      <vt:variant>
        <vt:lpwstr>_Toc78302752</vt:lpwstr>
      </vt:variant>
      <vt:variant>
        <vt:i4>1638451</vt:i4>
      </vt:variant>
      <vt:variant>
        <vt:i4>212</vt:i4>
      </vt:variant>
      <vt:variant>
        <vt:i4>0</vt:i4>
      </vt:variant>
      <vt:variant>
        <vt:i4>5</vt:i4>
      </vt:variant>
      <vt:variant>
        <vt:lpwstr/>
      </vt:variant>
      <vt:variant>
        <vt:lpwstr>_Toc78302751</vt:lpwstr>
      </vt:variant>
      <vt:variant>
        <vt:i4>1572915</vt:i4>
      </vt:variant>
      <vt:variant>
        <vt:i4>206</vt:i4>
      </vt:variant>
      <vt:variant>
        <vt:i4>0</vt:i4>
      </vt:variant>
      <vt:variant>
        <vt:i4>5</vt:i4>
      </vt:variant>
      <vt:variant>
        <vt:lpwstr/>
      </vt:variant>
      <vt:variant>
        <vt:lpwstr>_Toc78302750</vt:lpwstr>
      </vt:variant>
      <vt:variant>
        <vt:i4>1114162</vt:i4>
      </vt:variant>
      <vt:variant>
        <vt:i4>200</vt:i4>
      </vt:variant>
      <vt:variant>
        <vt:i4>0</vt:i4>
      </vt:variant>
      <vt:variant>
        <vt:i4>5</vt:i4>
      </vt:variant>
      <vt:variant>
        <vt:lpwstr/>
      </vt:variant>
      <vt:variant>
        <vt:lpwstr>_Toc78302749</vt:lpwstr>
      </vt:variant>
      <vt:variant>
        <vt:i4>1048626</vt:i4>
      </vt:variant>
      <vt:variant>
        <vt:i4>194</vt:i4>
      </vt:variant>
      <vt:variant>
        <vt:i4>0</vt:i4>
      </vt:variant>
      <vt:variant>
        <vt:i4>5</vt:i4>
      </vt:variant>
      <vt:variant>
        <vt:lpwstr/>
      </vt:variant>
      <vt:variant>
        <vt:lpwstr>_Toc78302748</vt:lpwstr>
      </vt:variant>
      <vt:variant>
        <vt:i4>2031666</vt:i4>
      </vt:variant>
      <vt:variant>
        <vt:i4>188</vt:i4>
      </vt:variant>
      <vt:variant>
        <vt:i4>0</vt:i4>
      </vt:variant>
      <vt:variant>
        <vt:i4>5</vt:i4>
      </vt:variant>
      <vt:variant>
        <vt:lpwstr/>
      </vt:variant>
      <vt:variant>
        <vt:lpwstr>_Toc78302747</vt:lpwstr>
      </vt:variant>
      <vt:variant>
        <vt:i4>1966130</vt:i4>
      </vt:variant>
      <vt:variant>
        <vt:i4>182</vt:i4>
      </vt:variant>
      <vt:variant>
        <vt:i4>0</vt:i4>
      </vt:variant>
      <vt:variant>
        <vt:i4>5</vt:i4>
      </vt:variant>
      <vt:variant>
        <vt:lpwstr/>
      </vt:variant>
      <vt:variant>
        <vt:lpwstr>_Toc78302746</vt:lpwstr>
      </vt:variant>
      <vt:variant>
        <vt:i4>1900594</vt:i4>
      </vt:variant>
      <vt:variant>
        <vt:i4>176</vt:i4>
      </vt:variant>
      <vt:variant>
        <vt:i4>0</vt:i4>
      </vt:variant>
      <vt:variant>
        <vt:i4>5</vt:i4>
      </vt:variant>
      <vt:variant>
        <vt:lpwstr/>
      </vt:variant>
      <vt:variant>
        <vt:lpwstr>_Toc78302745</vt:lpwstr>
      </vt:variant>
      <vt:variant>
        <vt:i4>1835058</vt:i4>
      </vt:variant>
      <vt:variant>
        <vt:i4>170</vt:i4>
      </vt:variant>
      <vt:variant>
        <vt:i4>0</vt:i4>
      </vt:variant>
      <vt:variant>
        <vt:i4>5</vt:i4>
      </vt:variant>
      <vt:variant>
        <vt:lpwstr/>
      </vt:variant>
      <vt:variant>
        <vt:lpwstr>_Toc78302744</vt:lpwstr>
      </vt:variant>
      <vt:variant>
        <vt:i4>1769522</vt:i4>
      </vt:variant>
      <vt:variant>
        <vt:i4>164</vt:i4>
      </vt:variant>
      <vt:variant>
        <vt:i4>0</vt:i4>
      </vt:variant>
      <vt:variant>
        <vt:i4>5</vt:i4>
      </vt:variant>
      <vt:variant>
        <vt:lpwstr/>
      </vt:variant>
      <vt:variant>
        <vt:lpwstr>_Toc78302743</vt:lpwstr>
      </vt:variant>
      <vt:variant>
        <vt:i4>1703986</vt:i4>
      </vt:variant>
      <vt:variant>
        <vt:i4>158</vt:i4>
      </vt:variant>
      <vt:variant>
        <vt:i4>0</vt:i4>
      </vt:variant>
      <vt:variant>
        <vt:i4>5</vt:i4>
      </vt:variant>
      <vt:variant>
        <vt:lpwstr/>
      </vt:variant>
      <vt:variant>
        <vt:lpwstr>_Toc78302742</vt:lpwstr>
      </vt:variant>
      <vt:variant>
        <vt:i4>1638450</vt:i4>
      </vt:variant>
      <vt:variant>
        <vt:i4>152</vt:i4>
      </vt:variant>
      <vt:variant>
        <vt:i4>0</vt:i4>
      </vt:variant>
      <vt:variant>
        <vt:i4>5</vt:i4>
      </vt:variant>
      <vt:variant>
        <vt:lpwstr/>
      </vt:variant>
      <vt:variant>
        <vt:lpwstr>_Toc78302741</vt:lpwstr>
      </vt:variant>
      <vt:variant>
        <vt:i4>1572914</vt:i4>
      </vt:variant>
      <vt:variant>
        <vt:i4>146</vt:i4>
      </vt:variant>
      <vt:variant>
        <vt:i4>0</vt:i4>
      </vt:variant>
      <vt:variant>
        <vt:i4>5</vt:i4>
      </vt:variant>
      <vt:variant>
        <vt:lpwstr/>
      </vt:variant>
      <vt:variant>
        <vt:lpwstr>_Toc78302740</vt:lpwstr>
      </vt:variant>
      <vt:variant>
        <vt:i4>1114165</vt:i4>
      </vt:variant>
      <vt:variant>
        <vt:i4>140</vt:i4>
      </vt:variant>
      <vt:variant>
        <vt:i4>0</vt:i4>
      </vt:variant>
      <vt:variant>
        <vt:i4>5</vt:i4>
      </vt:variant>
      <vt:variant>
        <vt:lpwstr/>
      </vt:variant>
      <vt:variant>
        <vt:lpwstr>_Toc78302739</vt:lpwstr>
      </vt:variant>
      <vt:variant>
        <vt:i4>1048629</vt:i4>
      </vt:variant>
      <vt:variant>
        <vt:i4>134</vt:i4>
      </vt:variant>
      <vt:variant>
        <vt:i4>0</vt:i4>
      </vt:variant>
      <vt:variant>
        <vt:i4>5</vt:i4>
      </vt:variant>
      <vt:variant>
        <vt:lpwstr/>
      </vt:variant>
      <vt:variant>
        <vt:lpwstr>_Toc78302738</vt:lpwstr>
      </vt:variant>
      <vt:variant>
        <vt:i4>2031669</vt:i4>
      </vt:variant>
      <vt:variant>
        <vt:i4>128</vt:i4>
      </vt:variant>
      <vt:variant>
        <vt:i4>0</vt:i4>
      </vt:variant>
      <vt:variant>
        <vt:i4>5</vt:i4>
      </vt:variant>
      <vt:variant>
        <vt:lpwstr/>
      </vt:variant>
      <vt:variant>
        <vt:lpwstr>_Toc78302737</vt:lpwstr>
      </vt:variant>
      <vt:variant>
        <vt:i4>1966133</vt:i4>
      </vt:variant>
      <vt:variant>
        <vt:i4>122</vt:i4>
      </vt:variant>
      <vt:variant>
        <vt:i4>0</vt:i4>
      </vt:variant>
      <vt:variant>
        <vt:i4>5</vt:i4>
      </vt:variant>
      <vt:variant>
        <vt:lpwstr/>
      </vt:variant>
      <vt:variant>
        <vt:lpwstr>_Toc78302736</vt:lpwstr>
      </vt:variant>
      <vt:variant>
        <vt:i4>1900597</vt:i4>
      </vt:variant>
      <vt:variant>
        <vt:i4>116</vt:i4>
      </vt:variant>
      <vt:variant>
        <vt:i4>0</vt:i4>
      </vt:variant>
      <vt:variant>
        <vt:i4>5</vt:i4>
      </vt:variant>
      <vt:variant>
        <vt:lpwstr/>
      </vt:variant>
      <vt:variant>
        <vt:lpwstr>_Toc78302735</vt:lpwstr>
      </vt:variant>
      <vt:variant>
        <vt:i4>1835061</vt:i4>
      </vt:variant>
      <vt:variant>
        <vt:i4>110</vt:i4>
      </vt:variant>
      <vt:variant>
        <vt:i4>0</vt:i4>
      </vt:variant>
      <vt:variant>
        <vt:i4>5</vt:i4>
      </vt:variant>
      <vt:variant>
        <vt:lpwstr/>
      </vt:variant>
      <vt:variant>
        <vt:lpwstr>_Toc78302734</vt:lpwstr>
      </vt:variant>
      <vt:variant>
        <vt:i4>1769525</vt:i4>
      </vt:variant>
      <vt:variant>
        <vt:i4>104</vt:i4>
      </vt:variant>
      <vt:variant>
        <vt:i4>0</vt:i4>
      </vt:variant>
      <vt:variant>
        <vt:i4>5</vt:i4>
      </vt:variant>
      <vt:variant>
        <vt:lpwstr/>
      </vt:variant>
      <vt:variant>
        <vt:lpwstr>_Toc78302733</vt:lpwstr>
      </vt:variant>
      <vt:variant>
        <vt:i4>1703989</vt:i4>
      </vt:variant>
      <vt:variant>
        <vt:i4>98</vt:i4>
      </vt:variant>
      <vt:variant>
        <vt:i4>0</vt:i4>
      </vt:variant>
      <vt:variant>
        <vt:i4>5</vt:i4>
      </vt:variant>
      <vt:variant>
        <vt:lpwstr/>
      </vt:variant>
      <vt:variant>
        <vt:lpwstr>_Toc78302732</vt:lpwstr>
      </vt:variant>
      <vt:variant>
        <vt:i4>1638453</vt:i4>
      </vt:variant>
      <vt:variant>
        <vt:i4>92</vt:i4>
      </vt:variant>
      <vt:variant>
        <vt:i4>0</vt:i4>
      </vt:variant>
      <vt:variant>
        <vt:i4>5</vt:i4>
      </vt:variant>
      <vt:variant>
        <vt:lpwstr/>
      </vt:variant>
      <vt:variant>
        <vt:lpwstr>_Toc78302731</vt:lpwstr>
      </vt:variant>
      <vt:variant>
        <vt:i4>1572917</vt:i4>
      </vt:variant>
      <vt:variant>
        <vt:i4>86</vt:i4>
      </vt:variant>
      <vt:variant>
        <vt:i4>0</vt:i4>
      </vt:variant>
      <vt:variant>
        <vt:i4>5</vt:i4>
      </vt:variant>
      <vt:variant>
        <vt:lpwstr/>
      </vt:variant>
      <vt:variant>
        <vt:lpwstr>_Toc78302730</vt:lpwstr>
      </vt:variant>
      <vt:variant>
        <vt:i4>1114164</vt:i4>
      </vt:variant>
      <vt:variant>
        <vt:i4>80</vt:i4>
      </vt:variant>
      <vt:variant>
        <vt:i4>0</vt:i4>
      </vt:variant>
      <vt:variant>
        <vt:i4>5</vt:i4>
      </vt:variant>
      <vt:variant>
        <vt:lpwstr/>
      </vt:variant>
      <vt:variant>
        <vt:lpwstr>_Toc78302729</vt:lpwstr>
      </vt:variant>
      <vt:variant>
        <vt:i4>1048628</vt:i4>
      </vt:variant>
      <vt:variant>
        <vt:i4>74</vt:i4>
      </vt:variant>
      <vt:variant>
        <vt:i4>0</vt:i4>
      </vt:variant>
      <vt:variant>
        <vt:i4>5</vt:i4>
      </vt:variant>
      <vt:variant>
        <vt:lpwstr/>
      </vt:variant>
      <vt:variant>
        <vt:lpwstr>_Toc78302728</vt:lpwstr>
      </vt:variant>
      <vt:variant>
        <vt:i4>2031668</vt:i4>
      </vt:variant>
      <vt:variant>
        <vt:i4>68</vt:i4>
      </vt:variant>
      <vt:variant>
        <vt:i4>0</vt:i4>
      </vt:variant>
      <vt:variant>
        <vt:i4>5</vt:i4>
      </vt:variant>
      <vt:variant>
        <vt:lpwstr/>
      </vt:variant>
      <vt:variant>
        <vt:lpwstr>_Toc78302727</vt:lpwstr>
      </vt:variant>
      <vt:variant>
        <vt:i4>1966132</vt:i4>
      </vt:variant>
      <vt:variant>
        <vt:i4>62</vt:i4>
      </vt:variant>
      <vt:variant>
        <vt:i4>0</vt:i4>
      </vt:variant>
      <vt:variant>
        <vt:i4>5</vt:i4>
      </vt:variant>
      <vt:variant>
        <vt:lpwstr/>
      </vt:variant>
      <vt:variant>
        <vt:lpwstr>_Toc78302726</vt:lpwstr>
      </vt:variant>
      <vt:variant>
        <vt:i4>1900596</vt:i4>
      </vt:variant>
      <vt:variant>
        <vt:i4>56</vt:i4>
      </vt:variant>
      <vt:variant>
        <vt:i4>0</vt:i4>
      </vt:variant>
      <vt:variant>
        <vt:i4>5</vt:i4>
      </vt:variant>
      <vt:variant>
        <vt:lpwstr/>
      </vt:variant>
      <vt:variant>
        <vt:lpwstr>_Toc78302725</vt:lpwstr>
      </vt:variant>
      <vt:variant>
        <vt:i4>1835060</vt:i4>
      </vt:variant>
      <vt:variant>
        <vt:i4>50</vt:i4>
      </vt:variant>
      <vt:variant>
        <vt:i4>0</vt:i4>
      </vt:variant>
      <vt:variant>
        <vt:i4>5</vt:i4>
      </vt:variant>
      <vt:variant>
        <vt:lpwstr/>
      </vt:variant>
      <vt:variant>
        <vt:lpwstr>_Toc78302724</vt:lpwstr>
      </vt:variant>
      <vt:variant>
        <vt:i4>1769524</vt:i4>
      </vt:variant>
      <vt:variant>
        <vt:i4>44</vt:i4>
      </vt:variant>
      <vt:variant>
        <vt:i4>0</vt:i4>
      </vt:variant>
      <vt:variant>
        <vt:i4>5</vt:i4>
      </vt:variant>
      <vt:variant>
        <vt:lpwstr/>
      </vt:variant>
      <vt:variant>
        <vt:lpwstr>_Toc78302723</vt:lpwstr>
      </vt:variant>
      <vt:variant>
        <vt:i4>1703988</vt:i4>
      </vt:variant>
      <vt:variant>
        <vt:i4>38</vt:i4>
      </vt:variant>
      <vt:variant>
        <vt:i4>0</vt:i4>
      </vt:variant>
      <vt:variant>
        <vt:i4>5</vt:i4>
      </vt:variant>
      <vt:variant>
        <vt:lpwstr/>
      </vt:variant>
      <vt:variant>
        <vt:lpwstr>_Toc78302722</vt:lpwstr>
      </vt:variant>
      <vt:variant>
        <vt:i4>1638452</vt:i4>
      </vt:variant>
      <vt:variant>
        <vt:i4>32</vt:i4>
      </vt:variant>
      <vt:variant>
        <vt:i4>0</vt:i4>
      </vt:variant>
      <vt:variant>
        <vt:i4>5</vt:i4>
      </vt:variant>
      <vt:variant>
        <vt:lpwstr/>
      </vt:variant>
      <vt:variant>
        <vt:lpwstr>_Toc78302721</vt:lpwstr>
      </vt:variant>
      <vt:variant>
        <vt:i4>1572916</vt:i4>
      </vt:variant>
      <vt:variant>
        <vt:i4>26</vt:i4>
      </vt:variant>
      <vt:variant>
        <vt:i4>0</vt:i4>
      </vt:variant>
      <vt:variant>
        <vt:i4>5</vt:i4>
      </vt:variant>
      <vt:variant>
        <vt:lpwstr/>
      </vt:variant>
      <vt:variant>
        <vt:lpwstr>_Toc78302720</vt:lpwstr>
      </vt:variant>
      <vt:variant>
        <vt:i4>1114167</vt:i4>
      </vt:variant>
      <vt:variant>
        <vt:i4>20</vt:i4>
      </vt:variant>
      <vt:variant>
        <vt:i4>0</vt:i4>
      </vt:variant>
      <vt:variant>
        <vt:i4>5</vt:i4>
      </vt:variant>
      <vt:variant>
        <vt:lpwstr/>
      </vt:variant>
      <vt:variant>
        <vt:lpwstr>_Toc78302719</vt:lpwstr>
      </vt:variant>
      <vt:variant>
        <vt:i4>1048631</vt:i4>
      </vt:variant>
      <vt:variant>
        <vt:i4>14</vt:i4>
      </vt:variant>
      <vt:variant>
        <vt:i4>0</vt:i4>
      </vt:variant>
      <vt:variant>
        <vt:i4>5</vt:i4>
      </vt:variant>
      <vt:variant>
        <vt:lpwstr/>
      </vt:variant>
      <vt:variant>
        <vt:lpwstr>_Toc78302718</vt:lpwstr>
      </vt:variant>
      <vt:variant>
        <vt:i4>2031671</vt:i4>
      </vt:variant>
      <vt:variant>
        <vt:i4>8</vt:i4>
      </vt:variant>
      <vt:variant>
        <vt:i4>0</vt:i4>
      </vt:variant>
      <vt:variant>
        <vt:i4>5</vt:i4>
      </vt:variant>
      <vt:variant>
        <vt:lpwstr/>
      </vt:variant>
      <vt:variant>
        <vt:lpwstr>_Toc78302717</vt:lpwstr>
      </vt:variant>
      <vt:variant>
        <vt:i4>1966135</vt:i4>
      </vt:variant>
      <vt:variant>
        <vt:i4>2</vt:i4>
      </vt:variant>
      <vt:variant>
        <vt:i4>0</vt:i4>
      </vt:variant>
      <vt:variant>
        <vt:i4>5</vt:i4>
      </vt:variant>
      <vt:variant>
        <vt:lpwstr/>
      </vt:variant>
      <vt:variant>
        <vt:lpwstr>_Toc78302716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Rafael A. Salazar Astacio</cp:lastModifiedBy>
  <cp:revision>10</cp:revision>
  <cp:lastPrinted>2021-12-23T14:13:00Z</cp:lastPrinted>
  <dcterms:created xsi:type="dcterms:W3CDTF">2021-12-23T15:49:00Z</dcterms:created>
  <dcterms:modified xsi:type="dcterms:W3CDTF">2021-12-23T16:34:00Z</dcterms:modified>
</cp:coreProperties>
</file>