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9A258" w14:textId="5DED8E84" w:rsidR="008D7F4E" w:rsidRPr="008E6046" w:rsidRDefault="00DF0B54" w:rsidP="008D7F4E">
      <w:pPr>
        <w:rPr>
          <w:lang w:val="es-DO"/>
        </w:rPr>
      </w:pPr>
      <w:r w:rsidRPr="00B82CCE">
        <w:rPr>
          <w:noProof/>
        </w:rPr>
        <w:drawing>
          <wp:anchor distT="0" distB="0" distL="114300" distR="114300" simplePos="0" relativeHeight="251656192" behindDoc="0" locked="0" layoutInCell="1" allowOverlap="1" wp14:anchorId="3F0A51DA" wp14:editId="10E2BA0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1AC5E2C3" w14:textId="77777777" w:rsidR="008D7F4E" w:rsidRPr="008E6046" w:rsidRDefault="008D7F4E" w:rsidP="008D7F4E">
      <w:pPr>
        <w:rPr>
          <w:lang w:val="es-DO"/>
        </w:rPr>
      </w:pPr>
    </w:p>
    <w:p w14:paraId="34990FAF" w14:textId="52B5DA41" w:rsidR="008D7F4E" w:rsidRPr="008E6046" w:rsidRDefault="008D7F4E" w:rsidP="008D7F4E">
      <w:pPr>
        <w:rPr>
          <w:lang w:val="es-DO"/>
        </w:rPr>
      </w:pPr>
      <w:bookmarkStart w:id="0" w:name="_Hlk86404256"/>
      <w:bookmarkEnd w:id="0"/>
    </w:p>
    <w:p w14:paraId="6EFB72EE" w14:textId="272B2AD6" w:rsidR="008D7F4E" w:rsidRPr="008E6046" w:rsidRDefault="008D7F4E" w:rsidP="008D7F4E">
      <w:pPr>
        <w:rPr>
          <w:lang w:val="es-DO"/>
        </w:rPr>
      </w:pPr>
    </w:p>
    <w:p w14:paraId="3F7503CE" w14:textId="172B5CFE" w:rsidR="008D7F4E" w:rsidRPr="008E6046" w:rsidRDefault="008D7F4E" w:rsidP="008D7F4E">
      <w:pPr>
        <w:rPr>
          <w:lang w:val="es-DO"/>
        </w:rPr>
      </w:pPr>
    </w:p>
    <w:p w14:paraId="071FCCAE" w14:textId="3EABEDC4" w:rsidR="008D7F4E" w:rsidRPr="008E6046" w:rsidRDefault="008D7F4E" w:rsidP="008D7F4E">
      <w:pPr>
        <w:rPr>
          <w:lang w:val="es-DO"/>
        </w:rPr>
      </w:pPr>
    </w:p>
    <w:p w14:paraId="69FBF6B1" w14:textId="64CD4A2C" w:rsidR="008D7F4E" w:rsidRPr="008E6046" w:rsidRDefault="00D33A54" w:rsidP="008D7F4E">
      <w:pPr>
        <w:rPr>
          <w:lang w:val="es-DO"/>
        </w:rPr>
      </w:pPr>
      <w:r w:rsidRPr="00B82CCE">
        <w:rPr>
          <w:noProof/>
        </w:rPr>
        <mc:AlternateContent>
          <mc:Choice Requires="wps">
            <w:drawing>
              <wp:anchor distT="0" distB="0" distL="114300" distR="114300" simplePos="0" relativeHeight="251660288" behindDoc="0" locked="0" layoutInCell="1" allowOverlap="1" wp14:anchorId="49B1C421" wp14:editId="42EFA7FE">
                <wp:simplePos x="0" y="0"/>
                <wp:positionH relativeFrom="column">
                  <wp:posOffset>2137410</wp:posOffset>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7C16C5" w:rsidRPr="005C548C" w:rsidRDefault="007C16C5"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7C16C5" w:rsidRPr="005C548C" w:rsidRDefault="007C16C5"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0233C915" w14:textId="77777777" w:rsidR="008D7F4E" w:rsidRPr="008E6046" w:rsidRDefault="008D7F4E" w:rsidP="008D7F4E">
      <w:pPr>
        <w:rPr>
          <w:lang w:val="es-DO"/>
        </w:rPr>
      </w:pPr>
    </w:p>
    <w:p w14:paraId="274DCED8" w14:textId="2DBF2D3F" w:rsidR="004F2DD5" w:rsidRPr="00943FA5" w:rsidRDefault="00C64CEF" w:rsidP="004F2DD5">
      <w:pPr>
        <w:rPr>
          <w:rFonts w:ascii="Times New Roman" w:hAnsi="Times New Roman"/>
          <w:lang w:val="es-DO"/>
        </w:rPr>
      </w:pPr>
      <w:r w:rsidRPr="00B82CCE">
        <w:rPr>
          <w:noProof/>
        </w:rPr>
        <mc:AlternateContent>
          <mc:Choice Requires="wps">
            <w:drawing>
              <wp:anchor distT="0" distB="0" distL="114300" distR="114300" simplePos="0" relativeHeight="251658240" behindDoc="0" locked="0" layoutInCell="1" allowOverlap="1" wp14:anchorId="0C109D41" wp14:editId="50A9D433">
                <wp:simplePos x="0" y="0"/>
                <wp:positionH relativeFrom="column">
                  <wp:posOffset>152400</wp:posOffset>
                </wp:positionH>
                <wp:positionV relativeFrom="paragraph">
                  <wp:posOffset>1477010</wp:posOffset>
                </wp:positionV>
                <wp:extent cx="5758815" cy="904875"/>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04875"/>
                        </a:xfrm>
                        <a:prstGeom prst="rect">
                          <a:avLst/>
                        </a:prstGeom>
                      </wps:spPr>
                      <wps:txbx>
                        <w:txbxContent>
                          <w:p w14:paraId="5D02EB6E" w14:textId="77777777" w:rsidR="007C16C5" w:rsidRPr="0053121F" w:rsidRDefault="007C16C5" w:rsidP="0053121F">
                            <w:pPr>
                              <w:spacing w:after="0"/>
                              <w:jc w:val="center"/>
                              <w:rPr>
                                <w:rFonts w:ascii="Times New Roman" w:hAnsi="Times New Roman" w:cs="Times New Roman"/>
                                <w:b/>
                                <w:bCs/>
                                <w:color w:val="D5B788"/>
                                <w:spacing w:val="60"/>
                                <w:kern w:val="24"/>
                                <w:sz w:val="56"/>
                                <w:szCs w:val="56"/>
                                <w:lang w:val="es-DO"/>
                              </w:rPr>
                            </w:pPr>
                            <w:r w:rsidRPr="0053121F">
                              <w:rPr>
                                <w:rFonts w:ascii="Times New Roman" w:hAnsi="Times New Roman" w:cs="Times New Roman"/>
                                <w:b/>
                                <w:bCs/>
                                <w:color w:val="D5B788"/>
                                <w:spacing w:val="60"/>
                                <w:kern w:val="24"/>
                                <w:sz w:val="56"/>
                                <w:szCs w:val="56"/>
                                <w:lang w:val="es-DO"/>
                              </w:rPr>
                              <w:t xml:space="preserve">MEMORIA </w:t>
                            </w:r>
                          </w:p>
                          <w:p w14:paraId="0C3AA7DD" w14:textId="540EB300" w:rsidR="007C16C5" w:rsidRPr="008D7F4E" w:rsidRDefault="007C16C5" w:rsidP="0053121F">
                            <w:pPr>
                              <w:spacing w:after="0"/>
                              <w:jc w:val="center"/>
                              <w:rPr>
                                <w:rFonts w:ascii="Times New Roman" w:hAnsi="Times New Roman" w:cs="Times New Roman"/>
                                <w:b/>
                                <w:bCs/>
                                <w:color w:val="D5B788"/>
                                <w:spacing w:val="60"/>
                                <w:kern w:val="24"/>
                                <w:sz w:val="56"/>
                                <w:szCs w:val="56"/>
                                <w:lang w:val="es-DO"/>
                              </w:rPr>
                            </w:pPr>
                            <w:r w:rsidRPr="0053121F">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2pt;margin-top:116.3pt;width:453.45pt;height: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" filled="f" stroked="f">
                <v:textbox inset="0,1.35pt,0,0">
                  <w:txbxContent>
                    <w:p w14:paraId="5D02EB6E" w14:textId="77777777" w:rsidR="007C16C5" w:rsidRPr="0053121F" w:rsidRDefault="007C16C5" w:rsidP="0053121F">
                      <w:pPr>
                        <w:spacing w:after="0"/>
                        <w:jc w:val="center"/>
                        <w:rPr>
                          <w:rFonts w:ascii="Times New Roman" w:hAnsi="Times New Roman" w:cs="Times New Roman"/>
                          <w:b/>
                          <w:bCs/>
                          <w:color w:val="D5B788"/>
                          <w:spacing w:val="60"/>
                          <w:kern w:val="24"/>
                          <w:sz w:val="56"/>
                          <w:szCs w:val="56"/>
                          <w:lang w:val="es-DO"/>
                        </w:rPr>
                      </w:pPr>
                      <w:r w:rsidRPr="0053121F">
                        <w:rPr>
                          <w:rFonts w:ascii="Times New Roman" w:hAnsi="Times New Roman" w:cs="Times New Roman"/>
                          <w:b/>
                          <w:bCs/>
                          <w:color w:val="D5B788"/>
                          <w:spacing w:val="60"/>
                          <w:kern w:val="24"/>
                          <w:sz w:val="56"/>
                          <w:szCs w:val="56"/>
                          <w:lang w:val="es-DO"/>
                        </w:rPr>
                        <w:t xml:space="preserve">MEMORIA </w:t>
                      </w:r>
                    </w:p>
                    <w:p w14:paraId="0C3AA7DD" w14:textId="540EB300" w:rsidR="007C16C5" w:rsidRPr="008D7F4E" w:rsidRDefault="007C16C5" w:rsidP="0053121F">
                      <w:pPr>
                        <w:spacing w:after="0"/>
                        <w:jc w:val="center"/>
                        <w:rPr>
                          <w:rFonts w:ascii="Times New Roman" w:hAnsi="Times New Roman" w:cs="Times New Roman"/>
                          <w:b/>
                          <w:bCs/>
                          <w:color w:val="D5B788"/>
                          <w:spacing w:val="60"/>
                          <w:kern w:val="24"/>
                          <w:sz w:val="56"/>
                          <w:szCs w:val="56"/>
                          <w:lang w:val="es-DO"/>
                        </w:rPr>
                      </w:pPr>
                      <w:r w:rsidRPr="0053121F">
                        <w:rPr>
                          <w:rFonts w:ascii="Times New Roman" w:hAnsi="Times New Roman" w:cs="Times New Roman"/>
                          <w:b/>
                          <w:bCs/>
                          <w:color w:val="D5B788"/>
                          <w:spacing w:val="60"/>
                          <w:kern w:val="24"/>
                          <w:sz w:val="56"/>
                          <w:szCs w:val="56"/>
                          <w:lang w:val="es-DO"/>
                        </w:rPr>
                        <w:t>INSTITUCIONAL</w:t>
                      </w:r>
                    </w:p>
                  </w:txbxContent>
                </v:textbox>
              </v:shape>
            </w:pict>
          </mc:Fallback>
        </mc:AlternateContent>
      </w:r>
      <w:r w:rsidR="0089273D" w:rsidRPr="00B82CCE">
        <w:rPr>
          <w:noProof/>
        </w:rPr>
        <mc:AlternateContent>
          <mc:Choice Requires="wps">
            <w:drawing>
              <wp:anchor distT="4294967295" distB="4294967295" distL="114300" distR="114300" simplePos="0" relativeHeight="251703296" behindDoc="0" locked="0" layoutInCell="1" allowOverlap="1" wp14:anchorId="209AF3DE" wp14:editId="00845B01">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F6ED6A" id="Straight Connector 9"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" strokecolor="#c8b688" strokeweight="2.25pt">
                <v:stroke joinstyle="miter"/>
                <o:lock v:ext="edit" shapetype="f"/>
                <w10:wrap anchorx="margin"/>
              </v:line>
            </w:pict>
          </mc:Fallback>
        </mc:AlternateContent>
      </w:r>
      <w:r w:rsidR="006160B6" w:rsidRPr="00B82CCE">
        <w:rPr>
          <w:noProof/>
        </w:rPr>
        <mc:AlternateContent>
          <mc:Choice Requires="wps">
            <w:drawing>
              <wp:anchor distT="0" distB="0" distL="114300" distR="114300" simplePos="0" relativeHeight="251685888" behindDoc="0" locked="0" layoutInCell="1" allowOverlap="1" wp14:anchorId="4B9C2ACC" wp14:editId="270650EA">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D7A89DA" id="Freeform: Shape 44"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B82CCE">
        <w:rPr>
          <w:noProof/>
        </w:rPr>
        <mc:AlternateContent>
          <mc:Choice Requires="wps">
            <w:drawing>
              <wp:anchor distT="0" distB="0" distL="114300" distR="114300" simplePos="0" relativeHeight="251659264" behindDoc="0" locked="0" layoutInCell="1" allowOverlap="1" wp14:anchorId="6B2EB822" wp14:editId="3A30B5A9">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7C16C5" w:rsidRPr="00F36012" w:rsidRDefault="007C16C5"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" filled="f" stroked="f">
                <v:textbox inset="0,1pt,0,0">
                  <w:txbxContent>
                    <w:p w14:paraId="50ABDE0F" w14:textId="4E051B9B" w:rsidR="007C16C5" w:rsidRPr="00F36012" w:rsidRDefault="007C16C5"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r w:rsidR="004F2DD5" w:rsidRPr="00943FA5">
        <w:rPr>
          <w:lang w:val="es-DO"/>
        </w:rPr>
        <w:tab/>
      </w:r>
    </w:p>
    <w:p w14:paraId="6F050B88" w14:textId="2E1F4F25" w:rsidR="004F2DD5" w:rsidRPr="00943FA5" w:rsidRDefault="004F2DD5" w:rsidP="004F2DD5">
      <w:pPr>
        <w:rPr>
          <w:rFonts w:ascii="Times New Roman" w:hAnsi="Times New Roman"/>
          <w:lang w:val="es-DO"/>
        </w:rPr>
      </w:pPr>
    </w:p>
    <w:p w14:paraId="17B5E9DF" w14:textId="1D424DDF" w:rsidR="008D7F4E" w:rsidRPr="008E6046" w:rsidRDefault="00D33A54" w:rsidP="008D7F4E">
      <w:pPr>
        <w:rPr>
          <w:lang w:val="es-DO"/>
        </w:rPr>
      </w:pPr>
      <w:r w:rsidRPr="0054777B">
        <w:rPr>
          <w:noProof/>
        </w:rPr>
        <w:drawing>
          <wp:anchor distT="0" distB="0" distL="114300" distR="114300" simplePos="0" relativeHeight="251711488" behindDoc="1" locked="0" layoutInCell="1" allowOverlap="1" wp14:anchorId="3B639118" wp14:editId="3A1DED82">
            <wp:simplePos x="0" y="0"/>
            <wp:positionH relativeFrom="margin">
              <wp:posOffset>4237990</wp:posOffset>
            </wp:positionH>
            <wp:positionV relativeFrom="margin">
              <wp:posOffset>7489825</wp:posOffset>
            </wp:positionV>
            <wp:extent cx="1931670" cy="645795"/>
            <wp:effectExtent l="0" t="0" r="0" b="1905"/>
            <wp:wrapTight wrapText="bothSides">
              <wp:wrapPolygon edited="0">
                <wp:start x="0" y="0"/>
                <wp:lineTo x="0" y="21027"/>
                <wp:lineTo x="21302" y="21027"/>
                <wp:lineTo x="21302"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31670" cy="645795"/>
                    </a:xfrm>
                    <a:prstGeom prst="rect">
                      <a:avLst/>
                    </a:prstGeom>
                  </pic:spPr>
                </pic:pic>
              </a:graphicData>
            </a:graphic>
            <wp14:sizeRelH relativeFrom="margin">
              <wp14:pctWidth>0</wp14:pctWidth>
            </wp14:sizeRelH>
            <wp14:sizeRelV relativeFrom="margin">
              <wp14:pctHeight>0</wp14:pctHeight>
            </wp14:sizeRelV>
          </wp:anchor>
        </w:drawing>
      </w:r>
      <w:r w:rsidR="00330BBF" w:rsidRPr="00943FA5">
        <w:rPr>
          <w:noProof/>
        </w:rPr>
        <mc:AlternateContent>
          <mc:Choice Requires="wpg">
            <w:drawing>
              <wp:anchor distT="0" distB="0" distL="114300" distR="114300" simplePos="0" relativeHeight="251683840" behindDoc="0" locked="0" layoutInCell="1" allowOverlap="1" wp14:anchorId="7F7330D2" wp14:editId="5EF2EFB4">
                <wp:simplePos x="0" y="0"/>
                <wp:positionH relativeFrom="column">
                  <wp:posOffset>390525</wp:posOffset>
                </wp:positionH>
                <wp:positionV relativeFrom="paragraph">
                  <wp:posOffset>57150</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7C16C5" w:rsidRPr="003A00CC" w:rsidRDefault="007C16C5"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7C16C5" w:rsidRDefault="007C16C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F7330D2" id="Group 11" o:spid="_x0000_s1029" style="position:absolute;margin-left:30.75pt;margin-top:4.5pt;width:178.55pt;height:79.2pt;z-index:25168384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">
                <v:shape id="Text Box 34" o:spid="_x0000_s1030" type="#_x0000_t202" style="position:absolute;top:6000;width:226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7D8IA&#10;AADbAAAADwAAAGRycy9kb3ducmV2LnhtbESPQWsCMRSE7wX/Q3hCbzVrK6WuRhGxtFftInh7bp6b&#10;1c3LkqTr9t8bQehxmJlvmPmyt43oyIfasYLxKANBXDpdc6Wg+Pl8+QARIrLGxjEp+KMAy8XgaY65&#10;dlfeUreLlUgQDjkqMDG2uZShNGQxjFxLnLyT8xZjkr6S2uM1wW0jX7PsXVqsOS0YbGltqLzsfq2C&#10;r7YrqNT7w3TDZ6O306L2x41Sz8N+NQMRqY//4Uf7Wyt4m8D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HsPwgAAANsAAAAPAAAAAAAAAAAAAAAAAJgCAABkcnMvZG93&#10;bnJldi54bWxQSwUGAAAAAAQABAD1AAAAhwMAAAAA&#10;" filled="f" stroked="f">
                  <v:path arrowok="t"/>
                  <v:textbox inset="0,1.2pt,0,0">
                    <w:txbxContent>
                      <w:p w14:paraId="043402B9" w14:textId="77777777" w:rsidR="007C16C5" w:rsidRPr="003A00CC" w:rsidRDefault="007C16C5"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7C16C5" w:rsidRDefault="007C16C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Shape 33" o:spid="_x0000_s1032"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4wMMA&#10;AADbAAAADwAAAGRycy9kb3ducmV2LnhtbESPUWvCMBSF3wf+h3CFvc3UFcRVo0hhOAd7sO4HXJtr&#10;U2xuSpLZ7t8vgrDHwznnO5z1drSduJEPrWMF81kGgrh2uuVGwffp/WUJIkRkjZ1jUvBLAbabydMa&#10;C+0GPtKtio1IEA4FKjAx9oWUoTZkMcxcT5y8i/MWY5K+kdrjkOC2k69ZtpAWW04LBnsqDdXX6scq&#10;cCZflJ/7/deBDsObr+J5KOdnpZ6n424FItIY/8OP9od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B4wMMAAADbAAAADwAAAAAAAAAAAAAAAACYAgAAZHJzL2Rv&#10;d25yZXYueG1sUEsFBgAAAAAEAAQA9QAAAIgD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ILPEAAAA2wAAAA8AAABkcnMvZG93bnJldi54bWxEj0FrwkAUhO+C/2F5Qm+6MSVWYjZBCoUU&#10;T2op9PbIviahu29Ddqtpf323IHgcZuYbpqgma8SFRt87VrBeJSCIG6d7bhW8nV+WWxA+IGs0jknB&#10;D3moyvmswFy7Kx/pcgqtiBD2OSroQhhyKX3TkUW/cgNx9D7daDFEObZSj3iNcGtkmiQbabHnuNDh&#10;QM8dNV+nb6sgS17N8dA3JpWHjyf3u3k/12yVelhM+x2IQFO4h2/tWit4zOD/S/wBs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XILPEAAAA2wAAAA8AAAAAAAAAAAAAAAAA&#10;nwIAAGRycy9kb3ducmV2LnhtbFBLBQYAAAAABAAEAPcAAACQAwAAAAA=&#10;">
                    <v:imagedata r:id="rId11" o:title="Icon&#10;&#10;Description automatically generated"/>
                    <v:path arrowok="t"/>
                  </v:shape>
                </v:group>
              </v:group>
            </w:pict>
          </mc:Fallback>
        </mc:AlternateContent>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r w:rsidR="008D7F4E" w:rsidRPr="008E6046">
        <w:rPr>
          <w:lang w:val="es-DO"/>
        </w:rPr>
        <w:tab/>
      </w:r>
    </w:p>
    <w:p w14:paraId="38D9CF2E" w14:textId="63A3C826" w:rsidR="008D7F4E" w:rsidRPr="008E6046" w:rsidRDefault="008D7F4E" w:rsidP="008D7F4E">
      <w:pPr>
        <w:rPr>
          <w:lang w:val="es-DO"/>
        </w:rPr>
      </w:pPr>
    </w:p>
    <w:p w14:paraId="16EDE6EA" w14:textId="51136D97" w:rsidR="008D7F4E" w:rsidRPr="008E6046" w:rsidRDefault="008D7F4E" w:rsidP="008D7F4E">
      <w:pPr>
        <w:rPr>
          <w:b/>
          <w:bCs/>
          <w:lang w:val="es-DO"/>
        </w:rPr>
      </w:pPr>
    </w:p>
    <w:p w14:paraId="3FC05242" w14:textId="77777777" w:rsidR="008D7F4E" w:rsidRPr="008E6046" w:rsidRDefault="008D7F4E" w:rsidP="008D7F4E">
      <w:pPr>
        <w:rPr>
          <w:lang w:val="es-DO"/>
        </w:rPr>
      </w:pPr>
    </w:p>
    <w:p w14:paraId="52109915" w14:textId="77777777" w:rsidR="008D7F4E" w:rsidRPr="008E6046" w:rsidRDefault="008D7F4E" w:rsidP="008D7F4E">
      <w:pPr>
        <w:rPr>
          <w:lang w:val="es-DO"/>
        </w:rPr>
      </w:pPr>
    </w:p>
    <w:p w14:paraId="61CD95E4" w14:textId="75608CA4" w:rsidR="008D7F4E" w:rsidRPr="008E6046" w:rsidRDefault="008D7F4E" w:rsidP="008D7F4E">
      <w:pPr>
        <w:rPr>
          <w:lang w:val="es-DO"/>
        </w:rPr>
      </w:pPr>
    </w:p>
    <w:p w14:paraId="26FC2ECF" w14:textId="1304E68D" w:rsidR="008D7F4E" w:rsidRPr="008E6046" w:rsidRDefault="008D7F4E" w:rsidP="008D7F4E">
      <w:pPr>
        <w:rPr>
          <w:lang w:val="es-DO"/>
        </w:rPr>
      </w:pPr>
    </w:p>
    <w:p w14:paraId="339C9304" w14:textId="532ECEA5" w:rsidR="008D7F4E" w:rsidRPr="008E6046" w:rsidRDefault="008D7F4E" w:rsidP="008D7F4E">
      <w:pPr>
        <w:rPr>
          <w:lang w:val="es-DO"/>
        </w:rPr>
      </w:pPr>
    </w:p>
    <w:p w14:paraId="45BA7FA9" w14:textId="77777777" w:rsidR="0087772C" w:rsidRPr="008E6046" w:rsidRDefault="0087772C" w:rsidP="008D7F4E">
      <w:pPr>
        <w:rPr>
          <w:lang w:val="es-DO"/>
        </w:rPr>
      </w:pPr>
    </w:p>
    <w:p w14:paraId="18C0D5CD" w14:textId="6B0129B8" w:rsidR="008D7F4E" w:rsidRPr="008E6046" w:rsidRDefault="008D7F4E" w:rsidP="008D7F4E">
      <w:pPr>
        <w:rPr>
          <w:lang w:val="es-DO"/>
        </w:rPr>
      </w:pPr>
    </w:p>
    <w:p w14:paraId="38D6C8AE" w14:textId="626E8B34" w:rsidR="008D7F4E" w:rsidRPr="008E6046" w:rsidRDefault="008D7F4E" w:rsidP="008D7F4E">
      <w:pPr>
        <w:rPr>
          <w:lang w:val="es-DO"/>
        </w:rPr>
      </w:pPr>
    </w:p>
    <w:p w14:paraId="22DD7F53" w14:textId="11B7CA22" w:rsidR="008D7F4E" w:rsidRPr="008E6046" w:rsidRDefault="008D7F4E" w:rsidP="008D7F4E">
      <w:pPr>
        <w:rPr>
          <w:lang w:val="es-DO"/>
        </w:rPr>
      </w:pPr>
    </w:p>
    <w:p w14:paraId="266A4AE7" w14:textId="5784A2EE" w:rsidR="008D7F4E" w:rsidRPr="008E6046" w:rsidRDefault="008D7F4E" w:rsidP="008D7F4E">
      <w:pPr>
        <w:rPr>
          <w:lang w:val="es-DO"/>
        </w:rPr>
      </w:pPr>
    </w:p>
    <w:p w14:paraId="56C838CA" w14:textId="59180D27" w:rsidR="008D7F4E" w:rsidRPr="008E6046" w:rsidRDefault="008D7F4E" w:rsidP="008D7F4E">
      <w:pPr>
        <w:rPr>
          <w:lang w:val="es-DO"/>
        </w:rPr>
      </w:pPr>
    </w:p>
    <w:p w14:paraId="5A37720D" w14:textId="305BC668" w:rsidR="008D7F4E" w:rsidRPr="008E6046" w:rsidRDefault="008D7F4E" w:rsidP="008D7F4E">
      <w:pPr>
        <w:rPr>
          <w:lang w:val="es-DO"/>
        </w:rPr>
      </w:pPr>
    </w:p>
    <w:p w14:paraId="1C1F404E" w14:textId="250A7968" w:rsidR="008D7F4E" w:rsidRPr="008E6046" w:rsidRDefault="0053121F" w:rsidP="008D7F4E">
      <w:pPr>
        <w:rPr>
          <w:lang w:val="es-DO"/>
        </w:rPr>
      </w:pPr>
      <w:r w:rsidRPr="0054777B">
        <w:rPr>
          <w:noProof/>
        </w:rPr>
        <mc:AlternateContent>
          <mc:Choice Requires="wps">
            <w:drawing>
              <wp:anchor distT="0" distB="0" distL="114300" distR="114300" simplePos="0" relativeHeight="251707392" behindDoc="0" locked="0" layoutInCell="1" allowOverlap="1" wp14:anchorId="4D0BD95E" wp14:editId="56A695BA">
                <wp:simplePos x="0" y="0"/>
                <wp:positionH relativeFrom="margin">
                  <wp:posOffset>92075</wp:posOffset>
                </wp:positionH>
                <wp:positionV relativeFrom="paragraph">
                  <wp:posOffset>96520</wp:posOffset>
                </wp:positionV>
                <wp:extent cx="5758815" cy="971550"/>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971550"/>
                        </a:xfrm>
                        <a:prstGeom prst="rect">
                          <a:avLst/>
                        </a:prstGeom>
                      </wps:spPr>
                      <wps:txbx>
                        <w:txbxContent>
                          <w:p w14:paraId="7534D5E4" w14:textId="77777777" w:rsidR="007C16C5" w:rsidRPr="0053121F" w:rsidRDefault="007C16C5" w:rsidP="0053121F">
                            <w:pPr>
                              <w:spacing w:after="0"/>
                              <w:jc w:val="center"/>
                              <w:rPr>
                                <w:rFonts w:ascii="Times New Roman" w:hAnsi="Times New Roman" w:cs="Times New Roman"/>
                                <w:b/>
                                <w:bCs/>
                                <w:color w:val="D5B788"/>
                                <w:spacing w:val="60"/>
                                <w:kern w:val="24"/>
                                <w:sz w:val="56"/>
                                <w:szCs w:val="56"/>
                                <w:lang w:val="es-DO"/>
                              </w:rPr>
                            </w:pPr>
                            <w:r w:rsidRPr="0053121F">
                              <w:rPr>
                                <w:rFonts w:ascii="Times New Roman" w:hAnsi="Times New Roman" w:cs="Times New Roman"/>
                                <w:b/>
                                <w:bCs/>
                                <w:color w:val="D5B788"/>
                                <w:spacing w:val="60"/>
                                <w:kern w:val="24"/>
                                <w:sz w:val="56"/>
                                <w:szCs w:val="56"/>
                                <w:lang w:val="es-DO"/>
                              </w:rPr>
                              <w:t xml:space="preserve">MEMORIA </w:t>
                            </w:r>
                          </w:p>
                          <w:p w14:paraId="2F488BCC" w14:textId="06FE793A" w:rsidR="007C16C5" w:rsidRPr="008D7F4E" w:rsidRDefault="007C16C5" w:rsidP="0053121F">
                            <w:pPr>
                              <w:spacing w:after="0"/>
                              <w:jc w:val="center"/>
                              <w:rPr>
                                <w:rFonts w:ascii="Times New Roman" w:hAnsi="Times New Roman" w:cs="Times New Roman"/>
                                <w:b/>
                                <w:bCs/>
                                <w:color w:val="D5B788"/>
                                <w:spacing w:val="60"/>
                                <w:kern w:val="24"/>
                                <w:sz w:val="56"/>
                                <w:szCs w:val="56"/>
                                <w:lang w:val="es-DO"/>
                              </w:rPr>
                            </w:pPr>
                            <w:r w:rsidRPr="0053121F">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4" type="#_x0000_t202" style="position:absolute;margin-left:7.25pt;margin-top:7.6pt;width:453.45pt;height:7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" filled="f" stroked="f">
                <v:textbox inset="0,1.35pt,0,0">
                  <w:txbxContent>
                    <w:p w14:paraId="7534D5E4" w14:textId="77777777" w:rsidR="007C16C5" w:rsidRPr="0053121F" w:rsidRDefault="007C16C5" w:rsidP="0053121F">
                      <w:pPr>
                        <w:spacing w:after="0"/>
                        <w:jc w:val="center"/>
                        <w:rPr>
                          <w:rFonts w:ascii="Times New Roman" w:hAnsi="Times New Roman" w:cs="Times New Roman"/>
                          <w:b/>
                          <w:bCs/>
                          <w:color w:val="D5B788"/>
                          <w:spacing w:val="60"/>
                          <w:kern w:val="24"/>
                          <w:sz w:val="56"/>
                          <w:szCs w:val="56"/>
                          <w:lang w:val="es-DO"/>
                        </w:rPr>
                      </w:pPr>
                      <w:r w:rsidRPr="0053121F">
                        <w:rPr>
                          <w:rFonts w:ascii="Times New Roman" w:hAnsi="Times New Roman" w:cs="Times New Roman"/>
                          <w:b/>
                          <w:bCs/>
                          <w:color w:val="D5B788"/>
                          <w:spacing w:val="60"/>
                          <w:kern w:val="24"/>
                          <w:sz w:val="56"/>
                          <w:szCs w:val="56"/>
                          <w:lang w:val="es-DO"/>
                        </w:rPr>
                        <w:t xml:space="preserve">MEMORIA </w:t>
                      </w:r>
                    </w:p>
                    <w:p w14:paraId="2F488BCC" w14:textId="06FE793A" w:rsidR="007C16C5" w:rsidRPr="008D7F4E" w:rsidRDefault="007C16C5" w:rsidP="0053121F">
                      <w:pPr>
                        <w:spacing w:after="0"/>
                        <w:jc w:val="center"/>
                        <w:rPr>
                          <w:rFonts w:ascii="Times New Roman" w:hAnsi="Times New Roman" w:cs="Times New Roman"/>
                          <w:b/>
                          <w:bCs/>
                          <w:color w:val="D5B788"/>
                          <w:spacing w:val="60"/>
                          <w:kern w:val="24"/>
                          <w:sz w:val="56"/>
                          <w:szCs w:val="56"/>
                          <w:lang w:val="es-DO"/>
                        </w:rPr>
                      </w:pPr>
                      <w:r w:rsidRPr="0053121F">
                        <w:rPr>
                          <w:rFonts w:ascii="Times New Roman" w:hAnsi="Times New Roman" w:cs="Times New Roman"/>
                          <w:b/>
                          <w:bCs/>
                          <w:color w:val="D5B788"/>
                          <w:spacing w:val="60"/>
                          <w:kern w:val="24"/>
                          <w:sz w:val="56"/>
                          <w:szCs w:val="56"/>
                          <w:lang w:val="es-DO"/>
                        </w:rPr>
                        <w:t>INSTITUCIONAL</w:t>
                      </w:r>
                    </w:p>
                  </w:txbxContent>
                </v:textbox>
                <w10:wrap anchorx="margin"/>
              </v:shape>
            </w:pict>
          </mc:Fallback>
        </mc:AlternateContent>
      </w:r>
    </w:p>
    <w:p w14:paraId="75F2B32B" w14:textId="64762F89" w:rsidR="008D7F4E" w:rsidRPr="008E6046" w:rsidRDefault="008D7F4E" w:rsidP="008D7F4E">
      <w:pPr>
        <w:rPr>
          <w:b/>
          <w:bCs/>
          <w:lang w:val="es-DO"/>
        </w:rPr>
      </w:pPr>
    </w:p>
    <w:p w14:paraId="7AD079B8" w14:textId="6A76E097" w:rsidR="008D7F4E" w:rsidRPr="008E6046" w:rsidRDefault="008D7F4E" w:rsidP="008D7F4E">
      <w:pPr>
        <w:rPr>
          <w:lang w:val="es-DO"/>
        </w:rPr>
      </w:pPr>
    </w:p>
    <w:p w14:paraId="2ADA86D9" w14:textId="7BFC7FAB" w:rsidR="008D7F4E" w:rsidRPr="008E6046" w:rsidRDefault="008D7F4E" w:rsidP="008D7F4E">
      <w:pPr>
        <w:rPr>
          <w:b/>
          <w:bCs/>
          <w:lang w:val="es-DO"/>
        </w:rPr>
      </w:pPr>
    </w:p>
    <w:p w14:paraId="163CEF29" w14:textId="2E82E86B" w:rsidR="00E739F8" w:rsidRPr="008E6046" w:rsidRDefault="001E07B9" w:rsidP="008D7F4E">
      <w:pPr>
        <w:rPr>
          <w:b/>
          <w:bCs/>
          <w:lang w:val="es-DO"/>
        </w:rPr>
      </w:pPr>
      <w:r w:rsidRPr="0054777B">
        <w:rPr>
          <w:noProof/>
        </w:rPr>
        <mc:AlternateContent>
          <mc:Choice Requires="wps">
            <w:drawing>
              <wp:anchor distT="4294967295" distB="4294967295" distL="114300" distR="114300" simplePos="0" relativeHeight="251705344" behindDoc="0" locked="0" layoutInCell="1" allowOverlap="1" wp14:anchorId="4E0C23B7" wp14:editId="3C850EFB">
                <wp:simplePos x="0" y="0"/>
                <wp:positionH relativeFrom="margin">
                  <wp:posOffset>2868295</wp:posOffset>
                </wp:positionH>
                <wp:positionV relativeFrom="paragraph">
                  <wp:posOffset>164741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8EFDAD" id="Straight Connector 22"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8E6046" w:rsidRDefault="001E07B9" w:rsidP="008D7F4E">
      <w:pPr>
        <w:rPr>
          <w:b/>
          <w:bCs/>
          <w:lang w:val="es-DO"/>
        </w:rPr>
      </w:pPr>
      <w:r w:rsidRPr="0054777B">
        <w:rPr>
          <w:noProof/>
        </w:rPr>
        <mc:AlternateContent>
          <mc:Choice Requires="wps">
            <w:drawing>
              <wp:anchor distT="0" distB="0" distL="114300" distR="114300" simplePos="0" relativeHeight="251670528" behindDoc="0" locked="0" layoutInCell="1" allowOverlap="1" wp14:anchorId="65361376" wp14:editId="29E9A73A">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7C16C5" w:rsidRPr="005805BA" w:rsidRDefault="007C16C5"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202pt;margin-top:8.95pt;width:95.6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" filled="f" stroked="f">
                <v:textbox inset="0,1pt,0,0">
                  <w:txbxContent>
                    <w:p w14:paraId="6B362718" w14:textId="7D473DBA" w:rsidR="007C16C5" w:rsidRPr="005805BA" w:rsidRDefault="007C16C5"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p>
    <w:p w14:paraId="1C74082E" w14:textId="28C0782E" w:rsidR="008D7F4E" w:rsidRPr="008E6046" w:rsidRDefault="008D7F4E" w:rsidP="008D7F4E">
      <w:pPr>
        <w:tabs>
          <w:tab w:val="left" w:pos="5229"/>
        </w:tabs>
        <w:rPr>
          <w:lang w:val="es-DO"/>
        </w:rPr>
      </w:pPr>
      <w:r w:rsidRPr="008E6046">
        <w:rPr>
          <w:lang w:val="es-DO"/>
        </w:rPr>
        <w:tab/>
      </w:r>
      <w:r w:rsidRPr="008E6046">
        <w:rPr>
          <w:lang w:val="es-DO"/>
        </w:rPr>
        <w:tab/>
      </w:r>
      <w:r w:rsidRPr="008E6046">
        <w:rPr>
          <w:lang w:val="es-DO"/>
        </w:rPr>
        <w:tab/>
      </w:r>
    </w:p>
    <w:p w14:paraId="2A6A7BEB" w14:textId="35E3FF32" w:rsidR="008D7F4E" w:rsidRPr="008E6046" w:rsidRDefault="008D7F4E" w:rsidP="008D7F4E">
      <w:pPr>
        <w:tabs>
          <w:tab w:val="left" w:pos="5229"/>
        </w:tabs>
        <w:rPr>
          <w:lang w:val="es-DO"/>
        </w:rPr>
      </w:pPr>
    </w:p>
    <w:p w14:paraId="5220AA7B" w14:textId="7F7316F4" w:rsidR="008D7F4E" w:rsidRPr="008E6046" w:rsidRDefault="008D7F4E" w:rsidP="008D7F4E">
      <w:pPr>
        <w:tabs>
          <w:tab w:val="left" w:pos="5229"/>
        </w:tabs>
        <w:rPr>
          <w:lang w:val="es-DO"/>
        </w:rPr>
      </w:pPr>
    </w:p>
    <w:p w14:paraId="04CE79E8" w14:textId="77777777" w:rsidR="00B45B38" w:rsidRPr="008E6046" w:rsidRDefault="00B45B38" w:rsidP="008D7F4E">
      <w:pPr>
        <w:tabs>
          <w:tab w:val="left" w:pos="5229"/>
        </w:tabs>
        <w:rPr>
          <w:lang w:val="es-DO"/>
        </w:rPr>
      </w:pPr>
    </w:p>
    <w:p w14:paraId="59F2CBAA" w14:textId="09C11FC9" w:rsidR="00B45B38" w:rsidRPr="008E6046" w:rsidRDefault="00B45B38" w:rsidP="00B45B38">
      <w:pPr>
        <w:tabs>
          <w:tab w:val="left" w:pos="5229"/>
        </w:tabs>
        <w:jc w:val="center"/>
        <w:rPr>
          <w:lang w:val="es-DO"/>
        </w:rPr>
      </w:pPr>
    </w:p>
    <w:p w14:paraId="6B439D31" w14:textId="3DAF8F1F" w:rsidR="00B45B38" w:rsidRPr="008E6046" w:rsidRDefault="00B45B38" w:rsidP="008D7F4E">
      <w:pPr>
        <w:tabs>
          <w:tab w:val="left" w:pos="5229"/>
        </w:tabs>
        <w:rPr>
          <w:lang w:val="es-DO"/>
        </w:rPr>
      </w:pPr>
    </w:p>
    <w:p w14:paraId="07C90397" w14:textId="77777777" w:rsidR="007E688D" w:rsidRPr="008E6046" w:rsidRDefault="007E688D" w:rsidP="008D7F4E">
      <w:pPr>
        <w:tabs>
          <w:tab w:val="left" w:pos="5229"/>
        </w:tabs>
        <w:rPr>
          <w:lang w:val="es-DO"/>
        </w:rPr>
      </w:pPr>
    </w:p>
    <w:p w14:paraId="4A390ECB" w14:textId="744231B8" w:rsidR="008D7F4E" w:rsidRPr="008E6046" w:rsidRDefault="00F177DE" w:rsidP="008D7F4E">
      <w:pPr>
        <w:tabs>
          <w:tab w:val="left" w:pos="5229"/>
        </w:tabs>
        <w:rPr>
          <w:lang w:val="es-DO"/>
        </w:rPr>
      </w:pPr>
      <w:r w:rsidRPr="0054777B">
        <w:rPr>
          <w:noProof/>
        </w:rPr>
        <mc:AlternateContent>
          <mc:Choice Requires="wpg">
            <w:drawing>
              <wp:anchor distT="0" distB="0" distL="114300" distR="114300" simplePos="0" relativeHeight="251691008" behindDoc="0" locked="0" layoutInCell="1" allowOverlap="1" wp14:anchorId="4727C32C" wp14:editId="3081E39D">
                <wp:simplePos x="0" y="0"/>
                <wp:positionH relativeFrom="column">
                  <wp:posOffset>433137</wp:posOffset>
                </wp:positionH>
                <wp:positionV relativeFrom="paragraph">
                  <wp:posOffset>174625</wp:posOffset>
                </wp:positionV>
                <wp:extent cx="2267585" cy="973054"/>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7C16C5" w:rsidRPr="003A00CC" w:rsidRDefault="007C16C5"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7C16C5" w:rsidRDefault="007C16C5"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4727C32C" id="Group 19" o:spid="_x0000_s1036" style="position:absolute;margin-left:34.1pt;margin-top:13.75pt;width:178.55pt;height:76.6pt;z-index:251691008"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">
                <v:shape id="Text Box 47" o:spid="_x0000_s1037" type="#_x0000_t202" style="position:absolute;top:6015;width:226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WBcIA&#10;AADbAAAADwAAAGRycy9kb3ducmV2LnhtbESPQWsCMRSE7wX/Q3hCbzVrKbauRhGxtFftInh7bp6b&#10;1c3LkqTr9t8bQehxmJlvmPmyt43oyIfasYLxKANBXDpdc6Wg+Pl8+QARIrLGxjEp+KMAy8XgaY65&#10;dlfeUreLlUgQDjkqMDG2uZShNGQxjFxLnLyT8xZjkr6S2uM1wW0jX7NsIi3WnBYMtrQ2VF52v1bB&#10;V9sVVOr9Ybrhs9HbaVH740ap52G/moGI1Mf/8KP9rRW8vcP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JYFwgAAANsAAAAPAAAAAAAAAAAAAAAAAJgCAABkcnMvZG93&#10;bnJldi54bWxQSwUGAAAAAAQABAD1AAAAhwMAAAAA&#10;" filled="f" stroked="f">
                  <v:path arrowok="t"/>
                  <v:textbox inset="0,1.2pt,0,0">
                    <w:txbxContent>
                      <w:p w14:paraId="048A91A1" w14:textId="77777777" w:rsidR="007C16C5" w:rsidRPr="003A00CC" w:rsidRDefault="007C16C5"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7C16C5" w:rsidRDefault="007C16C5"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38"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WcvFAAAA2wAAAA8AAABkcnMvZG93bnJldi54bWxEj81qwzAQhO+FvoPYQG6NnND81I0SSqHg&#10;4lPsUshtsba2qbQylho7ffooEMhxmJlvmO1+tEacqPetYwXzWQKCuHK65VrBV/nxtAHhA7JG45gU&#10;nMnDfvf4sMVUu4EPdCpCLSKEfYoKmhC6VEpfNWTRz1xHHL0f11sMUfa11D0OEW6NXCTJSlpsOS40&#10;2NF7Q9Vv8WcVLJNPc8jbyixkfly7/9V3mbFVajoZ315BBBrDPXxrZ1rB8wtcv8QfIH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HFnLxQAAANsAAAAPAAAAAAAAAAAAAAAA&#10;AJ8CAABkcnMvZG93bnJldi54bWxQSwUGAAAAAAQABAD3AAAAkQMAAAAA&#10;">
                  <v:imagedata r:id="rId11" o:title="Icon&#10;&#10;Description automatically generated"/>
                  <v:path arrowok="t"/>
                </v:shape>
              </v:group>
            </w:pict>
          </mc:Fallback>
        </mc:AlternateContent>
      </w:r>
    </w:p>
    <w:p w14:paraId="09F960FC" w14:textId="2A7A4A52" w:rsidR="008D7F4E" w:rsidRPr="008E6046" w:rsidRDefault="00CF1A02" w:rsidP="002F2766">
      <w:pPr>
        <w:tabs>
          <w:tab w:val="left" w:pos="6480"/>
        </w:tabs>
        <w:rPr>
          <w:lang w:val="es-DO"/>
        </w:rPr>
      </w:pPr>
      <w:r w:rsidRPr="0054777B">
        <w:rPr>
          <w:noProof/>
        </w:rPr>
        <w:drawing>
          <wp:anchor distT="0" distB="0" distL="114300" distR="114300" simplePos="0" relativeHeight="251709440" behindDoc="1" locked="0" layoutInCell="1" allowOverlap="1" wp14:anchorId="3C7ADB94" wp14:editId="36BC6F50">
            <wp:simplePos x="0" y="0"/>
            <wp:positionH relativeFrom="margin">
              <wp:posOffset>4157980</wp:posOffset>
            </wp:positionH>
            <wp:positionV relativeFrom="margin">
              <wp:posOffset>7603794</wp:posOffset>
            </wp:positionV>
            <wp:extent cx="1931670" cy="645795"/>
            <wp:effectExtent l="0" t="0" r="0" b="1905"/>
            <wp:wrapTight wrapText="bothSides">
              <wp:wrapPolygon edited="0">
                <wp:start x="0" y="0"/>
                <wp:lineTo x="0" y="21027"/>
                <wp:lineTo x="21302" y="21027"/>
                <wp:lineTo x="2130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31670" cy="645795"/>
                    </a:xfrm>
                    <a:prstGeom prst="rect">
                      <a:avLst/>
                    </a:prstGeom>
                  </pic:spPr>
                </pic:pic>
              </a:graphicData>
            </a:graphic>
            <wp14:sizeRelH relativeFrom="margin">
              <wp14:pctWidth>0</wp14:pctWidth>
            </wp14:sizeRelH>
            <wp14:sizeRelV relativeFrom="margin">
              <wp14:pctHeight>0</wp14:pctHeight>
            </wp14:sizeRelV>
          </wp:anchor>
        </w:drawing>
      </w:r>
      <w:r w:rsidR="002F2766" w:rsidRPr="008E6046">
        <w:rPr>
          <w:lang w:val="es-DO"/>
        </w:rPr>
        <w:tab/>
      </w:r>
    </w:p>
    <w:p w14:paraId="70955679" w14:textId="2A1C4FDF" w:rsidR="00E80BF2" w:rsidRPr="008E6046" w:rsidRDefault="00E80BF2" w:rsidP="0034224F">
      <w:pPr>
        <w:tabs>
          <w:tab w:val="left" w:pos="5913"/>
        </w:tabs>
        <w:rPr>
          <w:lang w:val="es-DO"/>
        </w:rPr>
      </w:pPr>
    </w:p>
    <w:p w14:paraId="64AE30BF" w14:textId="1D523DAD" w:rsidR="00E80BF2" w:rsidRPr="008E6046" w:rsidRDefault="00B45B38">
      <w:pPr>
        <w:rPr>
          <w:lang w:val="es-DO"/>
        </w:rPr>
      </w:pPr>
      <w:r w:rsidRPr="0054777B">
        <w:rPr>
          <w:noProof/>
        </w:rPr>
        <mc:AlternateContent>
          <mc:Choice Requires="wps">
            <w:drawing>
              <wp:anchor distT="0" distB="0" distL="114300" distR="114300" simplePos="0" relativeHeight="251695104" behindDoc="0" locked="0" layoutInCell="1" allowOverlap="1" wp14:anchorId="5EF24404" wp14:editId="5305B4C4">
                <wp:simplePos x="0" y="0"/>
                <wp:positionH relativeFrom="column">
                  <wp:posOffset>467995</wp:posOffset>
                </wp:positionH>
                <wp:positionV relativeFrom="paragraph">
                  <wp:posOffset>300355</wp:posOffset>
                </wp:positionV>
                <wp:extent cx="513080" cy="24765"/>
                <wp:effectExtent l="0" t="0" r="1270" b="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FD30BC9" id="Freeform: Shape 51" o:spid="_x0000_s1026" style="position:absolute;margin-left:36.85pt;margin-top:23.65pt;width:40.4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" path="m512457,l,,,24256r512457,l512457,xe" fillcolor="#d5b788" stroked="f">
                <v:path arrowok="t"/>
              </v:shape>
            </w:pict>
          </mc:Fallback>
        </mc:AlternateContent>
      </w:r>
    </w:p>
    <w:p w14:paraId="31E2FE32" w14:textId="2317FF3C" w:rsidR="00545797" w:rsidRPr="002D79D0" w:rsidRDefault="00545797" w:rsidP="00545797">
      <w:pPr>
        <w:jc w:val="center"/>
        <w:rPr>
          <w:rFonts w:ascii="Times New Roman" w:hAnsi="Times New Roman" w:cs="Times New Roman"/>
          <w:bCs/>
          <w:color w:val="4C4747"/>
          <w:spacing w:val="20"/>
          <w:sz w:val="28"/>
          <w:lang w:val="es-DO"/>
        </w:rPr>
      </w:pPr>
      <w:r w:rsidRPr="002D79D0">
        <w:rPr>
          <w:rFonts w:ascii="Times New Roman" w:hAnsi="Times New Roman" w:cs="Times New Roman"/>
          <w:bCs/>
          <w:color w:val="4C4747"/>
          <w:spacing w:val="20"/>
          <w:sz w:val="28"/>
          <w:lang w:val="es-DO"/>
        </w:rPr>
        <w:lastRenderedPageBreak/>
        <w:t>TABLA DE CONTENIDOS</w:t>
      </w:r>
    </w:p>
    <w:p w14:paraId="6C3E8713" w14:textId="043AA35F" w:rsidR="00545797" w:rsidRPr="002D79D0" w:rsidRDefault="00545797" w:rsidP="00545797">
      <w:pPr>
        <w:rPr>
          <w:rFonts w:ascii="Times New Roman" w:hAnsi="Times New Roman" w:cs="Times New Roman"/>
          <w:color w:val="4C4747"/>
          <w:lang w:val="es-DO"/>
        </w:rPr>
      </w:pPr>
      <w:r w:rsidRPr="002D79D0">
        <w:rPr>
          <w:rFonts w:ascii="Times New Roman" w:hAnsi="Times New Roman" w:cs="Times New Roman"/>
          <w:noProof/>
          <w:color w:val="4C4747"/>
        </w:rPr>
        <mc:AlternateContent>
          <mc:Choice Requires="wps">
            <w:drawing>
              <wp:anchor distT="0" distB="0" distL="114300" distR="114300" simplePos="0" relativeHeight="251675648" behindDoc="0" locked="0" layoutInCell="1" allowOverlap="1" wp14:anchorId="1E07F231" wp14:editId="1CF4A30A">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327BC"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mc:Fallback>
        </mc:AlternateContent>
      </w:r>
    </w:p>
    <w:p w14:paraId="2539C61E" w14:textId="487FCAE5" w:rsidR="00545797" w:rsidRPr="002D79D0" w:rsidRDefault="00F342FF" w:rsidP="0053121F">
      <w:pPr>
        <w:jc w:val="center"/>
        <w:rPr>
          <w:rFonts w:ascii="Times New Roman" w:hAnsi="Times New Roman" w:cs="Times New Roman"/>
          <w:color w:val="4C4747"/>
          <w:sz w:val="24"/>
          <w:szCs w:val="24"/>
          <w:lang w:val="es-DO"/>
        </w:rPr>
      </w:pPr>
      <w:r w:rsidRPr="002D79D0">
        <w:rPr>
          <w:rFonts w:ascii="Times New Roman" w:hAnsi="Times New Roman" w:cs="Times New Roman"/>
          <w:color w:val="4C4747"/>
          <w:spacing w:val="20"/>
          <w:sz w:val="24"/>
          <w:szCs w:val="24"/>
          <w:lang w:val="es-DO"/>
        </w:rPr>
        <w:t>Memorias I</w:t>
      </w:r>
      <w:r w:rsidR="0053121F" w:rsidRPr="002D79D0">
        <w:rPr>
          <w:rFonts w:ascii="Times New Roman" w:hAnsi="Times New Roman" w:cs="Times New Roman"/>
          <w:color w:val="4C4747"/>
          <w:spacing w:val="20"/>
          <w:sz w:val="24"/>
          <w:szCs w:val="24"/>
          <w:lang w:val="es-DO"/>
        </w:rPr>
        <w:t>nstitucionales 2022</w:t>
      </w:r>
    </w:p>
    <w:p w14:paraId="34723B93" w14:textId="77777777" w:rsidR="00545797" w:rsidRPr="002D79D0" w:rsidRDefault="00545797" w:rsidP="00545797">
      <w:pPr>
        <w:rPr>
          <w:rFonts w:ascii="Times New Roman" w:hAnsi="Times New Roman" w:cs="Times New Roman"/>
          <w:color w:val="4C4747"/>
          <w:sz w:val="24"/>
          <w:szCs w:val="24"/>
          <w:lang w:val="es-DO"/>
        </w:rPr>
      </w:pPr>
    </w:p>
    <w:p w14:paraId="769F9DE6" w14:textId="77777777" w:rsidR="00376423" w:rsidRPr="00376423" w:rsidRDefault="00545797">
      <w:pPr>
        <w:pStyle w:val="TDC1"/>
        <w:tabs>
          <w:tab w:val="left" w:pos="440"/>
          <w:tab w:val="right" w:leader="dot" w:pos="9350"/>
        </w:tabs>
        <w:rPr>
          <w:rFonts w:ascii="Times New Roman" w:eastAsiaTheme="minorEastAsia" w:hAnsi="Times New Roman" w:cs="Times New Roman"/>
          <w:noProof/>
          <w:color w:val="4C4747"/>
          <w:sz w:val="24"/>
          <w:szCs w:val="24"/>
        </w:rPr>
      </w:pPr>
      <w:r w:rsidRPr="00376423">
        <w:rPr>
          <w:rFonts w:ascii="Times New Roman" w:eastAsia="Calibri" w:hAnsi="Times New Roman" w:cs="Times New Roman"/>
          <w:color w:val="4C4747"/>
          <w:spacing w:val="20"/>
          <w:sz w:val="24"/>
          <w:szCs w:val="24"/>
          <w:lang w:val="es-DO"/>
        </w:rPr>
        <w:fldChar w:fldCharType="begin"/>
      </w:r>
      <w:r w:rsidRPr="00376423">
        <w:rPr>
          <w:rFonts w:ascii="Times New Roman" w:eastAsia="Calibri" w:hAnsi="Times New Roman" w:cs="Times New Roman"/>
          <w:color w:val="4C4747"/>
          <w:spacing w:val="20"/>
          <w:sz w:val="24"/>
          <w:szCs w:val="24"/>
          <w:lang w:val="es-DO"/>
        </w:rPr>
        <w:instrText xml:space="preserve"> TOC \o "1-3" \h \z \u </w:instrText>
      </w:r>
      <w:r w:rsidRPr="00376423">
        <w:rPr>
          <w:rFonts w:ascii="Times New Roman" w:eastAsia="Calibri" w:hAnsi="Times New Roman" w:cs="Times New Roman"/>
          <w:color w:val="4C4747"/>
          <w:spacing w:val="20"/>
          <w:sz w:val="24"/>
          <w:szCs w:val="24"/>
          <w:lang w:val="es-DO"/>
        </w:rPr>
        <w:fldChar w:fldCharType="separate"/>
      </w:r>
      <w:hyperlink w:anchor="_Toc122425225" w:history="1">
        <w:r w:rsidR="00376423" w:rsidRPr="00376423">
          <w:rPr>
            <w:rStyle w:val="Hipervnculo"/>
            <w:rFonts w:ascii="Times New Roman" w:hAnsi="Times New Roman" w:cs="Times New Roman"/>
            <w:noProof/>
            <w:color w:val="4C4747"/>
            <w:sz w:val="24"/>
            <w:szCs w:val="24"/>
            <w:lang w:val="es-DO"/>
          </w:rPr>
          <w:t>I.</w:t>
        </w:r>
        <w:r w:rsidR="00376423" w:rsidRPr="00376423">
          <w:rPr>
            <w:rFonts w:ascii="Times New Roman" w:eastAsiaTheme="minorEastAsia" w:hAnsi="Times New Roman" w:cs="Times New Roman"/>
            <w:noProof/>
            <w:color w:val="4C4747"/>
            <w:sz w:val="24"/>
            <w:szCs w:val="24"/>
          </w:rPr>
          <w:tab/>
        </w:r>
        <w:r w:rsidR="00376423" w:rsidRPr="00376423">
          <w:rPr>
            <w:rStyle w:val="Hipervnculo"/>
            <w:rFonts w:ascii="Times New Roman" w:hAnsi="Times New Roman" w:cs="Times New Roman"/>
            <w:noProof/>
            <w:color w:val="4C4747"/>
            <w:sz w:val="24"/>
            <w:szCs w:val="24"/>
            <w:lang w:val="es-DO"/>
          </w:rPr>
          <w:t>RESUMEN EJECUTIVO</w:t>
        </w:r>
        <w:r w:rsidR="00376423" w:rsidRPr="00376423">
          <w:rPr>
            <w:rFonts w:ascii="Times New Roman" w:hAnsi="Times New Roman" w:cs="Times New Roman"/>
            <w:noProof/>
            <w:webHidden/>
            <w:color w:val="4C4747"/>
            <w:sz w:val="24"/>
            <w:szCs w:val="24"/>
          </w:rPr>
          <w:tab/>
        </w:r>
        <w:r w:rsidR="00376423" w:rsidRPr="00376423">
          <w:rPr>
            <w:rFonts w:ascii="Times New Roman" w:hAnsi="Times New Roman" w:cs="Times New Roman"/>
            <w:noProof/>
            <w:webHidden/>
            <w:color w:val="4C4747"/>
            <w:sz w:val="24"/>
            <w:szCs w:val="24"/>
          </w:rPr>
          <w:fldChar w:fldCharType="begin"/>
        </w:r>
        <w:r w:rsidR="00376423" w:rsidRPr="00376423">
          <w:rPr>
            <w:rFonts w:ascii="Times New Roman" w:hAnsi="Times New Roman" w:cs="Times New Roman"/>
            <w:noProof/>
            <w:webHidden/>
            <w:color w:val="4C4747"/>
            <w:sz w:val="24"/>
            <w:szCs w:val="24"/>
          </w:rPr>
          <w:instrText xml:space="preserve"> PAGEREF _Toc122425225 \h </w:instrText>
        </w:r>
        <w:r w:rsidR="00376423" w:rsidRPr="00376423">
          <w:rPr>
            <w:rFonts w:ascii="Times New Roman" w:hAnsi="Times New Roman" w:cs="Times New Roman"/>
            <w:noProof/>
            <w:webHidden/>
            <w:color w:val="4C4747"/>
            <w:sz w:val="24"/>
            <w:szCs w:val="24"/>
          </w:rPr>
        </w:r>
        <w:r w:rsidR="00376423" w:rsidRPr="00376423">
          <w:rPr>
            <w:rFonts w:ascii="Times New Roman" w:hAnsi="Times New Roman" w:cs="Times New Roman"/>
            <w:noProof/>
            <w:webHidden/>
            <w:color w:val="4C4747"/>
            <w:sz w:val="24"/>
            <w:szCs w:val="24"/>
          </w:rPr>
          <w:fldChar w:fldCharType="separate"/>
        </w:r>
        <w:r w:rsidR="00376423" w:rsidRPr="00376423">
          <w:rPr>
            <w:rFonts w:ascii="Times New Roman" w:hAnsi="Times New Roman" w:cs="Times New Roman"/>
            <w:noProof/>
            <w:webHidden/>
            <w:color w:val="4C4747"/>
            <w:sz w:val="24"/>
            <w:szCs w:val="24"/>
          </w:rPr>
          <w:t>1</w:t>
        </w:r>
        <w:r w:rsidR="00376423" w:rsidRPr="00376423">
          <w:rPr>
            <w:rFonts w:ascii="Times New Roman" w:hAnsi="Times New Roman" w:cs="Times New Roman"/>
            <w:noProof/>
            <w:webHidden/>
            <w:color w:val="4C4747"/>
            <w:sz w:val="24"/>
            <w:szCs w:val="24"/>
          </w:rPr>
          <w:fldChar w:fldCharType="end"/>
        </w:r>
      </w:hyperlink>
    </w:p>
    <w:p w14:paraId="64798075" w14:textId="77777777" w:rsidR="00376423" w:rsidRPr="00376423" w:rsidRDefault="00376423">
      <w:pPr>
        <w:pStyle w:val="TDC1"/>
        <w:tabs>
          <w:tab w:val="left" w:pos="660"/>
          <w:tab w:val="right" w:leader="dot" w:pos="9350"/>
        </w:tabs>
        <w:rPr>
          <w:rFonts w:ascii="Times New Roman" w:eastAsiaTheme="minorEastAsia" w:hAnsi="Times New Roman" w:cs="Times New Roman"/>
          <w:noProof/>
          <w:color w:val="4C4747"/>
          <w:sz w:val="24"/>
          <w:szCs w:val="24"/>
        </w:rPr>
      </w:pPr>
      <w:hyperlink w:anchor="_Toc122425226" w:history="1">
        <w:r w:rsidRPr="00376423">
          <w:rPr>
            <w:rStyle w:val="Hipervnculo"/>
            <w:rFonts w:ascii="Times New Roman" w:hAnsi="Times New Roman" w:cs="Times New Roman"/>
            <w:noProof/>
            <w:color w:val="4C4747"/>
            <w:spacing w:val="20"/>
            <w:sz w:val="24"/>
            <w:szCs w:val="24"/>
            <w:lang w:val="es-DO"/>
          </w:rPr>
          <w:t>II.</w:t>
        </w:r>
        <w:r w:rsidRPr="00376423">
          <w:rPr>
            <w:rFonts w:ascii="Times New Roman" w:eastAsiaTheme="minorEastAsia" w:hAnsi="Times New Roman" w:cs="Times New Roman"/>
            <w:noProof/>
            <w:color w:val="4C4747"/>
            <w:sz w:val="24"/>
            <w:szCs w:val="24"/>
          </w:rPr>
          <w:tab/>
        </w:r>
        <w:r w:rsidRPr="00376423">
          <w:rPr>
            <w:rStyle w:val="Hipervnculo"/>
            <w:rFonts w:ascii="Times New Roman" w:hAnsi="Times New Roman" w:cs="Times New Roman"/>
            <w:noProof/>
            <w:color w:val="4C4747"/>
            <w:spacing w:val="20"/>
            <w:sz w:val="24"/>
            <w:szCs w:val="24"/>
            <w:lang w:val="es-DO"/>
          </w:rPr>
          <w:t>INFORMACIÓN INSTITUCIONAL</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_Toc122425226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6</w:t>
        </w:r>
        <w:r w:rsidRPr="00376423">
          <w:rPr>
            <w:rFonts w:ascii="Times New Roman" w:hAnsi="Times New Roman" w:cs="Times New Roman"/>
            <w:noProof/>
            <w:webHidden/>
            <w:color w:val="4C4747"/>
            <w:sz w:val="24"/>
            <w:szCs w:val="24"/>
          </w:rPr>
          <w:fldChar w:fldCharType="end"/>
        </w:r>
      </w:hyperlink>
    </w:p>
    <w:p w14:paraId="2441E4BE" w14:textId="77777777" w:rsidR="00376423" w:rsidRPr="00376423" w:rsidRDefault="00376423">
      <w:pPr>
        <w:pStyle w:val="TDC2"/>
        <w:tabs>
          <w:tab w:val="left" w:pos="880"/>
          <w:tab w:val="right" w:leader="dot" w:pos="9350"/>
        </w:tabs>
        <w:rPr>
          <w:rFonts w:ascii="Times New Roman" w:eastAsiaTheme="minorEastAsia" w:hAnsi="Times New Roman" w:cs="Times New Roman"/>
          <w:noProof/>
          <w:color w:val="4C4747"/>
          <w:sz w:val="24"/>
          <w:szCs w:val="24"/>
        </w:rPr>
      </w:pPr>
      <w:hyperlink w:anchor="_Toc122425227" w:history="1">
        <w:r w:rsidRPr="00376423">
          <w:rPr>
            <w:rStyle w:val="Hipervnculo"/>
            <w:rFonts w:ascii="Times New Roman" w:hAnsi="Times New Roman" w:cs="Times New Roman"/>
            <w:noProof/>
            <w:color w:val="4C4747"/>
            <w:sz w:val="24"/>
            <w:szCs w:val="24"/>
            <w:lang w:val="es-DO"/>
          </w:rPr>
          <w:t>2.1</w:t>
        </w:r>
        <w:r w:rsidRPr="00376423">
          <w:rPr>
            <w:rFonts w:ascii="Times New Roman" w:eastAsiaTheme="minorEastAsia" w:hAnsi="Times New Roman" w:cs="Times New Roman"/>
            <w:noProof/>
            <w:color w:val="4C4747"/>
            <w:sz w:val="24"/>
            <w:szCs w:val="24"/>
          </w:rPr>
          <w:tab/>
        </w:r>
        <w:r w:rsidRPr="00376423">
          <w:rPr>
            <w:rStyle w:val="Hipervnculo"/>
            <w:rFonts w:ascii="Times New Roman" w:hAnsi="Times New Roman" w:cs="Times New Roman"/>
            <w:noProof/>
            <w:color w:val="4C4747"/>
            <w:sz w:val="24"/>
            <w:szCs w:val="24"/>
            <w:lang w:val="es-DO"/>
          </w:rPr>
          <w:t>Marco Filosófico Institucional</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_Toc122425227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6</w:t>
        </w:r>
        <w:r w:rsidRPr="00376423">
          <w:rPr>
            <w:rFonts w:ascii="Times New Roman" w:hAnsi="Times New Roman" w:cs="Times New Roman"/>
            <w:noProof/>
            <w:webHidden/>
            <w:color w:val="4C4747"/>
            <w:sz w:val="24"/>
            <w:szCs w:val="24"/>
          </w:rPr>
          <w:fldChar w:fldCharType="end"/>
        </w:r>
      </w:hyperlink>
    </w:p>
    <w:p w14:paraId="0EF11781"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28" w:history="1">
        <w:r w:rsidRPr="00376423">
          <w:rPr>
            <w:rStyle w:val="Hipervnculo"/>
            <w:rFonts w:ascii="Times New Roman" w:hAnsi="Times New Roman" w:cs="Times New Roman"/>
            <w:noProof/>
            <w:color w:val="4C4747"/>
            <w:sz w:val="24"/>
            <w:szCs w:val="24"/>
            <w:lang w:val="es-DO"/>
          </w:rPr>
          <w:t>Misión</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_Toc122425228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6</w:t>
        </w:r>
        <w:r w:rsidRPr="00376423">
          <w:rPr>
            <w:rFonts w:ascii="Times New Roman" w:hAnsi="Times New Roman" w:cs="Times New Roman"/>
            <w:noProof/>
            <w:webHidden/>
            <w:color w:val="4C4747"/>
            <w:sz w:val="24"/>
            <w:szCs w:val="24"/>
          </w:rPr>
          <w:fldChar w:fldCharType="end"/>
        </w:r>
      </w:hyperlink>
    </w:p>
    <w:p w14:paraId="521F7878"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29" w:history="1">
        <w:r w:rsidRPr="00376423">
          <w:rPr>
            <w:rStyle w:val="Hipervnculo"/>
            <w:rFonts w:ascii="Times New Roman" w:hAnsi="Times New Roman" w:cs="Times New Roman"/>
            <w:noProof/>
            <w:color w:val="4C4747"/>
            <w:sz w:val="24"/>
            <w:szCs w:val="24"/>
            <w:lang w:val="es-DO"/>
          </w:rPr>
          <w:t>Visión</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_Toc122425229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6</w:t>
        </w:r>
        <w:r w:rsidRPr="00376423">
          <w:rPr>
            <w:rFonts w:ascii="Times New Roman" w:hAnsi="Times New Roman" w:cs="Times New Roman"/>
            <w:noProof/>
            <w:webHidden/>
            <w:color w:val="4C4747"/>
            <w:sz w:val="24"/>
            <w:szCs w:val="24"/>
          </w:rPr>
          <w:fldChar w:fldCharType="end"/>
        </w:r>
      </w:hyperlink>
    </w:p>
    <w:p w14:paraId="1C5D6DCF"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30" w:history="1">
        <w:r w:rsidRPr="00376423">
          <w:rPr>
            <w:rStyle w:val="Hipervnculo"/>
            <w:rFonts w:ascii="Times New Roman" w:hAnsi="Times New Roman" w:cs="Times New Roman"/>
            <w:noProof/>
            <w:color w:val="4C4747"/>
            <w:sz w:val="24"/>
            <w:szCs w:val="24"/>
            <w:lang w:val="es-DO"/>
          </w:rPr>
          <w:t>Valores: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_Toc122425230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6</w:t>
        </w:r>
        <w:r w:rsidRPr="00376423">
          <w:rPr>
            <w:rFonts w:ascii="Times New Roman" w:hAnsi="Times New Roman" w:cs="Times New Roman"/>
            <w:noProof/>
            <w:webHidden/>
            <w:color w:val="4C4747"/>
            <w:sz w:val="24"/>
            <w:szCs w:val="24"/>
          </w:rPr>
          <w:fldChar w:fldCharType="end"/>
        </w:r>
      </w:hyperlink>
    </w:p>
    <w:p w14:paraId="474A6C59" w14:textId="77777777" w:rsidR="00376423" w:rsidRPr="00376423" w:rsidRDefault="00376423">
      <w:pPr>
        <w:pStyle w:val="TDC2"/>
        <w:tabs>
          <w:tab w:val="left" w:pos="880"/>
          <w:tab w:val="right" w:leader="dot" w:pos="9350"/>
        </w:tabs>
        <w:rPr>
          <w:rFonts w:ascii="Times New Roman" w:eastAsiaTheme="minorEastAsia" w:hAnsi="Times New Roman" w:cs="Times New Roman"/>
          <w:noProof/>
          <w:color w:val="4C4747"/>
          <w:sz w:val="24"/>
          <w:szCs w:val="24"/>
        </w:rPr>
      </w:pPr>
      <w:hyperlink w:anchor="_Toc122425231" w:history="1">
        <w:r w:rsidRPr="00376423">
          <w:rPr>
            <w:rStyle w:val="Hipervnculo"/>
            <w:rFonts w:ascii="Times New Roman" w:hAnsi="Times New Roman" w:cs="Times New Roman"/>
            <w:noProof/>
            <w:color w:val="4C4747"/>
            <w:sz w:val="24"/>
            <w:szCs w:val="24"/>
            <w:lang w:val="es-DO"/>
          </w:rPr>
          <w:t>2.2</w:t>
        </w:r>
        <w:r w:rsidRPr="00376423">
          <w:rPr>
            <w:rFonts w:ascii="Times New Roman" w:eastAsiaTheme="minorEastAsia" w:hAnsi="Times New Roman" w:cs="Times New Roman"/>
            <w:noProof/>
            <w:color w:val="4C4747"/>
            <w:sz w:val="24"/>
            <w:szCs w:val="24"/>
          </w:rPr>
          <w:tab/>
        </w:r>
        <w:r w:rsidRPr="00376423">
          <w:rPr>
            <w:rStyle w:val="Hipervnculo"/>
            <w:rFonts w:ascii="Times New Roman" w:hAnsi="Times New Roman" w:cs="Times New Roman"/>
            <w:noProof/>
            <w:color w:val="4C4747"/>
            <w:sz w:val="24"/>
            <w:szCs w:val="24"/>
            <w:lang w:val="es-DO"/>
          </w:rPr>
          <w:t>Base Legal</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_Toc122425231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7</w:t>
        </w:r>
        <w:r w:rsidRPr="00376423">
          <w:rPr>
            <w:rFonts w:ascii="Times New Roman" w:hAnsi="Times New Roman" w:cs="Times New Roman"/>
            <w:noProof/>
            <w:webHidden/>
            <w:color w:val="4C4747"/>
            <w:sz w:val="24"/>
            <w:szCs w:val="24"/>
          </w:rPr>
          <w:fldChar w:fldCharType="end"/>
        </w:r>
      </w:hyperlink>
    </w:p>
    <w:p w14:paraId="0D2B7D7C" w14:textId="77777777" w:rsidR="00376423" w:rsidRPr="00376423" w:rsidRDefault="00376423">
      <w:pPr>
        <w:pStyle w:val="TDC2"/>
        <w:tabs>
          <w:tab w:val="left" w:pos="880"/>
          <w:tab w:val="right" w:leader="dot" w:pos="9350"/>
        </w:tabs>
        <w:rPr>
          <w:rFonts w:ascii="Times New Roman" w:eastAsiaTheme="minorEastAsia" w:hAnsi="Times New Roman" w:cs="Times New Roman"/>
          <w:noProof/>
          <w:color w:val="4C4747"/>
          <w:sz w:val="24"/>
          <w:szCs w:val="24"/>
        </w:rPr>
      </w:pPr>
      <w:hyperlink w:anchor="_Toc122425232" w:history="1">
        <w:r w:rsidRPr="00376423">
          <w:rPr>
            <w:rStyle w:val="Hipervnculo"/>
            <w:rFonts w:ascii="Times New Roman" w:hAnsi="Times New Roman" w:cs="Times New Roman"/>
            <w:noProof/>
            <w:color w:val="4C4747"/>
            <w:sz w:val="24"/>
            <w:szCs w:val="24"/>
            <w:lang w:val="es-DO"/>
          </w:rPr>
          <w:t>2.3</w:t>
        </w:r>
        <w:r w:rsidRPr="00376423">
          <w:rPr>
            <w:rFonts w:ascii="Times New Roman" w:eastAsiaTheme="minorEastAsia" w:hAnsi="Times New Roman" w:cs="Times New Roman"/>
            <w:noProof/>
            <w:color w:val="4C4747"/>
            <w:sz w:val="24"/>
            <w:szCs w:val="24"/>
          </w:rPr>
          <w:tab/>
        </w:r>
        <w:r w:rsidRPr="00376423">
          <w:rPr>
            <w:rStyle w:val="Hipervnculo"/>
            <w:rFonts w:ascii="Times New Roman" w:hAnsi="Times New Roman" w:cs="Times New Roman"/>
            <w:noProof/>
            <w:color w:val="4C4747"/>
            <w:sz w:val="24"/>
            <w:szCs w:val="24"/>
            <w:lang w:val="es-DO"/>
          </w:rPr>
          <w:t>Estructura Organizativa</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_Toc122425232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8</w:t>
        </w:r>
        <w:r w:rsidRPr="00376423">
          <w:rPr>
            <w:rFonts w:ascii="Times New Roman" w:hAnsi="Times New Roman" w:cs="Times New Roman"/>
            <w:noProof/>
            <w:webHidden/>
            <w:color w:val="4C4747"/>
            <w:sz w:val="24"/>
            <w:szCs w:val="24"/>
          </w:rPr>
          <w:fldChar w:fldCharType="end"/>
        </w:r>
      </w:hyperlink>
    </w:p>
    <w:p w14:paraId="5879A7C8" w14:textId="77777777" w:rsidR="00376423" w:rsidRPr="00376423" w:rsidRDefault="00376423">
      <w:pPr>
        <w:pStyle w:val="TDC1"/>
        <w:tabs>
          <w:tab w:val="left" w:pos="660"/>
          <w:tab w:val="right" w:leader="dot" w:pos="9350"/>
        </w:tabs>
        <w:rPr>
          <w:rFonts w:ascii="Times New Roman" w:eastAsiaTheme="minorEastAsia" w:hAnsi="Times New Roman" w:cs="Times New Roman"/>
          <w:noProof/>
          <w:color w:val="4C4747"/>
          <w:sz w:val="24"/>
          <w:szCs w:val="24"/>
        </w:rPr>
      </w:pPr>
      <w:hyperlink w:anchor="_Toc122425233" w:history="1">
        <w:r w:rsidRPr="00376423">
          <w:rPr>
            <w:rStyle w:val="Hipervnculo"/>
            <w:rFonts w:ascii="Times New Roman" w:hAnsi="Times New Roman" w:cs="Times New Roman"/>
            <w:noProof/>
            <w:color w:val="4C4747"/>
            <w:spacing w:val="20"/>
            <w:sz w:val="24"/>
            <w:szCs w:val="24"/>
            <w:lang w:val="es-DO"/>
          </w:rPr>
          <w:t>III.</w:t>
        </w:r>
        <w:r w:rsidRPr="00376423">
          <w:rPr>
            <w:rFonts w:ascii="Times New Roman" w:eastAsiaTheme="minorEastAsia" w:hAnsi="Times New Roman" w:cs="Times New Roman"/>
            <w:noProof/>
            <w:color w:val="4C4747"/>
            <w:sz w:val="24"/>
            <w:szCs w:val="24"/>
          </w:rPr>
          <w:tab/>
        </w:r>
        <w:r w:rsidRPr="00376423">
          <w:rPr>
            <w:rStyle w:val="Hipervnculo"/>
            <w:rFonts w:ascii="Times New Roman" w:hAnsi="Times New Roman" w:cs="Times New Roman"/>
            <w:noProof/>
            <w:color w:val="4C4747"/>
            <w:spacing w:val="20"/>
            <w:sz w:val="24"/>
            <w:szCs w:val="24"/>
            <w:lang w:val="es-DO"/>
          </w:rPr>
          <w:t>RESULTADOS MISIONALES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_Toc122425233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15</w:t>
        </w:r>
        <w:r w:rsidRPr="00376423">
          <w:rPr>
            <w:rFonts w:ascii="Times New Roman" w:hAnsi="Times New Roman" w:cs="Times New Roman"/>
            <w:noProof/>
            <w:webHidden/>
            <w:color w:val="4C4747"/>
            <w:sz w:val="24"/>
            <w:szCs w:val="24"/>
          </w:rPr>
          <w:fldChar w:fldCharType="end"/>
        </w:r>
      </w:hyperlink>
    </w:p>
    <w:p w14:paraId="4E26842A"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34" w:history="1">
        <w:r w:rsidRPr="00376423">
          <w:rPr>
            <w:rStyle w:val="Hipervnculo"/>
            <w:rFonts w:ascii="Times New Roman" w:eastAsia="Calibri" w:hAnsi="Times New Roman" w:cs="Times New Roman"/>
            <w:noProof/>
            <w:color w:val="4C4747"/>
            <w:spacing w:val="20"/>
            <w:sz w:val="24"/>
            <w:szCs w:val="24"/>
            <w:lang w:val="es-DO"/>
          </w:rPr>
          <w:t>3.1 Regulación y Defensa de la Competencia del Sector de las Telecomunicaciones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_Toc122425234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15</w:t>
        </w:r>
        <w:r w:rsidRPr="00376423">
          <w:rPr>
            <w:rFonts w:ascii="Times New Roman" w:hAnsi="Times New Roman" w:cs="Times New Roman"/>
            <w:noProof/>
            <w:webHidden/>
            <w:color w:val="4C4747"/>
            <w:sz w:val="24"/>
            <w:szCs w:val="24"/>
          </w:rPr>
          <w:fldChar w:fldCharType="end"/>
        </w:r>
      </w:hyperlink>
    </w:p>
    <w:p w14:paraId="36A9174D"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35" w:history="1">
        <w:r w:rsidRPr="00376423">
          <w:rPr>
            <w:rStyle w:val="Hipervnculo"/>
            <w:rFonts w:ascii="Times New Roman" w:eastAsia="Times New Roman" w:hAnsi="Times New Roman" w:cs="Times New Roman"/>
            <w:bCs/>
            <w:noProof/>
            <w:color w:val="4C4747"/>
            <w:sz w:val="24"/>
            <w:szCs w:val="24"/>
            <w:lang w:val="es-DO" w:eastAsia="es-DO"/>
          </w:rPr>
          <w:t>3.2 Espectro Radioeléctrico</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_Toc122425235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24</w:t>
        </w:r>
        <w:r w:rsidRPr="00376423">
          <w:rPr>
            <w:rFonts w:ascii="Times New Roman" w:hAnsi="Times New Roman" w:cs="Times New Roman"/>
            <w:noProof/>
            <w:webHidden/>
            <w:color w:val="4C4747"/>
            <w:sz w:val="24"/>
            <w:szCs w:val="24"/>
          </w:rPr>
          <w:fldChar w:fldCharType="end"/>
        </w:r>
      </w:hyperlink>
    </w:p>
    <w:p w14:paraId="0FEFA8DC"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36" w:history="1">
        <w:r w:rsidRPr="00376423">
          <w:rPr>
            <w:rStyle w:val="Hipervnculo"/>
            <w:rFonts w:ascii="Times New Roman" w:eastAsia="Times New Roman" w:hAnsi="Times New Roman" w:cs="Times New Roman"/>
            <w:bCs/>
            <w:noProof/>
            <w:color w:val="4C4747"/>
            <w:sz w:val="24"/>
            <w:szCs w:val="24"/>
            <w:lang w:val="es-DO" w:eastAsia="es-DO"/>
          </w:rPr>
          <w:t>3.3 Fiscalización</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_Toc122425236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33</w:t>
        </w:r>
        <w:r w:rsidRPr="00376423">
          <w:rPr>
            <w:rFonts w:ascii="Times New Roman" w:hAnsi="Times New Roman" w:cs="Times New Roman"/>
            <w:noProof/>
            <w:webHidden/>
            <w:color w:val="4C4747"/>
            <w:sz w:val="24"/>
            <w:szCs w:val="24"/>
          </w:rPr>
          <w:fldChar w:fldCharType="end"/>
        </w:r>
      </w:hyperlink>
    </w:p>
    <w:p w14:paraId="782DC920"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37" w:history="1">
        <w:r w:rsidRPr="00376423">
          <w:rPr>
            <w:rStyle w:val="Hipervnculo"/>
            <w:rFonts w:ascii="Times New Roman" w:eastAsia="Calibri" w:hAnsi="Times New Roman" w:cs="Times New Roman"/>
            <w:noProof/>
            <w:color w:val="4C4747"/>
            <w:spacing w:val="20"/>
            <w:sz w:val="24"/>
            <w:szCs w:val="24"/>
            <w:lang w:val="es-DO"/>
          </w:rPr>
          <w:t>3.4 Autorizaciones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_Toc122425237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37</w:t>
        </w:r>
        <w:r w:rsidRPr="00376423">
          <w:rPr>
            <w:rFonts w:ascii="Times New Roman" w:hAnsi="Times New Roman" w:cs="Times New Roman"/>
            <w:noProof/>
            <w:webHidden/>
            <w:color w:val="4C4747"/>
            <w:sz w:val="24"/>
            <w:szCs w:val="24"/>
          </w:rPr>
          <w:fldChar w:fldCharType="end"/>
        </w:r>
      </w:hyperlink>
    </w:p>
    <w:p w14:paraId="0F89BC3A"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38" w:history="1">
        <w:r w:rsidRPr="00376423">
          <w:rPr>
            <w:rStyle w:val="Hipervnculo"/>
            <w:rFonts w:ascii="Times New Roman" w:eastAsia="Calibri" w:hAnsi="Times New Roman" w:cs="Times New Roman"/>
            <w:noProof/>
            <w:color w:val="4C4747"/>
            <w:spacing w:val="20"/>
            <w:sz w:val="24"/>
            <w:szCs w:val="24"/>
            <w:lang w:val="es-DO"/>
          </w:rPr>
          <w:t>3.5 Dirección Unidad Ejecutoria BID</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_Toc122425238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41</w:t>
        </w:r>
        <w:r w:rsidRPr="00376423">
          <w:rPr>
            <w:rFonts w:ascii="Times New Roman" w:hAnsi="Times New Roman" w:cs="Times New Roman"/>
            <w:noProof/>
            <w:webHidden/>
            <w:color w:val="4C4747"/>
            <w:sz w:val="24"/>
            <w:szCs w:val="24"/>
          </w:rPr>
          <w:fldChar w:fldCharType="end"/>
        </w:r>
      </w:hyperlink>
    </w:p>
    <w:p w14:paraId="3206AA41"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39" w:history="1">
        <w:r w:rsidRPr="00376423">
          <w:rPr>
            <w:rStyle w:val="Hipervnculo"/>
            <w:rFonts w:ascii="Times New Roman" w:eastAsia="Times New Roman" w:hAnsi="Times New Roman" w:cs="Times New Roman"/>
            <w:bCs/>
            <w:noProof/>
            <w:color w:val="4C4747"/>
            <w:sz w:val="24"/>
            <w:szCs w:val="24"/>
            <w:lang w:val="es-DO" w:eastAsia="es-DO"/>
          </w:rPr>
          <w:t>3.6 Protección al Usuario</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_Toc122425239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46</w:t>
        </w:r>
        <w:r w:rsidRPr="00376423">
          <w:rPr>
            <w:rFonts w:ascii="Times New Roman" w:hAnsi="Times New Roman" w:cs="Times New Roman"/>
            <w:noProof/>
            <w:webHidden/>
            <w:color w:val="4C4747"/>
            <w:sz w:val="24"/>
            <w:szCs w:val="24"/>
          </w:rPr>
          <w:fldChar w:fldCharType="end"/>
        </w:r>
      </w:hyperlink>
    </w:p>
    <w:p w14:paraId="44BE4765"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40" w:history="1">
        <w:r w:rsidRPr="00376423">
          <w:rPr>
            <w:rStyle w:val="Hipervnculo"/>
            <w:rFonts w:ascii="Times New Roman" w:eastAsia="Times New Roman" w:hAnsi="Times New Roman" w:cs="Times New Roman"/>
            <w:bCs/>
            <w:noProof/>
            <w:color w:val="4C4747"/>
            <w:sz w:val="24"/>
            <w:szCs w:val="24"/>
            <w:lang w:val="es-DO" w:eastAsia="es-DO"/>
          </w:rPr>
          <w:t>3.7 Fondo para el Desarrollo de las Telecomunicaciones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_Toc122425240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57</w:t>
        </w:r>
        <w:r w:rsidRPr="00376423">
          <w:rPr>
            <w:rFonts w:ascii="Times New Roman" w:hAnsi="Times New Roman" w:cs="Times New Roman"/>
            <w:noProof/>
            <w:webHidden/>
            <w:color w:val="4C4747"/>
            <w:sz w:val="24"/>
            <w:szCs w:val="24"/>
          </w:rPr>
          <w:fldChar w:fldCharType="end"/>
        </w:r>
      </w:hyperlink>
    </w:p>
    <w:p w14:paraId="52C5C7FB"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41" w:history="1">
        <w:r w:rsidRPr="00376423">
          <w:rPr>
            <w:rStyle w:val="Hipervnculo"/>
            <w:rFonts w:ascii="Times New Roman" w:eastAsia="Calibri" w:hAnsi="Times New Roman" w:cs="Times New Roman"/>
            <w:noProof/>
            <w:color w:val="4C4747"/>
            <w:spacing w:val="20"/>
            <w:sz w:val="24"/>
            <w:szCs w:val="24"/>
            <w:lang w:val="es-DO"/>
          </w:rPr>
          <w:t>3.8 Ciberseguridad, Comercio Electrónico y Firma Digital</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_Toc122425241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65</w:t>
        </w:r>
        <w:r w:rsidRPr="00376423">
          <w:rPr>
            <w:rFonts w:ascii="Times New Roman" w:hAnsi="Times New Roman" w:cs="Times New Roman"/>
            <w:noProof/>
            <w:webHidden/>
            <w:color w:val="4C4747"/>
            <w:sz w:val="24"/>
            <w:szCs w:val="24"/>
          </w:rPr>
          <w:fldChar w:fldCharType="end"/>
        </w:r>
      </w:hyperlink>
    </w:p>
    <w:p w14:paraId="0895BD4E" w14:textId="77777777" w:rsidR="00376423" w:rsidRPr="00376423" w:rsidRDefault="00376423">
      <w:pPr>
        <w:pStyle w:val="TDC1"/>
        <w:tabs>
          <w:tab w:val="left" w:pos="660"/>
          <w:tab w:val="right" w:leader="dot" w:pos="9350"/>
        </w:tabs>
        <w:rPr>
          <w:rFonts w:ascii="Times New Roman" w:eastAsiaTheme="minorEastAsia" w:hAnsi="Times New Roman" w:cs="Times New Roman"/>
          <w:noProof/>
          <w:color w:val="4C4747"/>
          <w:sz w:val="24"/>
          <w:szCs w:val="24"/>
        </w:rPr>
      </w:pPr>
      <w:hyperlink w:anchor="_Toc122425242" w:history="1">
        <w:r w:rsidRPr="00376423">
          <w:rPr>
            <w:rStyle w:val="Hipervnculo"/>
            <w:rFonts w:ascii="Times New Roman" w:hAnsi="Times New Roman" w:cs="Times New Roman"/>
            <w:noProof/>
            <w:color w:val="4C4747"/>
            <w:sz w:val="24"/>
            <w:szCs w:val="24"/>
            <w:lang w:val="es-DO"/>
          </w:rPr>
          <w:t>IV.</w:t>
        </w:r>
        <w:r w:rsidRPr="00376423">
          <w:rPr>
            <w:rFonts w:ascii="Times New Roman" w:eastAsiaTheme="minorEastAsia" w:hAnsi="Times New Roman" w:cs="Times New Roman"/>
            <w:noProof/>
            <w:color w:val="4C4747"/>
            <w:sz w:val="24"/>
            <w:szCs w:val="24"/>
          </w:rPr>
          <w:tab/>
        </w:r>
        <w:r w:rsidRPr="00376423">
          <w:rPr>
            <w:rStyle w:val="Hipervnculo"/>
            <w:rFonts w:ascii="Times New Roman" w:hAnsi="Times New Roman" w:cs="Times New Roman"/>
            <w:noProof/>
            <w:color w:val="4C4747"/>
            <w:sz w:val="24"/>
            <w:szCs w:val="24"/>
            <w:lang w:val="es-DO"/>
          </w:rPr>
          <w:t>RESULTADOS ÁREAS TRANSVERSALES  Y DE APOYO</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_Toc122425242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73</w:t>
        </w:r>
        <w:r w:rsidRPr="00376423">
          <w:rPr>
            <w:rFonts w:ascii="Times New Roman" w:hAnsi="Times New Roman" w:cs="Times New Roman"/>
            <w:noProof/>
            <w:webHidden/>
            <w:color w:val="4C4747"/>
            <w:sz w:val="24"/>
            <w:szCs w:val="24"/>
          </w:rPr>
          <w:fldChar w:fldCharType="end"/>
        </w:r>
      </w:hyperlink>
    </w:p>
    <w:p w14:paraId="738C19FF" w14:textId="41F9B56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43" w:history="1">
        <w:r w:rsidRPr="00376423">
          <w:rPr>
            <w:rStyle w:val="Hipervnculo"/>
            <w:rFonts w:ascii="Times New Roman" w:hAnsi="Times New Roman" w:cs="Times New Roman"/>
            <w:noProof/>
            <w:color w:val="4C4747"/>
            <w:sz w:val="24"/>
            <w:szCs w:val="24"/>
            <w:lang w:val="es-DO" w:eastAsia="es-DO"/>
          </w:rPr>
          <w:t>4.1</w:t>
        </w:r>
        <w:r>
          <w:rPr>
            <w:rStyle w:val="Hipervnculo"/>
            <w:rFonts w:ascii="Times New Roman" w:hAnsi="Times New Roman" w:cs="Times New Roman"/>
            <w:i/>
            <w:noProof/>
            <w:color w:val="4C4747"/>
            <w:sz w:val="24"/>
            <w:szCs w:val="24"/>
            <w:lang w:val="es-DO" w:eastAsia="es-DO"/>
          </w:rPr>
          <w:t xml:space="preserve"> </w:t>
        </w:r>
        <w:r w:rsidRPr="00376423">
          <w:rPr>
            <w:rStyle w:val="Hipervnculo"/>
            <w:rFonts w:ascii="Times New Roman" w:eastAsia="Times New Roman" w:hAnsi="Times New Roman" w:cs="Times New Roman"/>
            <w:bCs/>
            <w:noProof/>
            <w:color w:val="4C4747"/>
            <w:sz w:val="24"/>
            <w:szCs w:val="24"/>
            <w:lang w:val="es-DO" w:eastAsia="es-DO"/>
          </w:rPr>
          <w:t>Desempeño Administrativo y Financiero</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_Toc122425243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73</w:t>
        </w:r>
        <w:r w:rsidRPr="00376423">
          <w:rPr>
            <w:rFonts w:ascii="Times New Roman" w:hAnsi="Times New Roman" w:cs="Times New Roman"/>
            <w:noProof/>
            <w:webHidden/>
            <w:color w:val="4C4747"/>
            <w:sz w:val="24"/>
            <w:szCs w:val="24"/>
          </w:rPr>
          <w:fldChar w:fldCharType="end"/>
        </w:r>
      </w:hyperlink>
    </w:p>
    <w:p w14:paraId="60CE4279" w14:textId="0EBE1126" w:rsidR="00376423" w:rsidRPr="00376423" w:rsidRDefault="00376423">
      <w:pPr>
        <w:pStyle w:val="TDC3"/>
        <w:tabs>
          <w:tab w:val="left" w:pos="1100"/>
          <w:tab w:val="right" w:leader="dot" w:pos="9350"/>
        </w:tabs>
        <w:rPr>
          <w:rFonts w:ascii="Times New Roman" w:eastAsiaTheme="minorEastAsia" w:hAnsi="Times New Roman" w:cs="Times New Roman"/>
          <w:noProof/>
          <w:color w:val="4C4747"/>
          <w:sz w:val="24"/>
          <w:szCs w:val="24"/>
        </w:rPr>
      </w:pPr>
      <w:hyperlink w:anchor="_Toc122425244" w:history="1">
        <w:r w:rsidRPr="00376423">
          <w:rPr>
            <w:rStyle w:val="Hipervnculo"/>
            <w:rFonts w:ascii="Times New Roman" w:hAnsi="Times New Roman" w:cs="Times New Roman"/>
            <w:noProof/>
            <w:color w:val="4C4747"/>
            <w:sz w:val="24"/>
            <w:szCs w:val="24"/>
            <w:lang w:val="es-DO" w:eastAsia="es-DO"/>
          </w:rPr>
          <w:t>4.2</w:t>
        </w:r>
        <w:r>
          <w:rPr>
            <w:rFonts w:ascii="Times New Roman" w:eastAsiaTheme="minorEastAsia" w:hAnsi="Times New Roman" w:cs="Times New Roman"/>
            <w:noProof/>
            <w:color w:val="4C4747"/>
            <w:sz w:val="24"/>
            <w:szCs w:val="24"/>
          </w:rPr>
          <w:t xml:space="preserve"> </w:t>
        </w:r>
        <w:r w:rsidRPr="00376423">
          <w:rPr>
            <w:rStyle w:val="Hipervnculo"/>
            <w:rFonts w:ascii="Times New Roman" w:hAnsi="Times New Roman" w:cs="Times New Roman"/>
            <w:noProof/>
            <w:color w:val="4C4747"/>
            <w:sz w:val="24"/>
            <w:szCs w:val="24"/>
            <w:lang w:val="es-DO" w:eastAsia="es-DO"/>
          </w:rPr>
          <w:t>Desempeño de los Recursos Humanos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_Toc122425244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89</w:t>
        </w:r>
        <w:r w:rsidRPr="00376423">
          <w:rPr>
            <w:rFonts w:ascii="Times New Roman" w:hAnsi="Times New Roman" w:cs="Times New Roman"/>
            <w:noProof/>
            <w:webHidden/>
            <w:color w:val="4C4747"/>
            <w:sz w:val="24"/>
            <w:szCs w:val="24"/>
          </w:rPr>
          <w:fldChar w:fldCharType="end"/>
        </w:r>
      </w:hyperlink>
    </w:p>
    <w:p w14:paraId="63D8F917"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45" w:history="1">
        <w:r w:rsidRPr="00376423">
          <w:rPr>
            <w:rStyle w:val="Hipervnculo"/>
            <w:rFonts w:ascii="Times New Roman" w:eastAsia="Times New Roman" w:hAnsi="Times New Roman" w:cs="Times New Roman"/>
            <w:bCs/>
            <w:noProof/>
            <w:color w:val="4C4747"/>
            <w:sz w:val="24"/>
            <w:szCs w:val="24"/>
            <w:lang w:val="es-DO" w:eastAsia="es-DO"/>
          </w:rPr>
          <w:t>4.3 Desempeño de los Proceso</w:t>
        </w:r>
        <w:r w:rsidRPr="00376423">
          <w:rPr>
            <w:rStyle w:val="Hipervnculo"/>
            <w:rFonts w:ascii="Times New Roman" w:eastAsia="Times New Roman" w:hAnsi="Times New Roman" w:cs="Times New Roman"/>
            <w:bCs/>
            <w:noProof/>
            <w:color w:val="4C4747"/>
            <w:sz w:val="24"/>
            <w:szCs w:val="24"/>
            <w:lang w:val="es-DO" w:eastAsia="es-DO"/>
          </w:rPr>
          <w:t>s</w:t>
        </w:r>
        <w:r w:rsidRPr="00376423">
          <w:rPr>
            <w:rStyle w:val="Hipervnculo"/>
            <w:rFonts w:ascii="Times New Roman" w:eastAsia="Times New Roman" w:hAnsi="Times New Roman" w:cs="Times New Roman"/>
            <w:bCs/>
            <w:noProof/>
            <w:color w:val="4C4747"/>
            <w:sz w:val="24"/>
            <w:szCs w:val="24"/>
            <w:lang w:val="es-DO" w:eastAsia="es-DO"/>
          </w:rPr>
          <w:t xml:space="preserve"> Jurídicos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_Toc122425245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96</w:t>
        </w:r>
        <w:r w:rsidRPr="00376423">
          <w:rPr>
            <w:rFonts w:ascii="Times New Roman" w:hAnsi="Times New Roman" w:cs="Times New Roman"/>
            <w:noProof/>
            <w:webHidden/>
            <w:color w:val="4C4747"/>
            <w:sz w:val="24"/>
            <w:szCs w:val="24"/>
          </w:rPr>
          <w:fldChar w:fldCharType="end"/>
        </w:r>
      </w:hyperlink>
    </w:p>
    <w:p w14:paraId="15D8DF18"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46" w:history="1">
        <w:r w:rsidRPr="00376423">
          <w:rPr>
            <w:rStyle w:val="Hipervnculo"/>
            <w:rFonts w:ascii="Times New Roman" w:eastAsiaTheme="majorEastAsia" w:hAnsi="Times New Roman" w:cs="Times New Roman"/>
            <w:iCs/>
            <w:noProof/>
            <w:color w:val="4C4747"/>
            <w:sz w:val="24"/>
            <w:szCs w:val="24"/>
            <w:lang w:val="es-DO" w:eastAsia="es-DO"/>
          </w:rPr>
          <w:t>4.4</w:t>
        </w:r>
        <w:r w:rsidRPr="00376423">
          <w:rPr>
            <w:rStyle w:val="Hipervnculo"/>
            <w:rFonts w:ascii="Times New Roman" w:eastAsia="Times New Roman" w:hAnsi="Times New Roman" w:cs="Times New Roman"/>
            <w:bCs/>
            <w:noProof/>
            <w:color w:val="4C4747"/>
            <w:sz w:val="24"/>
            <w:szCs w:val="24"/>
            <w:lang w:val="es-DO" w:eastAsia="es-DO"/>
          </w:rPr>
          <w:t xml:space="preserve"> </w:t>
        </w:r>
        <w:r w:rsidRPr="00376423">
          <w:rPr>
            <w:rStyle w:val="Hipervnculo"/>
            <w:rFonts w:ascii="Times New Roman" w:eastAsiaTheme="majorEastAsia" w:hAnsi="Times New Roman" w:cs="Times New Roman"/>
            <w:iCs/>
            <w:noProof/>
            <w:color w:val="4C4747"/>
            <w:sz w:val="24"/>
            <w:szCs w:val="24"/>
            <w:lang w:val="es-DO" w:eastAsia="es-DO"/>
          </w:rPr>
          <w:t>Desempeño de la Tecnología</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_Toc122425246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103</w:t>
        </w:r>
        <w:r w:rsidRPr="00376423">
          <w:rPr>
            <w:rFonts w:ascii="Times New Roman" w:hAnsi="Times New Roman" w:cs="Times New Roman"/>
            <w:noProof/>
            <w:webHidden/>
            <w:color w:val="4C4747"/>
            <w:sz w:val="24"/>
            <w:szCs w:val="24"/>
          </w:rPr>
          <w:fldChar w:fldCharType="end"/>
        </w:r>
      </w:hyperlink>
    </w:p>
    <w:p w14:paraId="3BF3593C"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47" w:history="1">
        <w:r w:rsidRPr="00376423">
          <w:rPr>
            <w:rStyle w:val="Hipervnculo"/>
            <w:rFonts w:ascii="Times New Roman" w:eastAsia="Times New Roman" w:hAnsi="Times New Roman" w:cs="Times New Roman"/>
            <w:bCs/>
            <w:noProof/>
            <w:color w:val="4C4747"/>
            <w:sz w:val="24"/>
            <w:szCs w:val="24"/>
            <w:lang w:val="es-DO" w:eastAsia="es-DO"/>
          </w:rPr>
          <w:t>4.5 Desempeño del Sistema de Planificación y Desarrollo Institucional</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_Toc122425247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109</w:t>
        </w:r>
        <w:r w:rsidRPr="00376423">
          <w:rPr>
            <w:rFonts w:ascii="Times New Roman" w:hAnsi="Times New Roman" w:cs="Times New Roman"/>
            <w:noProof/>
            <w:webHidden/>
            <w:color w:val="4C4747"/>
            <w:sz w:val="24"/>
            <w:szCs w:val="24"/>
          </w:rPr>
          <w:fldChar w:fldCharType="end"/>
        </w:r>
      </w:hyperlink>
    </w:p>
    <w:p w14:paraId="01B33183"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48" w:history="1">
        <w:r w:rsidRPr="00376423">
          <w:rPr>
            <w:rStyle w:val="Hipervnculo"/>
            <w:rFonts w:ascii="Times New Roman" w:eastAsia="Times New Roman" w:hAnsi="Times New Roman" w:cs="Times New Roman"/>
            <w:bCs/>
            <w:noProof/>
            <w:color w:val="4C4747"/>
            <w:sz w:val="24"/>
            <w:szCs w:val="24"/>
            <w:lang w:val="es-DO" w:eastAsia="es-DO"/>
          </w:rPr>
          <w:t>4.6 Desempeño del Área de Comunicaciones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_Toc122425248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120</w:t>
        </w:r>
        <w:r w:rsidRPr="00376423">
          <w:rPr>
            <w:rFonts w:ascii="Times New Roman" w:hAnsi="Times New Roman" w:cs="Times New Roman"/>
            <w:noProof/>
            <w:webHidden/>
            <w:color w:val="4C4747"/>
            <w:sz w:val="24"/>
            <w:szCs w:val="24"/>
          </w:rPr>
          <w:fldChar w:fldCharType="end"/>
        </w:r>
      </w:hyperlink>
    </w:p>
    <w:p w14:paraId="527F127B"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49" w:history="1">
        <w:r w:rsidRPr="00376423">
          <w:rPr>
            <w:rStyle w:val="Hipervnculo"/>
            <w:rFonts w:ascii="Times New Roman" w:eastAsia="Times New Roman" w:hAnsi="Times New Roman" w:cs="Times New Roman"/>
            <w:bCs/>
            <w:noProof/>
            <w:color w:val="4C4747"/>
            <w:sz w:val="24"/>
            <w:szCs w:val="24"/>
            <w:lang w:val="es-DO" w:eastAsia="es-DO"/>
          </w:rPr>
          <w:t>4.7 Relaciones Institucionales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_Toc122425249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133</w:t>
        </w:r>
        <w:r w:rsidRPr="00376423">
          <w:rPr>
            <w:rFonts w:ascii="Times New Roman" w:hAnsi="Times New Roman" w:cs="Times New Roman"/>
            <w:noProof/>
            <w:webHidden/>
            <w:color w:val="4C4747"/>
            <w:sz w:val="24"/>
            <w:szCs w:val="24"/>
          </w:rPr>
          <w:fldChar w:fldCharType="end"/>
        </w:r>
      </w:hyperlink>
    </w:p>
    <w:p w14:paraId="6FF4D2BF"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50" w:history="1">
        <w:r w:rsidRPr="00376423">
          <w:rPr>
            <w:rStyle w:val="Hipervnculo"/>
            <w:rFonts w:ascii="Times New Roman" w:eastAsia="Times New Roman" w:hAnsi="Times New Roman" w:cs="Times New Roman"/>
            <w:bCs/>
            <w:noProof/>
            <w:color w:val="4C4747"/>
            <w:sz w:val="24"/>
            <w:szCs w:val="24"/>
            <w:lang w:val="es-DO" w:eastAsia="es-DO"/>
          </w:rPr>
          <w:t>4.8 Relaciones Internacionales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_Toc122425250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144</w:t>
        </w:r>
        <w:r w:rsidRPr="00376423">
          <w:rPr>
            <w:rFonts w:ascii="Times New Roman" w:hAnsi="Times New Roman" w:cs="Times New Roman"/>
            <w:noProof/>
            <w:webHidden/>
            <w:color w:val="4C4747"/>
            <w:sz w:val="24"/>
            <w:szCs w:val="24"/>
          </w:rPr>
          <w:fldChar w:fldCharType="end"/>
        </w:r>
      </w:hyperlink>
    </w:p>
    <w:p w14:paraId="1E45E6F8" w14:textId="77777777" w:rsidR="00376423" w:rsidRPr="00376423" w:rsidRDefault="00376423">
      <w:pPr>
        <w:pStyle w:val="TDC1"/>
        <w:tabs>
          <w:tab w:val="left" w:pos="440"/>
          <w:tab w:val="right" w:leader="dot" w:pos="9350"/>
        </w:tabs>
        <w:rPr>
          <w:rFonts w:ascii="Times New Roman" w:eastAsiaTheme="minorEastAsia" w:hAnsi="Times New Roman" w:cs="Times New Roman"/>
          <w:noProof/>
          <w:color w:val="4C4747"/>
          <w:sz w:val="24"/>
          <w:szCs w:val="24"/>
        </w:rPr>
      </w:pPr>
      <w:hyperlink w:anchor="_Toc122425251" w:history="1">
        <w:r w:rsidRPr="00376423">
          <w:rPr>
            <w:rStyle w:val="Hipervnculo"/>
            <w:rFonts w:ascii="Times New Roman" w:hAnsi="Times New Roman" w:cs="Times New Roman"/>
            <w:noProof/>
            <w:color w:val="4C4747"/>
            <w:sz w:val="24"/>
            <w:szCs w:val="24"/>
            <w:lang w:val="es-DO"/>
          </w:rPr>
          <w:t>V.</w:t>
        </w:r>
        <w:r w:rsidRPr="00376423">
          <w:rPr>
            <w:rFonts w:ascii="Times New Roman" w:eastAsiaTheme="minorEastAsia" w:hAnsi="Times New Roman" w:cs="Times New Roman"/>
            <w:noProof/>
            <w:color w:val="4C4747"/>
            <w:sz w:val="24"/>
            <w:szCs w:val="24"/>
          </w:rPr>
          <w:tab/>
        </w:r>
        <w:r w:rsidRPr="00376423">
          <w:rPr>
            <w:rStyle w:val="Hipervnculo"/>
            <w:rFonts w:ascii="Times New Roman" w:hAnsi="Times New Roman" w:cs="Times New Roman"/>
            <w:noProof/>
            <w:color w:val="4C4747"/>
            <w:sz w:val="24"/>
            <w:szCs w:val="24"/>
            <w:lang w:val="es-DO"/>
          </w:rPr>
          <w:t>SERVICIO AL CIUDADANO Y TRANSPARENCIA INSTITUCIONAL</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_Toc122425251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185</w:t>
        </w:r>
        <w:r w:rsidRPr="00376423">
          <w:rPr>
            <w:rFonts w:ascii="Times New Roman" w:hAnsi="Times New Roman" w:cs="Times New Roman"/>
            <w:noProof/>
            <w:webHidden/>
            <w:color w:val="4C4747"/>
            <w:sz w:val="24"/>
            <w:szCs w:val="24"/>
          </w:rPr>
          <w:fldChar w:fldCharType="end"/>
        </w:r>
      </w:hyperlink>
    </w:p>
    <w:p w14:paraId="7ABA7C0D"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52" w:history="1">
        <w:r w:rsidRPr="00376423">
          <w:rPr>
            <w:rStyle w:val="Hipervnculo"/>
            <w:rFonts w:ascii="Times New Roman" w:eastAsia="Calibri" w:hAnsi="Times New Roman" w:cs="Times New Roman"/>
            <w:noProof/>
            <w:color w:val="4C4747"/>
            <w:spacing w:val="20"/>
            <w:sz w:val="24"/>
            <w:szCs w:val="24"/>
            <w:lang w:val="es-DO"/>
          </w:rPr>
          <w:t xml:space="preserve">5.1 </w:t>
        </w:r>
        <w:r w:rsidRPr="00376423">
          <w:rPr>
            <w:rStyle w:val="Hipervnculo"/>
            <w:rFonts w:ascii="Times New Roman" w:eastAsia="Times New Roman" w:hAnsi="Times New Roman" w:cs="Times New Roman"/>
            <w:bCs/>
            <w:noProof/>
            <w:color w:val="4C4747"/>
            <w:sz w:val="24"/>
            <w:szCs w:val="24"/>
            <w:lang w:val="es-DO" w:eastAsia="es-DO"/>
          </w:rPr>
          <w:t>Nivel de la Satisfacción con el Servicio</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_Toc122425252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185</w:t>
        </w:r>
        <w:r w:rsidRPr="00376423">
          <w:rPr>
            <w:rFonts w:ascii="Times New Roman" w:hAnsi="Times New Roman" w:cs="Times New Roman"/>
            <w:noProof/>
            <w:webHidden/>
            <w:color w:val="4C4747"/>
            <w:sz w:val="24"/>
            <w:szCs w:val="24"/>
          </w:rPr>
          <w:fldChar w:fldCharType="end"/>
        </w:r>
      </w:hyperlink>
    </w:p>
    <w:p w14:paraId="5F35F542"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53" w:history="1">
        <w:r w:rsidRPr="00376423">
          <w:rPr>
            <w:rStyle w:val="Hipervnculo"/>
            <w:rFonts w:ascii="Times New Roman" w:eastAsia="Calibri" w:hAnsi="Times New Roman" w:cs="Times New Roman"/>
            <w:noProof/>
            <w:color w:val="4C4747"/>
            <w:spacing w:val="20"/>
            <w:sz w:val="24"/>
            <w:szCs w:val="24"/>
            <w:lang w:val="es-DO"/>
          </w:rPr>
          <w:t xml:space="preserve">5.2 </w:t>
        </w:r>
        <w:r w:rsidRPr="00376423">
          <w:rPr>
            <w:rStyle w:val="Hipervnculo"/>
            <w:rFonts w:ascii="Times New Roman" w:eastAsia="Times New Roman" w:hAnsi="Times New Roman" w:cs="Times New Roman"/>
            <w:bCs/>
            <w:noProof/>
            <w:color w:val="4C4747"/>
            <w:sz w:val="24"/>
            <w:szCs w:val="24"/>
            <w:lang w:val="es-DO" w:eastAsia="es-DO"/>
          </w:rPr>
          <w:t>Nivel de Cumplimiento Acceso a la Información</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_Toc122425253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185</w:t>
        </w:r>
        <w:r w:rsidRPr="00376423">
          <w:rPr>
            <w:rFonts w:ascii="Times New Roman" w:hAnsi="Times New Roman" w:cs="Times New Roman"/>
            <w:noProof/>
            <w:webHidden/>
            <w:color w:val="4C4747"/>
            <w:sz w:val="24"/>
            <w:szCs w:val="24"/>
          </w:rPr>
          <w:fldChar w:fldCharType="end"/>
        </w:r>
      </w:hyperlink>
    </w:p>
    <w:p w14:paraId="340ECC9A"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54" w:history="1">
        <w:r w:rsidRPr="00376423">
          <w:rPr>
            <w:rStyle w:val="Hipervnculo"/>
            <w:rFonts w:ascii="Times New Roman" w:eastAsia="Calibri" w:hAnsi="Times New Roman" w:cs="Times New Roman"/>
            <w:noProof/>
            <w:color w:val="4C4747"/>
            <w:spacing w:val="20"/>
            <w:sz w:val="24"/>
            <w:szCs w:val="24"/>
            <w:lang w:val="es-DO"/>
          </w:rPr>
          <w:t xml:space="preserve">5.3 </w:t>
        </w:r>
        <w:r w:rsidRPr="00376423">
          <w:rPr>
            <w:rStyle w:val="Hipervnculo"/>
            <w:rFonts w:ascii="Times New Roman" w:eastAsia="Times New Roman" w:hAnsi="Times New Roman" w:cs="Times New Roman"/>
            <w:bCs/>
            <w:noProof/>
            <w:color w:val="4C4747"/>
            <w:sz w:val="24"/>
            <w:szCs w:val="24"/>
            <w:lang w:val="es-DO" w:eastAsia="es-DO"/>
          </w:rPr>
          <w:t>Resultado Sistema de Quejas, Reclamos y Sugerencias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_Toc122425254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186</w:t>
        </w:r>
        <w:r w:rsidRPr="00376423">
          <w:rPr>
            <w:rFonts w:ascii="Times New Roman" w:hAnsi="Times New Roman" w:cs="Times New Roman"/>
            <w:noProof/>
            <w:webHidden/>
            <w:color w:val="4C4747"/>
            <w:sz w:val="24"/>
            <w:szCs w:val="24"/>
          </w:rPr>
          <w:fldChar w:fldCharType="end"/>
        </w:r>
      </w:hyperlink>
    </w:p>
    <w:p w14:paraId="36CC11CD" w14:textId="77777777" w:rsidR="00376423" w:rsidRPr="00376423" w:rsidRDefault="00376423">
      <w:pPr>
        <w:pStyle w:val="TDC3"/>
        <w:tabs>
          <w:tab w:val="right" w:leader="dot" w:pos="9350"/>
        </w:tabs>
        <w:rPr>
          <w:rFonts w:ascii="Times New Roman" w:eastAsiaTheme="minorEastAsia" w:hAnsi="Times New Roman" w:cs="Times New Roman"/>
          <w:noProof/>
          <w:color w:val="4C4747"/>
          <w:sz w:val="24"/>
          <w:szCs w:val="24"/>
        </w:rPr>
      </w:pPr>
      <w:hyperlink w:anchor="_Toc122425255" w:history="1">
        <w:r w:rsidRPr="00376423">
          <w:rPr>
            <w:rStyle w:val="Hipervnculo"/>
            <w:rFonts w:ascii="Times New Roman" w:eastAsia="Times New Roman" w:hAnsi="Times New Roman" w:cs="Times New Roman"/>
            <w:bCs/>
            <w:noProof/>
            <w:color w:val="4C4747"/>
            <w:sz w:val="24"/>
            <w:szCs w:val="24"/>
            <w:lang w:val="es-DO" w:eastAsia="es-DO"/>
          </w:rPr>
          <w:t>5.4 Resultado Mediciones del Portal de Transparencia</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_Toc122425255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187</w:t>
        </w:r>
        <w:r w:rsidRPr="00376423">
          <w:rPr>
            <w:rFonts w:ascii="Times New Roman" w:hAnsi="Times New Roman" w:cs="Times New Roman"/>
            <w:noProof/>
            <w:webHidden/>
            <w:color w:val="4C4747"/>
            <w:sz w:val="24"/>
            <w:szCs w:val="24"/>
          </w:rPr>
          <w:fldChar w:fldCharType="end"/>
        </w:r>
      </w:hyperlink>
    </w:p>
    <w:p w14:paraId="4DD3C7DA" w14:textId="77777777" w:rsidR="00376423" w:rsidRPr="00376423" w:rsidRDefault="00376423">
      <w:pPr>
        <w:pStyle w:val="TDC1"/>
        <w:tabs>
          <w:tab w:val="left" w:pos="660"/>
          <w:tab w:val="right" w:leader="dot" w:pos="9350"/>
        </w:tabs>
        <w:rPr>
          <w:rFonts w:ascii="Times New Roman" w:eastAsiaTheme="minorEastAsia" w:hAnsi="Times New Roman" w:cs="Times New Roman"/>
          <w:noProof/>
          <w:color w:val="4C4747"/>
          <w:sz w:val="24"/>
          <w:szCs w:val="24"/>
        </w:rPr>
      </w:pPr>
      <w:hyperlink w:anchor="_Toc122425256" w:history="1">
        <w:r w:rsidRPr="00376423">
          <w:rPr>
            <w:rStyle w:val="Hipervnculo"/>
            <w:rFonts w:ascii="Times New Roman" w:hAnsi="Times New Roman" w:cs="Times New Roman"/>
            <w:noProof/>
            <w:color w:val="4C4747"/>
            <w:sz w:val="24"/>
            <w:szCs w:val="24"/>
            <w:lang w:val="es-DO"/>
          </w:rPr>
          <w:t>VI.</w:t>
        </w:r>
        <w:r w:rsidRPr="00376423">
          <w:rPr>
            <w:rFonts w:ascii="Times New Roman" w:eastAsiaTheme="minorEastAsia" w:hAnsi="Times New Roman" w:cs="Times New Roman"/>
            <w:noProof/>
            <w:color w:val="4C4747"/>
            <w:sz w:val="24"/>
            <w:szCs w:val="24"/>
          </w:rPr>
          <w:tab/>
        </w:r>
        <w:r w:rsidRPr="00376423">
          <w:rPr>
            <w:rStyle w:val="Hipervnculo"/>
            <w:rFonts w:ascii="Times New Roman" w:hAnsi="Times New Roman" w:cs="Times New Roman"/>
            <w:noProof/>
            <w:color w:val="4C4747"/>
            <w:sz w:val="24"/>
            <w:szCs w:val="24"/>
            <w:lang w:val="es-DO"/>
          </w:rPr>
          <w:t>PROYECCIONES AL PROXIMO AÑO</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_Toc122425256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189</w:t>
        </w:r>
        <w:r w:rsidRPr="00376423">
          <w:rPr>
            <w:rFonts w:ascii="Times New Roman" w:hAnsi="Times New Roman" w:cs="Times New Roman"/>
            <w:noProof/>
            <w:webHidden/>
            <w:color w:val="4C4747"/>
            <w:sz w:val="24"/>
            <w:szCs w:val="24"/>
          </w:rPr>
          <w:fldChar w:fldCharType="end"/>
        </w:r>
      </w:hyperlink>
    </w:p>
    <w:p w14:paraId="50A6E2FE" w14:textId="77777777" w:rsidR="00376423" w:rsidRPr="00376423" w:rsidRDefault="00376423">
      <w:pPr>
        <w:pStyle w:val="TDC1"/>
        <w:tabs>
          <w:tab w:val="left" w:pos="660"/>
          <w:tab w:val="right" w:leader="dot" w:pos="9350"/>
        </w:tabs>
        <w:rPr>
          <w:rFonts w:ascii="Times New Roman" w:eastAsiaTheme="minorEastAsia" w:hAnsi="Times New Roman" w:cs="Times New Roman"/>
          <w:noProof/>
          <w:color w:val="4C4747"/>
          <w:sz w:val="24"/>
          <w:szCs w:val="24"/>
        </w:rPr>
      </w:pPr>
      <w:hyperlink w:anchor="_Toc122425257" w:history="1">
        <w:r w:rsidRPr="00376423">
          <w:rPr>
            <w:rStyle w:val="Hipervnculo"/>
            <w:rFonts w:ascii="Times New Roman" w:hAnsi="Times New Roman" w:cs="Times New Roman"/>
            <w:noProof/>
            <w:color w:val="4C4747"/>
            <w:sz w:val="24"/>
            <w:szCs w:val="24"/>
            <w:lang w:val="es-DO"/>
          </w:rPr>
          <w:t>VII.</w:t>
        </w:r>
        <w:r w:rsidRPr="00376423">
          <w:rPr>
            <w:rFonts w:ascii="Times New Roman" w:eastAsiaTheme="minorEastAsia" w:hAnsi="Times New Roman" w:cs="Times New Roman"/>
            <w:noProof/>
            <w:color w:val="4C4747"/>
            <w:sz w:val="24"/>
            <w:szCs w:val="24"/>
          </w:rPr>
          <w:tab/>
        </w:r>
        <w:r w:rsidRPr="00376423">
          <w:rPr>
            <w:rStyle w:val="Hipervnculo"/>
            <w:rFonts w:ascii="Times New Roman" w:hAnsi="Times New Roman" w:cs="Times New Roman"/>
            <w:noProof/>
            <w:color w:val="4C4747"/>
            <w:sz w:val="24"/>
            <w:szCs w:val="24"/>
            <w:lang w:val="es-DO"/>
          </w:rPr>
          <w:t>ANEXOS</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_Toc122425257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195</w:t>
        </w:r>
        <w:r w:rsidRPr="00376423">
          <w:rPr>
            <w:rFonts w:ascii="Times New Roman" w:hAnsi="Times New Roman" w:cs="Times New Roman"/>
            <w:noProof/>
            <w:webHidden/>
            <w:color w:val="4C4747"/>
            <w:sz w:val="24"/>
            <w:szCs w:val="24"/>
          </w:rPr>
          <w:fldChar w:fldCharType="end"/>
        </w:r>
      </w:hyperlink>
    </w:p>
    <w:p w14:paraId="2D5EFA39" w14:textId="77777777" w:rsidR="00376423" w:rsidRPr="00376423" w:rsidRDefault="00376423">
      <w:pPr>
        <w:pStyle w:val="TDC3"/>
        <w:tabs>
          <w:tab w:val="left" w:pos="880"/>
          <w:tab w:val="right" w:leader="dot" w:pos="9350"/>
        </w:tabs>
        <w:rPr>
          <w:rFonts w:ascii="Times New Roman" w:eastAsiaTheme="minorEastAsia" w:hAnsi="Times New Roman" w:cs="Times New Roman"/>
          <w:noProof/>
          <w:color w:val="4C4747"/>
          <w:sz w:val="24"/>
          <w:szCs w:val="24"/>
        </w:rPr>
      </w:pPr>
      <w:hyperlink w:anchor="_Toc122425258" w:history="1">
        <w:r w:rsidRPr="00376423">
          <w:rPr>
            <w:rStyle w:val="Hipervnculo"/>
            <w:rFonts w:ascii="Times New Roman" w:eastAsia="Times New Roman" w:hAnsi="Times New Roman" w:cs="Times New Roman"/>
            <w:bCs/>
            <w:noProof/>
            <w:color w:val="4C4747"/>
            <w:sz w:val="24"/>
            <w:szCs w:val="24"/>
            <w:lang w:val="es-DO" w:eastAsia="es-DO"/>
          </w:rPr>
          <w:t>a.</w:t>
        </w:r>
        <w:r w:rsidRPr="00376423">
          <w:rPr>
            <w:rFonts w:ascii="Times New Roman" w:eastAsiaTheme="minorEastAsia" w:hAnsi="Times New Roman" w:cs="Times New Roman"/>
            <w:noProof/>
            <w:color w:val="4C4747"/>
            <w:sz w:val="24"/>
            <w:szCs w:val="24"/>
          </w:rPr>
          <w:tab/>
        </w:r>
        <w:r w:rsidRPr="00376423">
          <w:rPr>
            <w:rStyle w:val="Hipervnculo"/>
            <w:rFonts w:ascii="Times New Roman" w:eastAsia="Times New Roman" w:hAnsi="Times New Roman" w:cs="Times New Roman"/>
            <w:bCs/>
            <w:noProof/>
            <w:color w:val="4C4747"/>
            <w:sz w:val="24"/>
            <w:szCs w:val="24"/>
            <w:lang w:val="es-DO" w:eastAsia="es-DO"/>
          </w:rPr>
          <w:t>Matriz de Principales Indicadores de Gestión por Proceso</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_Toc122425258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195</w:t>
        </w:r>
        <w:r w:rsidRPr="00376423">
          <w:rPr>
            <w:rFonts w:ascii="Times New Roman" w:hAnsi="Times New Roman" w:cs="Times New Roman"/>
            <w:noProof/>
            <w:webHidden/>
            <w:color w:val="4C4747"/>
            <w:sz w:val="24"/>
            <w:szCs w:val="24"/>
          </w:rPr>
          <w:fldChar w:fldCharType="end"/>
        </w:r>
      </w:hyperlink>
    </w:p>
    <w:p w14:paraId="2FB22F48" w14:textId="77777777" w:rsidR="00376423" w:rsidRPr="00376423" w:rsidRDefault="00376423">
      <w:pPr>
        <w:pStyle w:val="TDC3"/>
        <w:tabs>
          <w:tab w:val="left" w:pos="880"/>
          <w:tab w:val="right" w:leader="dot" w:pos="9350"/>
        </w:tabs>
        <w:rPr>
          <w:rFonts w:ascii="Times New Roman" w:eastAsiaTheme="minorEastAsia" w:hAnsi="Times New Roman" w:cs="Times New Roman"/>
          <w:noProof/>
          <w:color w:val="4C4747"/>
          <w:sz w:val="24"/>
          <w:szCs w:val="24"/>
        </w:rPr>
      </w:pPr>
      <w:hyperlink w:anchor="_Toc122425259" w:history="1">
        <w:r w:rsidRPr="00376423">
          <w:rPr>
            <w:rStyle w:val="Hipervnculo"/>
            <w:rFonts w:ascii="Times New Roman" w:eastAsia="Times New Roman" w:hAnsi="Times New Roman" w:cs="Times New Roman"/>
            <w:bCs/>
            <w:noProof/>
            <w:color w:val="4C4747"/>
            <w:sz w:val="24"/>
            <w:szCs w:val="24"/>
            <w:lang w:val="es-DO" w:eastAsia="es-DO"/>
          </w:rPr>
          <w:t>b.</w:t>
        </w:r>
        <w:r w:rsidRPr="00376423">
          <w:rPr>
            <w:rFonts w:ascii="Times New Roman" w:eastAsiaTheme="minorEastAsia" w:hAnsi="Times New Roman" w:cs="Times New Roman"/>
            <w:noProof/>
            <w:color w:val="4C4747"/>
            <w:sz w:val="24"/>
            <w:szCs w:val="24"/>
          </w:rPr>
          <w:tab/>
        </w:r>
        <w:r w:rsidRPr="00376423">
          <w:rPr>
            <w:rStyle w:val="Hipervnculo"/>
            <w:rFonts w:ascii="Times New Roman" w:eastAsia="Times New Roman" w:hAnsi="Times New Roman" w:cs="Times New Roman"/>
            <w:bCs/>
            <w:noProof/>
            <w:color w:val="4C4747"/>
            <w:sz w:val="24"/>
            <w:szCs w:val="24"/>
            <w:lang w:val="es-DO" w:eastAsia="es-DO"/>
          </w:rPr>
          <w:t>Matriz Índice de Gestión Presupuestaria Anual (IGP)</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_Toc122425259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203</w:t>
        </w:r>
        <w:r w:rsidRPr="00376423">
          <w:rPr>
            <w:rFonts w:ascii="Times New Roman" w:hAnsi="Times New Roman" w:cs="Times New Roman"/>
            <w:noProof/>
            <w:webHidden/>
            <w:color w:val="4C4747"/>
            <w:sz w:val="24"/>
            <w:szCs w:val="24"/>
          </w:rPr>
          <w:fldChar w:fldCharType="end"/>
        </w:r>
      </w:hyperlink>
    </w:p>
    <w:p w14:paraId="61CC9713" w14:textId="77777777" w:rsidR="00376423" w:rsidRPr="00376423" w:rsidRDefault="00376423">
      <w:pPr>
        <w:pStyle w:val="TDC3"/>
        <w:tabs>
          <w:tab w:val="left" w:pos="880"/>
          <w:tab w:val="right" w:leader="dot" w:pos="9350"/>
        </w:tabs>
        <w:rPr>
          <w:rFonts w:ascii="Times New Roman" w:eastAsiaTheme="minorEastAsia" w:hAnsi="Times New Roman" w:cs="Times New Roman"/>
          <w:noProof/>
          <w:color w:val="4C4747"/>
          <w:sz w:val="24"/>
          <w:szCs w:val="24"/>
        </w:rPr>
      </w:pPr>
      <w:hyperlink w:anchor="_Toc122425260" w:history="1">
        <w:r w:rsidRPr="00376423">
          <w:rPr>
            <w:rStyle w:val="Hipervnculo"/>
            <w:rFonts w:ascii="Times New Roman" w:eastAsia="Calibri" w:hAnsi="Times New Roman" w:cs="Times New Roman"/>
            <w:noProof/>
            <w:color w:val="4C4747"/>
            <w:spacing w:val="20"/>
            <w:sz w:val="24"/>
            <w:szCs w:val="24"/>
            <w:lang w:val="es-DO"/>
          </w:rPr>
          <w:t>c.</w:t>
        </w:r>
        <w:r w:rsidRPr="00376423">
          <w:rPr>
            <w:rFonts w:ascii="Times New Roman" w:eastAsiaTheme="minorEastAsia" w:hAnsi="Times New Roman" w:cs="Times New Roman"/>
            <w:noProof/>
            <w:color w:val="4C4747"/>
            <w:sz w:val="24"/>
            <w:szCs w:val="24"/>
          </w:rPr>
          <w:tab/>
        </w:r>
        <w:r w:rsidRPr="00376423">
          <w:rPr>
            <w:rStyle w:val="Hipervnculo"/>
            <w:rFonts w:ascii="Times New Roman" w:eastAsia="Calibri" w:hAnsi="Times New Roman" w:cs="Times New Roman"/>
            <w:noProof/>
            <w:color w:val="4C4747"/>
            <w:spacing w:val="20"/>
            <w:sz w:val="24"/>
            <w:szCs w:val="24"/>
            <w:lang w:val="es-DO"/>
          </w:rPr>
          <w:t xml:space="preserve">Plan Anual de </w:t>
        </w:r>
        <w:r w:rsidRPr="00376423">
          <w:rPr>
            <w:rStyle w:val="Hipervnculo"/>
            <w:rFonts w:ascii="Times New Roman" w:eastAsia="Calibri" w:hAnsi="Times New Roman" w:cs="Times New Roman"/>
            <w:noProof/>
            <w:color w:val="4C4747"/>
            <w:spacing w:val="20"/>
            <w:sz w:val="24"/>
            <w:szCs w:val="24"/>
            <w:lang w:val="es-DO"/>
          </w:rPr>
          <w:t>C</w:t>
        </w:r>
        <w:r w:rsidRPr="00376423">
          <w:rPr>
            <w:rStyle w:val="Hipervnculo"/>
            <w:rFonts w:ascii="Times New Roman" w:eastAsia="Calibri" w:hAnsi="Times New Roman" w:cs="Times New Roman"/>
            <w:noProof/>
            <w:color w:val="4C4747"/>
            <w:spacing w:val="20"/>
            <w:sz w:val="24"/>
            <w:szCs w:val="24"/>
            <w:lang w:val="es-DO"/>
          </w:rPr>
          <w:t>ompras y Contrataciones (PACC)</w:t>
        </w:r>
        <w:r w:rsidRPr="00376423">
          <w:rPr>
            <w:rFonts w:ascii="Times New Roman" w:hAnsi="Times New Roman" w:cs="Times New Roman"/>
            <w:noProof/>
            <w:webHidden/>
            <w:color w:val="4C4747"/>
            <w:sz w:val="24"/>
            <w:szCs w:val="24"/>
          </w:rPr>
          <w:tab/>
        </w:r>
        <w:r w:rsidRPr="00376423">
          <w:rPr>
            <w:rFonts w:ascii="Times New Roman" w:hAnsi="Times New Roman" w:cs="Times New Roman"/>
            <w:noProof/>
            <w:webHidden/>
            <w:color w:val="4C4747"/>
            <w:sz w:val="24"/>
            <w:szCs w:val="24"/>
          </w:rPr>
          <w:fldChar w:fldCharType="begin"/>
        </w:r>
        <w:r w:rsidRPr="00376423">
          <w:rPr>
            <w:rFonts w:ascii="Times New Roman" w:hAnsi="Times New Roman" w:cs="Times New Roman"/>
            <w:noProof/>
            <w:webHidden/>
            <w:color w:val="4C4747"/>
            <w:sz w:val="24"/>
            <w:szCs w:val="24"/>
          </w:rPr>
          <w:instrText xml:space="preserve"> PAGEREF _Toc122425260 \h </w:instrText>
        </w:r>
        <w:r w:rsidRPr="00376423">
          <w:rPr>
            <w:rFonts w:ascii="Times New Roman" w:hAnsi="Times New Roman" w:cs="Times New Roman"/>
            <w:noProof/>
            <w:webHidden/>
            <w:color w:val="4C4747"/>
            <w:sz w:val="24"/>
            <w:szCs w:val="24"/>
          </w:rPr>
        </w:r>
        <w:r w:rsidRPr="00376423">
          <w:rPr>
            <w:rFonts w:ascii="Times New Roman" w:hAnsi="Times New Roman" w:cs="Times New Roman"/>
            <w:noProof/>
            <w:webHidden/>
            <w:color w:val="4C4747"/>
            <w:sz w:val="24"/>
            <w:szCs w:val="24"/>
          </w:rPr>
          <w:fldChar w:fldCharType="separate"/>
        </w:r>
        <w:r w:rsidRPr="00376423">
          <w:rPr>
            <w:rFonts w:ascii="Times New Roman" w:hAnsi="Times New Roman" w:cs="Times New Roman"/>
            <w:noProof/>
            <w:webHidden/>
            <w:color w:val="4C4747"/>
            <w:sz w:val="24"/>
            <w:szCs w:val="24"/>
          </w:rPr>
          <w:t>205</w:t>
        </w:r>
        <w:r w:rsidRPr="00376423">
          <w:rPr>
            <w:rFonts w:ascii="Times New Roman" w:hAnsi="Times New Roman" w:cs="Times New Roman"/>
            <w:noProof/>
            <w:webHidden/>
            <w:color w:val="4C4747"/>
            <w:sz w:val="24"/>
            <w:szCs w:val="24"/>
          </w:rPr>
          <w:fldChar w:fldCharType="end"/>
        </w:r>
      </w:hyperlink>
    </w:p>
    <w:p w14:paraId="1D64459B" w14:textId="5323FC79" w:rsidR="00545797" w:rsidRPr="00376423" w:rsidRDefault="00545797" w:rsidP="00CE6891">
      <w:pPr>
        <w:tabs>
          <w:tab w:val="left" w:pos="1703"/>
        </w:tabs>
        <w:ind w:left="567"/>
        <w:rPr>
          <w:rFonts w:ascii="Times New Roman" w:eastAsia="Calibri" w:hAnsi="Times New Roman" w:cs="Times New Roman"/>
          <w:color w:val="4C4747"/>
          <w:spacing w:val="20"/>
          <w:sz w:val="24"/>
          <w:szCs w:val="24"/>
          <w:lang w:val="es-DO"/>
        </w:rPr>
      </w:pPr>
      <w:r w:rsidRPr="00376423">
        <w:rPr>
          <w:rFonts w:ascii="Times New Roman" w:eastAsia="Calibri" w:hAnsi="Times New Roman" w:cs="Times New Roman"/>
          <w:color w:val="4C4747"/>
          <w:spacing w:val="20"/>
          <w:sz w:val="24"/>
          <w:szCs w:val="24"/>
          <w:lang w:val="es-DO"/>
        </w:rPr>
        <w:fldChar w:fldCharType="end"/>
      </w:r>
      <w:r w:rsidR="00CE6891" w:rsidRPr="00376423">
        <w:rPr>
          <w:rFonts w:ascii="Times New Roman" w:eastAsia="Calibri" w:hAnsi="Times New Roman" w:cs="Times New Roman"/>
          <w:color w:val="4C4747"/>
          <w:spacing w:val="20"/>
          <w:sz w:val="24"/>
          <w:szCs w:val="24"/>
          <w:lang w:val="es-DO"/>
        </w:rPr>
        <w:tab/>
      </w:r>
    </w:p>
    <w:p w14:paraId="7A99AC0D" w14:textId="746A6DF3" w:rsidR="005805BA" w:rsidRPr="00D37BE8" w:rsidRDefault="005805BA" w:rsidP="00B45B38">
      <w:pPr>
        <w:ind w:left="567"/>
        <w:rPr>
          <w:rFonts w:ascii="Times New Roman" w:hAnsi="Times New Roman" w:cs="Times New Roman"/>
          <w:bCs/>
          <w:color w:val="4C4747"/>
          <w:sz w:val="24"/>
          <w:szCs w:val="24"/>
          <w:lang w:val="es-DO"/>
        </w:rPr>
      </w:pPr>
    </w:p>
    <w:p w14:paraId="3208ED9A" w14:textId="1B8FFD32" w:rsidR="005805BA" w:rsidRPr="00D37BE8" w:rsidRDefault="005805BA" w:rsidP="00B45B38">
      <w:pPr>
        <w:ind w:left="567"/>
        <w:rPr>
          <w:rFonts w:ascii="Times New Roman" w:hAnsi="Times New Roman" w:cs="Times New Roman"/>
          <w:bCs/>
          <w:color w:val="4C4747"/>
          <w:sz w:val="24"/>
          <w:szCs w:val="24"/>
          <w:lang w:val="es-DO"/>
        </w:rPr>
      </w:pPr>
    </w:p>
    <w:p w14:paraId="58F64A0F" w14:textId="77777777" w:rsidR="00B56CA4" w:rsidRPr="00D37BE8" w:rsidRDefault="00B56CA4" w:rsidP="00B45B38">
      <w:pPr>
        <w:ind w:left="567"/>
        <w:rPr>
          <w:rFonts w:ascii="Times New Roman" w:hAnsi="Times New Roman" w:cs="Times New Roman"/>
          <w:bCs/>
          <w:color w:val="4C4747"/>
          <w:sz w:val="24"/>
          <w:szCs w:val="24"/>
          <w:lang w:val="es-DO"/>
        </w:rPr>
      </w:pPr>
    </w:p>
    <w:p w14:paraId="431C0082" w14:textId="77777777" w:rsidR="001240D0" w:rsidRPr="00D37BE8" w:rsidRDefault="001240D0" w:rsidP="00B45B38">
      <w:pPr>
        <w:ind w:left="567"/>
        <w:rPr>
          <w:rFonts w:ascii="Times New Roman" w:hAnsi="Times New Roman" w:cs="Times New Roman"/>
          <w:bCs/>
          <w:color w:val="4C4747"/>
          <w:sz w:val="24"/>
          <w:szCs w:val="24"/>
          <w:lang w:val="es-DO"/>
        </w:rPr>
      </w:pPr>
    </w:p>
    <w:p w14:paraId="1D06DA44" w14:textId="77777777" w:rsidR="001240D0" w:rsidRPr="00D37BE8" w:rsidRDefault="001240D0" w:rsidP="00B45B38">
      <w:pPr>
        <w:ind w:left="567"/>
        <w:rPr>
          <w:rFonts w:ascii="Times New Roman" w:hAnsi="Times New Roman" w:cs="Times New Roman"/>
          <w:bCs/>
          <w:color w:val="4C4747"/>
          <w:sz w:val="24"/>
          <w:szCs w:val="24"/>
          <w:lang w:val="es-DO"/>
        </w:rPr>
      </w:pPr>
    </w:p>
    <w:p w14:paraId="5BF0C1F2" w14:textId="77777777" w:rsidR="001240D0" w:rsidRPr="00D37BE8" w:rsidRDefault="001240D0" w:rsidP="00B45B38">
      <w:pPr>
        <w:ind w:left="567"/>
        <w:rPr>
          <w:rFonts w:ascii="Times New Roman" w:hAnsi="Times New Roman" w:cs="Times New Roman"/>
          <w:bCs/>
          <w:color w:val="4C4747"/>
          <w:sz w:val="24"/>
          <w:szCs w:val="24"/>
          <w:lang w:val="es-DO"/>
        </w:rPr>
      </w:pPr>
    </w:p>
    <w:p w14:paraId="345DC994" w14:textId="77777777" w:rsidR="001240D0" w:rsidRPr="00D37BE8" w:rsidRDefault="001240D0" w:rsidP="00B45B38">
      <w:pPr>
        <w:ind w:left="567"/>
        <w:rPr>
          <w:rFonts w:ascii="Times New Roman" w:hAnsi="Times New Roman" w:cs="Times New Roman"/>
          <w:bCs/>
          <w:color w:val="4C4747"/>
          <w:sz w:val="24"/>
          <w:szCs w:val="24"/>
          <w:lang w:val="es-DO"/>
        </w:rPr>
      </w:pPr>
    </w:p>
    <w:p w14:paraId="7AF83319" w14:textId="77777777" w:rsidR="001240D0" w:rsidRPr="00D37BE8" w:rsidRDefault="001240D0" w:rsidP="00B45B38">
      <w:pPr>
        <w:ind w:left="567"/>
        <w:rPr>
          <w:rFonts w:ascii="Times New Roman" w:hAnsi="Times New Roman" w:cs="Times New Roman"/>
          <w:bCs/>
          <w:color w:val="4C4747"/>
          <w:sz w:val="24"/>
          <w:szCs w:val="24"/>
          <w:lang w:val="es-DO"/>
        </w:rPr>
      </w:pPr>
    </w:p>
    <w:p w14:paraId="455BA144" w14:textId="77777777" w:rsidR="001240D0" w:rsidRPr="00D37BE8" w:rsidRDefault="001240D0" w:rsidP="00B45B38">
      <w:pPr>
        <w:ind w:left="567"/>
        <w:rPr>
          <w:rFonts w:ascii="Times New Roman" w:hAnsi="Times New Roman" w:cs="Times New Roman"/>
          <w:bCs/>
          <w:color w:val="4C4747"/>
          <w:sz w:val="24"/>
          <w:szCs w:val="24"/>
          <w:lang w:val="es-DO"/>
        </w:rPr>
      </w:pPr>
    </w:p>
    <w:p w14:paraId="161E6471" w14:textId="77777777" w:rsidR="001240D0" w:rsidRPr="00D37BE8" w:rsidRDefault="001240D0" w:rsidP="00B45B38">
      <w:pPr>
        <w:ind w:left="567"/>
        <w:rPr>
          <w:rFonts w:ascii="Times New Roman" w:hAnsi="Times New Roman" w:cs="Times New Roman"/>
          <w:bCs/>
          <w:color w:val="4C4747"/>
          <w:sz w:val="24"/>
          <w:szCs w:val="24"/>
          <w:lang w:val="es-DO"/>
        </w:rPr>
      </w:pPr>
    </w:p>
    <w:p w14:paraId="4498CB1A" w14:textId="77777777" w:rsidR="001240D0" w:rsidRPr="00D37BE8" w:rsidRDefault="001240D0" w:rsidP="00B45B38">
      <w:pPr>
        <w:ind w:left="567"/>
        <w:rPr>
          <w:rFonts w:ascii="Times New Roman" w:hAnsi="Times New Roman" w:cs="Times New Roman"/>
          <w:bCs/>
          <w:color w:val="4C4747"/>
          <w:sz w:val="24"/>
          <w:szCs w:val="24"/>
          <w:lang w:val="es-DO"/>
        </w:rPr>
      </w:pPr>
    </w:p>
    <w:p w14:paraId="0D2693A2" w14:textId="77777777" w:rsidR="001240D0" w:rsidRPr="00943FA5" w:rsidRDefault="001240D0" w:rsidP="00B45B38">
      <w:pPr>
        <w:ind w:left="567"/>
        <w:rPr>
          <w:rFonts w:ascii="Times New Roman" w:hAnsi="Times New Roman"/>
          <w:b/>
          <w:bCs/>
          <w:color w:val="767171"/>
          <w:sz w:val="24"/>
          <w:szCs w:val="24"/>
          <w:lang w:val="es-DO"/>
        </w:rPr>
      </w:pPr>
    </w:p>
    <w:p w14:paraId="6EED8B43" w14:textId="77777777" w:rsidR="001240D0" w:rsidRPr="00943FA5" w:rsidRDefault="001240D0" w:rsidP="00B45B38">
      <w:pPr>
        <w:ind w:left="567"/>
        <w:rPr>
          <w:rFonts w:ascii="Times New Roman" w:hAnsi="Times New Roman"/>
          <w:b/>
          <w:bCs/>
          <w:color w:val="767171"/>
          <w:sz w:val="24"/>
          <w:szCs w:val="24"/>
          <w:lang w:val="es-DO"/>
        </w:rPr>
      </w:pPr>
    </w:p>
    <w:p w14:paraId="0B5408DD" w14:textId="77777777" w:rsidR="001240D0" w:rsidRPr="00943FA5" w:rsidRDefault="001240D0" w:rsidP="00B45B38">
      <w:pPr>
        <w:ind w:left="567"/>
        <w:rPr>
          <w:rFonts w:ascii="Times New Roman" w:hAnsi="Times New Roman"/>
          <w:b/>
          <w:bCs/>
          <w:color w:val="767171"/>
          <w:sz w:val="24"/>
          <w:szCs w:val="24"/>
          <w:lang w:val="es-DO"/>
        </w:rPr>
      </w:pPr>
    </w:p>
    <w:p w14:paraId="30804AF3" w14:textId="77777777" w:rsidR="001240D0" w:rsidRPr="00943FA5" w:rsidRDefault="001240D0" w:rsidP="00B45B38">
      <w:pPr>
        <w:ind w:left="567"/>
        <w:rPr>
          <w:rFonts w:ascii="Times New Roman" w:hAnsi="Times New Roman"/>
          <w:b/>
          <w:bCs/>
          <w:color w:val="767171"/>
          <w:sz w:val="24"/>
          <w:szCs w:val="24"/>
          <w:lang w:val="es-DO"/>
        </w:rPr>
      </w:pPr>
    </w:p>
    <w:p w14:paraId="1DBDA006" w14:textId="4D806799" w:rsidR="001240D0" w:rsidRPr="008E6046" w:rsidRDefault="001240D0">
      <w:pPr>
        <w:rPr>
          <w:lang w:val="es-DO"/>
        </w:rPr>
        <w:sectPr w:rsidR="001240D0" w:rsidRPr="008E6046" w:rsidSect="009904DB">
          <w:footerReference w:type="first" r:id="rId12"/>
          <w:pgSz w:w="12240" w:h="15840"/>
          <w:pgMar w:top="1440" w:right="1440" w:bottom="1440" w:left="1440" w:header="720" w:footer="720" w:gutter="0"/>
          <w:cols w:space="720"/>
          <w:docGrid w:linePitch="360"/>
        </w:sectPr>
      </w:pPr>
    </w:p>
    <w:p w14:paraId="649D29AD" w14:textId="4031535B" w:rsidR="001240D0" w:rsidRPr="00B17F70" w:rsidRDefault="001240D0" w:rsidP="00A02BDE">
      <w:pPr>
        <w:pStyle w:val="Ttulo1"/>
        <w:numPr>
          <w:ilvl w:val="0"/>
          <w:numId w:val="27"/>
        </w:numPr>
        <w:ind w:left="270"/>
        <w:jc w:val="center"/>
        <w:rPr>
          <w:b/>
          <w:color w:val="4C4747"/>
          <w:lang w:val="es-DO"/>
        </w:rPr>
      </w:pPr>
      <w:bookmarkStart w:id="1" w:name="_Hlk86403204"/>
      <w:bookmarkStart w:id="2" w:name="_Toc122425225"/>
      <w:r w:rsidRPr="00B17F70">
        <w:rPr>
          <w:b/>
          <w:color w:val="4C4747"/>
          <w:lang w:val="es-DO"/>
        </w:rPr>
        <w:lastRenderedPageBreak/>
        <w:t>RESUMEN EJECUTIVO</w:t>
      </w:r>
      <w:bookmarkEnd w:id="2"/>
    </w:p>
    <w:p w14:paraId="7C54AF21" w14:textId="26B7214D" w:rsidR="001240D0" w:rsidRPr="00B17F70" w:rsidRDefault="00125D46" w:rsidP="001240D0">
      <w:pPr>
        <w:jc w:val="both"/>
        <w:rPr>
          <w:rFonts w:ascii="Times New Roman" w:eastAsia="Calibri" w:hAnsi="Times New Roman" w:cs="Times New Roman"/>
          <w:color w:val="4C4747"/>
          <w:sz w:val="18"/>
          <w:lang w:val="es-DO"/>
        </w:rPr>
      </w:pPr>
      <w:r w:rsidRPr="00B17F70">
        <w:rPr>
          <w:rFonts w:ascii="Times New Roman" w:eastAsia="Calibri" w:hAnsi="Times New Roman" w:cs="Times New Roman"/>
          <w:noProof/>
          <w:color w:val="4C4747"/>
          <w:sz w:val="18"/>
        </w:rPr>
        <mc:AlternateContent>
          <mc:Choice Requires="wps">
            <w:drawing>
              <wp:anchor distT="0" distB="0" distL="114300" distR="114300" simplePos="0" relativeHeight="251677696" behindDoc="0" locked="0" layoutInCell="1" allowOverlap="1" wp14:anchorId="5383067F" wp14:editId="701F7652">
                <wp:simplePos x="0" y="0"/>
                <wp:positionH relativeFrom="margin">
                  <wp:posOffset>2254250</wp:posOffset>
                </wp:positionH>
                <wp:positionV relativeFrom="paragraph">
                  <wp:posOffset>36830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CCF91"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" strokecolor="#ee2a24" strokeweight="2.25pt">
                <v:stroke joinstyle="miter"/>
                <w10:wrap anchorx="margin"/>
              </v:line>
            </w:pict>
          </mc:Fallback>
        </mc:AlternateContent>
      </w:r>
    </w:p>
    <w:p w14:paraId="57CF8AA9" w14:textId="051F26DE" w:rsidR="001240D0" w:rsidRPr="00B17F70" w:rsidRDefault="0053121F" w:rsidP="001240D0">
      <w:pPr>
        <w:jc w:val="center"/>
        <w:rPr>
          <w:rFonts w:ascii="Times New Roman" w:eastAsia="Calibri" w:hAnsi="Times New Roman" w:cs="Times New Roman"/>
          <w:color w:val="4C4747"/>
          <w:spacing w:val="20"/>
          <w:sz w:val="24"/>
          <w:szCs w:val="36"/>
          <w:lang w:val="es-DO"/>
        </w:rPr>
      </w:pPr>
      <w:r w:rsidRPr="00B17F70">
        <w:rPr>
          <w:rFonts w:ascii="Times New Roman" w:eastAsia="Calibri" w:hAnsi="Times New Roman" w:cs="Times New Roman"/>
          <w:color w:val="4C4747"/>
          <w:spacing w:val="20"/>
          <w:sz w:val="24"/>
          <w:szCs w:val="36"/>
          <w:lang w:val="es-DO"/>
        </w:rPr>
        <w:t>Memoria institucional</w:t>
      </w:r>
      <w:r w:rsidR="001240D0" w:rsidRPr="00B17F70">
        <w:rPr>
          <w:rFonts w:ascii="Times New Roman" w:eastAsia="Calibri" w:hAnsi="Times New Roman" w:cs="Times New Roman"/>
          <w:color w:val="4C4747"/>
          <w:spacing w:val="20"/>
          <w:sz w:val="24"/>
          <w:szCs w:val="36"/>
          <w:lang w:val="es-DO"/>
        </w:rPr>
        <w:t xml:space="preserve"> 202</w:t>
      </w:r>
      <w:r w:rsidR="00C64CEF" w:rsidRPr="00B17F70">
        <w:rPr>
          <w:rFonts w:ascii="Times New Roman" w:eastAsia="Calibri" w:hAnsi="Times New Roman" w:cs="Times New Roman"/>
          <w:color w:val="4C4747"/>
          <w:spacing w:val="20"/>
          <w:sz w:val="24"/>
          <w:szCs w:val="36"/>
          <w:lang w:val="es-DO"/>
        </w:rPr>
        <w:t>2</w:t>
      </w:r>
    </w:p>
    <w:p w14:paraId="50075108" w14:textId="77777777" w:rsidR="001240D0" w:rsidRPr="008E6046" w:rsidRDefault="001240D0" w:rsidP="001240D0">
      <w:pPr>
        <w:spacing w:line="360" w:lineRule="auto"/>
        <w:jc w:val="both"/>
        <w:rPr>
          <w:rFonts w:ascii="Times New Roman" w:eastAsia="Calibri" w:hAnsi="Times New Roman" w:cs="Times New Roman"/>
          <w:color w:val="767171"/>
          <w:spacing w:val="20"/>
          <w:sz w:val="24"/>
          <w:szCs w:val="24"/>
          <w:lang w:val="es-DO"/>
        </w:rPr>
      </w:pPr>
    </w:p>
    <w:p w14:paraId="5F05B765" w14:textId="37C9CFFC"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A374FD">
        <w:rPr>
          <w:rFonts w:ascii="Times New Roman" w:eastAsia="Calibri" w:hAnsi="Times New Roman" w:cs="Times New Roman"/>
          <w:color w:val="4C4747"/>
          <w:spacing w:val="20"/>
          <w:sz w:val="24"/>
          <w:szCs w:val="24"/>
          <w:lang w:val="es-DO"/>
        </w:rPr>
        <w:t>El Instituto Dominicano de las Telecomunicaciones (INDOTEL), órgano regulador de las telecomunicac</w:t>
      </w:r>
      <w:r w:rsidR="00740594" w:rsidRPr="00A374FD">
        <w:rPr>
          <w:rFonts w:ascii="Times New Roman" w:eastAsia="Calibri" w:hAnsi="Times New Roman" w:cs="Times New Roman"/>
          <w:color w:val="4C4747"/>
          <w:spacing w:val="20"/>
          <w:sz w:val="24"/>
          <w:szCs w:val="24"/>
          <w:lang w:val="es-DO"/>
        </w:rPr>
        <w:t>iones</w:t>
      </w:r>
      <w:r w:rsidRPr="00A374FD">
        <w:rPr>
          <w:rFonts w:ascii="Times New Roman" w:eastAsia="Calibri" w:hAnsi="Times New Roman" w:cs="Times New Roman"/>
          <w:color w:val="4C4747"/>
          <w:spacing w:val="20"/>
          <w:sz w:val="24"/>
          <w:szCs w:val="24"/>
          <w:lang w:val="es-DO"/>
        </w:rPr>
        <w:t xml:space="preserve"> en el ejercicio de las facultades que le confiere la Ley General de Telecomunicaciones, número 153-98, presenta un resumen ejecutivo de su </w:t>
      </w:r>
      <w:r w:rsidRPr="00855BE2">
        <w:rPr>
          <w:rFonts w:ascii="Times New Roman" w:eastAsia="Calibri" w:hAnsi="Times New Roman" w:cs="Times New Roman"/>
          <w:color w:val="4C4747"/>
          <w:spacing w:val="20"/>
          <w:sz w:val="24"/>
          <w:szCs w:val="24"/>
          <w:lang w:val="es-DO"/>
        </w:rPr>
        <w:t>accionar durante el año 2022, en el cual se plasman las principales actividades que se desarrollaron para el cumplimiento de los compromisos asumidos en los instrumentos de planificación y presupuesto, alineados a la Estrategia Nacional de Desarrollo (END) 2030, el Plan Nacional Plurianual del Sector Público (PNPSP), los Objetivos de Desarrollo Sostenible (ODS), el Plan Estratégico Institucional (PEI), el Plan Operativo Anual (POA) y co</w:t>
      </w:r>
      <w:r w:rsidR="00A27BA0" w:rsidRPr="00855BE2">
        <w:rPr>
          <w:rFonts w:ascii="Times New Roman" w:eastAsia="Calibri" w:hAnsi="Times New Roman" w:cs="Times New Roman"/>
          <w:color w:val="4C4747"/>
          <w:spacing w:val="20"/>
          <w:sz w:val="24"/>
          <w:szCs w:val="24"/>
          <w:lang w:val="es-DO"/>
        </w:rPr>
        <w:t xml:space="preserve">nforme a su misión. </w:t>
      </w:r>
    </w:p>
    <w:p w14:paraId="7D61937D" w14:textId="130A3E16" w:rsidR="0005304D" w:rsidRPr="00855BE2" w:rsidRDefault="007509F5"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 xml:space="preserve">A fin de </w:t>
      </w:r>
      <w:r w:rsidR="0005304D" w:rsidRPr="00855BE2">
        <w:rPr>
          <w:rFonts w:ascii="Times New Roman" w:eastAsia="Calibri" w:hAnsi="Times New Roman" w:cs="Times New Roman"/>
          <w:color w:val="4C4747"/>
          <w:spacing w:val="20"/>
          <w:sz w:val="24"/>
          <w:szCs w:val="24"/>
          <w:lang w:val="es-DO"/>
        </w:rPr>
        <w:t>promover las condiciones de prestación de los servicios en té</w:t>
      </w:r>
      <w:r w:rsidR="00F65C89">
        <w:rPr>
          <w:rFonts w:ascii="Times New Roman" w:eastAsia="Calibri" w:hAnsi="Times New Roman" w:cs="Times New Roman"/>
          <w:color w:val="4C4747"/>
          <w:spacing w:val="20"/>
          <w:sz w:val="24"/>
          <w:szCs w:val="24"/>
          <w:lang w:val="es-DO"/>
        </w:rPr>
        <w:t>rminos de calidad y precio y puedan contribuir</w:t>
      </w:r>
      <w:r w:rsidR="0005304D" w:rsidRPr="00855BE2">
        <w:rPr>
          <w:rFonts w:ascii="Times New Roman" w:eastAsia="Calibri" w:hAnsi="Times New Roman" w:cs="Times New Roman"/>
          <w:color w:val="4C4747"/>
          <w:spacing w:val="20"/>
          <w:sz w:val="24"/>
          <w:szCs w:val="24"/>
          <w:lang w:val="es-DO"/>
        </w:rPr>
        <w:t xml:space="preserve"> con el desarrollo productivo del país, el Consejo </w:t>
      </w:r>
      <w:r w:rsidR="009124FD" w:rsidRPr="00855BE2">
        <w:rPr>
          <w:rFonts w:ascii="Times New Roman" w:eastAsia="Calibri" w:hAnsi="Times New Roman" w:cs="Times New Roman"/>
          <w:color w:val="4C4747"/>
          <w:spacing w:val="20"/>
          <w:sz w:val="24"/>
          <w:szCs w:val="24"/>
          <w:lang w:val="es-DO"/>
        </w:rPr>
        <w:t>Directivo del INDOTEL emitió la Resolución</w:t>
      </w:r>
      <w:r w:rsidR="00F557D6">
        <w:rPr>
          <w:rFonts w:ascii="Times New Roman" w:eastAsia="Calibri" w:hAnsi="Times New Roman" w:cs="Times New Roman"/>
          <w:color w:val="4C4747"/>
          <w:spacing w:val="20"/>
          <w:sz w:val="24"/>
          <w:szCs w:val="24"/>
          <w:lang w:val="es-DO"/>
        </w:rPr>
        <w:t xml:space="preserve"> Núm.</w:t>
      </w:r>
      <w:r w:rsidR="009124FD" w:rsidRPr="00855BE2">
        <w:rPr>
          <w:rFonts w:ascii="Times New Roman" w:eastAsia="Calibri" w:hAnsi="Times New Roman" w:cs="Times New Roman"/>
          <w:color w:val="4C4747"/>
          <w:spacing w:val="20"/>
          <w:sz w:val="24"/>
          <w:szCs w:val="24"/>
          <w:lang w:val="es-DO"/>
        </w:rPr>
        <w:t xml:space="preserve"> </w:t>
      </w:r>
      <w:r w:rsidR="00F557D6">
        <w:rPr>
          <w:rFonts w:ascii="Times New Roman" w:eastAsia="Calibri" w:hAnsi="Times New Roman" w:cs="Times New Roman"/>
          <w:color w:val="4C4747"/>
          <w:spacing w:val="20"/>
          <w:sz w:val="24"/>
          <w:szCs w:val="24"/>
          <w:lang w:val="es-DO"/>
        </w:rPr>
        <w:t xml:space="preserve">022-2022 </w:t>
      </w:r>
      <w:r w:rsidR="009124FD" w:rsidRPr="00855BE2">
        <w:rPr>
          <w:rFonts w:ascii="Times New Roman" w:eastAsia="Calibri" w:hAnsi="Times New Roman" w:cs="Times New Roman"/>
          <w:color w:val="4C4747"/>
          <w:spacing w:val="20"/>
          <w:sz w:val="24"/>
          <w:szCs w:val="24"/>
          <w:lang w:val="es-DO"/>
        </w:rPr>
        <w:t>mediante la cual</w:t>
      </w:r>
      <w:r w:rsidR="0005304D" w:rsidRPr="00855BE2">
        <w:rPr>
          <w:rFonts w:ascii="Times New Roman" w:eastAsia="Calibri" w:hAnsi="Times New Roman" w:cs="Times New Roman"/>
          <w:color w:val="4C4747"/>
          <w:spacing w:val="20"/>
          <w:sz w:val="24"/>
          <w:szCs w:val="24"/>
          <w:lang w:val="es-DO"/>
        </w:rPr>
        <w:t xml:space="preserve"> </w:t>
      </w:r>
      <w:r w:rsidR="009124FD" w:rsidRPr="00855BE2">
        <w:rPr>
          <w:rFonts w:ascii="Times New Roman" w:eastAsia="Calibri" w:hAnsi="Times New Roman" w:cs="Times New Roman"/>
          <w:color w:val="4C4747"/>
          <w:spacing w:val="20"/>
          <w:sz w:val="24"/>
          <w:szCs w:val="24"/>
          <w:lang w:val="es-DO"/>
        </w:rPr>
        <w:t>aprobó</w:t>
      </w:r>
      <w:r w:rsidR="0005304D" w:rsidRPr="00855BE2">
        <w:rPr>
          <w:rFonts w:ascii="Times New Roman" w:eastAsia="Calibri" w:hAnsi="Times New Roman" w:cs="Times New Roman"/>
          <w:color w:val="4C4747"/>
          <w:spacing w:val="20"/>
          <w:sz w:val="24"/>
          <w:szCs w:val="24"/>
          <w:lang w:val="es-DO"/>
        </w:rPr>
        <w:t xml:space="preserve"> el nuevo Reglamento para la Celebración de Consultas y Audiencias Públicas para la Elaboración de Normas y Reglamentos del INDOTEL y </w:t>
      </w:r>
      <w:r w:rsidR="00BA3EE9">
        <w:rPr>
          <w:rFonts w:ascii="Times New Roman" w:eastAsia="Calibri" w:hAnsi="Times New Roman" w:cs="Times New Roman"/>
          <w:color w:val="4C4747"/>
          <w:spacing w:val="20"/>
          <w:sz w:val="24"/>
          <w:szCs w:val="24"/>
          <w:lang w:val="es-DO"/>
        </w:rPr>
        <w:t>la R</w:t>
      </w:r>
      <w:r w:rsidR="009124FD" w:rsidRPr="00855BE2">
        <w:rPr>
          <w:rFonts w:ascii="Times New Roman" w:eastAsia="Calibri" w:hAnsi="Times New Roman" w:cs="Times New Roman"/>
          <w:color w:val="4C4747"/>
          <w:spacing w:val="20"/>
          <w:sz w:val="24"/>
          <w:szCs w:val="24"/>
          <w:lang w:val="es-DO"/>
        </w:rPr>
        <w:t xml:space="preserve">esolución </w:t>
      </w:r>
      <w:r w:rsidR="00F557D6">
        <w:rPr>
          <w:rFonts w:ascii="Times New Roman" w:eastAsia="Calibri" w:hAnsi="Times New Roman" w:cs="Times New Roman"/>
          <w:color w:val="4C4747"/>
          <w:spacing w:val="20"/>
          <w:sz w:val="24"/>
          <w:szCs w:val="24"/>
          <w:lang w:val="es-DO"/>
        </w:rPr>
        <w:t>N</w:t>
      </w:r>
      <w:r w:rsidR="009124FD" w:rsidRPr="00855BE2">
        <w:rPr>
          <w:rFonts w:ascii="Times New Roman" w:eastAsia="Calibri" w:hAnsi="Times New Roman" w:cs="Times New Roman"/>
          <w:color w:val="4C4747"/>
          <w:spacing w:val="20"/>
          <w:sz w:val="24"/>
          <w:szCs w:val="24"/>
          <w:lang w:val="es-DO"/>
        </w:rPr>
        <w:t xml:space="preserve">úm. </w:t>
      </w:r>
      <w:r w:rsidR="00BA3EE9">
        <w:rPr>
          <w:rFonts w:ascii="Times New Roman" w:eastAsia="Calibri" w:hAnsi="Times New Roman" w:cs="Times New Roman"/>
          <w:color w:val="4C4747"/>
          <w:spacing w:val="20"/>
          <w:sz w:val="24"/>
          <w:szCs w:val="24"/>
          <w:lang w:val="es-DO"/>
        </w:rPr>
        <w:t>101-2022 mediante la cual aprobó</w:t>
      </w:r>
      <w:r w:rsidR="00855BE2">
        <w:rPr>
          <w:rFonts w:ascii="Times New Roman" w:eastAsia="Calibri" w:hAnsi="Times New Roman" w:cs="Times New Roman"/>
          <w:color w:val="4C4747"/>
          <w:spacing w:val="20"/>
          <w:sz w:val="24"/>
          <w:szCs w:val="24"/>
          <w:lang w:val="es-DO"/>
        </w:rPr>
        <w:t xml:space="preserve"> </w:t>
      </w:r>
      <w:r w:rsidR="0005304D" w:rsidRPr="00855BE2">
        <w:rPr>
          <w:rFonts w:ascii="Times New Roman" w:eastAsia="Calibri" w:hAnsi="Times New Roman" w:cs="Times New Roman"/>
          <w:color w:val="4C4747"/>
          <w:spacing w:val="20"/>
          <w:sz w:val="24"/>
          <w:szCs w:val="24"/>
          <w:lang w:val="es-DO"/>
        </w:rPr>
        <w:t>el Reglamento para la Prestación del Servicio de Difusión Televisiva por Suscripción</w:t>
      </w:r>
      <w:r w:rsidR="002F2429" w:rsidRPr="00855BE2">
        <w:rPr>
          <w:rFonts w:ascii="Times New Roman" w:eastAsia="Calibri" w:hAnsi="Times New Roman" w:cs="Times New Roman"/>
          <w:color w:val="4C4747"/>
          <w:spacing w:val="20"/>
          <w:sz w:val="24"/>
          <w:szCs w:val="24"/>
          <w:lang w:val="es-DO"/>
        </w:rPr>
        <w:t>.</w:t>
      </w:r>
      <w:r w:rsidR="0005304D" w:rsidRPr="00855BE2">
        <w:rPr>
          <w:rFonts w:ascii="Times New Roman" w:eastAsia="Calibri" w:hAnsi="Times New Roman" w:cs="Times New Roman"/>
          <w:color w:val="4C4747"/>
          <w:spacing w:val="20"/>
          <w:sz w:val="24"/>
          <w:szCs w:val="24"/>
          <w:lang w:val="es-DO"/>
        </w:rPr>
        <w:t xml:space="preserve"> </w:t>
      </w:r>
    </w:p>
    <w:p w14:paraId="555B4511" w14:textId="30B96F9F" w:rsidR="002A40D6" w:rsidRDefault="00BA3EE9" w:rsidP="0005304D">
      <w:pPr>
        <w:spacing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t>En adición e</w:t>
      </w:r>
      <w:r w:rsidR="0005304D" w:rsidRPr="00855BE2">
        <w:rPr>
          <w:rFonts w:ascii="Times New Roman" w:eastAsia="Calibri" w:hAnsi="Times New Roman" w:cs="Times New Roman"/>
          <w:color w:val="4C4747"/>
          <w:spacing w:val="20"/>
          <w:sz w:val="24"/>
          <w:szCs w:val="24"/>
          <w:lang w:val="es-DO"/>
        </w:rPr>
        <w:t>l Consejo Directivo de</w:t>
      </w:r>
      <w:r w:rsidR="00F557D6">
        <w:rPr>
          <w:rFonts w:ascii="Times New Roman" w:eastAsia="Calibri" w:hAnsi="Times New Roman" w:cs="Times New Roman"/>
          <w:color w:val="4C4747"/>
          <w:spacing w:val="20"/>
          <w:sz w:val="24"/>
          <w:szCs w:val="24"/>
          <w:lang w:val="es-DO"/>
        </w:rPr>
        <w:t>l INDOTEL emitió su Resolución Núm.</w:t>
      </w:r>
      <w:r w:rsidR="0005304D" w:rsidRPr="00855BE2">
        <w:rPr>
          <w:rFonts w:ascii="Times New Roman" w:eastAsia="Calibri" w:hAnsi="Times New Roman" w:cs="Times New Roman"/>
          <w:color w:val="4C4747"/>
          <w:spacing w:val="20"/>
          <w:sz w:val="24"/>
          <w:szCs w:val="24"/>
          <w:lang w:val="es-DO"/>
        </w:rPr>
        <w:t xml:space="preserve"> 097-2022 que aprobó el proyecto de modificación del Plan Nacional de Atribución d</w:t>
      </w:r>
      <w:r w:rsidR="009124FD" w:rsidRPr="00855BE2">
        <w:rPr>
          <w:rFonts w:ascii="Times New Roman" w:eastAsia="Calibri" w:hAnsi="Times New Roman" w:cs="Times New Roman"/>
          <w:color w:val="4C4747"/>
          <w:spacing w:val="20"/>
          <w:sz w:val="24"/>
          <w:szCs w:val="24"/>
          <w:lang w:val="es-DO"/>
        </w:rPr>
        <w:t xml:space="preserve">e Frecuencias (PNAF) </w:t>
      </w:r>
      <w:r w:rsidR="007509F5" w:rsidRPr="00855BE2">
        <w:rPr>
          <w:rFonts w:ascii="Times New Roman" w:eastAsia="Calibri" w:hAnsi="Times New Roman" w:cs="Times New Roman"/>
          <w:color w:val="4C4747"/>
          <w:spacing w:val="20"/>
          <w:sz w:val="24"/>
          <w:szCs w:val="24"/>
          <w:lang w:val="es-DO"/>
        </w:rPr>
        <w:t xml:space="preserve">que es un instrumento regulador, cuya finalidad es optimizar y racionalizar el uso del espectro radioeléctrico, para satisfacer oportuna y adecuadamente las </w:t>
      </w:r>
    </w:p>
    <w:p w14:paraId="23642F34" w14:textId="0AFC82ED" w:rsidR="0005304D" w:rsidRPr="00855BE2" w:rsidRDefault="007509F5"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lastRenderedPageBreak/>
        <w:t>necesidades de frecuencias que requieren los diferentes s</w:t>
      </w:r>
      <w:r w:rsidR="00BA3EE9">
        <w:rPr>
          <w:rFonts w:ascii="Times New Roman" w:eastAsia="Calibri" w:hAnsi="Times New Roman" w:cs="Times New Roman"/>
          <w:color w:val="4C4747"/>
          <w:spacing w:val="20"/>
          <w:sz w:val="24"/>
          <w:szCs w:val="24"/>
          <w:lang w:val="es-DO"/>
        </w:rPr>
        <w:t>ervicios de radiocomunicaciones</w:t>
      </w:r>
      <w:r w:rsidR="00F65C89">
        <w:rPr>
          <w:rFonts w:ascii="Times New Roman" w:eastAsia="Calibri" w:hAnsi="Times New Roman" w:cs="Times New Roman"/>
          <w:color w:val="4C4747"/>
          <w:spacing w:val="20"/>
          <w:sz w:val="24"/>
          <w:szCs w:val="24"/>
          <w:lang w:val="es-DO"/>
        </w:rPr>
        <w:t>,</w:t>
      </w:r>
      <w:r w:rsidRPr="00855BE2">
        <w:rPr>
          <w:rFonts w:ascii="Times New Roman" w:eastAsia="Calibri" w:hAnsi="Times New Roman" w:cs="Times New Roman"/>
          <w:color w:val="4C4747"/>
          <w:spacing w:val="20"/>
          <w:sz w:val="24"/>
          <w:szCs w:val="24"/>
          <w:lang w:val="es-DO"/>
        </w:rPr>
        <w:t xml:space="preserve"> </w:t>
      </w:r>
      <w:r w:rsidR="00BA3EE9">
        <w:rPr>
          <w:rFonts w:ascii="Times New Roman" w:eastAsia="Calibri" w:hAnsi="Times New Roman" w:cs="Times New Roman"/>
          <w:color w:val="4C4747"/>
          <w:spacing w:val="20"/>
          <w:sz w:val="24"/>
          <w:szCs w:val="24"/>
          <w:lang w:val="es-DO"/>
        </w:rPr>
        <w:t>m</w:t>
      </w:r>
      <w:r w:rsidR="002A40D6" w:rsidRPr="00855BE2">
        <w:rPr>
          <w:rFonts w:ascii="Times New Roman" w:eastAsia="Calibri" w:hAnsi="Times New Roman" w:cs="Times New Roman"/>
          <w:color w:val="4C4747"/>
          <w:spacing w:val="20"/>
          <w:sz w:val="24"/>
          <w:szCs w:val="24"/>
          <w:lang w:val="es-DO"/>
        </w:rPr>
        <w:t>ediante</w:t>
      </w:r>
      <w:r w:rsidR="009124FD" w:rsidRPr="00855BE2">
        <w:rPr>
          <w:rFonts w:ascii="Times New Roman" w:eastAsia="Calibri" w:hAnsi="Times New Roman" w:cs="Times New Roman"/>
          <w:color w:val="4C4747"/>
          <w:spacing w:val="20"/>
          <w:sz w:val="24"/>
          <w:szCs w:val="24"/>
          <w:lang w:val="es-DO"/>
        </w:rPr>
        <w:t xml:space="preserve"> la cual se identificaron</w:t>
      </w:r>
      <w:r w:rsidR="0005304D" w:rsidRPr="00855BE2">
        <w:rPr>
          <w:rFonts w:ascii="Times New Roman" w:eastAsia="Calibri" w:hAnsi="Times New Roman" w:cs="Times New Roman"/>
          <w:color w:val="4C4747"/>
          <w:spacing w:val="20"/>
          <w:sz w:val="24"/>
          <w:szCs w:val="24"/>
          <w:lang w:val="es-DO"/>
        </w:rPr>
        <w:t xml:space="preserve"> nuevas bandas de frecuencias para las telecomunicaciones móvile</w:t>
      </w:r>
      <w:r w:rsidR="00A27BA0" w:rsidRPr="00855BE2">
        <w:rPr>
          <w:rFonts w:ascii="Times New Roman" w:eastAsia="Calibri" w:hAnsi="Times New Roman" w:cs="Times New Roman"/>
          <w:color w:val="4C4747"/>
          <w:spacing w:val="20"/>
          <w:sz w:val="24"/>
          <w:szCs w:val="24"/>
          <w:lang w:val="es-DO"/>
        </w:rPr>
        <w:t>s internacionales (IMT)</w:t>
      </w:r>
      <w:r w:rsidR="009124FD" w:rsidRPr="00855BE2">
        <w:rPr>
          <w:rFonts w:ascii="Times New Roman" w:eastAsia="Calibri" w:hAnsi="Times New Roman" w:cs="Times New Roman"/>
          <w:color w:val="4C4747"/>
          <w:spacing w:val="20"/>
          <w:sz w:val="24"/>
          <w:szCs w:val="24"/>
          <w:lang w:val="es-DO"/>
        </w:rPr>
        <w:t xml:space="preserve"> que</w:t>
      </w:r>
      <w:r w:rsidR="0005304D" w:rsidRPr="00855BE2">
        <w:rPr>
          <w:rFonts w:ascii="Times New Roman" w:eastAsia="Calibri" w:hAnsi="Times New Roman" w:cs="Times New Roman"/>
          <w:color w:val="4C4747"/>
          <w:spacing w:val="20"/>
          <w:sz w:val="24"/>
          <w:szCs w:val="24"/>
          <w:lang w:val="es-DO"/>
        </w:rPr>
        <w:t xml:space="preserve"> servirán de base para el desarrollo de los servicios de 5G y la eventual llegada de servicios 6G. </w:t>
      </w:r>
    </w:p>
    <w:p w14:paraId="55739D0E" w14:textId="498722AC"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El INDOTEL se encuentr</w:t>
      </w:r>
      <w:r w:rsidR="00A27BA0" w:rsidRPr="00855BE2">
        <w:rPr>
          <w:rFonts w:ascii="Times New Roman" w:eastAsia="Calibri" w:hAnsi="Times New Roman" w:cs="Times New Roman"/>
          <w:color w:val="4C4747"/>
          <w:spacing w:val="20"/>
          <w:sz w:val="24"/>
          <w:szCs w:val="24"/>
          <w:lang w:val="es-DO"/>
        </w:rPr>
        <w:t xml:space="preserve">a ejecutando el proyecto para la </w:t>
      </w:r>
      <w:r w:rsidRPr="00855BE2">
        <w:rPr>
          <w:rFonts w:ascii="Times New Roman" w:eastAsia="Calibri" w:hAnsi="Times New Roman" w:cs="Times New Roman"/>
          <w:color w:val="4C4747"/>
          <w:spacing w:val="20"/>
          <w:sz w:val="24"/>
          <w:szCs w:val="24"/>
          <w:lang w:val="es-DO"/>
        </w:rPr>
        <w:t xml:space="preserve"> implementación de la Televisión Digital Terrestre (TDT), para lo cual el Consejo Directivo mediante la Resolución número 083-2022 dictó la actualización del Plan de Transición a la Televisión Terrestre Digital y las resoluciones de asignación de frecuencia de</w:t>
      </w:r>
      <w:r w:rsidR="009124FD" w:rsidRPr="00855BE2">
        <w:rPr>
          <w:rFonts w:ascii="Times New Roman" w:eastAsia="Calibri" w:hAnsi="Times New Roman" w:cs="Times New Roman"/>
          <w:color w:val="4C4747"/>
          <w:spacing w:val="20"/>
          <w:sz w:val="24"/>
          <w:szCs w:val="24"/>
          <w:lang w:val="es-DO"/>
        </w:rPr>
        <w:t>finitiva que se derivan de este</w:t>
      </w:r>
      <w:r w:rsidR="00BA3EE9">
        <w:rPr>
          <w:rFonts w:ascii="Times New Roman" w:eastAsia="Calibri" w:hAnsi="Times New Roman" w:cs="Times New Roman"/>
          <w:color w:val="4C4747"/>
          <w:spacing w:val="20"/>
          <w:sz w:val="24"/>
          <w:szCs w:val="24"/>
          <w:lang w:val="es-DO"/>
        </w:rPr>
        <w:t>, así como</w:t>
      </w:r>
      <w:r w:rsidR="009124FD" w:rsidRPr="00855BE2">
        <w:rPr>
          <w:rFonts w:ascii="Times New Roman" w:eastAsia="Calibri" w:hAnsi="Times New Roman" w:cs="Times New Roman"/>
          <w:color w:val="4C4747"/>
          <w:spacing w:val="20"/>
          <w:sz w:val="24"/>
          <w:szCs w:val="24"/>
          <w:lang w:val="es-DO"/>
        </w:rPr>
        <w:t xml:space="preserve"> t</w:t>
      </w:r>
      <w:r w:rsidRPr="00855BE2">
        <w:rPr>
          <w:rFonts w:ascii="Times New Roman" w:eastAsia="Calibri" w:hAnsi="Times New Roman" w:cs="Times New Roman"/>
          <w:color w:val="4C4747"/>
          <w:spacing w:val="20"/>
          <w:sz w:val="24"/>
          <w:szCs w:val="24"/>
          <w:lang w:val="es-DO"/>
        </w:rPr>
        <w:t>ambién asignó las frecuencias definitivas y número de canal virtual a favor de diecisiete (17) concesionarias de radiodif</w:t>
      </w:r>
      <w:r w:rsidR="00A27BA0" w:rsidRPr="00855BE2">
        <w:rPr>
          <w:rFonts w:ascii="Times New Roman" w:eastAsia="Calibri" w:hAnsi="Times New Roman" w:cs="Times New Roman"/>
          <w:color w:val="4C4747"/>
          <w:spacing w:val="20"/>
          <w:sz w:val="24"/>
          <w:szCs w:val="24"/>
          <w:lang w:val="es-DO"/>
        </w:rPr>
        <w:t>usión televisiva</w:t>
      </w:r>
      <w:r w:rsidRPr="00855BE2">
        <w:rPr>
          <w:rFonts w:ascii="Times New Roman" w:eastAsia="Calibri" w:hAnsi="Times New Roman" w:cs="Times New Roman"/>
          <w:color w:val="4C4747"/>
          <w:spacing w:val="20"/>
          <w:sz w:val="24"/>
          <w:szCs w:val="24"/>
          <w:lang w:val="es-DO"/>
        </w:rPr>
        <w:t xml:space="preserve">. </w:t>
      </w:r>
    </w:p>
    <w:p w14:paraId="05FB6212" w14:textId="01966A63" w:rsidR="0005304D" w:rsidRPr="00855BE2" w:rsidRDefault="00F65C89" w:rsidP="0005304D">
      <w:pPr>
        <w:spacing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t>Durante el año 2022 e</w:t>
      </w:r>
      <w:r w:rsidR="0005304D" w:rsidRPr="00855BE2">
        <w:rPr>
          <w:rFonts w:ascii="Times New Roman" w:eastAsia="Calibri" w:hAnsi="Times New Roman" w:cs="Times New Roman"/>
          <w:color w:val="4C4747"/>
          <w:spacing w:val="20"/>
          <w:sz w:val="24"/>
          <w:szCs w:val="24"/>
          <w:lang w:val="es-DO"/>
        </w:rPr>
        <w:t>l INDOTEL</w:t>
      </w:r>
      <w:r>
        <w:rPr>
          <w:rFonts w:ascii="Times New Roman" w:eastAsia="Calibri" w:hAnsi="Times New Roman" w:cs="Times New Roman"/>
          <w:color w:val="4C4747"/>
          <w:spacing w:val="20"/>
          <w:sz w:val="24"/>
          <w:szCs w:val="24"/>
          <w:lang w:val="es-DO"/>
        </w:rPr>
        <w:t xml:space="preserve"> </w:t>
      </w:r>
      <w:r w:rsidR="0005304D" w:rsidRPr="00855BE2">
        <w:rPr>
          <w:rFonts w:ascii="Times New Roman" w:eastAsia="Calibri" w:hAnsi="Times New Roman" w:cs="Times New Roman"/>
          <w:color w:val="4C4747"/>
          <w:spacing w:val="20"/>
          <w:sz w:val="24"/>
          <w:szCs w:val="24"/>
          <w:lang w:val="es-DO"/>
        </w:rPr>
        <w:t>desarrolló una efectiva labor de fiscalización</w:t>
      </w:r>
      <w:r w:rsidR="00A27BA0" w:rsidRPr="00855BE2">
        <w:rPr>
          <w:rFonts w:ascii="Times New Roman" w:eastAsia="Calibri" w:hAnsi="Times New Roman" w:cs="Times New Roman"/>
          <w:color w:val="4C4747"/>
          <w:spacing w:val="20"/>
          <w:sz w:val="24"/>
          <w:szCs w:val="24"/>
          <w:lang w:val="es-DO"/>
        </w:rPr>
        <w:t xml:space="preserve"> </w:t>
      </w:r>
      <w:r w:rsidR="0005304D" w:rsidRPr="00855BE2">
        <w:rPr>
          <w:rFonts w:ascii="Times New Roman" w:eastAsia="Calibri" w:hAnsi="Times New Roman" w:cs="Times New Roman"/>
          <w:color w:val="4C4747"/>
          <w:spacing w:val="20"/>
          <w:sz w:val="24"/>
          <w:szCs w:val="24"/>
          <w:lang w:val="es-DO"/>
        </w:rPr>
        <w:t>de las operaciones de estaciones de Radiodifusión Sonora y Televisiv</w:t>
      </w:r>
      <w:r>
        <w:rPr>
          <w:rFonts w:ascii="Times New Roman" w:eastAsia="Calibri" w:hAnsi="Times New Roman" w:cs="Times New Roman"/>
          <w:color w:val="4C4747"/>
          <w:spacing w:val="20"/>
          <w:sz w:val="24"/>
          <w:szCs w:val="24"/>
          <w:lang w:val="es-DO"/>
        </w:rPr>
        <w:t>a en sus respectivas bandas de f</w:t>
      </w:r>
      <w:r w:rsidR="0005304D" w:rsidRPr="00855BE2">
        <w:rPr>
          <w:rFonts w:ascii="Times New Roman" w:eastAsia="Calibri" w:hAnsi="Times New Roman" w:cs="Times New Roman"/>
          <w:color w:val="4C4747"/>
          <w:spacing w:val="20"/>
          <w:sz w:val="24"/>
          <w:szCs w:val="24"/>
          <w:lang w:val="es-DO"/>
        </w:rPr>
        <w:t>recuencias, del Servicio de Difusión por Cable y el de los revendedores del servicio de internet, con el objetivo de evitar la prestación sin autorización de los servicios de telecomunicaciones, así como el uso sin autorización de frecuenc</w:t>
      </w:r>
      <w:r>
        <w:rPr>
          <w:rFonts w:ascii="Times New Roman" w:eastAsia="Calibri" w:hAnsi="Times New Roman" w:cs="Times New Roman"/>
          <w:color w:val="4C4747"/>
          <w:spacing w:val="20"/>
          <w:sz w:val="24"/>
          <w:szCs w:val="24"/>
          <w:lang w:val="es-DO"/>
        </w:rPr>
        <w:t xml:space="preserve">ias del espectro radioeléctrico, como resultado de la fiscalización </w:t>
      </w:r>
      <w:r w:rsidR="0005304D" w:rsidRPr="00855BE2">
        <w:rPr>
          <w:rFonts w:ascii="Times New Roman" w:eastAsia="Calibri" w:hAnsi="Times New Roman" w:cs="Times New Roman"/>
          <w:color w:val="4C4747"/>
          <w:spacing w:val="20"/>
          <w:sz w:val="24"/>
          <w:szCs w:val="24"/>
          <w:lang w:val="es-DO"/>
        </w:rPr>
        <w:t xml:space="preserve">se procedió a la clausura e incautación de 15 estaciones de radiodifusión sonora y una estación de radiodifusión televisiva las cuales </w:t>
      </w:r>
      <w:r>
        <w:rPr>
          <w:rFonts w:ascii="Times New Roman" w:eastAsia="Calibri" w:hAnsi="Times New Roman" w:cs="Times New Roman"/>
          <w:color w:val="4C4747"/>
          <w:spacing w:val="20"/>
          <w:sz w:val="24"/>
          <w:szCs w:val="24"/>
          <w:lang w:val="es-DO"/>
        </w:rPr>
        <w:t>se verific</w:t>
      </w:r>
      <w:r w:rsidRPr="00F65C89">
        <w:rPr>
          <w:rFonts w:ascii="Times New Roman" w:eastAsia="Calibri" w:hAnsi="Times New Roman" w:cs="Times New Roman"/>
          <w:color w:val="4C4747"/>
          <w:spacing w:val="20"/>
          <w:sz w:val="24"/>
          <w:szCs w:val="24"/>
          <w:lang w:val="es-DO"/>
        </w:rPr>
        <w:t>ó</w:t>
      </w:r>
      <w:r>
        <w:rPr>
          <w:rFonts w:ascii="Times New Roman" w:eastAsia="Calibri" w:hAnsi="Times New Roman" w:cs="Times New Roman"/>
          <w:color w:val="4C4747"/>
          <w:spacing w:val="20"/>
          <w:sz w:val="24"/>
          <w:szCs w:val="24"/>
          <w:lang w:val="es-DO"/>
        </w:rPr>
        <w:t xml:space="preserve"> que </w:t>
      </w:r>
      <w:r w:rsidR="0005304D" w:rsidRPr="00855BE2">
        <w:rPr>
          <w:rFonts w:ascii="Times New Roman" w:eastAsia="Calibri" w:hAnsi="Times New Roman" w:cs="Times New Roman"/>
          <w:color w:val="4C4747"/>
          <w:spacing w:val="20"/>
          <w:sz w:val="24"/>
          <w:szCs w:val="24"/>
          <w:lang w:val="es-DO"/>
        </w:rPr>
        <w:t>operaban sin la autorización correspondiente.</w:t>
      </w:r>
    </w:p>
    <w:p w14:paraId="17EE0C02" w14:textId="597E0252"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En materia de calidad del servici</w:t>
      </w:r>
      <w:r w:rsidR="00AE3521" w:rsidRPr="00855BE2">
        <w:rPr>
          <w:rFonts w:ascii="Times New Roman" w:eastAsia="Calibri" w:hAnsi="Times New Roman" w:cs="Times New Roman"/>
          <w:color w:val="4C4747"/>
          <w:spacing w:val="20"/>
          <w:sz w:val="24"/>
          <w:szCs w:val="24"/>
          <w:lang w:val="es-DO"/>
        </w:rPr>
        <w:t xml:space="preserve">o, </w:t>
      </w:r>
      <w:r w:rsidR="00F65C89">
        <w:rPr>
          <w:rFonts w:ascii="Times New Roman" w:eastAsia="Calibri" w:hAnsi="Times New Roman" w:cs="Times New Roman"/>
          <w:color w:val="4C4747"/>
          <w:spacing w:val="20"/>
          <w:sz w:val="24"/>
          <w:szCs w:val="24"/>
          <w:lang w:val="es-DO"/>
        </w:rPr>
        <w:t>fueron medidos</w:t>
      </w:r>
      <w:r w:rsidR="00AE3521" w:rsidRPr="00855BE2">
        <w:rPr>
          <w:rFonts w:ascii="Times New Roman" w:eastAsia="Calibri" w:hAnsi="Times New Roman" w:cs="Times New Roman"/>
          <w:color w:val="4C4747"/>
          <w:spacing w:val="20"/>
          <w:sz w:val="24"/>
          <w:szCs w:val="24"/>
          <w:lang w:val="es-DO"/>
        </w:rPr>
        <w:t xml:space="preserve"> 9 indicadores </w:t>
      </w:r>
      <w:r w:rsidRPr="00855BE2">
        <w:rPr>
          <w:rFonts w:ascii="Times New Roman" w:eastAsia="Calibri" w:hAnsi="Times New Roman" w:cs="Times New Roman"/>
          <w:color w:val="4C4747"/>
          <w:spacing w:val="20"/>
          <w:sz w:val="24"/>
          <w:szCs w:val="24"/>
          <w:lang w:val="es-DO"/>
        </w:rPr>
        <w:t xml:space="preserve">cuyos resultados se dieron a conocer por primera vez a la ciudadanía, para que </w:t>
      </w:r>
      <w:r w:rsidR="00C61C10" w:rsidRPr="00855BE2">
        <w:rPr>
          <w:rFonts w:ascii="Times New Roman" w:eastAsia="Calibri" w:hAnsi="Times New Roman" w:cs="Times New Roman"/>
          <w:color w:val="4C4747"/>
          <w:spacing w:val="20"/>
          <w:sz w:val="24"/>
          <w:szCs w:val="24"/>
          <w:lang w:val="es-DO"/>
        </w:rPr>
        <w:t xml:space="preserve">la misma </w:t>
      </w:r>
      <w:r w:rsidRPr="00855BE2">
        <w:rPr>
          <w:rFonts w:ascii="Times New Roman" w:eastAsia="Calibri" w:hAnsi="Times New Roman" w:cs="Times New Roman"/>
          <w:color w:val="4C4747"/>
          <w:spacing w:val="20"/>
          <w:sz w:val="24"/>
          <w:szCs w:val="24"/>
          <w:lang w:val="es-DO"/>
        </w:rPr>
        <w:t>disponga de las informaciones sobre la calidad del servicio que ofrecen las prestadoras telefóni</w:t>
      </w:r>
      <w:r w:rsidR="002F2429" w:rsidRPr="00855BE2">
        <w:rPr>
          <w:rFonts w:ascii="Times New Roman" w:eastAsia="Calibri" w:hAnsi="Times New Roman" w:cs="Times New Roman"/>
          <w:color w:val="4C4747"/>
          <w:spacing w:val="20"/>
          <w:sz w:val="24"/>
          <w:szCs w:val="24"/>
          <w:lang w:val="es-DO"/>
        </w:rPr>
        <w:t>cas.</w:t>
      </w:r>
      <w:r w:rsidRPr="00855BE2">
        <w:rPr>
          <w:rFonts w:ascii="Times New Roman" w:eastAsia="Calibri" w:hAnsi="Times New Roman" w:cs="Times New Roman"/>
          <w:color w:val="4C4747"/>
          <w:spacing w:val="20"/>
          <w:sz w:val="24"/>
          <w:szCs w:val="24"/>
          <w:lang w:val="es-DO"/>
        </w:rPr>
        <w:t xml:space="preserve">  </w:t>
      </w:r>
    </w:p>
    <w:p w14:paraId="00D47C20" w14:textId="263153A1"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lastRenderedPageBreak/>
        <w:t xml:space="preserve">En cuanto al otorgamiento de concesiones para prestar servicios públicos de telecomunicaciones, es importante resaltar que el Consejo Directivo mediante su Resolución </w:t>
      </w:r>
      <w:r w:rsidR="00B94808" w:rsidRPr="00855BE2">
        <w:rPr>
          <w:rFonts w:ascii="Times New Roman" w:eastAsia="Calibri" w:hAnsi="Times New Roman" w:cs="Times New Roman"/>
          <w:color w:val="4C4747"/>
          <w:spacing w:val="20"/>
          <w:sz w:val="24"/>
          <w:szCs w:val="24"/>
          <w:lang w:val="es-DO"/>
        </w:rPr>
        <w:t xml:space="preserve">número </w:t>
      </w:r>
      <w:r w:rsidRPr="00855BE2">
        <w:rPr>
          <w:rFonts w:ascii="Times New Roman" w:eastAsia="Calibri" w:hAnsi="Times New Roman" w:cs="Times New Roman"/>
          <w:color w:val="4C4747"/>
          <w:spacing w:val="20"/>
          <w:sz w:val="24"/>
          <w:szCs w:val="24"/>
          <w:lang w:val="es-DO"/>
        </w:rPr>
        <w:t>072-2</w:t>
      </w:r>
      <w:r w:rsidR="002F2429" w:rsidRPr="00855BE2">
        <w:rPr>
          <w:rFonts w:ascii="Times New Roman" w:eastAsia="Calibri" w:hAnsi="Times New Roman" w:cs="Times New Roman"/>
          <w:color w:val="4C4747"/>
          <w:spacing w:val="20"/>
          <w:sz w:val="24"/>
          <w:szCs w:val="24"/>
          <w:lang w:val="es-DO"/>
        </w:rPr>
        <w:t>022,</w:t>
      </w:r>
      <w:r w:rsidR="009124FD" w:rsidRPr="00855BE2">
        <w:rPr>
          <w:rFonts w:ascii="Times New Roman" w:eastAsia="Calibri" w:hAnsi="Times New Roman" w:cs="Times New Roman"/>
          <w:color w:val="4C4747"/>
          <w:spacing w:val="20"/>
          <w:sz w:val="24"/>
          <w:szCs w:val="24"/>
          <w:lang w:val="es-DO"/>
        </w:rPr>
        <w:t xml:space="preserve"> aprobó</w:t>
      </w:r>
      <w:r w:rsidRPr="00855BE2">
        <w:rPr>
          <w:rFonts w:ascii="Times New Roman" w:eastAsia="Calibri" w:hAnsi="Times New Roman" w:cs="Times New Roman"/>
          <w:color w:val="4C4747"/>
          <w:spacing w:val="20"/>
          <w:sz w:val="24"/>
          <w:szCs w:val="24"/>
          <w:lang w:val="es-DO"/>
        </w:rPr>
        <w:t xml:space="preserve"> la solicitud de concesión y licencia de la empresa Starlink Dominican Republic, para prestar el servicio público de telecomunicaciones de acceso a internet e</w:t>
      </w:r>
      <w:r w:rsidR="00AE3521" w:rsidRPr="00855BE2">
        <w:rPr>
          <w:rFonts w:ascii="Times New Roman" w:eastAsia="Calibri" w:hAnsi="Times New Roman" w:cs="Times New Roman"/>
          <w:color w:val="4C4747"/>
          <w:spacing w:val="20"/>
          <w:sz w:val="24"/>
          <w:szCs w:val="24"/>
          <w:lang w:val="es-DO"/>
        </w:rPr>
        <w:t xml:space="preserve">n todo el territorio nacional. </w:t>
      </w:r>
      <w:r w:rsidR="002F2429" w:rsidRPr="00855BE2">
        <w:rPr>
          <w:rFonts w:ascii="Times New Roman" w:eastAsia="Calibri" w:hAnsi="Times New Roman" w:cs="Times New Roman"/>
          <w:color w:val="4C4747"/>
          <w:spacing w:val="20"/>
          <w:sz w:val="24"/>
          <w:szCs w:val="24"/>
          <w:lang w:val="es-DO"/>
        </w:rPr>
        <w:t xml:space="preserve">La importancia de esta concesión </w:t>
      </w:r>
      <w:r w:rsidR="009124FD" w:rsidRPr="00855BE2">
        <w:rPr>
          <w:rFonts w:ascii="Times New Roman" w:eastAsia="Calibri" w:hAnsi="Times New Roman" w:cs="Times New Roman"/>
          <w:color w:val="4C4747"/>
          <w:spacing w:val="20"/>
          <w:sz w:val="24"/>
          <w:szCs w:val="24"/>
          <w:lang w:val="es-DO"/>
        </w:rPr>
        <w:t>radica en</w:t>
      </w:r>
      <w:r w:rsidR="002F2429" w:rsidRPr="00855BE2">
        <w:rPr>
          <w:rFonts w:ascii="Times New Roman" w:eastAsia="Calibri" w:hAnsi="Times New Roman" w:cs="Times New Roman"/>
          <w:color w:val="4C4747"/>
          <w:spacing w:val="20"/>
          <w:sz w:val="24"/>
          <w:szCs w:val="24"/>
          <w:lang w:val="es-DO"/>
        </w:rPr>
        <w:t xml:space="preserve"> que la empresa </w:t>
      </w:r>
      <w:r w:rsidRPr="00855BE2">
        <w:rPr>
          <w:rFonts w:ascii="Times New Roman" w:eastAsia="Calibri" w:hAnsi="Times New Roman" w:cs="Times New Roman"/>
          <w:color w:val="4C4747"/>
          <w:spacing w:val="20"/>
          <w:sz w:val="24"/>
          <w:szCs w:val="24"/>
          <w:lang w:val="es-DO"/>
        </w:rPr>
        <w:t>podrá servir a comunidades rurales y de difícil acceso que actualmente no son servidas por las redes alámbricas ni por las celulares, lo que redunda en una reducción expedita de la brecha digital que actualmente existe en nuestro país.</w:t>
      </w:r>
    </w:p>
    <w:p w14:paraId="1356B9BE" w14:textId="47CDAB30"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El Gobierno Dominicano se embarcó en un préstamo con el Banco Interamericano de Desarrollo (BID), para la ejecución del “Programa para Mejorar la Conectividad para la Transformación Digital en la República Dominicana” (DR-L1147), su objetivo general es transformar digitalmente a la República Dominicana</w:t>
      </w:r>
      <w:r w:rsidR="00AE3521" w:rsidRPr="00855BE2">
        <w:rPr>
          <w:rFonts w:ascii="Times New Roman" w:eastAsia="Calibri" w:hAnsi="Times New Roman" w:cs="Times New Roman"/>
          <w:color w:val="4C4747"/>
          <w:spacing w:val="20"/>
          <w:sz w:val="24"/>
          <w:szCs w:val="24"/>
          <w:lang w:val="es-DO"/>
        </w:rPr>
        <w:t xml:space="preserve">. </w:t>
      </w:r>
      <w:r w:rsidRPr="00855BE2">
        <w:rPr>
          <w:rFonts w:ascii="Times New Roman" w:eastAsia="Calibri" w:hAnsi="Times New Roman" w:cs="Times New Roman"/>
          <w:color w:val="4C4747"/>
          <w:spacing w:val="20"/>
          <w:sz w:val="24"/>
          <w:szCs w:val="24"/>
          <w:lang w:val="es-DO"/>
        </w:rPr>
        <w:t xml:space="preserve">Se planificaron </w:t>
      </w:r>
      <w:r w:rsidR="00AE3521" w:rsidRPr="00855BE2">
        <w:rPr>
          <w:rFonts w:ascii="Times New Roman" w:eastAsia="Calibri" w:hAnsi="Times New Roman" w:cs="Times New Roman"/>
          <w:color w:val="4C4747"/>
          <w:spacing w:val="20"/>
          <w:sz w:val="24"/>
          <w:szCs w:val="24"/>
          <w:lang w:val="es-DO"/>
        </w:rPr>
        <w:t xml:space="preserve">las siguientes </w:t>
      </w:r>
      <w:r w:rsidRPr="00855BE2">
        <w:rPr>
          <w:rFonts w:ascii="Times New Roman" w:eastAsia="Calibri" w:hAnsi="Times New Roman" w:cs="Times New Roman"/>
          <w:color w:val="4C4747"/>
          <w:spacing w:val="20"/>
          <w:sz w:val="24"/>
          <w:szCs w:val="24"/>
          <w:lang w:val="es-DO"/>
        </w:rPr>
        <w:t>tres áreas d</w:t>
      </w:r>
      <w:r w:rsidR="00AE3521" w:rsidRPr="00855BE2">
        <w:rPr>
          <w:rFonts w:ascii="Times New Roman" w:eastAsia="Calibri" w:hAnsi="Times New Roman" w:cs="Times New Roman"/>
          <w:color w:val="4C4747"/>
          <w:spacing w:val="20"/>
          <w:sz w:val="24"/>
          <w:szCs w:val="24"/>
          <w:lang w:val="es-DO"/>
        </w:rPr>
        <w:t xml:space="preserve">e ejecución: </w:t>
      </w:r>
    </w:p>
    <w:p w14:paraId="588B79C1" w14:textId="1D6A9128"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Componente 1. Garantizar que la transición de la televisión análoga a digital tenga un caráct</w:t>
      </w:r>
      <w:r w:rsidR="007509F5" w:rsidRPr="00855BE2">
        <w:rPr>
          <w:rFonts w:ascii="Times New Roman" w:eastAsia="Calibri" w:hAnsi="Times New Roman" w:cs="Times New Roman"/>
          <w:color w:val="4C4747"/>
          <w:spacing w:val="20"/>
          <w:sz w:val="24"/>
          <w:szCs w:val="24"/>
          <w:lang w:val="es-DO"/>
        </w:rPr>
        <w:t xml:space="preserve">er socialmente incluyente, </w:t>
      </w:r>
      <w:r w:rsidRPr="00855BE2">
        <w:rPr>
          <w:rFonts w:ascii="Times New Roman" w:eastAsia="Calibri" w:hAnsi="Times New Roman" w:cs="Times New Roman"/>
          <w:color w:val="4C4747"/>
          <w:spacing w:val="20"/>
          <w:sz w:val="24"/>
          <w:szCs w:val="24"/>
          <w:lang w:val="es-DO"/>
        </w:rPr>
        <w:t>Componente 2. Ampliar las redes alámbricas de acceso a internet, expandir la Red Nacional de Fibra Óptica (RNFO) y garantizar la disponibilidad</w:t>
      </w:r>
      <w:r w:rsidR="007509F5" w:rsidRPr="00855BE2">
        <w:rPr>
          <w:rFonts w:ascii="Times New Roman" w:eastAsia="Calibri" w:hAnsi="Times New Roman" w:cs="Times New Roman"/>
          <w:color w:val="4C4747"/>
          <w:spacing w:val="20"/>
          <w:sz w:val="24"/>
          <w:szCs w:val="24"/>
          <w:lang w:val="es-DO"/>
        </w:rPr>
        <w:t xml:space="preserve"> de conectividad internacional y </w:t>
      </w:r>
      <w:r w:rsidRPr="00855BE2">
        <w:rPr>
          <w:rFonts w:ascii="Times New Roman" w:eastAsia="Calibri" w:hAnsi="Times New Roman" w:cs="Times New Roman"/>
          <w:color w:val="4C4747"/>
          <w:spacing w:val="20"/>
          <w:sz w:val="24"/>
          <w:szCs w:val="24"/>
          <w:lang w:val="es-DO"/>
        </w:rPr>
        <w:t>Componente 3. Capacitar a la ciudadanía en el uso productivo de las TIC.</w:t>
      </w:r>
    </w:p>
    <w:p w14:paraId="01E4C48E" w14:textId="234A7BC9" w:rsidR="00F65C89" w:rsidRDefault="00F65C89" w:rsidP="0005304D">
      <w:pPr>
        <w:spacing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t xml:space="preserve">Para cumplir con el Componente 1 </w:t>
      </w:r>
      <w:r w:rsidRPr="00F65C89">
        <w:rPr>
          <w:rFonts w:ascii="Times New Roman" w:eastAsia="Calibri" w:hAnsi="Times New Roman" w:cs="Times New Roman"/>
          <w:color w:val="4C4747"/>
          <w:spacing w:val="20"/>
          <w:sz w:val="24"/>
          <w:szCs w:val="24"/>
          <w:lang w:val="es-DO"/>
        </w:rPr>
        <w:t>se llevó a cabo el proceso de licitación pública internacional para la adquisición y distribución de 450,000.00 unidades de dispositivos decodificadores de la señal ATSC 1.0, con las cuales el Estado dominicano garantizará el acceso a la televisión digital de las personas que pertenecen a los sectores más vulnerables de nuestro país.</w:t>
      </w:r>
    </w:p>
    <w:p w14:paraId="40552CF7" w14:textId="77777777" w:rsidR="00F65C89" w:rsidRDefault="00F65C89" w:rsidP="0005304D">
      <w:pPr>
        <w:spacing w:line="360" w:lineRule="auto"/>
        <w:jc w:val="both"/>
        <w:rPr>
          <w:rFonts w:ascii="Times New Roman" w:eastAsia="Calibri" w:hAnsi="Times New Roman" w:cs="Times New Roman"/>
          <w:color w:val="4C4747"/>
          <w:spacing w:val="20"/>
          <w:sz w:val="24"/>
          <w:szCs w:val="24"/>
          <w:lang w:val="es-DO"/>
        </w:rPr>
      </w:pPr>
    </w:p>
    <w:p w14:paraId="372307C1" w14:textId="77777777" w:rsidR="00AE3521"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lastRenderedPageBreak/>
        <w:t>El INDOTEL, acogiéndose a la iniciativa del Ministerio de la Mujer de transversalizar el enfoque de gén</w:t>
      </w:r>
      <w:r w:rsidR="00AE3521" w:rsidRPr="00855BE2">
        <w:rPr>
          <w:rFonts w:ascii="Times New Roman" w:eastAsia="Calibri" w:hAnsi="Times New Roman" w:cs="Times New Roman"/>
          <w:color w:val="4C4747"/>
          <w:spacing w:val="20"/>
          <w:sz w:val="24"/>
          <w:szCs w:val="24"/>
          <w:lang w:val="es-DO"/>
        </w:rPr>
        <w:t>ero</w:t>
      </w:r>
      <w:r w:rsidRPr="00855BE2">
        <w:rPr>
          <w:rFonts w:ascii="Times New Roman" w:eastAsia="Calibri" w:hAnsi="Times New Roman" w:cs="Times New Roman"/>
          <w:color w:val="4C4747"/>
          <w:spacing w:val="20"/>
          <w:sz w:val="24"/>
          <w:szCs w:val="24"/>
          <w:lang w:val="es-DO"/>
        </w:rPr>
        <w:t xml:space="preserve">, se encuentra implementando el </w:t>
      </w:r>
      <w:r w:rsidR="00AE3521" w:rsidRPr="00855BE2">
        <w:rPr>
          <w:rFonts w:ascii="Times New Roman" w:eastAsia="Calibri" w:hAnsi="Times New Roman" w:cs="Times New Roman"/>
          <w:color w:val="4C4747"/>
          <w:spacing w:val="20"/>
          <w:sz w:val="24"/>
          <w:szCs w:val="24"/>
          <w:lang w:val="es-DO"/>
        </w:rPr>
        <w:t xml:space="preserve">Sello de Igualdad de Género en </w:t>
      </w:r>
      <w:r w:rsidRPr="00855BE2">
        <w:rPr>
          <w:rFonts w:ascii="Times New Roman" w:eastAsia="Calibri" w:hAnsi="Times New Roman" w:cs="Times New Roman"/>
          <w:color w:val="4C4747"/>
          <w:spacing w:val="20"/>
          <w:sz w:val="24"/>
          <w:szCs w:val="24"/>
          <w:lang w:val="es-DO"/>
        </w:rPr>
        <w:t>el sector público, el cual es un acelerador para el l</w:t>
      </w:r>
      <w:r w:rsidR="00AE3521" w:rsidRPr="00855BE2">
        <w:rPr>
          <w:rFonts w:ascii="Times New Roman" w:eastAsia="Calibri" w:hAnsi="Times New Roman" w:cs="Times New Roman"/>
          <w:color w:val="4C4747"/>
          <w:spacing w:val="20"/>
          <w:sz w:val="24"/>
          <w:szCs w:val="24"/>
          <w:lang w:val="es-DO"/>
        </w:rPr>
        <w:t xml:space="preserve">ogro </w:t>
      </w:r>
      <w:r w:rsidRPr="00855BE2">
        <w:rPr>
          <w:rFonts w:ascii="Times New Roman" w:eastAsia="Calibri" w:hAnsi="Times New Roman" w:cs="Times New Roman"/>
          <w:color w:val="4C4747"/>
          <w:spacing w:val="20"/>
          <w:sz w:val="24"/>
          <w:szCs w:val="24"/>
          <w:lang w:val="es-DO"/>
        </w:rPr>
        <w:t>de la Agenda 2030</w:t>
      </w:r>
      <w:r w:rsidR="00AE3521" w:rsidRPr="00855BE2">
        <w:rPr>
          <w:rFonts w:ascii="Times New Roman" w:eastAsia="Calibri" w:hAnsi="Times New Roman" w:cs="Times New Roman"/>
          <w:color w:val="4C4747"/>
          <w:spacing w:val="20"/>
          <w:sz w:val="24"/>
          <w:szCs w:val="24"/>
          <w:lang w:val="es-DO"/>
        </w:rPr>
        <w:t xml:space="preserve">. </w:t>
      </w:r>
    </w:p>
    <w:p w14:paraId="79CACD62" w14:textId="09EEC459" w:rsidR="0005304D" w:rsidRPr="00855BE2" w:rsidRDefault="00AE3521"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T</w:t>
      </w:r>
      <w:r w:rsidR="0005304D" w:rsidRPr="00855BE2">
        <w:rPr>
          <w:rFonts w:ascii="Times New Roman" w:eastAsia="Calibri" w:hAnsi="Times New Roman" w:cs="Times New Roman"/>
          <w:color w:val="4C4747"/>
          <w:spacing w:val="20"/>
          <w:sz w:val="24"/>
          <w:szCs w:val="24"/>
          <w:lang w:val="es-DO"/>
        </w:rPr>
        <w:t xml:space="preserve">ambién </w:t>
      </w:r>
      <w:r w:rsidRPr="00855BE2">
        <w:rPr>
          <w:rFonts w:ascii="Times New Roman" w:eastAsia="Calibri" w:hAnsi="Times New Roman" w:cs="Times New Roman"/>
          <w:color w:val="4C4747"/>
          <w:spacing w:val="20"/>
          <w:sz w:val="24"/>
          <w:szCs w:val="24"/>
          <w:lang w:val="es-DO"/>
        </w:rPr>
        <w:t xml:space="preserve">se </w:t>
      </w:r>
      <w:r w:rsidR="0005304D" w:rsidRPr="00855BE2">
        <w:rPr>
          <w:rFonts w:ascii="Times New Roman" w:eastAsia="Calibri" w:hAnsi="Times New Roman" w:cs="Times New Roman"/>
          <w:color w:val="4C4747"/>
          <w:spacing w:val="20"/>
          <w:sz w:val="24"/>
          <w:szCs w:val="24"/>
          <w:lang w:val="es-DO"/>
        </w:rPr>
        <w:t>realizó el lanzamiento del proyecto INDOTEL TE INCLUYE, que permite a los usuarios, usuarias y a las prestadoras tener acceso al servicio e información en igualdad de condiciones, incluyendo a los usuarios y usuarias con discapacidad visual y auditiva.</w:t>
      </w:r>
    </w:p>
    <w:p w14:paraId="7436147F" w14:textId="717B1E87"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En otro sentido, el INDOTEL se encuentra implementando el Plan Bianual de Proyectos d</w:t>
      </w:r>
      <w:r w:rsidR="00AE3521" w:rsidRPr="00855BE2">
        <w:rPr>
          <w:rFonts w:ascii="Times New Roman" w:eastAsia="Calibri" w:hAnsi="Times New Roman" w:cs="Times New Roman"/>
          <w:color w:val="4C4747"/>
          <w:spacing w:val="20"/>
          <w:sz w:val="24"/>
          <w:szCs w:val="24"/>
          <w:lang w:val="es-DO"/>
        </w:rPr>
        <w:t>e Desarrollo 2021-2022 cuyo objetivo es</w:t>
      </w:r>
      <w:r w:rsidRPr="00855BE2">
        <w:rPr>
          <w:rFonts w:ascii="Times New Roman" w:eastAsia="Calibri" w:hAnsi="Times New Roman" w:cs="Times New Roman"/>
          <w:color w:val="4C4747"/>
          <w:spacing w:val="20"/>
          <w:sz w:val="24"/>
          <w:szCs w:val="24"/>
          <w:lang w:val="es-DO"/>
        </w:rPr>
        <w:t xml:space="preserve"> “Conectar a los n</w:t>
      </w:r>
      <w:r w:rsidR="00AE3521" w:rsidRPr="00855BE2">
        <w:rPr>
          <w:rFonts w:ascii="Times New Roman" w:eastAsia="Calibri" w:hAnsi="Times New Roman" w:cs="Times New Roman"/>
          <w:color w:val="4C4747"/>
          <w:spacing w:val="20"/>
          <w:sz w:val="24"/>
          <w:szCs w:val="24"/>
          <w:lang w:val="es-DO"/>
        </w:rPr>
        <w:t xml:space="preserve">o Conectados” </w:t>
      </w:r>
      <w:r w:rsidR="00596D44">
        <w:rPr>
          <w:rFonts w:ascii="Times New Roman" w:eastAsia="Calibri" w:hAnsi="Times New Roman" w:cs="Times New Roman"/>
          <w:color w:val="4C4747"/>
          <w:spacing w:val="20"/>
          <w:sz w:val="24"/>
          <w:szCs w:val="24"/>
          <w:lang w:val="es-DO"/>
        </w:rPr>
        <w:t xml:space="preserve">para </w:t>
      </w:r>
      <w:r w:rsidRPr="00855BE2">
        <w:rPr>
          <w:rFonts w:ascii="Times New Roman" w:eastAsia="Calibri" w:hAnsi="Times New Roman" w:cs="Times New Roman"/>
          <w:color w:val="4C4747"/>
          <w:spacing w:val="20"/>
          <w:sz w:val="24"/>
          <w:szCs w:val="24"/>
          <w:lang w:val="es-DO"/>
        </w:rPr>
        <w:t>dota</w:t>
      </w:r>
      <w:r w:rsidR="007509F5" w:rsidRPr="00855BE2">
        <w:rPr>
          <w:rFonts w:ascii="Times New Roman" w:eastAsia="Calibri" w:hAnsi="Times New Roman" w:cs="Times New Roman"/>
          <w:color w:val="4C4747"/>
          <w:spacing w:val="20"/>
          <w:sz w:val="24"/>
          <w:szCs w:val="24"/>
          <w:lang w:val="es-DO"/>
        </w:rPr>
        <w:t>r</w:t>
      </w:r>
      <w:r w:rsidRPr="00855BE2">
        <w:rPr>
          <w:rFonts w:ascii="Times New Roman" w:eastAsia="Calibri" w:hAnsi="Times New Roman" w:cs="Times New Roman"/>
          <w:color w:val="4C4747"/>
          <w:spacing w:val="20"/>
          <w:sz w:val="24"/>
          <w:szCs w:val="24"/>
          <w:lang w:val="es-DO"/>
        </w:rPr>
        <w:t xml:space="preserve"> del acceso y conectividad a la banda ancha de calidad a comunidades rurales no servidas y a mujere</w:t>
      </w:r>
      <w:r w:rsidR="00AE3521" w:rsidRPr="00855BE2">
        <w:rPr>
          <w:rFonts w:ascii="Times New Roman" w:eastAsia="Calibri" w:hAnsi="Times New Roman" w:cs="Times New Roman"/>
          <w:color w:val="4C4747"/>
          <w:spacing w:val="20"/>
          <w:sz w:val="24"/>
          <w:szCs w:val="24"/>
          <w:lang w:val="es-DO"/>
        </w:rPr>
        <w:t xml:space="preserve">s jefas de hogar </w:t>
      </w:r>
      <w:r w:rsidRPr="00855BE2">
        <w:rPr>
          <w:rFonts w:ascii="Times New Roman" w:eastAsia="Calibri" w:hAnsi="Times New Roman" w:cs="Times New Roman"/>
          <w:color w:val="4C4747"/>
          <w:spacing w:val="20"/>
          <w:sz w:val="24"/>
          <w:szCs w:val="24"/>
          <w:lang w:val="es-DO"/>
        </w:rPr>
        <w:t>que viven bajo líne</w:t>
      </w:r>
      <w:r w:rsidR="00596D44">
        <w:rPr>
          <w:rFonts w:ascii="Times New Roman" w:eastAsia="Calibri" w:hAnsi="Times New Roman" w:cs="Times New Roman"/>
          <w:color w:val="4C4747"/>
          <w:spacing w:val="20"/>
          <w:sz w:val="24"/>
          <w:szCs w:val="24"/>
          <w:lang w:val="es-DO"/>
        </w:rPr>
        <w:t xml:space="preserve">a de pobreza y de esa manera </w:t>
      </w:r>
      <w:r w:rsidRPr="00855BE2">
        <w:rPr>
          <w:rFonts w:ascii="Times New Roman" w:eastAsia="Calibri" w:hAnsi="Times New Roman" w:cs="Times New Roman"/>
          <w:color w:val="4C4747"/>
          <w:spacing w:val="20"/>
          <w:sz w:val="24"/>
          <w:szCs w:val="24"/>
          <w:lang w:val="es-DO"/>
        </w:rPr>
        <w:t xml:space="preserve">reducir la brecha digital de la República Dominicana.  </w:t>
      </w:r>
    </w:p>
    <w:p w14:paraId="59BD3B8E" w14:textId="1B4F255E"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El proyecto está conformado por tres componentes</w:t>
      </w:r>
      <w:r w:rsidR="00596D44">
        <w:rPr>
          <w:rFonts w:ascii="Times New Roman" w:eastAsia="Calibri" w:hAnsi="Times New Roman" w:cs="Times New Roman"/>
          <w:color w:val="4C4747"/>
          <w:spacing w:val="20"/>
          <w:sz w:val="24"/>
          <w:szCs w:val="24"/>
          <w:lang w:val="es-DO"/>
        </w:rPr>
        <w:t>, que son</w:t>
      </w:r>
      <w:r w:rsidRPr="00855BE2">
        <w:rPr>
          <w:rFonts w:ascii="Times New Roman" w:eastAsia="Calibri" w:hAnsi="Times New Roman" w:cs="Times New Roman"/>
          <w:color w:val="4C4747"/>
          <w:spacing w:val="20"/>
          <w:sz w:val="24"/>
          <w:szCs w:val="24"/>
          <w:lang w:val="es-DO"/>
        </w:rPr>
        <w:t>: Componente de Acceso e Infraestructura, Componente de Subsidio a la Demanda y Componente de Apropiación Social y Desarrollo de Habilidades.</w:t>
      </w:r>
    </w:p>
    <w:p w14:paraId="05B8EDC6" w14:textId="57C30A35" w:rsidR="0005304D" w:rsidRPr="00855BE2" w:rsidRDefault="0005304D" w:rsidP="00AE3521">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 xml:space="preserve">El Componente Subsidio a la Demanda </w:t>
      </w:r>
      <w:r w:rsidR="00B94808" w:rsidRPr="00855BE2">
        <w:rPr>
          <w:rFonts w:ascii="Times New Roman" w:eastAsia="Calibri" w:hAnsi="Times New Roman" w:cs="Times New Roman"/>
          <w:color w:val="4C4747"/>
          <w:spacing w:val="20"/>
          <w:sz w:val="24"/>
          <w:szCs w:val="24"/>
          <w:lang w:val="es-DO"/>
        </w:rPr>
        <w:t>cons</w:t>
      </w:r>
      <w:r w:rsidR="00AE3521" w:rsidRPr="00855BE2">
        <w:rPr>
          <w:rFonts w:ascii="Times New Roman" w:eastAsia="Calibri" w:hAnsi="Times New Roman" w:cs="Times New Roman"/>
          <w:color w:val="4C4747"/>
          <w:spacing w:val="20"/>
          <w:sz w:val="24"/>
          <w:szCs w:val="24"/>
          <w:lang w:val="es-DO"/>
        </w:rPr>
        <w:t>iste</w:t>
      </w:r>
      <w:r w:rsidRPr="00855BE2">
        <w:rPr>
          <w:rFonts w:ascii="Times New Roman" w:eastAsia="Calibri" w:hAnsi="Times New Roman" w:cs="Times New Roman"/>
          <w:color w:val="4C4747"/>
          <w:spacing w:val="20"/>
          <w:sz w:val="24"/>
          <w:szCs w:val="24"/>
          <w:lang w:val="es-DO"/>
        </w:rPr>
        <w:t xml:space="preserve"> en dotar de una “Canasta Digital Social”, compuesta de un </w:t>
      </w:r>
      <w:r w:rsidR="00596D44">
        <w:rPr>
          <w:rFonts w:ascii="Times New Roman" w:eastAsia="Calibri" w:hAnsi="Times New Roman" w:cs="Times New Roman"/>
          <w:color w:val="4C4747"/>
          <w:spacing w:val="20"/>
          <w:sz w:val="24"/>
          <w:szCs w:val="24"/>
          <w:lang w:val="es-DO"/>
        </w:rPr>
        <w:t xml:space="preserve">dispositivo de acceso y un </w:t>
      </w:r>
      <w:r w:rsidRPr="00855BE2">
        <w:rPr>
          <w:rFonts w:ascii="Times New Roman" w:eastAsia="Calibri" w:hAnsi="Times New Roman" w:cs="Times New Roman"/>
          <w:color w:val="4C4747"/>
          <w:spacing w:val="20"/>
          <w:sz w:val="24"/>
          <w:szCs w:val="24"/>
          <w:lang w:val="es-DO"/>
        </w:rPr>
        <w:t>subsidio parcial al servicio de internet de banda anc</w:t>
      </w:r>
      <w:r w:rsidR="00596D44">
        <w:rPr>
          <w:rFonts w:ascii="Times New Roman" w:eastAsia="Calibri" w:hAnsi="Times New Roman" w:cs="Times New Roman"/>
          <w:color w:val="4C4747"/>
          <w:spacing w:val="20"/>
          <w:sz w:val="24"/>
          <w:szCs w:val="24"/>
          <w:lang w:val="es-DO"/>
        </w:rPr>
        <w:t>ha por un periodo de 24 meses,</w:t>
      </w:r>
      <w:r w:rsidRPr="00855BE2">
        <w:rPr>
          <w:rFonts w:ascii="Times New Roman" w:eastAsia="Calibri" w:hAnsi="Times New Roman" w:cs="Times New Roman"/>
          <w:color w:val="4C4747"/>
          <w:spacing w:val="20"/>
          <w:sz w:val="24"/>
          <w:szCs w:val="24"/>
          <w:lang w:val="es-DO"/>
        </w:rPr>
        <w:t xml:space="preserve"> a 2,000 mujeres jefas de hogares con Índices de Calidad de Vida </w:t>
      </w:r>
      <w:r w:rsidR="00B94808" w:rsidRPr="00855BE2">
        <w:rPr>
          <w:rFonts w:ascii="Times New Roman" w:eastAsia="Calibri" w:hAnsi="Times New Roman" w:cs="Times New Roman"/>
          <w:color w:val="4C4747"/>
          <w:spacing w:val="20"/>
          <w:sz w:val="24"/>
          <w:szCs w:val="24"/>
          <w:lang w:val="es-DO"/>
        </w:rPr>
        <w:t xml:space="preserve">ICV1, </w:t>
      </w:r>
      <w:r w:rsidRPr="00855BE2">
        <w:rPr>
          <w:rFonts w:ascii="Times New Roman" w:eastAsia="Calibri" w:hAnsi="Times New Roman" w:cs="Times New Roman"/>
          <w:color w:val="4C4747"/>
          <w:spacing w:val="20"/>
          <w:sz w:val="24"/>
          <w:szCs w:val="24"/>
          <w:lang w:val="es-DO"/>
        </w:rPr>
        <w:t xml:space="preserve">ICV2 e ICV3, en 16 municipios de 11 provincias, con una penetración de internet fijo por debajo al 6%. </w:t>
      </w:r>
      <w:r w:rsidR="00AE3521" w:rsidRPr="00855BE2">
        <w:rPr>
          <w:rFonts w:ascii="Times New Roman" w:eastAsia="Calibri" w:hAnsi="Times New Roman" w:cs="Times New Roman"/>
          <w:color w:val="4C4747"/>
          <w:spacing w:val="20"/>
          <w:sz w:val="24"/>
          <w:szCs w:val="24"/>
          <w:lang w:val="es-DO"/>
        </w:rPr>
        <w:t>En el</w:t>
      </w:r>
      <w:r w:rsidR="00B94808" w:rsidRPr="00855BE2">
        <w:rPr>
          <w:rFonts w:ascii="Times New Roman" w:eastAsia="Calibri" w:hAnsi="Times New Roman" w:cs="Times New Roman"/>
          <w:color w:val="4C4747"/>
          <w:spacing w:val="20"/>
          <w:sz w:val="24"/>
          <w:szCs w:val="24"/>
          <w:lang w:val="es-DO"/>
        </w:rPr>
        <w:t xml:space="preserve"> mes de octubre </w:t>
      </w:r>
      <w:r w:rsidRPr="00855BE2">
        <w:rPr>
          <w:rFonts w:ascii="Times New Roman" w:eastAsia="Calibri" w:hAnsi="Times New Roman" w:cs="Times New Roman"/>
          <w:color w:val="4C4747"/>
          <w:spacing w:val="20"/>
          <w:sz w:val="24"/>
          <w:szCs w:val="24"/>
          <w:lang w:val="es-DO"/>
        </w:rPr>
        <w:t xml:space="preserve">se realizó la entrega de la Canasta Digital a </w:t>
      </w:r>
      <w:r w:rsidR="00596D44">
        <w:rPr>
          <w:rFonts w:ascii="Times New Roman" w:eastAsia="Calibri" w:hAnsi="Times New Roman" w:cs="Times New Roman"/>
          <w:color w:val="4C4747"/>
          <w:spacing w:val="20"/>
          <w:sz w:val="24"/>
          <w:szCs w:val="24"/>
          <w:lang w:val="es-DO"/>
        </w:rPr>
        <w:t xml:space="preserve">las </w:t>
      </w:r>
      <w:r w:rsidR="00B94808" w:rsidRPr="00855BE2">
        <w:rPr>
          <w:rFonts w:ascii="Times New Roman" w:eastAsia="Calibri" w:hAnsi="Times New Roman" w:cs="Times New Roman"/>
          <w:color w:val="4C4747"/>
          <w:spacing w:val="20"/>
          <w:sz w:val="24"/>
          <w:szCs w:val="24"/>
          <w:lang w:val="es-DO"/>
        </w:rPr>
        <w:t>2,000 beneficiarias en 16</w:t>
      </w:r>
      <w:r w:rsidRPr="00855BE2">
        <w:rPr>
          <w:rFonts w:ascii="Times New Roman" w:eastAsia="Calibri" w:hAnsi="Times New Roman" w:cs="Times New Roman"/>
          <w:color w:val="4C4747"/>
          <w:spacing w:val="20"/>
          <w:sz w:val="24"/>
          <w:szCs w:val="24"/>
          <w:lang w:val="es-DO"/>
        </w:rPr>
        <w:t xml:space="preserve"> munici</w:t>
      </w:r>
      <w:r w:rsidR="00B94808" w:rsidRPr="00855BE2">
        <w:rPr>
          <w:rFonts w:ascii="Times New Roman" w:eastAsia="Calibri" w:hAnsi="Times New Roman" w:cs="Times New Roman"/>
          <w:color w:val="4C4747"/>
          <w:spacing w:val="20"/>
          <w:sz w:val="24"/>
          <w:szCs w:val="24"/>
          <w:lang w:val="es-DO"/>
        </w:rPr>
        <w:t>pios de la República Dominicana.</w:t>
      </w:r>
    </w:p>
    <w:p w14:paraId="50C74D0D" w14:textId="7C07808A"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 xml:space="preserve">El Componente de Apropiación Social y Desarrollo de Habilidades Digitales va dirigido a las beneficiarias del componente de Subsidio </w:t>
      </w:r>
      <w:r w:rsidRPr="00855BE2">
        <w:rPr>
          <w:rFonts w:ascii="Times New Roman" w:eastAsia="Calibri" w:hAnsi="Times New Roman" w:cs="Times New Roman"/>
          <w:color w:val="4C4747"/>
          <w:spacing w:val="20"/>
          <w:sz w:val="24"/>
          <w:szCs w:val="24"/>
          <w:lang w:val="es-DO"/>
        </w:rPr>
        <w:lastRenderedPageBreak/>
        <w:t>a la Demanda para dotarlas de las habilidades y competencias tecnológicas básic</w:t>
      </w:r>
      <w:r w:rsidR="007509F5" w:rsidRPr="00855BE2">
        <w:rPr>
          <w:rFonts w:ascii="Times New Roman" w:eastAsia="Calibri" w:hAnsi="Times New Roman" w:cs="Times New Roman"/>
          <w:color w:val="4C4747"/>
          <w:spacing w:val="20"/>
          <w:sz w:val="24"/>
          <w:szCs w:val="24"/>
          <w:lang w:val="es-DO"/>
        </w:rPr>
        <w:t xml:space="preserve">as, </w:t>
      </w:r>
      <w:r w:rsidRPr="00855BE2">
        <w:rPr>
          <w:rFonts w:ascii="Times New Roman" w:eastAsia="Calibri" w:hAnsi="Times New Roman" w:cs="Times New Roman"/>
          <w:color w:val="4C4747"/>
          <w:spacing w:val="20"/>
          <w:sz w:val="24"/>
          <w:szCs w:val="24"/>
          <w:lang w:val="es-DO"/>
        </w:rPr>
        <w:t>que las prepare para hacer un uso más productivo de las tecnologías digitales y del internet.</w:t>
      </w:r>
      <w:r w:rsidR="007509F5" w:rsidRPr="00855BE2">
        <w:rPr>
          <w:rFonts w:ascii="Times New Roman" w:eastAsia="Calibri" w:hAnsi="Times New Roman" w:cs="Times New Roman"/>
          <w:color w:val="4C4747"/>
          <w:spacing w:val="20"/>
          <w:sz w:val="24"/>
          <w:szCs w:val="24"/>
          <w:lang w:val="es-DO"/>
        </w:rPr>
        <w:t xml:space="preserve"> </w:t>
      </w:r>
      <w:r w:rsidRPr="00855BE2">
        <w:rPr>
          <w:rFonts w:ascii="Times New Roman" w:eastAsia="Calibri" w:hAnsi="Times New Roman" w:cs="Times New Roman"/>
          <w:color w:val="4C4747"/>
          <w:spacing w:val="20"/>
          <w:sz w:val="24"/>
          <w:szCs w:val="24"/>
          <w:lang w:val="es-DO"/>
        </w:rPr>
        <w:t xml:space="preserve">Al cierre del año, se </w:t>
      </w:r>
      <w:r w:rsidR="00A45868">
        <w:rPr>
          <w:rFonts w:ascii="Times New Roman" w:eastAsia="Calibri" w:hAnsi="Times New Roman" w:cs="Times New Roman"/>
          <w:color w:val="4C4747"/>
          <w:spacing w:val="20"/>
          <w:sz w:val="24"/>
          <w:szCs w:val="24"/>
          <w:lang w:val="es-DO"/>
        </w:rPr>
        <w:t>habían conformados</w:t>
      </w:r>
      <w:r w:rsidRPr="00855BE2">
        <w:rPr>
          <w:rFonts w:ascii="Times New Roman" w:eastAsia="Calibri" w:hAnsi="Times New Roman" w:cs="Times New Roman"/>
          <w:color w:val="4C4747"/>
          <w:spacing w:val="20"/>
          <w:sz w:val="24"/>
          <w:szCs w:val="24"/>
          <w:lang w:val="es-DO"/>
        </w:rPr>
        <w:t xml:space="preserve"> 46 grupos que representan un 49.9% del total de beneficiarias para un total de 997 beneficiarias capacitadas.</w:t>
      </w:r>
    </w:p>
    <w:p w14:paraId="08E3BAED" w14:textId="1B5750B7"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 xml:space="preserve">El </w:t>
      </w:r>
      <w:r w:rsidR="00A45868" w:rsidRPr="00A45868">
        <w:rPr>
          <w:rFonts w:ascii="Times New Roman" w:eastAsia="Calibri" w:hAnsi="Times New Roman" w:cs="Times New Roman"/>
          <w:color w:val="4C4747"/>
          <w:spacing w:val="20"/>
          <w:sz w:val="24"/>
          <w:szCs w:val="24"/>
          <w:lang w:val="es-DO"/>
        </w:rPr>
        <w:t xml:space="preserve">Componente de Apropiación Social y Desarrollo de Habilidades Digitales </w:t>
      </w:r>
      <w:r w:rsidR="00A45868">
        <w:rPr>
          <w:rFonts w:ascii="Times New Roman" w:eastAsia="Calibri" w:hAnsi="Times New Roman" w:cs="Times New Roman"/>
          <w:color w:val="4C4747"/>
          <w:spacing w:val="20"/>
          <w:sz w:val="24"/>
          <w:szCs w:val="24"/>
          <w:lang w:val="es-DO"/>
        </w:rPr>
        <w:t xml:space="preserve">tiene un </w:t>
      </w:r>
      <w:r w:rsidRPr="00855BE2">
        <w:rPr>
          <w:rFonts w:ascii="Times New Roman" w:eastAsia="Calibri" w:hAnsi="Times New Roman" w:cs="Times New Roman"/>
          <w:color w:val="4C4747"/>
          <w:spacing w:val="20"/>
          <w:sz w:val="24"/>
          <w:szCs w:val="24"/>
          <w:lang w:val="es-DO"/>
        </w:rPr>
        <w:t>subcompone</w:t>
      </w:r>
      <w:r w:rsidR="007509F5" w:rsidRPr="00855BE2">
        <w:rPr>
          <w:rFonts w:ascii="Times New Roman" w:eastAsia="Calibri" w:hAnsi="Times New Roman" w:cs="Times New Roman"/>
          <w:color w:val="4C4747"/>
          <w:spacing w:val="20"/>
          <w:sz w:val="24"/>
          <w:szCs w:val="24"/>
          <w:lang w:val="es-DO"/>
        </w:rPr>
        <w:t xml:space="preserve">nte </w:t>
      </w:r>
      <w:r w:rsidR="00A45868">
        <w:rPr>
          <w:rFonts w:ascii="Times New Roman" w:eastAsia="Calibri" w:hAnsi="Times New Roman" w:cs="Times New Roman"/>
          <w:color w:val="4C4747"/>
          <w:spacing w:val="20"/>
          <w:sz w:val="24"/>
          <w:szCs w:val="24"/>
          <w:lang w:val="es-DO"/>
        </w:rPr>
        <w:t xml:space="preserve">que </w:t>
      </w:r>
      <w:r w:rsidRPr="00855BE2">
        <w:rPr>
          <w:rFonts w:ascii="Times New Roman" w:eastAsia="Calibri" w:hAnsi="Times New Roman" w:cs="Times New Roman"/>
          <w:color w:val="4C4747"/>
          <w:spacing w:val="20"/>
          <w:sz w:val="24"/>
          <w:szCs w:val="24"/>
          <w:lang w:val="es-DO"/>
        </w:rPr>
        <w:t xml:space="preserve">consiste en </w:t>
      </w:r>
      <w:r w:rsidR="00A45868">
        <w:rPr>
          <w:rFonts w:ascii="Times New Roman" w:eastAsia="Calibri" w:hAnsi="Times New Roman" w:cs="Times New Roman"/>
          <w:color w:val="4C4747"/>
          <w:spacing w:val="20"/>
          <w:sz w:val="24"/>
          <w:szCs w:val="24"/>
          <w:lang w:val="es-DO"/>
        </w:rPr>
        <w:t xml:space="preserve">implementar </w:t>
      </w:r>
      <w:r w:rsidRPr="00855BE2">
        <w:rPr>
          <w:rFonts w:ascii="Times New Roman" w:eastAsia="Calibri" w:hAnsi="Times New Roman" w:cs="Times New Roman"/>
          <w:color w:val="4C4747"/>
          <w:spacing w:val="20"/>
          <w:sz w:val="24"/>
          <w:szCs w:val="24"/>
          <w:lang w:val="es-DO"/>
        </w:rPr>
        <w:t>un programa de becas dirigidas a jóvenes para fortalecer sus conocimientos y habilidades técnicas en materia digital, fueron otorgadas un total de 976 becas a lo largo de 4 trimestres o períodos de estudios.</w:t>
      </w:r>
    </w:p>
    <w:p w14:paraId="04E73E77" w14:textId="780A0863"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 xml:space="preserve">En adición, el </w:t>
      </w:r>
      <w:r w:rsidR="00B94808" w:rsidRPr="00855BE2">
        <w:rPr>
          <w:rFonts w:ascii="Times New Roman" w:eastAsia="Calibri" w:hAnsi="Times New Roman" w:cs="Times New Roman"/>
          <w:color w:val="4C4747"/>
          <w:spacing w:val="20"/>
          <w:sz w:val="24"/>
          <w:szCs w:val="24"/>
          <w:lang w:val="es-DO"/>
        </w:rPr>
        <w:t>INDOTEL</w:t>
      </w:r>
      <w:r w:rsidRPr="00855BE2">
        <w:rPr>
          <w:rFonts w:ascii="Times New Roman" w:eastAsia="Calibri" w:hAnsi="Times New Roman" w:cs="Times New Roman"/>
          <w:color w:val="4C4747"/>
          <w:spacing w:val="20"/>
          <w:sz w:val="24"/>
          <w:szCs w:val="24"/>
          <w:lang w:val="es-DO"/>
        </w:rPr>
        <w:t xml:space="preserve"> </w:t>
      </w:r>
      <w:r w:rsidR="007D5EC0" w:rsidRPr="00855BE2">
        <w:rPr>
          <w:rFonts w:ascii="Times New Roman" w:eastAsia="Calibri" w:hAnsi="Times New Roman" w:cs="Times New Roman"/>
          <w:color w:val="4C4747"/>
          <w:spacing w:val="20"/>
          <w:sz w:val="24"/>
          <w:szCs w:val="24"/>
          <w:lang w:val="es-DO"/>
        </w:rPr>
        <w:t>es responsable de mantener 1,121</w:t>
      </w:r>
      <w:r w:rsidR="00B94808" w:rsidRPr="00855BE2">
        <w:rPr>
          <w:rFonts w:ascii="Times New Roman" w:eastAsia="Calibri" w:hAnsi="Times New Roman" w:cs="Times New Roman"/>
          <w:color w:val="4C4747"/>
          <w:spacing w:val="20"/>
          <w:sz w:val="24"/>
          <w:szCs w:val="24"/>
          <w:lang w:val="es-DO"/>
        </w:rPr>
        <w:t xml:space="preserve"> puntos Wi-Fi de a</w:t>
      </w:r>
      <w:r w:rsidRPr="00855BE2">
        <w:rPr>
          <w:rFonts w:ascii="Times New Roman" w:eastAsia="Calibri" w:hAnsi="Times New Roman" w:cs="Times New Roman"/>
          <w:color w:val="4C4747"/>
          <w:spacing w:val="20"/>
          <w:sz w:val="24"/>
          <w:szCs w:val="24"/>
          <w:lang w:val="es-DO"/>
        </w:rPr>
        <w:t>cceso en lugares públicos, cuyo objetivo es proveer a la población de las localidades beneficiadas de cobertura inalámbrica para acceder al servicio de internet de banda ancha, cumpliendo con el mandato de la Estrategia Nacional de Desarrollo de "lograr acceso universal y uso productivo de las Tecnologías de la Info</w:t>
      </w:r>
      <w:r w:rsidR="00C61C10" w:rsidRPr="00855BE2">
        <w:rPr>
          <w:rFonts w:ascii="Times New Roman" w:eastAsia="Calibri" w:hAnsi="Times New Roman" w:cs="Times New Roman"/>
          <w:color w:val="4C4747"/>
          <w:spacing w:val="20"/>
          <w:sz w:val="24"/>
          <w:szCs w:val="24"/>
          <w:lang w:val="es-DO"/>
        </w:rPr>
        <w:t xml:space="preserve">rmación y Comunicación (TIC)". </w:t>
      </w:r>
    </w:p>
    <w:p w14:paraId="0C767E9B" w14:textId="18F24D52" w:rsidR="0005304D" w:rsidRPr="00855BE2" w:rsidRDefault="001B6676" w:rsidP="0005304D">
      <w:pPr>
        <w:spacing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t>F</w:t>
      </w:r>
      <w:r w:rsidR="00D863B5">
        <w:rPr>
          <w:rFonts w:ascii="Times New Roman" w:eastAsia="Calibri" w:hAnsi="Times New Roman" w:cs="Times New Roman"/>
          <w:color w:val="4C4747"/>
          <w:spacing w:val="20"/>
          <w:sz w:val="24"/>
          <w:szCs w:val="24"/>
          <w:lang w:val="es-DO"/>
        </w:rPr>
        <w:t xml:space="preserve">ue desarrollada una plataforma </w:t>
      </w:r>
      <w:r>
        <w:rPr>
          <w:rFonts w:ascii="Times New Roman" w:eastAsia="Calibri" w:hAnsi="Times New Roman" w:cs="Times New Roman"/>
          <w:color w:val="4C4747"/>
          <w:spacing w:val="20"/>
          <w:sz w:val="24"/>
          <w:szCs w:val="24"/>
          <w:lang w:val="es-DO"/>
        </w:rPr>
        <w:t>web</w:t>
      </w:r>
      <w:r w:rsidR="00D863B5">
        <w:rPr>
          <w:rFonts w:ascii="Times New Roman" w:eastAsia="Calibri" w:hAnsi="Times New Roman" w:cs="Times New Roman"/>
          <w:color w:val="4C4747"/>
          <w:spacing w:val="20"/>
          <w:sz w:val="24"/>
          <w:szCs w:val="24"/>
          <w:lang w:val="es-DO"/>
        </w:rPr>
        <w:t xml:space="preserve"> para la gestión del </w:t>
      </w:r>
      <w:r w:rsidR="0005304D" w:rsidRPr="00855BE2">
        <w:rPr>
          <w:rFonts w:ascii="Times New Roman" w:eastAsia="Calibri" w:hAnsi="Times New Roman" w:cs="Times New Roman"/>
          <w:color w:val="4C4747"/>
          <w:spacing w:val="20"/>
          <w:sz w:val="24"/>
          <w:szCs w:val="24"/>
          <w:lang w:val="es-DO"/>
        </w:rPr>
        <w:t>Sello de Confianza de Comercio Electrónico de la Rep</w:t>
      </w:r>
      <w:r w:rsidR="00BA3EE9">
        <w:rPr>
          <w:rFonts w:ascii="Times New Roman" w:eastAsia="Calibri" w:hAnsi="Times New Roman" w:cs="Times New Roman"/>
          <w:color w:val="4C4747"/>
          <w:spacing w:val="20"/>
          <w:sz w:val="24"/>
          <w:szCs w:val="24"/>
          <w:lang w:val="es-DO"/>
        </w:rPr>
        <w:t xml:space="preserve">ública Dominicana el cual tiene como finalidad </w:t>
      </w:r>
      <w:r w:rsidR="0005304D" w:rsidRPr="00855BE2">
        <w:rPr>
          <w:rFonts w:ascii="Times New Roman" w:eastAsia="Calibri" w:hAnsi="Times New Roman" w:cs="Times New Roman"/>
          <w:color w:val="4C4747"/>
          <w:spacing w:val="20"/>
          <w:sz w:val="24"/>
          <w:szCs w:val="24"/>
          <w:lang w:val="es-DO"/>
        </w:rPr>
        <w:t xml:space="preserve">crear la normalización, reglamentación técnica y acreditación que garantice el cumplimiento de los requisitos de los mercados globales y un compromiso con la excelencia; según lo establece el EJE 3 (3.5.2) de la Estrategia Nacional de Desarrollo 2030 (END), para lo cual se implementará un portal web </w:t>
      </w:r>
    </w:p>
    <w:p w14:paraId="38E3BD60" w14:textId="4C20D6F0" w:rsidR="0005304D" w:rsidRPr="00855BE2" w:rsidRDefault="0005304D" w:rsidP="0005304D">
      <w:pPr>
        <w:spacing w:line="360" w:lineRule="auto"/>
        <w:jc w:val="both"/>
        <w:rPr>
          <w:rFonts w:ascii="Times New Roman" w:eastAsia="Calibri" w:hAnsi="Times New Roman" w:cs="Times New Roman"/>
          <w:color w:val="4C4747"/>
          <w:spacing w:val="20"/>
          <w:sz w:val="24"/>
          <w:szCs w:val="24"/>
          <w:lang w:val="es-DO"/>
        </w:rPr>
      </w:pPr>
      <w:r w:rsidRPr="00855BE2">
        <w:rPr>
          <w:rFonts w:ascii="Times New Roman" w:eastAsia="Calibri" w:hAnsi="Times New Roman" w:cs="Times New Roman"/>
          <w:color w:val="4C4747"/>
          <w:spacing w:val="20"/>
          <w:sz w:val="24"/>
          <w:szCs w:val="24"/>
          <w:lang w:val="es-DO"/>
        </w:rPr>
        <w:t xml:space="preserve">Como parte del Programa Burocracia Cero, el </w:t>
      </w:r>
      <w:r w:rsidR="00B94808" w:rsidRPr="00855BE2">
        <w:rPr>
          <w:rFonts w:ascii="Times New Roman" w:eastAsia="Calibri" w:hAnsi="Times New Roman" w:cs="Times New Roman"/>
          <w:color w:val="4C4747"/>
          <w:spacing w:val="20"/>
          <w:sz w:val="24"/>
          <w:szCs w:val="24"/>
          <w:lang w:val="es-DO"/>
        </w:rPr>
        <w:t xml:space="preserve">INDOTEL </w:t>
      </w:r>
      <w:r w:rsidR="00D863B5">
        <w:rPr>
          <w:rFonts w:ascii="Times New Roman" w:eastAsia="Calibri" w:hAnsi="Times New Roman" w:cs="Times New Roman"/>
          <w:color w:val="4C4747"/>
          <w:spacing w:val="20"/>
          <w:sz w:val="24"/>
          <w:szCs w:val="24"/>
          <w:lang w:val="es-DO"/>
        </w:rPr>
        <w:t xml:space="preserve">tiene disponibles 7 trámites </w:t>
      </w:r>
      <w:r w:rsidR="001B6676">
        <w:rPr>
          <w:rFonts w:ascii="Times New Roman" w:eastAsia="Calibri" w:hAnsi="Times New Roman" w:cs="Times New Roman"/>
          <w:color w:val="4C4747"/>
          <w:spacing w:val="20"/>
          <w:sz w:val="24"/>
          <w:szCs w:val="24"/>
          <w:lang w:val="es-DO"/>
        </w:rPr>
        <w:t>en el Portal Único del Estado D</w:t>
      </w:r>
      <w:r w:rsidR="00D863B5">
        <w:rPr>
          <w:rFonts w:ascii="Times New Roman" w:eastAsia="Calibri" w:hAnsi="Times New Roman" w:cs="Times New Roman"/>
          <w:color w:val="4C4747"/>
          <w:spacing w:val="20"/>
          <w:sz w:val="24"/>
          <w:szCs w:val="24"/>
          <w:lang w:val="es-DO"/>
        </w:rPr>
        <w:t xml:space="preserve">ominicano y tres en la Ventanilla Única de Inversión del sector de las telecomunicaciones. </w:t>
      </w:r>
    </w:p>
    <w:p w14:paraId="3392E7C5" w14:textId="4C08FCCF" w:rsidR="00FA019C" w:rsidRPr="00A374FD" w:rsidRDefault="001F33D9" w:rsidP="00A02BDE">
      <w:pPr>
        <w:pStyle w:val="Ttulo1"/>
        <w:numPr>
          <w:ilvl w:val="0"/>
          <w:numId w:val="27"/>
        </w:numPr>
        <w:spacing w:line="360" w:lineRule="auto"/>
        <w:jc w:val="center"/>
        <w:rPr>
          <w:color w:val="4C4747"/>
          <w:spacing w:val="20"/>
          <w:lang w:val="es-DO"/>
        </w:rPr>
      </w:pPr>
      <w:bookmarkStart w:id="3" w:name="_Toc122425226"/>
      <w:bookmarkEnd w:id="1"/>
      <w:r w:rsidRPr="00A374FD">
        <w:rPr>
          <w:color w:val="4C4747"/>
          <w:spacing w:val="20"/>
          <w:lang w:val="es-DO"/>
        </w:rPr>
        <w:lastRenderedPageBreak/>
        <w:t>I</w:t>
      </w:r>
      <w:r w:rsidR="00566BEC" w:rsidRPr="00A374FD">
        <w:rPr>
          <w:color w:val="4C4747"/>
          <w:spacing w:val="20"/>
          <w:lang w:val="es-DO"/>
        </w:rPr>
        <w:t>NFORMACIÓ</w:t>
      </w:r>
      <w:r w:rsidRPr="00A374FD">
        <w:rPr>
          <w:color w:val="4C4747"/>
          <w:spacing w:val="20"/>
          <w:lang w:val="es-DO"/>
        </w:rPr>
        <w:t>N INSTITUCIONAL</w:t>
      </w:r>
      <w:bookmarkEnd w:id="3"/>
      <w:r w:rsidRPr="00A374FD">
        <w:rPr>
          <w:color w:val="4C4747"/>
          <w:spacing w:val="20"/>
          <w:lang w:val="es-DO"/>
        </w:rPr>
        <w:t xml:space="preserve"> </w:t>
      </w:r>
    </w:p>
    <w:p w14:paraId="25D250ED" w14:textId="77777777" w:rsidR="00FA019C" w:rsidRPr="00A374FD" w:rsidRDefault="00FA019C" w:rsidP="00FA019C">
      <w:pPr>
        <w:jc w:val="both"/>
        <w:rPr>
          <w:rFonts w:ascii="Times New Roman" w:eastAsia="Calibri" w:hAnsi="Times New Roman" w:cs="Times New Roman"/>
          <w:color w:val="4C4747"/>
          <w:sz w:val="18"/>
          <w:lang w:val="es-DO"/>
        </w:rPr>
      </w:pPr>
      <w:r w:rsidRPr="00A374FD">
        <w:rPr>
          <w:rFonts w:ascii="Times New Roman" w:eastAsia="Calibri" w:hAnsi="Times New Roman" w:cs="Times New Roman"/>
          <w:noProof/>
          <w:color w:val="4C4747"/>
          <w:sz w:val="18"/>
        </w:rPr>
        <mc:AlternateContent>
          <mc:Choice Requires="wps">
            <w:drawing>
              <wp:anchor distT="0" distB="0" distL="114300" distR="114300" simplePos="0" relativeHeight="251713536" behindDoc="0" locked="0" layoutInCell="1" allowOverlap="1" wp14:anchorId="377A243F" wp14:editId="63CD683D">
                <wp:simplePos x="0" y="0"/>
                <wp:positionH relativeFrom="margin">
                  <wp:posOffset>2254250</wp:posOffset>
                </wp:positionH>
                <wp:positionV relativeFrom="paragraph">
                  <wp:posOffset>36830</wp:posOffset>
                </wp:positionV>
                <wp:extent cx="463550" cy="0"/>
                <wp:effectExtent l="22860" t="15875" r="18415" b="22225"/>
                <wp:wrapNone/>
                <wp:docPr id="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5F54C" id="Straight Connector 21"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UBNAIAAE8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" strokecolor="#ee2a24" strokeweight="2.25pt">
                <v:stroke joinstyle="miter"/>
                <w10:wrap anchorx="margin"/>
              </v:line>
            </w:pict>
          </mc:Fallback>
        </mc:AlternateContent>
      </w:r>
    </w:p>
    <w:p w14:paraId="10775E34" w14:textId="4D7AA817" w:rsidR="00FA019C" w:rsidRPr="00A374FD" w:rsidRDefault="00591C1B" w:rsidP="00FA019C">
      <w:pPr>
        <w:jc w:val="center"/>
        <w:rPr>
          <w:rFonts w:ascii="Times New Roman" w:eastAsia="Calibri" w:hAnsi="Times New Roman" w:cs="Times New Roman"/>
          <w:color w:val="4C4747"/>
          <w:spacing w:val="20"/>
          <w:sz w:val="24"/>
          <w:szCs w:val="36"/>
          <w:lang w:val="es-DO"/>
        </w:rPr>
      </w:pPr>
      <w:r w:rsidRPr="00A374FD">
        <w:rPr>
          <w:rFonts w:ascii="Times New Roman" w:eastAsia="Calibri" w:hAnsi="Times New Roman" w:cs="Times New Roman"/>
          <w:color w:val="4C4747"/>
          <w:spacing w:val="20"/>
          <w:sz w:val="24"/>
          <w:szCs w:val="36"/>
          <w:lang w:val="es-DO"/>
        </w:rPr>
        <w:t>Memoria I</w:t>
      </w:r>
      <w:r w:rsidR="0053121F" w:rsidRPr="00A374FD">
        <w:rPr>
          <w:rFonts w:ascii="Times New Roman" w:eastAsia="Calibri" w:hAnsi="Times New Roman" w:cs="Times New Roman"/>
          <w:color w:val="4C4747"/>
          <w:spacing w:val="20"/>
          <w:sz w:val="24"/>
          <w:szCs w:val="36"/>
          <w:lang w:val="es-DO"/>
        </w:rPr>
        <w:t>nstitucional</w:t>
      </w:r>
      <w:r w:rsidR="00FA019C" w:rsidRPr="00A374FD">
        <w:rPr>
          <w:rFonts w:ascii="Times New Roman" w:eastAsia="Calibri" w:hAnsi="Times New Roman" w:cs="Times New Roman"/>
          <w:color w:val="4C4747"/>
          <w:spacing w:val="20"/>
          <w:sz w:val="24"/>
          <w:szCs w:val="36"/>
          <w:lang w:val="es-DO"/>
        </w:rPr>
        <w:t xml:space="preserve"> 2022</w:t>
      </w:r>
    </w:p>
    <w:p w14:paraId="4E65BD04" w14:textId="77777777" w:rsidR="00FA019C" w:rsidRPr="000E66D4" w:rsidRDefault="00FA019C" w:rsidP="00FA019C">
      <w:pPr>
        <w:spacing w:line="360" w:lineRule="auto"/>
        <w:jc w:val="both"/>
        <w:rPr>
          <w:rFonts w:ascii="Times New Roman" w:eastAsia="Calibri" w:hAnsi="Times New Roman" w:cs="Times New Roman"/>
          <w:color w:val="4C4747"/>
          <w:spacing w:val="20"/>
          <w:sz w:val="24"/>
          <w:szCs w:val="24"/>
          <w:lang w:val="es-DO"/>
        </w:rPr>
      </w:pPr>
    </w:p>
    <w:p w14:paraId="12654EAB" w14:textId="633E55E7" w:rsidR="00566BEC" w:rsidRPr="00A065A5" w:rsidRDefault="001C151B" w:rsidP="00A02BDE">
      <w:pPr>
        <w:pStyle w:val="Ttulo2"/>
        <w:numPr>
          <w:ilvl w:val="1"/>
          <w:numId w:val="27"/>
        </w:numPr>
        <w:rPr>
          <w:rFonts w:ascii="Times New Roman" w:hAnsi="Times New Roman" w:cs="Times New Roman"/>
          <w:b/>
          <w:color w:val="4C4747"/>
          <w:sz w:val="24"/>
          <w:szCs w:val="24"/>
          <w:lang w:val="es-DO"/>
        </w:rPr>
      </w:pPr>
      <w:bookmarkStart w:id="4" w:name="_Toc122425227"/>
      <w:r w:rsidRPr="00A065A5">
        <w:rPr>
          <w:rFonts w:ascii="Times New Roman" w:hAnsi="Times New Roman" w:cs="Times New Roman"/>
          <w:b/>
          <w:color w:val="4C4747"/>
          <w:sz w:val="24"/>
          <w:szCs w:val="24"/>
          <w:lang w:val="es-DO"/>
        </w:rPr>
        <w:t>Marco Filosófico Institucional</w:t>
      </w:r>
      <w:bookmarkEnd w:id="4"/>
    </w:p>
    <w:p w14:paraId="2B0E6B7D" w14:textId="77777777" w:rsidR="00A712DA" w:rsidRPr="00A065A5" w:rsidRDefault="00A712DA" w:rsidP="00A712DA">
      <w:pPr>
        <w:pStyle w:val="Prrafodelista"/>
        <w:rPr>
          <w:rFonts w:ascii="Times New Roman" w:hAnsi="Times New Roman" w:cs="Times New Roman"/>
          <w:color w:val="4C4747"/>
          <w:lang w:val="es-DO"/>
        </w:rPr>
      </w:pPr>
    </w:p>
    <w:p w14:paraId="7BFCFA04" w14:textId="015C00CD" w:rsidR="001C151B" w:rsidRPr="00A065A5" w:rsidRDefault="001C151B" w:rsidP="007C16C5">
      <w:pPr>
        <w:pStyle w:val="Ttulo3"/>
        <w:rPr>
          <w:rFonts w:ascii="Times New Roman" w:hAnsi="Times New Roman" w:cs="Times New Roman"/>
          <w:b/>
          <w:color w:val="4C4747"/>
          <w:lang w:val="es-DO"/>
        </w:rPr>
      </w:pPr>
      <w:bookmarkStart w:id="5" w:name="_Toc122425228"/>
      <w:r w:rsidRPr="00A065A5">
        <w:rPr>
          <w:rFonts w:ascii="Times New Roman" w:hAnsi="Times New Roman" w:cs="Times New Roman"/>
          <w:b/>
          <w:color w:val="4C4747"/>
          <w:lang w:val="es-DO"/>
        </w:rPr>
        <w:t>Misión</w:t>
      </w:r>
      <w:bookmarkEnd w:id="5"/>
    </w:p>
    <w:p w14:paraId="20360278" w14:textId="77777777" w:rsidR="007C16C5" w:rsidRPr="007C16C5" w:rsidRDefault="007C16C5" w:rsidP="007C16C5">
      <w:pPr>
        <w:spacing w:line="360" w:lineRule="auto"/>
        <w:jc w:val="both"/>
        <w:rPr>
          <w:rFonts w:ascii="Times New Roman" w:eastAsia="Calibri" w:hAnsi="Times New Roman" w:cs="Times New Roman"/>
          <w:color w:val="4C4747"/>
          <w:spacing w:val="20"/>
          <w:sz w:val="8"/>
          <w:szCs w:val="8"/>
          <w:lang w:val="es-DO"/>
        </w:rPr>
      </w:pPr>
    </w:p>
    <w:p w14:paraId="191B710D" w14:textId="77777777" w:rsidR="001C151B" w:rsidRPr="007C16C5" w:rsidRDefault="001C151B" w:rsidP="007C16C5">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Garantizar la oferta y acceso universal a los servicios de telecomunicaciones y certificación digital.</w:t>
      </w:r>
    </w:p>
    <w:p w14:paraId="4CCCCEB2" w14:textId="1F358CAD" w:rsidR="001C151B" w:rsidRPr="00A065A5" w:rsidRDefault="001C151B" w:rsidP="007C16C5">
      <w:pPr>
        <w:pStyle w:val="Ttulo3"/>
        <w:rPr>
          <w:rFonts w:ascii="Times New Roman" w:hAnsi="Times New Roman" w:cs="Times New Roman"/>
          <w:b/>
          <w:color w:val="4C4747"/>
          <w:lang w:val="es-DO"/>
        </w:rPr>
      </w:pPr>
      <w:bookmarkStart w:id="6" w:name="_Toc122425229"/>
      <w:r w:rsidRPr="00A065A5">
        <w:rPr>
          <w:rFonts w:ascii="Times New Roman" w:hAnsi="Times New Roman" w:cs="Times New Roman"/>
          <w:b/>
          <w:color w:val="4C4747"/>
          <w:lang w:val="es-DO"/>
        </w:rPr>
        <w:t>Visión</w:t>
      </w:r>
      <w:bookmarkEnd w:id="6"/>
    </w:p>
    <w:p w14:paraId="283B22F9" w14:textId="77777777" w:rsidR="007C16C5" w:rsidRPr="007C16C5" w:rsidRDefault="007C16C5" w:rsidP="007C16C5">
      <w:pPr>
        <w:spacing w:line="360" w:lineRule="auto"/>
        <w:jc w:val="both"/>
        <w:rPr>
          <w:rFonts w:ascii="Times New Roman" w:eastAsia="Calibri" w:hAnsi="Times New Roman" w:cs="Times New Roman"/>
          <w:color w:val="4C4747"/>
          <w:spacing w:val="20"/>
          <w:sz w:val="8"/>
          <w:szCs w:val="8"/>
          <w:lang w:val="es-DO"/>
        </w:rPr>
      </w:pPr>
    </w:p>
    <w:p w14:paraId="0BD8B4CB" w14:textId="77777777" w:rsidR="001C151B" w:rsidRPr="007C16C5" w:rsidRDefault="001C151B" w:rsidP="007C16C5">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Ser un regulador eficaz, que garantiza la inclusión digital, la calidad de los servicios de telecomunicaciones y certificación digital, siendo modelo de innovación.</w:t>
      </w:r>
    </w:p>
    <w:p w14:paraId="7800E0C1" w14:textId="7FB96E30" w:rsidR="001C151B" w:rsidRPr="00A065A5" w:rsidRDefault="001C151B" w:rsidP="007C16C5">
      <w:pPr>
        <w:pStyle w:val="Ttulo3"/>
        <w:rPr>
          <w:rFonts w:ascii="Times New Roman" w:hAnsi="Times New Roman" w:cs="Times New Roman"/>
          <w:b/>
          <w:color w:val="4C4747"/>
          <w:lang w:val="es-DO"/>
        </w:rPr>
      </w:pPr>
      <w:bookmarkStart w:id="7" w:name="_Toc122425230"/>
      <w:r w:rsidRPr="00A065A5">
        <w:rPr>
          <w:rFonts w:ascii="Times New Roman" w:hAnsi="Times New Roman" w:cs="Times New Roman"/>
          <w:b/>
          <w:color w:val="4C4747"/>
          <w:lang w:val="es-DO"/>
        </w:rPr>
        <w:t>Valores</w:t>
      </w:r>
      <w:r w:rsidR="007C16C5">
        <w:rPr>
          <w:rFonts w:ascii="Times New Roman" w:hAnsi="Times New Roman" w:cs="Times New Roman"/>
          <w:b/>
          <w:color w:val="4C4747"/>
          <w:lang w:val="es-DO"/>
        </w:rPr>
        <w:t>:</w:t>
      </w:r>
      <w:bookmarkEnd w:id="7"/>
    </w:p>
    <w:p w14:paraId="165CB8B7" w14:textId="77777777" w:rsidR="007D4866" w:rsidRPr="007C16C5" w:rsidRDefault="007D4866" w:rsidP="007D4866">
      <w:pPr>
        <w:rPr>
          <w:rFonts w:ascii="Times New Roman" w:hAnsi="Times New Roman" w:cs="Times New Roman"/>
          <w:sz w:val="8"/>
          <w:szCs w:val="8"/>
          <w:lang w:val="es-DO"/>
        </w:rPr>
      </w:pPr>
    </w:p>
    <w:p w14:paraId="0A934FDE" w14:textId="77777777" w:rsidR="00FA2624" w:rsidRPr="007C16C5" w:rsidRDefault="001C151B" w:rsidP="00A02BDE">
      <w:pPr>
        <w:pStyle w:val="Prrafodelista"/>
        <w:numPr>
          <w:ilvl w:val="0"/>
          <w:numId w:val="3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Transparencia:</w:t>
      </w:r>
      <w:r w:rsidR="00566BEC" w:rsidRPr="007C16C5">
        <w:rPr>
          <w:rFonts w:ascii="Times New Roman" w:eastAsia="Calibri" w:hAnsi="Times New Roman" w:cs="Times New Roman"/>
          <w:color w:val="4C4747"/>
          <w:spacing w:val="20"/>
          <w:sz w:val="24"/>
          <w:szCs w:val="24"/>
          <w:lang w:val="es-DO"/>
        </w:rPr>
        <w:t xml:space="preserve"> </w:t>
      </w:r>
      <w:r w:rsidRPr="007C16C5">
        <w:rPr>
          <w:rFonts w:ascii="Times New Roman" w:eastAsia="Calibri" w:hAnsi="Times New Roman" w:cs="Times New Roman"/>
          <w:color w:val="4C4747"/>
          <w:spacing w:val="20"/>
          <w:sz w:val="24"/>
          <w:szCs w:val="24"/>
          <w:lang w:val="es-DO"/>
        </w:rPr>
        <w:t xml:space="preserve">Trabajamos con honestidad, en consonancia con las mejores prácticas, abiertos al escrutinio público. </w:t>
      </w:r>
    </w:p>
    <w:p w14:paraId="47295931" w14:textId="506BB89C" w:rsidR="001C151B" w:rsidRPr="007C16C5" w:rsidRDefault="001C151B" w:rsidP="00A02BDE">
      <w:pPr>
        <w:pStyle w:val="Prrafodelista"/>
        <w:numPr>
          <w:ilvl w:val="0"/>
          <w:numId w:val="3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Compromiso:</w:t>
      </w:r>
      <w:r w:rsidR="00566BEC" w:rsidRPr="007C16C5">
        <w:rPr>
          <w:rFonts w:ascii="Times New Roman" w:eastAsia="Calibri" w:hAnsi="Times New Roman" w:cs="Times New Roman"/>
          <w:color w:val="4C4747"/>
          <w:spacing w:val="20"/>
          <w:sz w:val="24"/>
          <w:szCs w:val="24"/>
          <w:lang w:val="es-DO"/>
        </w:rPr>
        <w:t xml:space="preserve"> </w:t>
      </w:r>
      <w:r w:rsidRPr="007C16C5">
        <w:rPr>
          <w:rFonts w:ascii="Times New Roman" w:eastAsia="Calibri" w:hAnsi="Times New Roman" w:cs="Times New Roman"/>
          <w:color w:val="4C4747"/>
          <w:spacing w:val="20"/>
          <w:sz w:val="24"/>
          <w:szCs w:val="24"/>
          <w:lang w:val="es-DO"/>
        </w:rPr>
        <w:t>Garantizamos el complimiento de nuestras obligaciones con puntualidad, proactividad y calidad con apego a los objetivos de la institución.</w:t>
      </w:r>
    </w:p>
    <w:p w14:paraId="3F37A461" w14:textId="77777777" w:rsidR="001C151B" w:rsidRPr="007C16C5" w:rsidRDefault="001C151B" w:rsidP="00A02BDE">
      <w:pPr>
        <w:pStyle w:val="Prrafodelista"/>
        <w:numPr>
          <w:ilvl w:val="0"/>
          <w:numId w:val="3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Equidad:</w:t>
      </w:r>
      <w:r w:rsidRPr="007C16C5">
        <w:rPr>
          <w:rFonts w:ascii="Times New Roman" w:eastAsia="Calibri" w:hAnsi="Times New Roman" w:cs="Times New Roman"/>
          <w:color w:val="4C4747"/>
          <w:spacing w:val="20"/>
          <w:sz w:val="24"/>
          <w:szCs w:val="24"/>
          <w:lang w:val="es-DO"/>
        </w:rPr>
        <w:t xml:space="preserve"> Actuamos con justicia, dando igualdad de oportunidades a quienes servimos. </w:t>
      </w:r>
    </w:p>
    <w:p w14:paraId="155F0420" w14:textId="77777777" w:rsidR="001C151B" w:rsidRPr="007C16C5" w:rsidRDefault="001C151B" w:rsidP="00A02BDE">
      <w:pPr>
        <w:pStyle w:val="Prrafodelista"/>
        <w:numPr>
          <w:ilvl w:val="0"/>
          <w:numId w:val="3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Integridad:</w:t>
      </w:r>
      <w:r w:rsidRPr="007C16C5">
        <w:rPr>
          <w:rFonts w:ascii="Times New Roman" w:eastAsia="Calibri" w:hAnsi="Times New Roman" w:cs="Times New Roman"/>
          <w:color w:val="4C4747"/>
          <w:spacing w:val="20"/>
          <w:sz w:val="24"/>
          <w:szCs w:val="24"/>
          <w:lang w:val="es-DO"/>
        </w:rPr>
        <w:t xml:space="preserve"> Actuamos con el cumplimiento del deber conforme a las normas éticas y morales.</w:t>
      </w:r>
    </w:p>
    <w:p w14:paraId="792DF605" w14:textId="77777777" w:rsidR="001C151B" w:rsidRPr="007C11E2" w:rsidRDefault="001C151B" w:rsidP="001C151B">
      <w:pPr>
        <w:spacing w:line="360" w:lineRule="auto"/>
        <w:jc w:val="both"/>
        <w:rPr>
          <w:rFonts w:ascii="Times New Roman" w:eastAsia="Calibri" w:hAnsi="Times New Roman" w:cs="Times New Roman"/>
          <w:color w:val="4C4747"/>
          <w:spacing w:val="20"/>
          <w:sz w:val="24"/>
          <w:szCs w:val="24"/>
          <w:lang w:val="es-DO"/>
        </w:rPr>
      </w:pPr>
    </w:p>
    <w:p w14:paraId="6300F7B9" w14:textId="77777777" w:rsidR="00FA2624" w:rsidRPr="007C11E2" w:rsidRDefault="00FA2624" w:rsidP="001C151B">
      <w:pPr>
        <w:spacing w:line="360" w:lineRule="auto"/>
        <w:jc w:val="both"/>
        <w:rPr>
          <w:rFonts w:ascii="Times New Roman" w:eastAsia="Calibri" w:hAnsi="Times New Roman" w:cs="Times New Roman"/>
          <w:color w:val="4C4747"/>
          <w:spacing w:val="20"/>
          <w:sz w:val="24"/>
          <w:szCs w:val="24"/>
          <w:lang w:val="es-DO"/>
        </w:rPr>
      </w:pPr>
    </w:p>
    <w:p w14:paraId="6CFEB569" w14:textId="77777777" w:rsidR="00A712DA" w:rsidRPr="007C11E2" w:rsidRDefault="00A712DA" w:rsidP="001C151B">
      <w:pPr>
        <w:spacing w:line="360" w:lineRule="auto"/>
        <w:jc w:val="both"/>
        <w:rPr>
          <w:rFonts w:ascii="Times New Roman" w:eastAsia="Calibri" w:hAnsi="Times New Roman" w:cs="Times New Roman"/>
          <w:color w:val="4C4747"/>
          <w:spacing w:val="20"/>
          <w:sz w:val="24"/>
          <w:szCs w:val="24"/>
          <w:lang w:val="es-DO"/>
        </w:rPr>
      </w:pPr>
    </w:p>
    <w:p w14:paraId="60916DCA" w14:textId="242F77F1" w:rsidR="00A712DA" w:rsidRPr="007C11E2" w:rsidRDefault="00A712DA" w:rsidP="001C151B">
      <w:pPr>
        <w:spacing w:line="360" w:lineRule="auto"/>
        <w:jc w:val="both"/>
        <w:rPr>
          <w:rFonts w:ascii="Times New Roman" w:eastAsia="Calibri" w:hAnsi="Times New Roman" w:cs="Times New Roman"/>
          <w:color w:val="4C4747"/>
          <w:spacing w:val="20"/>
          <w:sz w:val="24"/>
          <w:szCs w:val="24"/>
          <w:lang w:val="es-DO"/>
        </w:rPr>
      </w:pPr>
    </w:p>
    <w:p w14:paraId="73441912" w14:textId="453DBE17" w:rsidR="001C151B" w:rsidRPr="007C11E2" w:rsidRDefault="00A712DA" w:rsidP="00A02BDE">
      <w:pPr>
        <w:pStyle w:val="Ttulo2"/>
        <w:numPr>
          <w:ilvl w:val="1"/>
          <w:numId w:val="27"/>
        </w:numPr>
        <w:rPr>
          <w:rFonts w:ascii="Times New Roman" w:hAnsi="Times New Roman" w:cs="Times New Roman"/>
          <w:b/>
          <w:color w:val="4C4747"/>
          <w:sz w:val="24"/>
          <w:szCs w:val="24"/>
          <w:lang w:val="es-DO"/>
        </w:rPr>
      </w:pPr>
      <w:r w:rsidRPr="007C11E2">
        <w:rPr>
          <w:rFonts w:ascii="Times New Roman" w:hAnsi="Times New Roman" w:cs="Times New Roman"/>
          <w:b/>
          <w:color w:val="4C4747"/>
          <w:sz w:val="24"/>
          <w:szCs w:val="24"/>
          <w:lang w:val="es-DO"/>
        </w:rPr>
        <w:lastRenderedPageBreak/>
        <w:t xml:space="preserve"> </w:t>
      </w:r>
      <w:bookmarkStart w:id="8" w:name="_Toc122425231"/>
      <w:r w:rsidR="001C151B" w:rsidRPr="007C11E2">
        <w:rPr>
          <w:rFonts w:ascii="Times New Roman" w:hAnsi="Times New Roman" w:cs="Times New Roman"/>
          <w:b/>
          <w:color w:val="4C4747"/>
          <w:sz w:val="24"/>
          <w:szCs w:val="24"/>
          <w:lang w:val="es-DO"/>
        </w:rPr>
        <w:t>Base Legal</w:t>
      </w:r>
      <w:bookmarkEnd w:id="8"/>
    </w:p>
    <w:p w14:paraId="6CB24395" w14:textId="77777777" w:rsidR="00A712DA" w:rsidRPr="007C11E2" w:rsidRDefault="00A712DA" w:rsidP="00A712DA">
      <w:pPr>
        <w:rPr>
          <w:rFonts w:ascii="Times New Roman" w:hAnsi="Times New Roman" w:cs="Times New Roman"/>
          <w:color w:val="4C4747"/>
          <w:lang w:val="es-DO"/>
        </w:rPr>
      </w:pPr>
    </w:p>
    <w:p w14:paraId="50A8E101" w14:textId="49C58FE2" w:rsidR="00792C87" w:rsidRPr="007C16C5" w:rsidRDefault="001C151B" w:rsidP="001C151B">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El Instituto Dominicano de las Telecomunicaciones (INDOTEL)</w:t>
      </w:r>
      <w:r w:rsidR="00436449" w:rsidRPr="007C16C5">
        <w:rPr>
          <w:rFonts w:ascii="Times New Roman" w:eastAsia="Calibri" w:hAnsi="Times New Roman" w:cs="Times New Roman"/>
          <w:color w:val="4C4747"/>
          <w:spacing w:val="20"/>
          <w:sz w:val="24"/>
          <w:szCs w:val="24"/>
          <w:lang w:val="es-DO"/>
        </w:rPr>
        <w:t>,</w:t>
      </w:r>
      <w:r w:rsidRPr="007C16C5">
        <w:rPr>
          <w:rFonts w:ascii="Times New Roman" w:eastAsia="Calibri" w:hAnsi="Times New Roman" w:cs="Times New Roman"/>
          <w:color w:val="4C4747"/>
          <w:spacing w:val="20"/>
          <w:sz w:val="24"/>
          <w:szCs w:val="24"/>
          <w:lang w:val="es-DO"/>
        </w:rPr>
        <w:t xml:space="preserve"> es el órgano regulador de las telecomunicaciones, creado en virtud de la Ley Gen</w:t>
      </w:r>
      <w:r w:rsidR="00436449" w:rsidRPr="007C16C5">
        <w:rPr>
          <w:rFonts w:ascii="Times New Roman" w:eastAsia="Calibri" w:hAnsi="Times New Roman" w:cs="Times New Roman"/>
          <w:color w:val="4C4747"/>
          <w:spacing w:val="20"/>
          <w:sz w:val="24"/>
          <w:szCs w:val="24"/>
          <w:lang w:val="es-DO"/>
        </w:rPr>
        <w:t>eral de Telecomunicaciones, número</w:t>
      </w:r>
      <w:r w:rsidRPr="007C16C5">
        <w:rPr>
          <w:rFonts w:ascii="Times New Roman" w:eastAsia="Calibri" w:hAnsi="Times New Roman" w:cs="Times New Roman"/>
          <w:color w:val="4C4747"/>
          <w:spacing w:val="20"/>
          <w:sz w:val="24"/>
          <w:szCs w:val="24"/>
          <w:lang w:val="es-DO"/>
        </w:rPr>
        <w:t xml:space="preserve"> 153-98. Entidad estatal descentralizada, con autonomía funcional, jurisdiccional y financiera, patrimonio propio, personalidad jurídica y con capacidad legal para adquirir derechos y contraer obligaciones. Realiza los actos y ejerce lo</w:t>
      </w:r>
      <w:r w:rsidR="00436449" w:rsidRPr="007C16C5">
        <w:rPr>
          <w:rFonts w:ascii="Times New Roman" w:eastAsia="Calibri" w:hAnsi="Times New Roman" w:cs="Times New Roman"/>
          <w:color w:val="4C4747"/>
          <w:spacing w:val="20"/>
          <w:sz w:val="24"/>
          <w:szCs w:val="24"/>
          <w:lang w:val="es-DO"/>
        </w:rPr>
        <w:t>s mandatos previstos en la Ley número</w:t>
      </w:r>
      <w:r w:rsidRPr="007C16C5">
        <w:rPr>
          <w:rFonts w:ascii="Times New Roman" w:eastAsia="Calibri" w:hAnsi="Times New Roman" w:cs="Times New Roman"/>
          <w:color w:val="4C4747"/>
          <w:spacing w:val="20"/>
          <w:sz w:val="24"/>
          <w:szCs w:val="24"/>
          <w:lang w:val="es-DO"/>
        </w:rPr>
        <w:t xml:space="preserve"> 153-98 y sus reglamentos. Tiene domicilio en la capital de la República y jurisdicción en materia de regulación y control de telecomunicaciones en todo el territorio nacional.</w:t>
      </w:r>
      <w:r w:rsidR="00FA2624" w:rsidRPr="007C16C5">
        <w:rPr>
          <w:rFonts w:ascii="Times New Roman" w:eastAsia="Calibri" w:hAnsi="Times New Roman" w:cs="Times New Roman"/>
          <w:color w:val="4C4747"/>
          <w:spacing w:val="20"/>
          <w:sz w:val="24"/>
          <w:szCs w:val="24"/>
          <w:lang w:val="es-DO"/>
        </w:rPr>
        <w:t xml:space="preserve"> </w:t>
      </w:r>
      <w:r w:rsidR="005E1C92" w:rsidRPr="007C16C5">
        <w:rPr>
          <w:rFonts w:ascii="Times New Roman" w:eastAsia="Calibri" w:hAnsi="Times New Roman" w:cs="Times New Roman"/>
          <w:color w:val="4C4747"/>
          <w:spacing w:val="20"/>
          <w:sz w:val="24"/>
          <w:szCs w:val="24"/>
          <w:lang w:val="es-DO"/>
        </w:rPr>
        <w:t xml:space="preserve"> </w:t>
      </w:r>
    </w:p>
    <w:p w14:paraId="40B0EC79" w14:textId="77777777" w:rsidR="00792C87" w:rsidRPr="007C16C5" w:rsidRDefault="00792C87" w:rsidP="00B4789A">
      <w:pPr>
        <w:spacing w:after="0" w:line="360" w:lineRule="auto"/>
        <w:jc w:val="both"/>
        <w:rPr>
          <w:rFonts w:ascii="Times New Roman" w:eastAsia="Calibri" w:hAnsi="Times New Roman" w:cs="Times New Roman"/>
          <w:color w:val="4C4747"/>
          <w:spacing w:val="20"/>
          <w:sz w:val="24"/>
          <w:szCs w:val="24"/>
          <w:lang w:val="es-DO"/>
        </w:rPr>
      </w:pPr>
    </w:p>
    <w:p w14:paraId="1A400786" w14:textId="05150C8F" w:rsidR="001C151B" w:rsidRPr="007C16C5" w:rsidRDefault="001C151B" w:rsidP="001C151B">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En adición, el IN</w:t>
      </w:r>
      <w:r w:rsidR="00436449" w:rsidRPr="007C16C5">
        <w:rPr>
          <w:rFonts w:ascii="Times New Roman" w:eastAsia="Calibri" w:hAnsi="Times New Roman" w:cs="Times New Roman"/>
          <w:color w:val="4C4747"/>
          <w:spacing w:val="20"/>
          <w:sz w:val="24"/>
          <w:szCs w:val="24"/>
          <w:lang w:val="es-DO"/>
        </w:rPr>
        <w:t>DOTEL por atribución de la Ley número</w:t>
      </w:r>
      <w:r w:rsidRPr="007C16C5">
        <w:rPr>
          <w:rFonts w:ascii="Times New Roman" w:eastAsia="Calibri" w:hAnsi="Times New Roman" w:cs="Times New Roman"/>
          <w:color w:val="4C4747"/>
          <w:spacing w:val="20"/>
          <w:sz w:val="24"/>
          <w:szCs w:val="24"/>
          <w:lang w:val="es-DO"/>
        </w:rPr>
        <w:t xml:space="preserve"> 126-02 sobre Comercio Electrónico, Documentos y Firmas Digitales ejerce la función de vigilancia y control de las actividades desarrolladas por las entidades de certificación. Tiene la facultad de inspeccionar los proveedores de servicios de firma electrónica y velar por el cumplimiento de las disposiciones legales y reglamentarias por parte de los mismos.  </w:t>
      </w:r>
    </w:p>
    <w:p w14:paraId="6E2496D0" w14:textId="77777777" w:rsidR="001C151B" w:rsidRPr="007C16C5" w:rsidRDefault="001C151B" w:rsidP="001C151B">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Las normativas legales que rigen el accionar del INDOTEL, son las siguientes: </w:t>
      </w:r>
    </w:p>
    <w:p w14:paraId="6E240BFD" w14:textId="0B5D3B03" w:rsidR="001C151B" w:rsidRPr="007C16C5" w:rsidRDefault="001C151B" w:rsidP="00A02BDE">
      <w:pPr>
        <w:pStyle w:val="Sinespaciado"/>
        <w:numPr>
          <w:ilvl w:val="0"/>
          <w:numId w:val="28"/>
        </w:numPr>
        <w:spacing w:line="360" w:lineRule="auto"/>
        <w:rPr>
          <w:color w:val="4C4747"/>
          <w:spacing w:val="20"/>
          <w:szCs w:val="24"/>
          <w:lang w:val="es-DO"/>
        </w:rPr>
      </w:pPr>
      <w:r w:rsidRPr="007C16C5">
        <w:rPr>
          <w:color w:val="4C4747"/>
          <w:spacing w:val="20"/>
          <w:szCs w:val="24"/>
          <w:lang w:val="es-DO"/>
        </w:rPr>
        <w:t>Ley General de Te</w:t>
      </w:r>
      <w:r w:rsidR="00436449" w:rsidRPr="007C16C5">
        <w:rPr>
          <w:color w:val="4C4747"/>
          <w:spacing w:val="20"/>
          <w:szCs w:val="24"/>
          <w:lang w:val="es-DO"/>
        </w:rPr>
        <w:t>lecomunicaciones número 153-98</w:t>
      </w:r>
    </w:p>
    <w:p w14:paraId="77ECD075" w14:textId="6BFC1EA4" w:rsidR="001C151B" w:rsidRPr="007C16C5" w:rsidRDefault="00436449" w:rsidP="00A02BDE">
      <w:pPr>
        <w:pStyle w:val="Sinespaciado"/>
        <w:numPr>
          <w:ilvl w:val="0"/>
          <w:numId w:val="28"/>
        </w:numPr>
        <w:spacing w:line="360" w:lineRule="auto"/>
        <w:rPr>
          <w:color w:val="4C4747"/>
          <w:spacing w:val="20"/>
          <w:szCs w:val="24"/>
          <w:lang w:val="es-DO"/>
        </w:rPr>
      </w:pPr>
      <w:r w:rsidRPr="007C16C5">
        <w:rPr>
          <w:color w:val="4C4747"/>
          <w:spacing w:val="20"/>
          <w:szCs w:val="24"/>
          <w:lang w:val="es-DO"/>
        </w:rPr>
        <w:t>Ley número</w:t>
      </w:r>
      <w:r w:rsidR="001C151B" w:rsidRPr="007C16C5">
        <w:rPr>
          <w:color w:val="4C4747"/>
          <w:spacing w:val="20"/>
          <w:szCs w:val="24"/>
          <w:lang w:val="es-DO"/>
        </w:rPr>
        <w:t xml:space="preserve"> 126-02 sobre Comercio Electrónico, Documentos y Firmas Digitales</w:t>
      </w:r>
    </w:p>
    <w:p w14:paraId="530619E7" w14:textId="423075F6" w:rsidR="001C151B" w:rsidRPr="007C16C5" w:rsidRDefault="001C151B" w:rsidP="00A02BDE">
      <w:pPr>
        <w:pStyle w:val="Sinespaciado"/>
        <w:numPr>
          <w:ilvl w:val="0"/>
          <w:numId w:val="28"/>
        </w:numPr>
        <w:spacing w:line="360" w:lineRule="auto"/>
        <w:rPr>
          <w:color w:val="4C4747"/>
          <w:spacing w:val="20"/>
          <w:szCs w:val="24"/>
          <w:lang w:val="es-DO"/>
        </w:rPr>
      </w:pPr>
      <w:r w:rsidRPr="007C16C5">
        <w:rPr>
          <w:color w:val="4C4747"/>
          <w:spacing w:val="20"/>
          <w:szCs w:val="24"/>
          <w:lang w:val="es-DO"/>
        </w:rPr>
        <w:t xml:space="preserve">Ley General de Libre </w:t>
      </w:r>
      <w:r w:rsidR="00436449" w:rsidRPr="007C16C5">
        <w:rPr>
          <w:color w:val="4C4747"/>
          <w:spacing w:val="20"/>
          <w:szCs w:val="24"/>
          <w:lang w:val="es-DO"/>
        </w:rPr>
        <w:t>Acceso a la Información Pública</w:t>
      </w:r>
      <w:r w:rsidRPr="007C16C5">
        <w:rPr>
          <w:color w:val="4C4747"/>
          <w:spacing w:val="20"/>
          <w:szCs w:val="24"/>
          <w:lang w:val="es-DO"/>
        </w:rPr>
        <w:t xml:space="preserve"> </w:t>
      </w:r>
      <w:r w:rsidR="00436449" w:rsidRPr="007C16C5">
        <w:rPr>
          <w:color w:val="4C4747"/>
          <w:spacing w:val="20"/>
          <w:szCs w:val="24"/>
          <w:lang w:val="es-DO"/>
        </w:rPr>
        <w:t>número</w:t>
      </w:r>
      <w:r w:rsidRPr="007C16C5">
        <w:rPr>
          <w:color w:val="4C4747"/>
          <w:spacing w:val="20"/>
          <w:szCs w:val="24"/>
          <w:lang w:val="es-DO"/>
        </w:rPr>
        <w:t xml:space="preserve"> 200-04  </w:t>
      </w:r>
    </w:p>
    <w:p w14:paraId="2FD1087F" w14:textId="2AA24EB3" w:rsidR="00A712DA" w:rsidRPr="007C16C5" w:rsidRDefault="001C151B" w:rsidP="00A02BDE">
      <w:pPr>
        <w:pStyle w:val="Sinespaciado"/>
        <w:numPr>
          <w:ilvl w:val="0"/>
          <w:numId w:val="28"/>
        </w:numPr>
        <w:spacing w:line="360" w:lineRule="auto"/>
        <w:rPr>
          <w:color w:val="4C4747"/>
          <w:spacing w:val="20"/>
          <w:szCs w:val="24"/>
          <w:lang w:val="es-DO"/>
        </w:rPr>
      </w:pPr>
      <w:r w:rsidRPr="007C16C5">
        <w:rPr>
          <w:color w:val="4C4747"/>
          <w:spacing w:val="20"/>
          <w:szCs w:val="24"/>
          <w:lang w:val="es-DO"/>
        </w:rPr>
        <w:t>Regl</w:t>
      </w:r>
      <w:r w:rsidR="00436449" w:rsidRPr="007C16C5">
        <w:rPr>
          <w:color w:val="4C4747"/>
          <w:spacing w:val="20"/>
          <w:szCs w:val="24"/>
          <w:lang w:val="es-DO"/>
        </w:rPr>
        <w:t>amento de Aplicación de la Ley número</w:t>
      </w:r>
      <w:r w:rsidRPr="007C16C5">
        <w:rPr>
          <w:color w:val="4C4747"/>
          <w:spacing w:val="20"/>
          <w:szCs w:val="24"/>
          <w:lang w:val="es-DO"/>
        </w:rPr>
        <w:t xml:space="preserve"> 126-02 sobre Comercio Electrónico, Do</w:t>
      </w:r>
      <w:r w:rsidR="00436449" w:rsidRPr="007C16C5">
        <w:rPr>
          <w:color w:val="4C4747"/>
          <w:spacing w:val="20"/>
          <w:szCs w:val="24"/>
          <w:lang w:val="es-DO"/>
        </w:rPr>
        <w:t>cumentos y Firmas Digitales</w:t>
      </w:r>
    </w:p>
    <w:p w14:paraId="6250121B" w14:textId="6B5F0FDF" w:rsidR="001C151B" w:rsidRPr="007C11E2" w:rsidRDefault="001C151B" w:rsidP="00A02BDE">
      <w:pPr>
        <w:pStyle w:val="Ttulo2"/>
        <w:numPr>
          <w:ilvl w:val="1"/>
          <w:numId w:val="27"/>
        </w:numPr>
        <w:rPr>
          <w:rFonts w:ascii="Times New Roman" w:hAnsi="Times New Roman" w:cs="Times New Roman"/>
          <w:b/>
          <w:color w:val="4C4747"/>
          <w:sz w:val="24"/>
          <w:szCs w:val="24"/>
          <w:lang w:val="es-DO"/>
        </w:rPr>
      </w:pPr>
      <w:r w:rsidRPr="007C11E2">
        <w:rPr>
          <w:rFonts w:ascii="Times New Roman" w:hAnsi="Times New Roman" w:cs="Times New Roman"/>
          <w:b/>
          <w:color w:val="4C4747"/>
          <w:sz w:val="24"/>
          <w:szCs w:val="24"/>
          <w:lang w:val="es-DO"/>
        </w:rPr>
        <w:lastRenderedPageBreak/>
        <w:t xml:space="preserve"> </w:t>
      </w:r>
      <w:bookmarkStart w:id="9" w:name="_Toc122425232"/>
      <w:r w:rsidRPr="007C11E2">
        <w:rPr>
          <w:rFonts w:ascii="Times New Roman" w:hAnsi="Times New Roman" w:cs="Times New Roman"/>
          <w:b/>
          <w:color w:val="4C4747"/>
          <w:sz w:val="24"/>
          <w:szCs w:val="24"/>
          <w:lang w:val="es-DO"/>
        </w:rPr>
        <w:t>Estructura Organizativa</w:t>
      </w:r>
      <w:bookmarkEnd w:id="9"/>
    </w:p>
    <w:p w14:paraId="63273C54" w14:textId="06F23078" w:rsidR="001C151B" w:rsidRPr="007C11E2" w:rsidRDefault="00A712DA" w:rsidP="00FA019C">
      <w:pPr>
        <w:spacing w:line="360" w:lineRule="auto"/>
        <w:jc w:val="both"/>
        <w:rPr>
          <w:rFonts w:ascii="Times New Roman" w:eastAsia="Calibri" w:hAnsi="Times New Roman" w:cs="Times New Roman"/>
          <w:color w:val="4C4747"/>
          <w:spacing w:val="20"/>
          <w:sz w:val="24"/>
          <w:szCs w:val="24"/>
          <w:lang w:val="es-DO"/>
        </w:rPr>
      </w:pPr>
      <w:r w:rsidRPr="007C11E2">
        <w:rPr>
          <w:rFonts w:ascii="Times New Roman" w:eastAsia="Calibri" w:hAnsi="Times New Roman" w:cs="Times New Roman"/>
          <w:noProof/>
          <w:color w:val="4C4747"/>
          <w:spacing w:val="20"/>
          <w:sz w:val="24"/>
          <w:szCs w:val="24"/>
        </w:rPr>
        <w:drawing>
          <wp:inline distT="0" distB="0" distL="0" distR="0" wp14:anchorId="143A30AF" wp14:editId="716FB544">
            <wp:extent cx="5029200" cy="650811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tructura Organizacional indotel-01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6508115"/>
                    </a:xfrm>
                    <a:prstGeom prst="rect">
                      <a:avLst/>
                    </a:prstGeom>
                  </pic:spPr>
                </pic:pic>
              </a:graphicData>
            </a:graphic>
          </wp:inline>
        </w:drawing>
      </w:r>
    </w:p>
    <w:p w14:paraId="0DC2B335" w14:textId="77777777" w:rsidR="001C151B" w:rsidRPr="007C11E2" w:rsidRDefault="001C151B" w:rsidP="00FA019C">
      <w:pPr>
        <w:spacing w:line="360" w:lineRule="auto"/>
        <w:jc w:val="both"/>
        <w:rPr>
          <w:rFonts w:ascii="Times New Roman" w:eastAsia="Calibri" w:hAnsi="Times New Roman" w:cs="Times New Roman"/>
          <w:color w:val="4C4747"/>
          <w:spacing w:val="20"/>
          <w:sz w:val="24"/>
          <w:szCs w:val="24"/>
          <w:lang w:val="es-DO"/>
        </w:rPr>
      </w:pPr>
    </w:p>
    <w:p w14:paraId="6A2D993C" w14:textId="77777777" w:rsidR="001C151B" w:rsidRPr="007C11E2" w:rsidRDefault="001C151B" w:rsidP="00FA019C">
      <w:pPr>
        <w:spacing w:line="360" w:lineRule="auto"/>
        <w:jc w:val="both"/>
        <w:rPr>
          <w:rFonts w:ascii="Times New Roman" w:eastAsia="Calibri" w:hAnsi="Times New Roman" w:cs="Times New Roman"/>
          <w:color w:val="4C4747"/>
          <w:spacing w:val="20"/>
          <w:sz w:val="24"/>
          <w:szCs w:val="24"/>
          <w:lang w:val="es-DO"/>
        </w:rPr>
      </w:pPr>
    </w:p>
    <w:p w14:paraId="77996875" w14:textId="77777777" w:rsidR="00A712DA" w:rsidRPr="007C11E2" w:rsidRDefault="00A712DA" w:rsidP="00FA019C">
      <w:pPr>
        <w:spacing w:line="360" w:lineRule="auto"/>
        <w:jc w:val="both"/>
        <w:rPr>
          <w:rFonts w:ascii="Times New Roman" w:eastAsia="Calibri" w:hAnsi="Times New Roman" w:cs="Times New Roman"/>
          <w:color w:val="4C4747"/>
          <w:spacing w:val="20"/>
          <w:sz w:val="24"/>
          <w:szCs w:val="24"/>
          <w:lang w:val="es-DO"/>
        </w:rPr>
      </w:pPr>
    </w:p>
    <w:p w14:paraId="39D0E063" w14:textId="77777777" w:rsidR="001C151B" w:rsidRPr="007C11E2" w:rsidRDefault="001C151B" w:rsidP="001C151B">
      <w:pPr>
        <w:spacing w:line="360" w:lineRule="auto"/>
        <w:jc w:val="both"/>
        <w:rPr>
          <w:rFonts w:ascii="Times New Roman" w:eastAsia="Calibri" w:hAnsi="Times New Roman" w:cs="Times New Roman"/>
          <w:b/>
          <w:color w:val="4C4747"/>
          <w:spacing w:val="20"/>
          <w:sz w:val="24"/>
          <w:szCs w:val="24"/>
          <w:lang w:val="es-DO"/>
        </w:rPr>
      </w:pPr>
      <w:r w:rsidRPr="007C11E2">
        <w:rPr>
          <w:rFonts w:ascii="Times New Roman" w:eastAsia="Calibri" w:hAnsi="Times New Roman" w:cs="Times New Roman"/>
          <w:b/>
          <w:color w:val="4C4747"/>
          <w:spacing w:val="20"/>
          <w:sz w:val="24"/>
          <w:szCs w:val="24"/>
          <w:lang w:val="es-DO"/>
        </w:rPr>
        <w:lastRenderedPageBreak/>
        <w:t>2.4 Planificación Estratégica Institucional</w:t>
      </w:r>
    </w:p>
    <w:p w14:paraId="7EE51D7E" w14:textId="3DAA44FE" w:rsidR="00B4789A" w:rsidRPr="007C11E2" w:rsidRDefault="001C151B" w:rsidP="001C151B">
      <w:pPr>
        <w:spacing w:line="360" w:lineRule="auto"/>
        <w:jc w:val="both"/>
        <w:rPr>
          <w:rFonts w:ascii="Times New Roman" w:eastAsia="Calibri" w:hAnsi="Times New Roman" w:cs="Times New Roman"/>
          <w:color w:val="4C4747"/>
          <w:spacing w:val="20"/>
          <w:sz w:val="24"/>
          <w:szCs w:val="24"/>
          <w:lang w:val="es-DO"/>
        </w:rPr>
      </w:pPr>
      <w:r w:rsidRPr="007C11E2">
        <w:rPr>
          <w:rFonts w:ascii="Times New Roman" w:eastAsia="Calibri" w:hAnsi="Times New Roman" w:cs="Times New Roman"/>
          <w:color w:val="4C4747"/>
          <w:spacing w:val="20"/>
          <w:sz w:val="24"/>
          <w:szCs w:val="24"/>
          <w:lang w:val="es-DO"/>
        </w:rPr>
        <w:t>El Plan Estratégico del Instituto Dominicano de las Telecomunicaciones (INDOTEL) 2021-2024, se enmarca en una construcción reflexiva que pretende maximizar el impacto de los esfuerzos a través de una imprescindible sinergia y armonía con la Estrategia Nacional de Desarrollo (END) y las políticas pautadas para el periodo por el gobierno dominicano, que parten de una realidad histórica sin precedentes para la democracia del país. La realidad somete a una atención especial del sector como un medio vital para las posibilidades de recuperación y competitividad en el actual estado de las cosas.</w:t>
      </w:r>
      <w:r w:rsidR="00B4789A" w:rsidRPr="007C11E2">
        <w:rPr>
          <w:rFonts w:ascii="Times New Roman" w:eastAsia="Calibri" w:hAnsi="Times New Roman" w:cs="Times New Roman"/>
          <w:color w:val="4C4747"/>
          <w:spacing w:val="20"/>
          <w:sz w:val="24"/>
          <w:szCs w:val="24"/>
          <w:lang w:val="es-DO"/>
        </w:rPr>
        <w:t xml:space="preserve"> </w:t>
      </w:r>
    </w:p>
    <w:p w14:paraId="140D4CD8" w14:textId="77777777" w:rsidR="00B4789A" w:rsidRPr="007C11E2" w:rsidRDefault="00B4789A" w:rsidP="00B4789A">
      <w:pPr>
        <w:spacing w:after="0" w:line="360" w:lineRule="auto"/>
        <w:jc w:val="both"/>
        <w:rPr>
          <w:rFonts w:ascii="Times New Roman" w:eastAsia="Calibri" w:hAnsi="Times New Roman" w:cs="Times New Roman"/>
          <w:color w:val="4C4747"/>
          <w:spacing w:val="20"/>
          <w:sz w:val="24"/>
          <w:szCs w:val="24"/>
          <w:lang w:val="es-DO"/>
        </w:rPr>
      </w:pPr>
    </w:p>
    <w:p w14:paraId="32B5DA25" w14:textId="0DCB568C" w:rsidR="001C151B" w:rsidRPr="00156419" w:rsidRDefault="001C151B" w:rsidP="001C151B">
      <w:pPr>
        <w:spacing w:line="360" w:lineRule="auto"/>
        <w:jc w:val="both"/>
        <w:rPr>
          <w:rFonts w:ascii="Times New Roman" w:eastAsia="Calibri" w:hAnsi="Times New Roman" w:cs="Times New Roman"/>
          <w:color w:val="4C4747"/>
          <w:spacing w:val="20"/>
          <w:sz w:val="24"/>
          <w:szCs w:val="24"/>
          <w:lang w:val="es-DO"/>
        </w:rPr>
      </w:pPr>
      <w:r w:rsidRPr="007C11E2">
        <w:rPr>
          <w:rFonts w:ascii="Times New Roman" w:eastAsia="Calibri" w:hAnsi="Times New Roman" w:cs="Times New Roman"/>
          <w:color w:val="4C4747"/>
          <w:spacing w:val="20"/>
          <w:sz w:val="24"/>
          <w:szCs w:val="24"/>
          <w:lang w:val="es-DO"/>
        </w:rPr>
        <w:t>El avance que necesita el sector de las telecomunicaciones en el periodo 2021-2024 requiere de la puesta al día del marco normativo en sus</w:t>
      </w:r>
      <w:r w:rsidRPr="00156419">
        <w:rPr>
          <w:rFonts w:ascii="Times New Roman" w:eastAsia="Calibri" w:hAnsi="Times New Roman" w:cs="Times New Roman"/>
          <w:color w:val="4C4747"/>
          <w:spacing w:val="20"/>
          <w:sz w:val="24"/>
          <w:szCs w:val="24"/>
          <w:lang w:val="es-DO"/>
        </w:rPr>
        <w:t xml:space="preserve"> principales instrumentos, de dar vida a una gestión oportuna, firme y transparente del espectro, pero aún más importante, el contundente compromiso con la</w:t>
      </w:r>
      <w:r w:rsidR="00855BE2" w:rsidRPr="00156419">
        <w:rPr>
          <w:rFonts w:ascii="Times New Roman" w:eastAsia="Calibri" w:hAnsi="Times New Roman" w:cs="Times New Roman"/>
          <w:color w:val="4C4747"/>
          <w:spacing w:val="20"/>
          <w:sz w:val="24"/>
          <w:szCs w:val="24"/>
          <w:lang w:val="es-DO"/>
        </w:rPr>
        <w:t xml:space="preserve"> transformación digital.</w:t>
      </w:r>
    </w:p>
    <w:p w14:paraId="355AA1EB" w14:textId="77777777" w:rsidR="00B4789A" w:rsidRPr="00156419" w:rsidRDefault="00B4789A" w:rsidP="00B4789A">
      <w:pPr>
        <w:spacing w:after="0" w:line="360" w:lineRule="auto"/>
        <w:jc w:val="both"/>
        <w:rPr>
          <w:rFonts w:ascii="Times New Roman" w:eastAsia="Calibri" w:hAnsi="Times New Roman" w:cs="Times New Roman"/>
          <w:color w:val="4C4747"/>
          <w:spacing w:val="20"/>
          <w:sz w:val="24"/>
          <w:szCs w:val="24"/>
          <w:lang w:val="es-DO"/>
        </w:rPr>
      </w:pPr>
    </w:p>
    <w:p w14:paraId="637BC277" w14:textId="77777777" w:rsidR="001C151B" w:rsidRPr="00156419" w:rsidRDefault="001C151B" w:rsidP="00B4789A">
      <w:pPr>
        <w:spacing w:after="0" w:line="360" w:lineRule="auto"/>
        <w:jc w:val="both"/>
        <w:rPr>
          <w:rFonts w:ascii="Times New Roman" w:eastAsia="Calibri" w:hAnsi="Times New Roman" w:cs="Times New Roman"/>
          <w:color w:val="4C4747"/>
          <w:spacing w:val="20"/>
          <w:sz w:val="24"/>
          <w:szCs w:val="24"/>
          <w:lang w:val="es-DO"/>
        </w:rPr>
      </w:pPr>
      <w:r w:rsidRPr="00156419">
        <w:rPr>
          <w:rFonts w:ascii="Times New Roman" w:eastAsia="Calibri" w:hAnsi="Times New Roman" w:cs="Times New Roman"/>
          <w:color w:val="4C4747"/>
          <w:spacing w:val="20"/>
          <w:sz w:val="24"/>
          <w:szCs w:val="24"/>
          <w:lang w:val="es-DO"/>
        </w:rPr>
        <w:t>El Plan Estratégico Institucional (PEI) 2021-2024 fue elaborado siguiendo los lineamientos del Ministerio de Economía, Planificación y Desarrollo (MEPyD) y posteriormente aprobado y validado por dicho Ministerio mediante comunicación MEPyD-INT-2021-06888, de fecha 13 de agosto de 2021.</w:t>
      </w:r>
    </w:p>
    <w:p w14:paraId="3A1356E1" w14:textId="77777777" w:rsidR="00B4789A" w:rsidRPr="00156419" w:rsidRDefault="00B4789A" w:rsidP="00B4789A">
      <w:pPr>
        <w:spacing w:after="0" w:line="360" w:lineRule="auto"/>
        <w:jc w:val="both"/>
        <w:rPr>
          <w:rFonts w:ascii="Times New Roman" w:eastAsia="Calibri" w:hAnsi="Times New Roman" w:cs="Times New Roman"/>
          <w:color w:val="4C4747"/>
          <w:spacing w:val="20"/>
          <w:sz w:val="24"/>
          <w:szCs w:val="24"/>
          <w:lang w:val="es-DO"/>
        </w:rPr>
      </w:pPr>
    </w:p>
    <w:p w14:paraId="3F5A3DC2" w14:textId="02B60555" w:rsidR="001C151B" w:rsidRPr="00156419" w:rsidRDefault="001C151B" w:rsidP="001C151B">
      <w:pPr>
        <w:spacing w:line="360" w:lineRule="auto"/>
        <w:jc w:val="both"/>
        <w:rPr>
          <w:rFonts w:ascii="Times New Roman" w:eastAsia="Calibri" w:hAnsi="Times New Roman" w:cs="Times New Roman"/>
          <w:color w:val="4C4747"/>
          <w:spacing w:val="20"/>
          <w:sz w:val="24"/>
          <w:szCs w:val="24"/>
          <w:lang w:val="es-DO"/>
        </w:rPr>
      </w:pPr>
      <w:r w:rsidRPr="00156419">
        <w:rPr>
          <w:rFonts w:ascii="Times New Roman" w:eastAsia="Calibri" w:hAnsi="Times New Roman" w:cs="Times New Roman"/>
          <w:color w:val="4C4747"/>
          <w:spacing w:val="20"/>
          <w:sz w:val="24"/>
          <w:szCs w:val="24"/>
          <w:lang w:val="es-DO"/>
        </w:rPr>
        <w:t>El Plan Estratégico Institucional (PEI) 2021-2024 del IN</w:t>
      </w:r>
      <w:r w:rsidR="00436449" w:rsidRPr="00156419">
        <w:rPr>
          <w:rFonts w:ascii="Times New Roman" w:eastAsia="Calibri" w:hAnsi="Times New Roman" w:cs="Times New Roman"/>
          <w:color w:val="4C4747"/>
          <w:spacing w:val="20"/>
          <w:sz w:val="24"/>
          <w:szCs w:val="24"/>
          <w:lang w:val="es-DO"/>
        </w:rPr>
        <w:t>DOTEL, está estructurado por 4 ejes e</w:t>
      </w:r>
      <w:r w:rsidRPr="00156419">
        <w:rPr>
          <w:rFonts w:ascii="Times New Roman" w:eastAsia="Calibri" w:hAnsi="Times New Roman" w:cs="Times New Roman"/>
          <w:color w:val="4C4747"/>
          <w:spacing w:val="20"/>
          <w:sz w:val="24"/>
          <w:szCs w:val="24"/>
          <w:lang w:val="es-DO"/>
        </w:rPr>
        <w:t xml:space="preserve">stratégicos, los cuales son: Regulación Efectiva, Protección y Servicios a los Usuarios, Acceso e Infraestructura y Fortalecimiento Institucional. Los productos </w:t>
      </w:r>
      <w:r w:rsidR="00436449" w:rsidRPr="00156419">
        <w:rPr>
          <w:rFonts w:ascii="Times New Roman" w:eastAsia="Calibri" w:hAnsi="Times New Roman" w:cs="Times New Roman"/>
          <w:color w:val="4C4747"/>
          <w:spacing w:val="20"/>
          <w:sz w:val="24"/>
          <w:szCs w:val="24"/>
          <w:lang w:val="es-DO"/>
        </w:rPr>
        <w:t>establecidos en estos e</w:t>
      </w:r>
      <w:r w:rsidRPr="00156419">
        <w:rPr>
          <w:rFonts w:ascii="Times New Roman" w:eastAsia="Calibri" w:hAnsi="Times New Roman" w:cs="Times New Roman"/>
          <w:color w:val="4C4747"/>
          <w:spacing w:val="20"/>
          <w:sz w:val="24"/>
          <w:szCs w:val="24"/>
          <w:lang w:val="es-DO"/>
        </w:rPr>
        <w:t>jes, son incluidos en el Plan Operativo Anual (POA).</w:t>
      </w:r>
    </w:p>
    <w:p w14:paraId="11A35D16" w14:textId="77777777" w:rsidR="001C151B" w:rsidRPr="00156419" w:rsidRDefault="001C151B" w:rsidP="001C151B">
      <w:pPr>
        <w:spacing w:line="360" w:lineRule="auto"/>
        <w:jc w:val="both"/>
        <w:rPr>
          <w:rFonts w:ascii="Times New Roman" w:eastAsia="Calibri" w:hAnsi="Times New Roman" w:cs="Times New Roman"/>
          <w:color w:val="4C4747"/>
          <w:spacing w:val="20"/>
          <w:sz w:val="24"/>
          <w:szCs w:val="24"/>
          <w:lang w:val="es-DO"/>
        </w:rPr>
      </w:pPr>
      <w:r w:rsidRPr="00156419">
        <w:rPr>
          <w:rFonts w:ascii="Times New Roman" w:eastAsia="Calibri" w:hAnsi="Times New Roman" w:cs="Times New Roman"/>
          <w:color w:val="4C4747"/>
          <w:spacing w:val="20"/>
          <w:sz w:val="24"/>
          <w:szCs w:val="24"/>
          <w:lang w:val="es-DO"/>
        </w:rPr>
        <w:lastRenderedPageBreak/>
        <w:t>Los principales componentes del Plan Estratégico Institucional (PEI) 2021-2024 del INDOTEL son:</w:t>
      </w:r>
    </w:p>
    <w:p w14:paraId="40D2C7D3" w14:textId="77777777" w:rsidR="00436449" w:rsidRPr="00156419" w:rsidRDefault="00436449" w:rsidP="001C151B">
      <w:pPr>
        <w:spacing w:line="360" w:lineRule="auto"/>
        <w:jc w:val="both"/>
        <w:rPr>
          <w:rFonts w:ascii="Times New Roman" w:eastAsia="Calibri" w:hAnsi="Times New Roman" w:cs="Times New Roman"/>
          <w:color w:val="4C4747"/>
          <w:spacing w:val="20"/>
          <w:sz w:val="24"/>
          <w:szCs w:val="24"/>
          <w:lang w:val="es-DO"/>
        </w:rPr>
      </w:pPr>
    </w:p>
    <w:p w14:paraId="2F09F842" w14:textId="1BF74C39" w:rsidR="00B4789A" w:rsidRPr="00156419" w:rsidRDefault="001C151B" w:rsidP="00436449">
      <w:pPr>
        <w:spacing w:before="240" w:line="360" w:lineRule="auto"/>
        <w:jc w:val="both"/>
        <w:rPr>
          <w:rFonts w:ascii="Times New Roman" w:eastAsia="Calibri" w:hAnsi="Times New Roman" w:cs="Times New Roman"/>
          <w:b/>
          <w:color w:val="4C4747"/>
          <w:spacing w:val="20"/>
          <w:sz w:val="24"/>
          <w:szCs w:val="24"/>
          <w:lang w:val="es-DO"/>
        </w:rPr>
      </w:pPr>
      <w:r w:rsidRPr="00156419">
        <w:rPr>
          <w:rFonts w:ascii="Times New Roman" w:eastAsia="Calibri" w:hAnsi="Times New Roman" w:cs="Times New Roman"/>
          <w:b/>
          <w:color w:val="4C4747"/>
          <w:spacing w:val="20"/>
          <w:sz w:val="24"/>
          <w:szCs w:val="24"/>
          <w:lang w:val="es-DO"/>
        </w:rPr>
        <w:t>Eje Estratégico 1: Regulación Efectiva</w:t>
      </w:r>
    </w:p>
    <w:p w14:paraId="21F1EBED" w14:textId="6993100B" w:rsidR="001C151B" w:rsidRPr="00156419" w:rsidRDefault="001C151B" w:rsidP="001C151B">
      <w:pPr>
        <w:spacing w:line="360" w:lineRule="auto"/>
        <w:jc w:val="both"/>
        <w:rPr>
          <w:rFonts w:ascii="Times New Roman" w:eastAsia="Calibri" w:hAnsi="Times New Roman" w:cs="Times New Roman"/>
          <w:color w:val="4C4747"/>
          <w:spacing w:val="20"/>
          <w:sz w:val="24"/>
          <w:szCs w:val="24"/>
          <w:lang w:val="es-DO"/>
        </w:rPr>
      </w:pPr>
      <w:r w:rsidRPr="00156419">
        <w:rPr>
          <w:rFonts w:ascii="Times New Roman" w:eastAsia="Calibri" w:hAnsi="Times New Roman" w:cs="Times New Roman"/>
          <w:b/>
          <w:color w:val="4C4747"/>
          <w:spacing w:val="20"/>
          <w:sz w:val="24"/>
          <w:szCs w:val="24"/>
          <w:lang w:val="es-DO"/>
        </w:rPr>
        <w:t>Objetivo Estratégico</w:t>
      </w:r>
      <w:r w:rsidRPr="00156419">
        <w:rPr>
          <w:rFonts w:ascii="Times New Roman" w:eastAsia="Calibri" w:hAnsi="Times New Roman" w:cs="Times New Roman"/>
          <w:color w:val="4C4747"/>
          <w:spacing w:val="20"/>
          <w:sz w:val="24"/>
          <w:szCs w:val="24"/>
          <w:lang w:val="es-DO"/>
        </w:rPr>
        <w:t>: Regular y supervisar de manera eficaz y pertinente el mercado de telecomunicaciones, fomentando la innovación y la libre competencia.</w:t>
      </w:r>
    </w:p>
    <w:tbl>
      <w:tblPr>
        <w:tblStyle w:val="Tablaconcuadrcula9"/>
        <w:tblW w:w="7938" w:type="dxa"/>
        <w:tblInd w:w="-5" w:type="dxa"/>
        <w:tblLook w:val="04A0" w:firstRow="1" w:lastRow="0" w:firstColumn="1" w:lastColumn="0" w:noHBand="0" w:noVBand="1"/>
      </w:tblPr>
      <w:tblGrid>
        <w:gridCol w:w="2205"/>
        <w:gridCol w:w="2126"/>
        <w:gridCol w:w="1906"/>
        <w:gridCol w:w="1701"/>
      </w:tblGrid>
      <w:tr w:rsidR="001C151B" w:rsidRPr="001C151B" w14:paraId="18DB89F2" w14:textId="77777777" w:rsidTr="00F676AC">
        <w:trPr>
          <w:trHeight w:val="958"/>
        </w:trPr>
        <w:tc>
          <w:tcPr>
            <w:tcW w:w="2205" w:type="dxa"/>
            <w:shd w:val="clear" w:color="auto" w:fill="003876"/>
            <w:vAlign w:val="center"/>
          </w:tcPr>
          <w:p w14:paraId="274B23EE" w14:textId="77777777" w:rsidR="001C151B" w:rsidRPr="001C151B" w:rsidRDefault="001C151B" w:rsidP="001C151B">
            <w:pPr>
              <w:spacing w:line="360" w:lineRule="auto"/>
              <w:jc w:val="center"/>
              <w:rPr>
                <w:rFonts w:ascii="Times New Roman" w:eastAsia="Calibri" w:hAnsi="Times New Roman" w:cs="Times New Roman"/>
                <w:b/>
                <w:color w:val="FFFFFF"/>
                <w:lang w:val="es-DO" w:eastAsia="es-DO"/>
              </w:rPr>
            </w:pPr>
            <w:r w:rsidRPr="001C151B">
              <w:rPr>
                <w:rFonts w:ascii="Times New Roman" w:eastAsia="Calibri" w:hAnsi="Times New Roman" w:cs="Times New Roman"/>
                <w:b/>
                <w:color w:val="FFFFFF"/>
                <w:lang w:val="es-DO" w:eastAsia="es-DO"/>
              </w:rPr>
              <w:t>Resultado Institucional</w:t>
            </w:r>
          </w:p>
        </w:tc>
        <w:tc>
          <w:tcPr>
            <w:tcW w:w="2126" w:type="dxa"/>
            <w:shd w:val="clear" w:color="auto" w:fill="003876"/>
            <w:vAlign w:val="center"/>
          </w:tcPr>
          <w:p w14:paraId="08AE287F" w14:textId="77777777" w:rsidR="001C151B" w:rsidRPr="001C151B" w:rsidRDefault="001C151B" w:rsidP="001C151B">
            <w:pPr>
              <w:spacing w:line="360" w:lineRule="auto"/>
              <w:jc w:val="center"/>
              <w:rPr>
                <w:rFonts w:ascii="Times New Roman" w:eastAsia="Calibri" w:hAnsi="Times New Roman" w:cs="Times New Roman"/>
                <w:b/>
                <w:color w:val="FFFFFF"/>
                <w:lang w:val="es-DO" w:eastAsia="es-DO"/>
              </w:rPr>
            </w:pPr>
            <w:r w:rsidRPr="001C151B">
              <w:rPr>
                <w:rFonts w:ascii="Times New Roman" w:eastAsia="Calibri" w:hAnsi="Times New Roman" w:cs="Times New Roman"/>
                <w:b/>
                <w:color w:val="FFFFFF"/>
                <w:lang w:val="es-DO" w:eastAsia="es-DO"/>
              </w:rPr>
              <w:t xml:space="preserve">Objetivo </w:t>
            </w:r>
          </w:p>
          <w:p w14:paraId="1C544B1C" w14:textId="77777777" w:rsidR="001C151B" w:rsidRPr="001C151B" w:rsidRDefault="001C151B" w:rsidP="001C151B">
            <w:pPr>
              <w:spacing w:line="360" w:lineRule="auto"/>
              <w:jc w:val="center"/>
              <w:rPr>
                <w:rFonts w:ascii="Times New Roman" w:eastAsia="Calibri" w:hAnsi="Times New Roman" w:cs="Times New Roman"/>
                <w:b/>
                <w:color w:val="FFFFFF"/>
                <w:lang w:val="es-DO" w:eastAsia="es-DO"/>
              </w:rPr>
            </w:pPr>
            <w:r w:rsidRPr="001C151B">
              <w:rPr>
                <w:rFonts w:ascii="Times New Roman" w:eastAsia="Calibri" w:hAnsi="Times New Roman" w:cs="Times New Roman"/>
                <w:b/>
                <w:color w:val="FFFFFF"/>
                <w:lang w:val="es-DO" w:eastAsia="es-DO"/>
              </w:rPr>
              <w:t>General END</w:t>
            </w:r>
          </w:p>
        </w:tc>
        <w:tc>
          <w:tcPr>
            <w:tcW w:w="1906" w:type="dxa"/>
            <w:shd w:val="clear" w:color="auto" w:fill="003876"/>
            <w:vAlign w:val="center"/>
          </w:tcPr>
          <w:p w14:paraId="68D222C6" w14:textId="77777777" w:rsidR="001C151B" w:rsidRPr="001C151B" w:rsidRDefault="001C151B" w:rsidP="001C151B">
            <w:pPr>
              <w:spacing w:line="360" w:lineRule="auto"/>
              <w:jc w:val="center"/>
              <w:rPr>
                <w:rFonts w:ascii="Times New Roman" w:eastAsia="Calibri" w:hAnsi="Times New Roman" w:cs="Times New Roman"/>
                <w:b/>
                <w:color w:val="FFFFFF"/>
                <w:lang w:val="es-DO" w:eastAsia="es-DO"/>
              </w:rPr>
            </w:pPr>
            <w:r w:rsidRPr="001C151B">
              <w:rPr>
                <w:rFonts w:ascii="Times New Roman" w:eastAsia="Calibri" w:hAnsi="Times New Roman" w:cs="Times New Roman"/>
                <w:b/>
                <w:color w:val="FFFFFF"/>
                <w:lang w:val="es-DO" w:eastAsia="es-DO"/>
              </w:rPr>
              <w:t>Objetivo Específico END</w:t>
            </w:r>
          </w:p>
        </w:tc>
        <w:tc>
          <w:tcPr>
            <w:tcW w:w="1701" w:type="dxa"/>
            <w:shd w:val="clear" w:color="auto" w:fill="003876"/>
            <w:vAlign w:val="center"/>
          </w:tcPr>
          <w:p w14:paraId="608CE935" w14:textId="77777777" w:rsidR="001C151B" w:rsidRPr="001C151B" w:rsidRDefault="001C151B" w:rsidP="001C151B">
            <w:pPr>
              <w:spacing w:line="360" w:lineRule="auto"/>
              <w:jc w:val="center"/>
              <w:rPr>
                <w:rFonts w:ascii="Times New Roman" w:eastAsia="Calibri" w:hAnsi="Times New Roman" w:cs="Times New Roman"/>
                <w:b/>
                <w:color w:val="FFFFFF"/>
                <w:lang w:val="es-DO" w:eastAsia="es-DO"/>
              </w:rPr>
            </w:pPr>
            <w:r w:rsidRPr="001C151B">
              <w:rPr>
                <w:rFonts w:ascii="Times New Roman" w:eastAsia="Calibri" w:hAnsi="Times New Roman" w:cs="Times New Roman"/>
                <w:b/>
                <w:color w:val="FFFFFF"/>
                <w:lang w:val="es-DO" w:eastAsia="es-DO"/>
              </w:rPr>
              <w:t>Líneas de Acción END</w:t>
            </w:r>
          </w:p>
        </w:tc>
      </w:tr>
      <w:tr w:rsidR="00156419" w:rsidRPr="00156419" w14:paraId="5A709DA9" w14:textId="77777777" w:rsidTr="00F676AC">
        <w:trPr>
          <w:trHeight w:val="732"/>
        </w:trPr>
        <w:tc>
          <w:tcPr>
            <w:tcW w:w="2205" w:type="dxa"/>
          </w:tcPr>
          <w:p w14:paraId="3947CDC6" w14:textId="77777777" w:rsidR="001C151B" w:rsidRPr="00156419" w:rsidRDefault="001C151B" w:rsidP="000E66D4">
            <w:pPr>
              <w:spacing w:line="360" w:lineRule="auto"/>
              <w:rPr>
                <w:rFonts w:ascii="Times New Roman" w:eastAsia="Calibri" w:hAnsi="Times New Roman" w:cs="Times New Roman"/>
                <w:color w:val="4C4747"/>
                <w:lang w:val="es-DO" w:eastAsia="es-DO"/>
              </w:rPr>
            </w:pPr>
            <w:r w:rsidRPr="00156419">
              <w:rPr>
                <w:rFonts w:ascii="Times New Roman" w:eastAsia="Calibri" w:hAnsi="Times New Roman" w:cs="Times New Roman"/>
                <w:color w:val="4C4747"/>
                <w:lang w:val="es-DO" w:eastAsia="es-DO"/>
              </w:rPr>
              <w:t xml:space="preserve">Aumentada la </w:t>
            </w:r>
          </w:p>
          <w:p w14:paraId="12ADFC00" w14:textId="77777777" w:rsidR="001C151B" w:rsidRPr="00156419" w:rsidRDefault="001C151B" w:rsidP="000E66D4">
            <w:pPr>
              <w:spacing w:line="360" w:lineRule="auto"/>
              <w:rPr>
                <w:rFonts w:ascii="Times New Roman" w:eastAsia="Calibri" w:hAnsi="Times New Roman" w:cs="Times New Roman"/>
                <w:color w:val="4C4747"/>
                <w:lang w:val="es-DO" w:eastAsia="es-DO"/>
              </w:rPr>
            </w:pPr>
            <w:r w:rsidRPr="00156419">
              <w:rPr>
                <w:rFonts w:ascii="Times New Roman" w:eastAsia="Calibri" w:hAnsi="Times New Roman" w:cs="Times New Roman"/>
                <w:color w:val="4C4747"/>
                <w:lang w:val="es-DO" w:eastAsia="es-DO"/>
              </w:rPr>
              <w:t xml:space="preserve">seguridad y confianza </w:t>
            </w:r>
          </w:p>
          <w:p w14:paraId="37A94206" w14:textId="77777777" w:rsidR="001C151B" w:rsidRPr="00156419" w:rsidRDefault="001C151B" w:rsidP="000E66D4">
            <w:pPr>
              <w:spacing w:line="360" w:lineRule="auto"/>
              <w:rPr>
                <w:rFonts w:ascii="Times New Roman" w:eastAsia="Calibri" w:hAnsi="Times New Roman" w:cs="Times New Roman"/>
                <w:color w:val="4C4747"/>
                <w:lang w:val="es-DO" w:eastAsia="es-DO"/>
              </w:rPr>
            </w:pPr>
            <w:r w:rsidRPr="00156419">
              <w:rPr>
                <w:rFonts w:ascii="Times New Roman" w:eastAsia="Calibri" w:hAnsi="Times New Roman" w:cs="Times New Roman"/>
                <w:color w:val="4C4747"/>
                <w:lang w:val="es-DO" w:eastAsia="es-DO"/>
              </w:rPr>
              <w:t xml:space="preserve">en los servicios de </w:t>
            </w:r>
          </w:p>
          <w:p w14:paraId="7356B898" w14:textId="77777777" w:rsidR="001C151B" w:rsidRPr="00156419" w:rsidRDefault="001C151B" w:rsidP="000E66D4">
            <w:pPr>
              <w:spacing w:line="360" w:lineRule="auto"/>
              <w:rPr>
                <w:rFonts w:ascii="Times New Roman" w:eastAsia="Calibri" w:hAnsi="Times New Roman" w:cs="Times New Roman"/>
                <w:color w:val="4C4747"/>
                <w:lang w:val="es-DO" w:eastAsia="es-DO"/>
              </w:rPr>
            </w:pPr>
            <w:r w:rsidRPr="00156419">
              <w:rPr>
                <w:rFonts w:ascii="Times New Roman" w:eastAsia="Calibri" w:hAnsi="Times New Roman" w:cs="Times New Roman"/>
                <w:color w:val="4C4747"/>
                <w:lang w:val="es-DO" w:eastAsia="es-DO"/>
              </w:rPr>
              <w:t>certificación digital</w:t>
            </w:r>
          </w:p>
        </w:tc>
        <w:tc>
          <w:tcPr>
            <w:tcW w:w="2126" w:type="dxa"/>
          </w:tcPr>
          <w:p w14:paraId="60F485F2" w14:textId="77777777" w:rsidR="001C151B" w:rsidRPr="00156419" w:rsidRDefault="001C151B" w:rsidP="000E66D4">
            <w:pPr>
              <w:spacing w:line="360" w:lineRule="auto"/>
              <w:jc w:val="center"/>
              <w:rPr>
                <w:rFonts w:ascii="Times New Roman" w:eastAsia="Calibri" w:hAnsi="Times New Roman" w:cs="Times New Roman"/>
                <w:bCs/>
                <w:color w:val="4C4747"/>
                <w:lang w:val="es-DO" w:eastAsia="es-DO"/>
              </w:rPr>
            </w:pPr>
            <w:r w:rsidRPr="00156419">
              <w:rPr>
                <w:rFonts w:ascii="Times New Roman" w:eastAsia="Calibri" w:hAnsi="Times New Roman" w:cs="Times New Roman"/>
                <w:bCs/>
                <w:color w:val="4C4747"/>
                <w:lang w:val="es-DO" w:eastAsia="es-DO"/>
              </w:rPr>
              <w:t xml:space="preserve">3.1 y 3.3 </w:t>
            </w:r>
          </w:p>
        </w:tc>
        <w:tc>
          <w:tcPr>
            <w:tcW w:w="1906" w:type="dxa"/>
          </w:tcPr>
          <w:p w14:paraId="1FC36FF4" w14:textId="77777777" w:rsidR="001C151B" w:rsidRPr="00156419" w:rsidRDefault="001C151B" w:rsidP="000E66D4">
            <w:pPr>
              <w:spacing w:line="360" w:lineRule="auto"/>
              <w:jc w:val="center"/>
              <w:rPr>
                <w:rFonts w:ascii="Times New Roman" w:eastAsia="Calibri" w:hAnsi="Times New Roman" w:cs="Times New Roman"/>
                <w:bCs/>
                <w:color w:val="4C4747"/>
                <w:lang w:val="es-DO" w:eastAsia="es-DO"/>
              </w:rPr>
            </w:pPr>
            <w:r w:rsidRPr="00156419">
              <w:rPr>
                <w:rFonts w:ascii="Times New Roman" w:eastAsia="Calibri" w:hAnsi="Times New Roman" w:cs="Times New Roman"/>
                <w:bCs/>
                <w:color w:val="4C4747"/>
                <w:lang w:val="es-DO" w:eastAsia="es-DO"/>
              </w:rPr>
              <w:t>3.3.5</w:t>
            </w:r>
          </w:p>
        </w:tc>
        <w:tc>
          <w:tcPr>
            <w:tcW w:w="1701" w:type="dxa"/>
          </w:tcPr>
          <w:p w14:paraId="27AAB1B8" w14:textId="43FDAA54" w:rsidR="001C151B" w:rsidRPr="00156419" w:rsidRDefault="001C151B" w:rsidP="000E66D4">
            <w:pPr>
              <w:spacing w:line="360" w:lineRule="auto"/>
              <w:jc w:val="center"/>
              <w:rPr>
                <w:rFonts w:ascii="Times New Roman" w:eastAsia="Calibri" w:hAnsi="Times New Roman" w:cs="Times New Roman"/>
                <w:bCs/>
                <w:color w:val="4C4747"/>
                <w:lang w:val="es-DO" w:eastAsia="es-DO"/>
              </w:rPr>
            </w:pPr>
            <w:r w:rsidRPr="00156419">
              <w:rPr>
                <w:rFonts w:ascii="Times New Roman" w:eastAsia="Calibri" w:hAnsi="Times New Roman" w:cs="Times New Roman"/>
                <w:bCs/>
                <w:color w:val="4C4747"/>
                <w:lang w:val="es-DO" w:eastAsia="es-DO"/>
              </w:rPr>
              <w:t>3.3.5.2 y 3.3.5.5</w:t>
            </w:r>
          </w:p>
        </w:tc>
      </w:tr>
      <w:tr w:rsidR="00156419" w:rsidRPr="00376423" w14:paraId="1FFC29D6" w14:textId="77777777" w:rsidTr="00F676AC">
        <w:trPr>
          <w:trHeight w:val="778"/>
        </w:trPr>
        <w:tc>
          <w:tcPr>
            <w:tcW w:w="2205" w:type="dxa"/>
          </w:tcPr>
          <w:p w14:paraId="2D5D309E" w14:textId="77777777" w:rsidR="001C151B" w:rsidRPr="00156419" w:rsidRDefault="001C151B" w:rsidP="000E66D4">
            <w:pPr>
              <w:spacing w:line="360" w:lineRule="auto"/>
              <w:rPr>
                <w:rFonts w:ascii="Times New Roman" w:eastAsia="Calibri" w:hAnsi="Times New Roman" w:cs="Times New Roman"/>
                <w:color w:val="4C4747"/>
                <w:lang w:val="es-DO" w:eastAsia="es-DO"/>
              </w:rPr>
            </w:pPr>
            <w:r w:rsidRPr="00156419">
              <w:rPr>
                <w:rFonts w:ascii="Times New Roman" w:eastAsia="Calibri" w:hAnsi="Times New Roman" w:cs="Times New Roman"/>
                <w:color w:val="4C4747"/>
                <w:lang w:val="es-DO" w:eastAsia="es-DO"/>
              </w:rPr>
              <w:t xml:space="preserve">Asegurado el </w:t>
            </w:r>
          </w:p>
          <w:p w14:paraId="6B1ED72A" w14:textId="77777777" w:rsidR="001C151B" w:rsidRPr="00156419" w:rsidRDefault="001C151B" w:rsidP="000E66D4">
            <w:pPr>
              <w:spacing w:line="360" w:lineRule="auto"/>
              <w:rPr>
                <w:rFonts w:ascii="Times New Roman" w:eastAsia="Calibri" w:hAnsi="Times New Roman" w:cs="Times New Roman"/>
                <w:color w:val="4C4747"/>
                <w:lang w:val="es-DO" w:eastAsia="es-DO"/>
              </w:rPr>
            </w:pPr>
            <w:r w:rsidRPr="00156419">
              <w:rPr>
                <w:rFonts w:ascii="Times New Roman" w:eastAsia="Calibri" w:hAnsi="Times New Roman" w:cs="Times New Roman"/>
                <w:color w:val="4C4747"/>
                <w:lang w:val="es-DO" w:eastAsia="es-DO"/>
              </w:rPr>
              <w:t xml:space="preserve">cumplimiento de las </w:t>
            </w:r>
          </w:p>
          <w:p w14:paraId="19316830" w14:textId="77777777" w:rsidR="001C151B" w:rsidRPr="00156419" w:rsidRDefault="001C151B" w:rsidP="000E66D4">
            <w:pPr>
              <w:spacing w:line="360" w:lineRule="auto"/>
              <w:rPr>
                <w:rFonts w:ascii="Times New Roman" w:eastAsia="Calibri" w:hAnsi="Times New Roman" w:cs="Times New Roman"/>
                <w:color w:val="4C4747"/>
                <w:lang w:val="es-DO" w:eastAsia="es-DO"/>
              </w:rPr>
            </w:pPr>
            <w:r w:rsidRPr="00156419">
              <w:rPr>
                <w:rFonts w:ascii="Times New Roman" w:eastAsia="Calibri" w:hAnsi="Times New Roman" w:cs="Times New Roman"/>
                <w:color w:val="4C4747"/>
                <w:lang w:val="es-DO" w:eastAsia="es-DO"/>
              </w:rPr>
              <w:t xml:space="preserve">reglamentaciones y </w:t>
            </w:r>
          </w:p>
          <w:p w14:paraId="1776ABB8" w14:textId="77777777" w:rsidR="001C151B" w:rsidRPr="00156419" w:rsidRDefault="001C151B" w:rsidP="000E66D4">
            <w:pPr>
              <w:spacing w:line="360" w:lineRule="auto"/>
              <w:rPr>
                <w:rFonts w:ascii="Times New Roman" w:eastAsia="Calibri" w:hAnsi="Times New Roman" w:cs="Times New Roman"/>
                <w:color w:val="4C4747"/>
                <w:lang w:val="es-DO" w:eastAsia="es-DO"/>
              </w:rPr>
            </w:pPr>
            <w:r w:rsidRPr="00156419">
              <w:rPr>
                <w:rFonts w:ascii="Times New Roman" w:eastAsia="Calibri" w:hAnsi="Times New Roman" w:cs="Times New Roman"/>
                <w:color w:val="4C4747"/>
                <w:lang w:val="es-DO" w:eastAsia="es-DO"/>
              </w:rPr>
              <w:t>normativas del sector de las telecomunicaciones</w:t>
            </w:r>
          </w:p>
        </w:tc>
        <w:tc>
          <w:tcPr>
            <w:tcW w:w="2126" w:type="dxa"/>
          </w:tcPr>
          <w:p w14:paraId="3EA660C0" w14:textId="77777777" w:rsidR="001C151B" w:rsidRPr="00156419" w:rsidRDefault="001C151B" w:rsidP="000E66D4">
            <w:pPr>
              <w:spacing w:line="360" w:lineRule="auto"/>
              <w:rPr>
                <w:rFonts w:ascii="Times New Roman" w:eastAsia="Calibri" w:hAnsi="Times New Roman" w:cs="Times New Roman"/>
                <w:bCs/>
                <w:color w:val="4C4747"/>
                <w:lang w:val="es-DO" w:eastAsia="es-DO"/>
              </w:rPr>
            </w:pPr>
          </w:p>
        </w:tc>
        <w:tc>
          <w:tcPr>
            <w:tcW w:w="1906" w:type="dxa"/>
          </w:tcPr>
          <w:p w14:paraId="0FDA745A" w14:textId="77777777" w:rsidR="001C151B" w:rsidRPr="00156419" w:rsidRDefault="001C151B" w:rsidP="000E66D4">
            <w:pPr>
              <w:spacing w:line="360" w:lineRule="auto"/>
              <w:rPr>
                <w:rFonts w:ascii="Times New Roman" w:eastAsia="Calibri" w:hAnsi="Times New Roman" w:cs="Times New Roman"/>
                <w:bCs/>
                <w:color w:val="4C4747"/>
                <w:lang w:val="es-DO" w:eastAsia="es-DO"/>
              </w:rPr>
            </w:pPr>
          </w:p>
        </w:tc>
        <w:tc>
          <w:tcPr>
            <w:tcW w:w="1701" w:type="dxa"/>
          </w:tcPr>
          <w:p w14:paraId="4AAE68ED" w14:textId="77777777" w:rsidR="001C151B" w:rsidRPr="00156419" w:rsidRDefault="001C151B" w:rsidP="000E66D4">
            <w:pPr>
              <w:spacing w:line="360" w:lineRule="auto"/>
              <w:rPr>
                <w:rFonts w:ascii="Times New Roman" w:eastAsia="Calibri" w:hAnsi="Times New Roman" w:cs="Times New Roman"/>
                <w:bCs/>
                <w:color w:val="4C4747"/>
                <w:lang w:val="es-DO" w:eastAsia="es-DO"/>
              </w:rPr>
            </w:pPr>
          </w:p>
        </w:tc>
      </w:tr>
    </w:tbl>
    <w:p w14:paraId="00B77235" w14:textId="0A98B5D9" w:rsidR="001C151B" w:rsidRPr="00156419" w:rsidRDefault="002A73D7" w:rsidP="001C151B">
      <w:pPr>
        <w:spacing w:line="360" w:lineRule="auto"/>
        <w:jc w:val="both"/>
        <w:rPr>
          <w:rFonts w:ascii="Times New Roman" w:eastAsia="Calibri" w:hAnsi="Times New Roman" w:cs="Times New Roman"/>
          <w:color w:val="4C4747"/>
          <w:spacing w:val="20"/>
          <w:sz w:val="18"/>
          <w:szCs w:val="18"/>
          <w:lang w:val="es-DO"/>
        </w:rPr>
      </w:pPr>
      <w:r w:rsidRPr="00156419">
        <w:rPr>
          <w:rFonts w:ascii="Times New Roman" w:eastAsia="Calibri" w:hAnsi="Times New Roman" w:cs="Times New Roman"/>
          <w:color w:val="4C4747"/>
          <w:spacing w:val="20"/>
          <w:sz w:val="18"/>
          <w:szCs w:val="18"/>
          <w:lang w:val="es-DO"/>
        </w:rPr>
        <w:t>Fuente: Plan Estratégico Institucional (PEI) 2021-2024</w:t>
      </w:r>
    </w:p>
    <w:p w14:paraId="50342E3A" w14:textId="77777777" w:rsidR="00B4789A" w:rsidRPr="00156419" w:rsidRDefault="00B4789A" w:rsidP="00FA019C">
      <w:pPr>
        <w:spacing w:line="360" w:lineRule="auto"/>
        <w:jc w:val="both"/>
        <w:rPr>
          <w:rFonts w:ascii="Times New Roman" w:eastAsia="Calibri" w:hAnsi="Times New Roman" w:cs="Times New Roman"/>
          <w:b/>
          <w:color w:val="4C4747"/>
          <w:spacing w:val="20"/>
          <w:sz w:val="24"/>
          <w:szCs w:val="24"/>
          <w:lang w:val="es-DO"/>
        </w:rPr>
      </w:pPr>
    </w:p>
    <w:p w14:paraId="2DFC1586" w14:textId="77777777" w:rsidR="00DE4567" w:rsidRPr="00156419" w:rsidRDefault="00DE4567" w:rsidP="00FA019C">
      <w:pPr>
        <w:spacing w:line="360" w:lineRule="auto"/>
        <w:jc w:val="both"/>
        <w:rPr>
          <w:rFonts w:ascii="Times New Roman" w:eastAsia="Calibri" w:hAnsi="Times New Roman" w:cs="Times New Roman"/>
          <w:b/>
          <w:color w:val="4C4747"/>
          <w:spacing w:val="20"/>
          <w:sz w:val="24"/>
          <w:szCs w:val="24"/>
          <w:lang w:val="es-DO"/>
        </w:rPr>
      </w:pPr>
    </w:p>
    <w:p w14:paraId="3AD28CBF" w14:textId="77777777" w:rsidR="00DE4567" w:rsidRPr="00156419" w:rsidRDefault="00DE4567" w:rsidP="00FA019C">
      <w:pPr>
        <w:spacing w:line="360" w:lineRule="auto"/>
        <w:jc w:val="both"/>
        <w:rPr>
          <w:rFonts w:ascii="Times New Roman" w:eastAsia="Calibri" w:hAnsi="Times New Roman" w:cs="Times New Roman"/>
          <w:b/>
          <w:color w:val="4C4747"/>
          <w:spacing w:val="20"/>
          <w:sz w:val="24"/>
          <w:szCs w:val="24"/>
          <w:lang w:val="es-DO"/>
        </w:rPr>
      </w:pPr>
    </w:p>
    <w:p w14:paraId="3A6E57C6" w14:textId="77777777" w:rsidR="00DE4567" w:rsidRPr="00156419" w:rsidRDefault="00DE4567" w:rsidP="00FA019C">
      <w:pPr>
        <w:spacing w:line="360" w:lineRule="auto"/>
        <w:jc w:val="both"/>
        <w:rPr>
          <w:rFonts w:ascii="Times New Roman" w:eastAsia="Calibri" w:hAnsi="Times New Roman" w:cs="Times New Roman"/>
          <w:b/>
          <w:color w:val="4C4747"/>
          <w:spacing w:val="20"/>
          <w:sz w:val="24"/>
          <w:szCs w:val="24"/>
          <w:lang w:val="es-DO"/>
        </w:rPr>
      </w:pPr>
    </w:p>
    <w:p w14:paraId="4CC4012A" w14:textId="77777777" w:rsidR="00855BE2" w:rsidRPr="000E66D4" w:rsidRDefault="00855BE2" w:rsidP="00FA019C">
      <w:pPr>
        <w:spacing w:line="360" w:lineRule="auto"/>
        <w:jc w:val="both"/>
        <w:rPr>
          <w:rFonts w:ascii="Times New Roman" w:eastAsia="Calibri" w:hAnsi="Times New Roman" w:cs="Times New Roman"/>
          <w:b/>
          <w:color w:val="4C4747"/>
          <w:spacing w:val="20"/>
          <w:sz w:val="24"/>
          <w:szCs w:val="24"/>
          <w:lang w:val="es-DO"/>
        </w:rPr>
      </w:pPr>
    </w:p>
    <w:p w14:paraId="58F497C5" w14:textId="4C6571E3" w:rsidR="001C151B" w:rsidRPr="00156419" w:rsidRDefault="001C151B" w:rsidP="00FA019C">
      <w:pPr>
        <w:spacing w:line="360" w:lineRule="auto"/>
        <w:jc w:val="both"/>
        <w:rPr>
          <w:rFonts w:ascii="Times New Roman" w:eastAsia="Calibri" w:hAnsi="Times New Roman" w:cs="Times New Roman"/>
          <w:b/>
          <w:color w:val="4C4747"/>
          <w:spacing w:val="20"/>
          <w:sz w:val="24"/>
          <w:szCs w:val="24"/>
          <w:lang w:val="es-DO"/>
        </w:rPr>
      </w:pPr>
      <w:r w:rsidRPr="00156419">
        <w:rPr>
          <w:rFonts w:ascii="Times New Roman" w:eastAsia="Calibri" w:hAnsi="Times New Roman" w:cs="Times New Roman"/>
          <w:b/>
          <w:color w:val="4C4747"/>
          <w:spacing w:val="20"/>
          <w:sz w:val="24"/>
          <w:szCs w:val="24"/>
          <w:lang w:val="es-DO"/>
        </w:rPr>
        <w:lastRenderedPageBreak/>
        <w:t>Eje Estratégico 2: Protección y Servicios a los Usuarios</w:t>
      </w:r>
    </w:p>
    <w:p w14:paraId="7CDE3A3D" w14:textId="7148C703" w:rsidR="00B4789A" w:rsidRPr="00156419" w:rsidRDefault="001C151B" w:rsidP="00FA019C">
      <w:pPr>
        <w:spacing w:line="360" w:lineRule="auto"/>
        <w:jc w:val="both"/>
        <w:rPr>
          <w:rFonts w:ascii="Times New Roman" w:eastAsia="Calibri" w:hAnsi="Times New Roman" w:cs="Times New Roman"/>
          <w:color w:val="4C4747"/>
          <w:spacing w:val="20"/>
          <w:sz w:val="24"/>
          <w:szCs w:val="24"/>
          <w:lang w:val="es-DO"/>
        </w:rPr>
      </w:pPr>
      <w:r w:rsidRPr="00156419">
        <w:rPr>
          <w:rFonts w:ascii="Times New Roman" w:eastAsia="Calibri" w:hAnsi="Times New Roman" w:cs="Times New Roman"/>
          <w:b/>
          <w:color w:val="4C4747"/>
          <w:spacing w:val="20"/>
          <w:sz w:val="24"/>
          <w:szCs w:val="24"/>
          <w:lang w:val="es-DO"/>
        </w:rPr>
        <w:t>Objetivo Estratégico</w:t>
      </w:r>
      <w:r w:rsidRPr="00156419">
        <w:rPr>
          <w:rFonts w:ascii="Times New Roman" w:eastAsia="Calibri" w:hAnsi="Times New Roman" w:cs="Times New Roman"/>
          <w:color w:val="4C4747"/>
          <w:spacing w:val="20"/>
          <w:sz w:val="24"/>
          <w:szCs w:val="24"/>
          <w:lang w:val="es-DO"/>
        </w:rPr>
        <w:t>: Orientar, educar y garantizar servicios de calidad a los usuarios.</w:t>
      </w:r>
    </w:p>
    <w:p w14:paraId="746D27D3" w14:textId="77777777" w:rsidR="00B4789A" w:rsidRPr="000E66D4" w:rsidRDefault="00B4789A" w:rsidP="00FA019C">
      <w:pPr>
        <w:spacing w:line="360" w:lineRule="auto"/>
        <w:jc w:val="both"/>
        <w:rPr>
          <w:rFonts w:ascii="Times New Roman" w:eastAsia="Calibri" w:hAnsi="Times New Roman" w:cs="Times New Roman"/>
          <w:color w:val="4C4747"/>
          <w:spacing w:val="20"/>
          <w:sz w:val="24"/>
          <w:szCs w:val="24"/>
          <w:lang w:val="es-DO"/>
        </w:rPr>
      </w:pPr>
    </w:p>
    <w:tbl>
      <w:tblPr>
        <w:tblStyle w:val="Tablaconcuadrcula9"/>
        <w:tblW w:w="7938" w:type="dxa"/>
        <w:tblInd w:w="-5" w:type="dxa"/>
        <w:tblLook w:val="04A0" w:firstRow="1" w:lastRow="0" w:firstColumn="1" w:lastColumn="0" w:noHBand="0" w:noVBand="1"/>
      </w:tblPr>
      <w:tblGrid>
        <w:gridCol w:w="2206"/>
        <w:gridCol w:w="2153"/>
        <w:gridCol w:w="1878"/>
        <w:gridCol w:w="1701"/>
      </w:tblGrid>
      <w:tr w:rsidR="00907DDB" w:rsidRPr="00907DDB" w14:paraId="692111CE" w14:textId="77777777" w:rsidTr="00F676AC">
        <w:trPr>
          <w:trHeight w:val="958"/>
        </w:trPr>
        <w:tc>
          <w:tcPr>
            <w:tcW w:w="2206" w:type="dxa"/>
            <w:shd w:val="clear" w:color="auto" w:fill="003876"/>
            <w:vAlign w:val="center"/>
          </w:tcPr>
          <w:p w14:paraId="5E117E1C" w14:textId="77777777" w:rsidR="00907DDB" w:rsidRPr="00907DDB" w:rsidRDefault="00907DDB" w:rsidP="00907DDB">
            <w:pPr>
              <w:spacing w:line="360" w:lineRule="auto"/>
              <w:jc w:val="center"/>
              <w:rPr>
                <w:rFonts w:ascii="Times New Roman" w:eastAsia="Calibri" w:hAnsi="Times New Roman" w:cs="Times New Roman"/>
                <w:b/>
                <w:color w:val="FFFFFF"/>
                <w:lang w:val="es-DO" w:eastAsia="es-DO"/>
              </w:rPr>
            </w:pPr>
            <w:r w:rsidRPr="00907DDB">
              <w:rPr>
                <w:rFonts w:ascii="Times New Roman" w:eastAsia="Calibri" w:hAnsi="Times New Roman" w:cs="Times New Roman"/>
                <w:b/>
                <w:color w:val="FFFFFF"/>
                <w:lang w:val="es-DO" w:eastAsia="es-DO"/>
              </w:rPr>
              <w:t>Resultado Institucional</w:t>
            </w:r>
          </w:p>
        </w:tc>
        <w:tc>
          <w:tcPr>
            <w:tcW w:w="2153" w:type="dxa"/>
            <w:shd w:val="clear" w:color="auto" w:fill="003876"/>
            <w:vAlign w:val="center"/>
          </w:tcPr>
          <w:p w14:paraId="601FEA83" w14:textId="77777777" w:rsidR="00907DDB" w:rsidRPr="00907DDB" w:rsidRDefault="00907DDB" w:rsidP="00907DDB">
            <w:pPr>
              <w:spacing w:line="360" w:lineRule="auto"/>
              <w:jc w:val="center"/>
              <w:rPr>
                <w:rFonts w:ascii="Times New Roman" w:eastAsia="Calibri" w:hAnsi="Times New Roman" w:cs="Times New Roman"/>
                <w:b/>
                <w:color w:val="FFFFFF"/>
                <w:lang w:val="es-DO" w:eastAsia="es-DO"/>
              </w:rPr>
            </w:pPr>
            <w:r w:rsidRPr="00907DDB">
              <w:rPr>
                <w:rFonts w:ascii="Times New Roman" w:eastAsia="Calibri" w:hAnsi="Times New Roman" w:cs="Times New Roman"/>
                <w:b/>
                <w:color w:val="FFFFFF"/>
                <w:lang w:val="es-DO" w:eastAsia="es-DO"/>
              </w:rPr>
              <w:t xml:space="preserve">Objetivo </w:t>
            </w:r>
          </w:p>
          <w:p w14:paraId="43748479" w14:textId="77777777" w:rsidR="00907DDB" w:rsidRPr="00907DDB" w:rsidRDefault="00907DDB" w:rsidP="00907DDB">
            <w:pPr>
              <w:spacing w:line="360" w:lineRule="auto"/>
              <w:jc w:val="center"/>
              <w:rPr>
                <w:rFonts w:ascii="Times New Roman" w:eastAsia="Calibri" w:hAnsi="Times New Roman" w:cs="Times New Roman"/>
                <w:b/>
                <w:color w:val="FFFFFF"/>
                <w:lang w:val="es-DO" w:eastAsia="es-DO"/>
              </w:rPr>
            </w:pPr>
            <w:r w:rsidRPr="00907DDB">
              <w:rPr>
                <w:rFonts w:ascii="Times New Roman" w:eastAsia="Calibri" w:hAnsi="Times New Roman" w:cs="Times New Roman"/>
                <w:b/>
                <w:color w:val="FFFFFF"/>
                <w:lang w:val="es-DO" w:eastAsia="es-DO"/>
              </w:rPr>
              <w:t>General END</w:t>
            </w:r>
          </w:p>
        </w:tc>
        <w:tc>
          <w:tcPr>
            <w:tcW w:w="1878" w:type="dxa"/>
            <w:shd w:val="clear" w:color="auto" w:fill="003876"/>
            <w:vAlign w:val="center"/>
          </w:tcPr>
          <w:p w14:paraId="680AEA79" w14:textId="77777777" w:rsidR="00907DDB" w:rsidRPr="00907DDB" w:rsidRDefault="00907DDB" w:rsidP="00907DDB">
            <w:pPr>
              <w:spacing w:line="360" w:lineRule="auto"/>
              <w:jc w:val="center"/>
              <w:rPr>
                <w:rFonts w:ascii="Times New Roman" w:eastAsia="Calibri" w:hAnsi="Times New Roman" w:cs="Times New Roman"/>
                <w:b/>
                <w:color w:val="FFFFFF"/>
                <w:lang w:val="es-DO" w:eastAsia="es-DO"/>
              </w:rPr>
            </w:pPr>
            <w:r w:rsidRPr="00907DDB">
              <w:rPr>
                <w:rFonts w:ascii="Times New Roman" w:eastAsia="Calibri" w:hAnsi="Times New Roman" w:cs="Times New Roman"/>
                <w:b/>
                <w:color w:val="FFFFFF"/>
                <w:lang w:val="es-DO" w:eastAsia="es-DO"/>
              </w:rPr>
              <w:t>Objetivo Específico END</w:t>
            </w:r>
          </w:p>
        </w:tc>
        <w:tc>
          <w:tcPr>
            <w:tcW w:w="1701" w:type="dxa"/>
            <w:shd w:val="clear" w:color="auto" w:fill="003876"/>
            <w:vAlign w:val="center"/>
          </w:tcPr>
          <w:p w14:paraId="05D21FF8" w14:textId="77777777" w:rsidR="00907DDB" w:rsidRPr="00907DDB" w:rsidRDefault="00907DDB" w:rsidP="00907DDB">
            <w:pPr>
              <w:spacing w:line="360" w:lineRule="auto"/>
              <w:jc w:val="center"/>
              <w:rPr>
                <w:rFonts w:ascii="Times New Roman" w:eastAsia="Calibri" w:hAnsi="Times New Roman" w:cs="Times New Roman"/>
                <w:b/>
                <w:color w:val="FFFFFF"/>
                <w:lang w:val="es-DO" w:eastAsia="es-DO"/>
              </w:rPr>
            </w:pPr>
            <w:r w:rsidRPr="00907DDB">
              <w:rPr>
                <w:rFonts w:ascii="Times New Roman" w:eastAsia="Calibri" w:hAnsi="Times New Roman" w:cs="Times New Roman"/>
                <w:b/>
                <w:color w:val="FFFFFF"/>
                <w:lang w:val="es-DO" w:eastAsia="es-DO"/>
              </w:rPr>
              <w:t>Líneas de Acción END</w:t>
            </w:r>
          </w:p>
        </w:tc>
      </w:tr>
      <w:tr w:rsidR="00907DDB" w:rsidRPr="00907DDB" w14:paraId="47393A7A" w14:textId="77777777" w:rsidTr="00F676AC">
        <w:trPr>
          <w:trHeight w:val="732"/>
        </w:trPr>
        <w:tc>
          <w:tcPr>
            <w:tcW w:w="2206" w:type="dxa"/>
          </w:tcPr>
          <w:p w14:paraId="34B50C30"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Garantizadas las</w:t>
            </w:r>
          </w:p>
          <w:p w14:paraId="20A16D0C"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operaciones de las</w:t>
            </w:r>
          </w:p>
          <w:p w14:paraId="6BE13681"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concesionarias</w:t>
            </w:r>
          </w:p>
          <w:p w14:paraId="39F4E834" w14:textId="77777777" w:rsidR="00907DDB" w:rsidRPr="000E66D4" w:rsidRDefault="00907DDB" w:rsidP="000E66D4">
            <w:pPr>
              <w:spacing w:line="360" w:lineRule="auto"/>
              <w:rPr>
                <w:rFonts w:ascii="Times New Roman" w:eastAsia="Calibri" w:hAnsi="Times New Roman" w:cs="Times New Roman"/>
                <w:color w:val="4C4747"/>
                <w:lang w:val="es-DO" w:eastAsia="es-DO"/>
              </w:rPr>
            </w:pPr>
          </w:p>
        </w:tc>
        <w:tc>
          <w:tcPr>
            <w:tcW w:w="2153" w:type="dxa"/>
          </w:tcPr>
          <w:p w14:paraId="037CD7C1" w14:textId="77777777" w:rsidR="00907DDB" w:rsidRPr="000E66D4" w:rsidRDefault="00907DDB" w:rsidP="000E66D4">
            <w:pPr>
              <w:spacing w:line="360" w:lineRule="auto"/>
              <w:jc w:val="center"/>
              <w:rPr>
                <w:rFonts w:ascii="Times New Roman" w:eastAsia="Calibri" w:hAnsi="Times New Roman" w:cs="Times New Roman"/>
                <w:bCs/>
                <w:color w:val="4C4747"/>
                <w:lang w:val="es-DO" w:eastAsia="es-DO"/>
              </w:rPr>
            </w:pPr>
            <w:r w:rsidRPr="000E66D4">
              <w:rPr>
                <w:rFonts w:ascii="Times New Roman" w:eastAsia="Calibri" w:hAnsi="Times New Roman" w:cs="Times New Roman"/>
                <w:bCs/>
                <w:color w:val="4C4747"/>
                <w:lang w:val="es-DO" w:eastAsia="es-DO"/>
              </w:rPr>
              <w:t xml:space="preserve">3.3 </w:t>
            </w:r>
          </w:p>
        </w:tc>
        <w:tc>
          <w:tcPr>
            <w:tcW w:w="1878" w:type="dxa"/>
          </w:tcPr>
          <w:p w14:paraId="676DB7D1" w14:textId="77777777" w:rsidR="00907DDB" w:rsidRPr="000E66D4" w:rsidRDefault="00907DDB" w:rsidP="000E66D4">
            <w:pPr>
              <w:spacing w:line="360" w:lineRule="auto"/>
              <w:jc w:val="center"/>
              <w:rPr>
                <w:rFonts w:ascii="Times New Roman" w:eastAsia="Calibri" w:hAnsi="Times New Roman" w:cs="Times New Roman"/>
                <w:bCs/>
                <w:color w:val="4C4747"/>
                <w:lang w:val="es-DO" w:eastAsia="es-DO"/>
              </w:rPr>
            </w:pPr>
            <w:r w:rsidRPr="000E66D4">
              <w:rPr>
                <w:rFonts w:ascii="Times New Roman" w:eastAsia="Calibri" w:hAnsi="Times New Roman" w:cs="Times New Roman"/>
                <w:bCs/>
                <w:color w:val="4C4747"/>
                <w:lang w:val="es-DO" w:eastAsia="es-DO"/>
              </w:rPr>
              <w:t>3.3.1 y 3.3.5</w:t>
            </w:r>
          </w:p>
        </w:tc>
        <w:tc>
          <w:tcPr>
            <w:tcW w:w="1701" w:type="dxa"/>
          </w:tcPr>
          <w:p w14:paraId="7731A94F" w14:textId="77777777" w:rsidR="00907DDB" w:rsidRPr="000E66D4" w:rsidRDefault="00907DDB" w:rsidP="000E66D4">
            <w:pPr>
              <w:spacing w:line="360" w:lineRule="auto"/>
              <w:jc w:val="center"/>
              <w:rPr>
                <w:rFonts w:ascii="Times New Roman" w:eastAsia="Calibri" w:hAnsi="Times New Roman" w:cs="Times New Roman"/>
                <w:bCs/>
                <w:color w:val="4C4747"/>
                <w:lang w:val="es-DO" w:eastAsia="es-DO"/>
              </w:rPr>
            </w:pPr>
            <w:r w:rsidRPr="000E66D4">
              <w:rPr>
                <w:rFonts w:ascii="Times New Roman" w:eastAsia="Calibri" w:hAnsi="Times New Roman" w:cs="Times New Roman"/>
                <w:bCs/>
                <w:color w:val="4C4747"/>
                <w:lang w:val="es-DO" w:eastAsia="es-DO"/>
              </w:rPr>
              <w:t>3.3.1.1, 3.3.1.2, 3.3.1.4 y 3.3.5.4</w:t>
            </w:r>
          </w:p>
        </w:tc>
      </w:tr>
      <w:tr w:rsidR="000E66D4" w:rsidRPr="00376423" w14:paraId="666F13CC" w14:textId="77777777" w:rsidTr="00F676AC">
        <w:trPr>
          <w:trHeight w:val="778"/>
        </w:trPr>
        <w:tc>
          <w:tcPr>
            <w:tcW w:w="2206" w:type="dxa"/>
          </w:tcPr>
          <w:p w14:paraId="48B6398E"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 xml:space="preserve">Satisfechos los </w:t>
            </w:r>
          </w:p>
          <w:p w14:paraId="11CAD05C"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requerimientos de los usuarios con respecto a los servicios prestados</w:t>
            </w:r>
          </w:p>
        </w:tc>
        <w:tc>
          <w:tcPr>
            <w:tcW w:w="2153" w:type="dxa"/>
          </w:tcPr>
          <w:p w14:paraId="2CA80FBF" w14:textId="77777777" w:rsidR="00907DDB" w:rsidRPr="000E66D4" w:rsidRDefault="00907DDB" w:rsidP="000E66D4">
            <w:pPr>
              <w:spacing w:line="360" w:lineRule="auto"/>
              <w:rPr>
                <w:rFonts w:ascii="Times New Roman" w:eastAsia="Calibri" w:hAnsi="Times New Roman" w:cs="Times New Roman"/>
                <w:bCs/>
                <w:color w:val="4C4747"/>
                <w:lang w:val="es-DO" w:eastAsia="es-DO"/>
              </w:rPr>
            </w:pPr>
          </w:p>
        </w:tc>
        <w:tc>
          <w:tcPr>
            <w:tcW w:w="1878" w:type="dxa"/>
          </w:tcPr>
          <w:p w14:paraId="4670E050" w14:textId="77777777" w:rsidR="00907DDB" w:rsidRPr="000E66D4" w:rsidRDefault="00907DDB" w:rsidP="000E66D4">
            <w:pPr>
              <w:spacing w:line="360" w:lineRule="auto"/>
              <w:rPr>
                <w:rFonts w:ascii="Times New Roman" w:eastAsia="Calibri" w:hAnsi="Times New Roman" w:cs="Times New Roman"/>
                <w:bCs/>
                <w:color w:val="4C4747"/>
                <w:lang w:val="es-DO" w:eastAsia="es-DO"/>
              </w:rPr>
            </w:pPr>
          </w:p>
        </w:tc>
        <w:tc>
          <w:tcPr>
            <w:tcW w:w="1701" w:type="dxa"/>
          </w:tcPr>
          <w:p w14:paraId="735A334D" w14:textId="77777777" w:rsidR="00907DDB" w:rsidRPr="000E66D4" w:rsidRDefault="00907DDB" w:rsidP="000E66D4">
            <w:pPr>
              <w:spacing w:line="360" w:lineRule="auto"/>
              <w:rPr>
                <w:rFonts w:ascii="Times New Roman" w:eastAsia="Calibri" w:hAnsi="Times New Roman" w:cs="Times New Roman"/>
                <w:bCs/>
                <w:color w:val="4C4747"/>
                <w:lang w:val="es-DO" w:eastAsia="es-DO"/>
              </w:rPr>
            </w:pPr>
          </w:p>
        </w:tc>
      </w:tr>
      <w:tr w:rsidR="000E66D4" w:rsidRPr="000E66D4" w14:paraId="0C279DB8" w14:textId="77777777" w:rsidTr="00F676AC">
        <w:trPr>
          <w:trHeight w:val="260"/>
        </w:trPr>
        <w:tc>
          <w:tcPr>
            <w:tcW w:w="2206" w:type="dxa"/>
          </w:tcPr>
          <w:p w14:paraId="4E5758A4"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 xml:space="preserve">Usuarios empoderados </w:t>
            </w:r>
          </w:p>
          <w:p w14:paraId="07F07C20"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 xml:space="preserve">y orientados en sus </w:t>
            </w:r>
          </w:p>
          <w:p w14:paraId="2FD6845C"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derechos</w:t>
            </w:r>
          </w:p>
        </w:tc>
        <w:tc>
          <w:tcPr>
            <w:tcW w:w="2153" w:type="dxa"/>
          </w:tcPr>
          <w:p w14:paraId="53A081C1" w14:textId="77777777" w:rsidR="00907DDB" w:rsidRPr="000E66D4" w:rsidRDefault="00907DDB" w:rsidP="000E66D4">
            <w:pPr>
              <w:spacing w:line="360" w:lineRule="auto"/>
              <w:rPr>
                <w:rFonts w:ascii="Times New Roman" w:eastAsia="Calibri" w:hAnsi="Times New Roman" w:cs="Times New Roman"/>
                <w:bCs/>
                <w:color w:val="4C4747"/>
                <w:lang w:val="es-DO" w:eastAsia="es-DO"/>
              </w:rPr>
            </w:pPr>
          </w:p>
        </w:tc>
        <w:tc>
          <w:tcPr>
            <w:tcW w:w="1878" w:type="dxa"/>
          </w:tcPr>
          <w:p w14:paraId="4F9EBC21" w14:textId="77777777" w:rsidR="00907DDB" w:rsidRPr="000E66D4" w:rsidRDefault="00907DDB" w:rsidP="000E66D4">
            <w:pPr>
              <w:spacing w:line="360" w:lineRule="auto"/>
              <w:rPr>
                <w:rFonts w:ascii="Times New Roman" w:eastAsia="Calibri" w:hAnsi="Times New Roman" w:cs="Times New Roman"/>
                <w:bCs/>
                <w:color w:val="4C4747"/>
                <w:lang w:val="es-DO" w:eastAsia="es-DO"/>
              </w:rPr>
            </w:pPr>
          </w:p>
        </w:tc>
        <w:tc>
          <w:tcPr>
            <w:tcW w:w="1701" w:type="dxa"/>
          </w:tcPr>
          <w:p w14:paraId="17A410DD" w14:textId="77777777" w:rsidR="00907DDB" w:rsidRPr="000E66D4" w:rsidRDefault="00907DDB" w:rsidP="000E66D4">
            <w:pPr>
              <w:spacing w:line="360" w:lineRule="auto"/>
              <w:rPr>
                <w:rFonts w:ascii="Times New Roman" w:eastAsia="Calibri" w:hAnsi="Times New Roman" w:cs="Times New Roman"/>
                <w:bCs/>
                <w:color w:val="4C4747"/>
                <w:lang w:val="es-DO" w:eastAsia="es-DO"/>
              </w:rPr>
            </w:pPr>
          </w:p>
        </w:tc>
      </w:tr>
      <w:tr w:rsidR="000E66D4" w:rsidRPr="000E66D4" w14:paraId="5B4D258E" w14:textId="77777777" w:rsidTr="00F676AC">
        <w:trPr>
          <w:trHeight w:val="778"/>
        </w:trPr>
        <w:tc>
          <w:tcPr>
            <w:tcW w:w="2206" w:type="dxa"/>
          </w:tcPr>
          <w:p w14:paraId="66DA4E7E"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 xml:space="preserve">Realizada la transición </w:t>
            </w:r>
          </w:p>
          <w:p w14:paraId="60022FE2"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 xml:space="preserve">de la Televisión </w:t>
            </w:r>
          </w:p>
          <w:p w14:paraId="4EF3D175" w14:textId="77777777" w:rsidR="00907DDB" w:rsidRPr="000E66D4" w:rsidRDefault="00907DDB" w:rsidP="000E66D4">
            <w:pPr>
              <w:spacing w:line="360" w:lineRule="auto"/>
              <w:rPr>
                <w:rFonts w:ascii="Times New Roman" w:eastAsia="Calibri" w:hAnsi="Times New Roman" w:cs="Times New Roman"/>
                <w:color w:val="4C4747"/>
                <w:lang w:val="es-DO" w:eastAsia="es-DO"/>
              </w:rPr>
            </w:pPr>
            <w:r w:rsidRPr="000E66D4">
              <w:rPr>
                <w:rFonts w:ascii="Times New Roman" w:eastAsia="Calibri" w:hAnsi="Times New Roman" w:cs="Times New Roman"/>
                <w:color w:val="4C4747"/>
                <w:lang w:val="es-DO" w:eastAsia="es-DO"/>
              </w:rPr>
              <w:t>Análoga a Digital</w:t>
            </w:r>
          </w:p>
        </w:tc>
        <w:tc>
          <w:tcPr>
            <w:tcW w:w="2153" w:type="dxa"/>
          </w:tcPr>
          <w:p w14:paraId="7AB765F8" w14:textId="77777777" w:rsidR="00907DDB" w:rsidRPr="000E66D4" w:rsidRDefault="00907DDB" w:rsidP="000E66D4">
            <w:pPr>
              <w:spacing w:line="360" w:lineRule="auto"/>
              <w:rPr>
                <w:rFonts w:ascii="Times New Roman" w:eastAsia="Calibri" w:hAnsi="Times New Roman" w:cs="Times New Roman"/>
                <w:bCs/>
                <w:color w:val="4C4747"/>
                <w:lang w:val="es-DO" w:eastAsia="es-DO"/>
              </w:rPr>
            </w:pPr>
          </w:p>
        </w:tc>
        <w:tc>
          <w:tcPr>
            <w:tcW w:w="1878" w:type="dxa"/>
          </w:tcPr>
          <w:p w14:paraId="68CFCD95" w14:textId="77777777" w:rsidR="00907DDB" w:rsidRPr="000E66D4" w:rsidRDefault="00907DDB" w:rsidP="000E66D4">
            <w:pPr>
              <w:spacing w:line="360" w:lineRule="auto"/>
              <w:rPr>
                <w:rFonts w:ascii="Times New Roman" w:eastAsia="Calibri" w:hAnsi="Times New Roman" w:cs="Times New Roman"/>
                <w:bCs/>
                <w:color w:val="4C4747"/>
                <w:lang w:val="es-DO" w:eastAsia="es-DO"/>
              </w:rPr>
            </w:pPr>
          </w:p>
        </w:tc>
        <w:tc>
          <w:tcPr>
            <w:tcW w:w="1701" w:type="dxa"/>
          </w:tcPr>
          <w:p w14:paraId="070EBBF4" w14:textId="77777777" w:rsidR="00907DDB" w:rsidRPr="000E66D4" w:rsidRDefault="00907DDB" w:rsidP="000E66D4">
            <w:pPr>
              <w:spacing w:line="360" w:lineRule="auto"/>
              <w:rPr>
                <w:rFonts w:ascii="Times New Roman" w:eastAsia="Calibri" w:hAnsi="Times New Roman" w:cs="Times New Roman"/>
                <w:bCs/>
                <w:color w:val="4C4747"/>
                <w:lang w:val="es-DO" w:eastAsia="es-DO"/>
              </w:rPr>
            </w:pPr>
          </w:p>
        </w:tc>
      </w:tr>
    </w:tbl>
    <w:p w14:paraId="1037F52C" w14:textId="5334856C" w:rsidR="001C151B" w:rsidRPr="000E66D4" w:rsidRDefault="002A73D7" w:rsidP="00FA019C">
      <w:pPr>
        <w:spacing w:line="360" w:lineRule="auto"/>
        <w:jc w:val="both"/>
        <w:rPr>
          <w:rFonts w:ascii="Times New Roman" w:eastAsia="Calibri" w:hAnsi="Times New Roman" w:cs="Times New Roman"/>
          <w:color w:val="4C4747"/>
          <w:spacing w:val="20"/>
          <w:sz w:val="18"/>
          <w:szCs w:val="18"/>
          <w:lang w:val="es-DO"/>
        </w:rPr>
      </w:pPr>
      <w:r w:rsidRPr="000E66D4">
        <w:rPr>
          <w:rFonts w:ascii="Times New Roman" w:eastAsia="Calibri" w:hAnsi="Times New Roman" w:cs="Times New Roman"/>
          <w:color w:val="4C4747"/>
          <w:spacing w:val="20"/>
          <w:sz w:val="18"/>
          <w:szCs w:val="18"/>
          <w:lang w:val="es-DO"/>
        </w:rPr>
        <w:t>Fuente: Plan Estratégico Institucional (PEI) 2021-2024</w:t>
      </w:r>
    </w:p>
    <w:p w14:paraId="7B3E8411" w14:textId="77777777" w:rsidR="00907DDB" w:rsidRDefault="00907DDB" w:rsidP="00907DDB">
      <w:pPr>
        <w:spacing w:line="360" w:lineRule="auto"/>
        <w:jc w:val="both"/>
        <w:rPr>
          <w:rFonts w:ascii="Times New Roman" w:eastAsia="Calibri" w:hAnsi="Times New Roman" w:cs="Times New Roman"/>
          <w:b/>
          <w:color w:val="4C4747"/>
          <w:spacing w:val="20"/>
          <w:sz w:val="24"/>
          <w:szCs w:val="24"/>
          <w:lang w:val="es-DO"/>
        </w:rPr>
      </w:pPr>
    </w:p>
    <w:p w14:paraId="4E4ED398" w14:textId="77777777" w:rsidR="00DE4567" w:rsidRDefault="00DE4567" w:rsidP="00907DDB">
      <w:pPr>
        <w:spacing w:line="360" w:lineRule="auto"/>
        <w:jc w:val="both"/>
        <w:rPr>
          <w:rFonts w:ascii="Times New Roman" w:eastAsia="Calibri" w:hAnsi="Times New Roman" w:cs="Times New Roman"/>
          <w:b/>
          <w:color w:val="4C4747"/>
          <w:spacing w:val="20"/>
          <w:sz w:val="24"/>
          <w:szCs w:val="24"/>
          <w:lang w:val="es-DO"/>
        </w:rPr>
      </w:pPr>
    </w:p>
    <w:p w14:paraId="41185685" w14:textId="77777777" w:rsidR="00DE4567" w:rsidRDefault="00DE4567" w:rsidP="00907DDB">
      <w:pPr>
        <w:spacing w:line="360" w:lineRule="auto"/>
        <w:jc w:val="both"/>
        <w:rPr>
          <w:rFonts w:ascii="Times New Roman" w:eastAsia="Calibri" w:hAnsi="Times New Roman" w:cs="Times New Roman"/>
          <w:b/>
          <w:color w:val="4C4747"/>
          <w:spacing w:val="20"/>
          <w:sz w:val="24"/>
          <w:szCs w:val="24"/>
          <w:lang w:val="es-DO"/>
        </w:rPr>
      </w:pPr>
    </w:p>
    <w:p w14:paraId="362A1F59" w14:textId="77777777" w:rsidR="00DE4567" w:rsidRPr="000E66D4" w:rsidRDefault="00DE4567" w:rsidP="00907DDB">
      <w:pPr>
        <w:spacing w:line="360" w:lineRule="auto"/>
        <w:jc w:val="both"/>
        <w:rPr>
          <w:rFonts w:ascii="Times New Roman" w:eastAsia="Calibri" w:hAnsi="Times New Roman" w:cs="Times New Roman"/>
          <w:b/>
          <w:color w:val="4C4747"/>
          <w:spacing w:val="20"/>
          <w:sz w:val="24"/>
          <w:szCs w:val="24"/>
          <w:lang w:val="es-DO"/>
        </w:rPr>
      </w:pPr>
    </w:p>
    <w:p w14:paraId="285D86F9" w14:textId="77777777" w:rsidR="00907DDB" w:rsidRDefault="00907DDB" w:rsidP="00907DDB">
      <w:pPr>
        <w:spacing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lastRenderedPageBreak/>
        <w:t>Eje Estratégico 3: Acceso e Infraestructura</w:t>
      </w:r>
    </w:p>
    <w:p w14:paraId="4DC5542D" w14:textId="249C3C49" w:rsidR="001C151B" w:rsidRDefault="00907DDB" w:rsidP="00907DDB">
      <w:p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Objetivo Estratégico:</w:t>
      </w:r>
      <w:r w:rsidRPr="000E66D4">
        <w:rPr>
          <w:rFonts w:ascii="Times New Roman" w:eastAsia="Calibri" w:hAnsi="Times New Roman" w:cs="Times New Roman"/>
          <w:color w:val="4C4747"/>
          <w:spacing w:val="20"/>
          <w:sz w:val="24"/>
          <w:szCs w:val="24"/>
          <w:lang w:val="es-DO"/>
        </w:rPr>
        <w:t xml:space="preserve"> Aumentar el número de personas en la República Dominicana conectadas a internet de banda ancha de calidad, contribuyendo al cierre de la brecha digital.</w:t>
      </w:r>
    </w:p>
    <w:p w14:paraId="02260928" w14:textId="77777777" w:rsidR="00F557D6" w:rsidRPr="000E66D4" w:rsidRDefault="00F557D6" w:rsidP="00907DDB">
      <w:pPr>
        <w:spacing w:line="360" w:lineRule="auto"/>
        <w:jc w:val="both"/>
        <w:rPr>
          <w:rFonts w:ascii="Times New Roman" w:eastAsia="Calibri" w:hAnsi="Times New Roman" w:cs="Times New Roman"/>
          <w:color w:val="4C4747"/>
          <w:spacing w:val="20"/>
          <w:sz w:val="24"/>
          <w:szCs w:val="24"/>
          <w:lang w:val="es-DO"/>
        </w:rPr>
      </w:pPr>
    </w:p>
    <w:tbl>
      <w:tblPr>
        <w:tblStyle w:val="Tablaconcuadrcula9"/>
        <w:tblW w:w="7938" w:type="dxa"/>
        <w:tblInd w:w="-5" w:type="dxa"/>
        <w:tblLook w:val="04A0" w:firstRow="1" w:lastRow="0" w:firstColumn="1" w:lastColumn="0" w:noHBand="0" w:noVBand="1"/>
      </w:tblPr>
      <w:tblGrid>
        <w:gridCol w:w="2268"/>
        <w:gridCol w:w="2084"/>
        <w:gridCol w:w="1885"/>
        <w:gridCol w:w="1701"/>
      </w:tblGrid>
      <w:tr w:rsidR="00907DDB" w:rsidRPr="00163F19" w14:paraId="331AF882" w14:textId="77777777" w:rsidTr="00F676AC">
        <w:trPr>
          <w:trHeight w:val="958"/>
        </w:trPr>
        <w:tc>
          <w:tcPr>
            <w:tcW w:w="2268" w:type="dxa"/>
            <w:shd w:val="clear" w:color="auto" w:fill="003876"/>
            <w:vAlign w:val="center"/>
          </w:tcPr>
          <w:p w14:paraId="2F2F7280" w14:textId="77777777" w:rsidR="00907DDB" w:rsidRPr="00ED5FF0" w:rsidRDefault="00907DDB" w:rsidP="00F676AC">
            <w:pPr>
              <w:spacing w:line="360" w:lineRule="auto"/>
              <w:jc w:val="center"/>
              <w:rPr>
                <w:rFonts w:ascii="Times New Roman" w:hAnsi="Times New Roman" w:cs="Times New Roman"/>
                <w:b/>
                <w:color w:val="FFFFFF" w:themeColor="background1"/>
              </w:rPr>
            </w:pPr>
            <w:r w:rsidRPr="00ED5FF0">
              <w:rPr>
                <w:rFonts w:ascii="Times New Roman" w:hAnsi="Times New Roman" w:cs="Times New Roman"/>
                <w:b/>
                <w:color w:val="FFFFFF" w:themeColor="background1"/>
              </w:rPr>
              <w:t>Resultado Institucional</w:t>
            </w:r>
          </w:p>
        </w:tc>
        <w:tc>
          <w:tcPr>
            <w:tcW w:w="2084" w:type="dxa"/>
            <w:shd w:val="clear" w:color="auto" w:fill="003876"/>
            <w:vAlign w:val="center"/>
          </w:tcPr>
          <w:p w14:paraId="4A4855DE" w14:textId="77777777" w:rsidR="00907DDB" w:rsidRPr="00ED5FF0" w:rsidRDefault="00907DDB" w:rsidP="00F676AC">
            <w:pPr>
              <w:spacing w:line="360" w:lineRule="auto"/>
              <w:jc w:val="center"/>
              <w:rPr>
                <w:rFonts w:ascii="Times New Roman" w:hAnsi="Times New Roman" w:cs="Times New Roman"/>
                <w:b/>
                <w:color w:val="FFFFFF" w:themeColor="background1"/>
              </w:rPr>
            </w:pPr>
            <w:r w:rsidRPr="00ED5FF0">
              <w:rPr>
                <w:rFonts w:ascii="Times New Roman" w:hAnsi="Times New Roman" w:cs="Times New Roman"/>
                <w:b/>
                <w:color w:val="FFFFFF" w:themeColor="background1"/>
              </w:rPr>
              <w:t xml:space="preserve">Objetivo </w:t>
            </w:r>
          </w:p>
          <w:p w14:paraId="5412F66C" w14:textId="77777777" w:rsidR="00907DDB" w:rsidRPr="00ED5FF0" w:rsidRDefault="00907DDB" w:rsidP="00F676AC">
            <w:pPr>
              <w:spacing w:line="360" w:lineRule="auto"/>
              <w:jc w:val="center"/>
              <w:rPr>
                <w:rFonts w:ascii="Times New Roman" w:hAnsi="Times New Roman" w:cs="Times New Roman"/>
                <w:b/>
                <w:color w:val="FFFFFF" w:themeColor="background1"/>
              </w:rPr>
            </w:pPr>
            <w:r w:rsidRPr="00ED5FF0">
              <w:rPr>
                <w:rFonts w:ascii="Times New Roman" w:hAnsi="Times New Roman" w:cs="Times New Roman"/>
                <w:b/>
                <w:color w:val="FFFFFF" w:themeColor="background1"/>
              </w:rPr>
              <w:t>General END</w:t>
            </w:r>
          </w:p>
        </w:tc>
        <w:tc>
          <w:tcPr>
            <w:tcW w:w="1885" w:type="dxa"/>
            <w:shd w:val="clear" w:color="auto" w:fill="003876"/>
            <w:vAlign w:val="center"/>
          </w:tcPr>
          <w:p w14:paraId="76845FBA" w14:textId="77777777" w:rsidR="00907DDB" w:rsidRPr="00ED5FF0" w:rsidRDefault="00907DDB" w:rsidP="00F676AC">
            <w:pPr>
              <w:spacing w:line="360" w:lineRule="auto"/>
              <w:jc w:val="center"/>
              <w:rPr>
                <w:rFonts w:ascii="Times New Roman" w:hAnsi="Times New Roman" w:cs="Times New Roman"/>
                <w:b/>
                <w:color w:val="FFFFFF" w:themeColor="background1"/>
              </w:rPr>
            </w:pPr>
            <w:r w:rsidRPr="00ED5FF0">
              <w:rPr>
                <w:rFonts w:ascii="Times New Roman" w:hAnsi="Times New Roman" w:cs="Times New Roman"/>
                <w:b/>
                <w:color w:val="FFFFFF" w:themeColor="background1"/>
              </w:rPr>
              <w:t>Objetivo Específico END</w:t>
            </w:r>
          </w:p>
        </w:tc>
        <w:tc>
          <w:tcPr>
            <w:tcW w:w="1701" w:type="dxa"/>
            <w:shd w:val="clear" w:color="auto" w:fill="003876"/>
            <w:vAlign w:val="center"/>
          </w:tcPr>
          <w:p w14:paraId="4F59623F" w14:textId="77777777" w:rsidR="00907DDB" w:rsidRPr="00ED5FF0" w:rsidRDefault="00907DDB" w:rsidP="00F676AC">
            <w:pPr>
              <w:spacing w:line="360" w:lineRule="auto"/>
              <w:jc w:val="center"/>
              <w:rPr>
                <w:rFonts w:ascii="Times New Roman" w:hAnsi="Times New Roman" w:cs="Times New Roman"/>
                <w:b/>
                <w:color w:val="FFFFFF" w:themeColor="background1"/>
              </w:rPr>
            </w:pPr>
            <w:r w:rsidRPr="00ED5FF0">
              <w:rPr>
                <w:rFonts w:ascii="Times New Roman" w:hAnsi="Times New Roman" w:cs="Times New Roman"/>
                <w:b/>
                <w:color w:val="FFFFFF" w:themeColor="background1"/>
              </w:rPr>
              <w:t>Líneas de Acción END</w:t>
            </w:r>
          </w:p>
        </w:tc>
      </w:tr>
      <w:tr w:rsidR="000E66D4" w:rsidRPr="000E66D4" w14:paraId="471B4C93" w14:textId="77777777" w:rsidTr="00F676AC">
        <w:trPr>
          <w:trHeight w:val="732"/>
        </w:trPr>
        <w:tc>
          <w:tcPr>
            <w:tcW w:w="2268" w:type="dxa"/>
          </w:tcPr>
          <w:p w14:paraId="2CBC631A" w14:textId="77777777" w:rsidR="00907DDB" w:rsidRPr="000E66D4" w:rsidRDefault="00907DDB" w:rsidP="000E66D4">
            <w:pPr>
              <w:spacing w:line="360" w:lineRule="auto"/>
              <w:rPr>
                <w:rFonts w:ascii="Times New Roman" w:hAnsi="Times New Roman" w:cs="Times New Roman"/>
                <w:color w:val="4C4747"/>
              </w:rPr>
            </w:pPr>
            <w:r w:rsidRPr="009A25BD">
              <w:rPr>
                <w:rFonts w:ascii="Times New Roman" w:hAnsi="Times New Roman" w:cs="Times New Roman"/>
                <w:color w:val="4C4747"/>
              </w:rPr>
              <w:t xml:space="preserve">Aumentado el nivel de acceso y uso de la población al internet de banda ancha </w:t>
            </w:r>
          </w:p>
        </w:tc>
        <w:tc>
          <w:tcPr>
            <w:tcW w:w="2084" w:type="dxa"/>
          </w:tcPr>
          <w:p w14:paraId="5232A80C" w14:textId="77777777" w:rsidR="00907DDB" w:rsidRPr="000E66D4" w:rsidRDefault="00907DDB" w:rsidP="000E66D4">
            <w:pPr>
              <w:spacing w:line="360" w:lineRule="auto"/>
              <w:jc w:val="center"/>
              <w:rPr>
                <w:rFonts w:ascii="Times New Roman" w:hAnsi="Times New Roman" w:cs="Times New Roman"/>
                <w:bCs/>
                <w:color w:val="4C4747"/>
              </w:rPr>
            </w:pPr>
            <w:r w:rsidRPr="000E66D4">
              <w:rPr>
                <w:rFonts w:ascii="Times New Roman" w:hAnsi="Times New Roman" w:cs="Times New Roman"/>
                <w:bCs/>
                <w:color w:val="4C4747"/>
              </w:rPr>
              <w:t xml:space="preserve">3.3 </w:t>
            </w:r>
          </w:p>
        </w:tc>
        <w:tc>
          <w:tcPr>
            <w:tcW w:w="1885" w:type="dxa"/>
          </w:tcPr>
          <w:p w14:paraId="7C65B8C3" w14:textId="77777777" w:rsidR="00907DDB" w:rsidRPr="000E66D4" w:rsidRDefault="00907DDB" w:rsidP="000E66D4">
            <w:pPr>
              <w:spacing w:line="360" w:lineRule="auto"/>
              <w:jc w:val="center"/>
              <w:rPr>
                <w:rFonts w:ascii="Times New Roman" w:hAnsi="Times New Roman" w:cs="Times New Roman"/>
                <w:bCs/>
                <w:color w:val="4C4747"/>
              </w:rPr>
            </w:pPr>
            <w:r w:rsidRPr="000E66D4">
              <w:rPr>
                <w:rFonts w:ascii="Times New Roman" w:hAnsi="Times New Roman" w:cs="Times New Roman"/>
                <w:bCs/>
                <w:color w:val="4C4747"/>
              </w:rPr>
              <w:t>3.3.5</w:t>
            </w:r>
          </w:p>
        </w:tc>
        <w:tc>
          <w:tcPr>
            <w:tcW w:w="1701" w:type="dxa"/>
          </w:tcPr>
          <w:p w14:paraId="656DF9F6" w14:textId="77777777" w:rsidR="00907DDB" w:rsidRPr="000E66D4" w:rsidRDefault="00907DDB" w:rsidP="000E66D4">
            <w:pPr>
              <w:spacing w:line="360" w:lineRule="auto"/>
              <w:jc w:val="center"/>
              <w:rPr>
                <w:rFonts w:ascii="Times New Roman" w:hAnsi="Times New Roman" w:cs="Times New Roman"/>
                <w:bCs/>
                <w:color w:val="4C4747"/>
              </w:rPr>
            </w:pPr>
            <w:r w:rsidRPr="000E66D4">
              <w:rPr>
                <w:rFonts w:ascii="Times New Roman" w:hAnsi="Times New Roman" w:cs="Times New Roman"/>
                <w:bCs/>
                <w:color w:val="4C4747"/>
              </w:rPr>
              <w:t>3.3.5.3, 3.3.5.4 y 3.3.5.5</w:t>
            </w:r>
          </w:p>
        </w:tc>
      </w:tr>
    </w:tbl>
    <w:p w14:paraId="263B2F38" w14:textId="61A73016" w:rsidR="001C151B" w:rsidRPr="009A25BD" w:rsidRDefault="00907DDB" w:rsidP="000E66D4">
      <w:pPr>
        <w:spacing w:line="360" w:lineRule="auto"/>
        <w:jc w:val="both"/>
        <w:rPr>
          <w:rFonts w:ascii="Times New Roman" w:eastAsia="Calibri" w:hAnsi="Times New Roman" w:cs="Times New Roman"/>
          <w:color w:val="4C4747"/>
          <w:spacing w:val="20"/>
          <w:sz w:val="18"/>
          <w:szCs w:val="18"/>
          <w:lang w:val="es-DO"/>
        </w:rPr>
      </w:pPr>
      <w:r w:rsidRPr="009A25BD">
        <w:rPr>
          <w:rFonts w:ascii="Times New Roman" w:eastAsia="Calibri" w:hAnsi="Times New Roman" w:cs="Times New Roman"/>
          <w:b/>
          <w:color w:val="4C4747"/>
          <w:spacing w:val="20"/>
          <w:sz w:val="18"/>
          <w:szCs w:val="18"/>
          <w:lang w:val="es-DO"/>
        </w:rPr>
        <w:t>Fuente:</w:t>
      </w:r>
      <w:r w:rsidRPr="009A25BD">
        <w:rPr>
          <w:rFonts w:ascii="Times New Roman" w:eastAsia="Calibri" w:hAnsi="Times New Roman" w:cs="Times New Roman"/>
          <w:color w:val="4C4747"/>
          <w:spacing w:val="20"/>
          <w:sz w:val="18"/>
          <w:szCs w:val="18"/>
          <w:lang w:val="es-DO"/>
        </w:rPr>
        <w:t xml:space="preserve"> Plan Estratégico Institucional (PEI) 2021-2024</w:t>
      </w:r>
    </w:p>
    <w:p w14:paraId="757C3127" w14:textId="77777777" w:rsidR="002A73D7" w:rsidRPr="000E66D4" w:rsidRDefault="002A73D7" w:rsidP="000E66D4">
      <w:pPr>
        <w:spacing w:line="360" w:lineRule="auto"/>
        <w:jc w:val="both"/>
        <w:rPr>
          <w:rFonts w:ascii="Times New Roman" w:eastAsia="Calibri" w:hAnsi="Times New Roman" w:cs="Times New Roman"/>
          <w:color w:val="4C4747"/>
          <w:spacing w:val="20"/>
          <w:sz w:val="24"/>
          <w:szCs w:val="24"/>
          <w:lang w:val="es-DO"/>
        </w:rPr>
      </w:pPr>
    </w:p>
    <w:p w14:paraId="060899A3" w14:textId="09331677" w:rsidR="00907DDB" w:rsidRPr="000E66D4" w:rsidRDefault="00907DDB" w:rsidP="000E66D4">
      <w:pPr>
        <w:spacing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Eje Estratégico 4: Fortalecimiento Institucional</w:t>
      </w:r>
    </w:p>
    <w:p w14:paraId="30BC0D5C" w14:textId="07F18ECD" w:rsidR="001C151B" w:rsidRDefault="00907DDB" w:rsidP="00FA019C">
      <w:p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Objetivo Estratégico:</w:t>
      </w:r>
      <w:r w:rsidRPr="000E66D4">
        <w:rPr>
          <w:rFonts w:ascii="Times New Roman" w:eastAsia="Calibri" w:hAnsi="Times New Roman" w:cs="Times New Roman"/>
          <w:color w:val="4C4747"/>
          <w:spacing w:val="20"/>
          <w:sz w:val="24"/>
          <w:szCs w:val="24"/>
          <w:lang w:val="es-DO"/>
        </w:rPr>
        <w:t xml:space="preserve"> Transformar la institución en un ente eficiente, imparcial, transparente y con mejores prácticas de gestión.</w:t>
      </w:r>
    </w:p>
    <w:tbl>
      <w:tblPr>
        <w:tblStyle w:val="Tablaconcuadrcula9"/>
        <w:tblW w:w="7938" w:type="dxa"/>
        <w:tblInd w:w="-5" w:type="dxa"/>
        <w:tblLook w:val="04A0" w:firstRow="1" w:lastRow="0" w:firstColumn="1" w:lastColumn="0" w:noHBand="0" w:noVBand="1"/>
      </w:tblPr>
      <w:tblGrid>
        <w:gridCol w:w="2268"/>
        <w:gridCol w:w="2093"/>
        <w:gridCol w:w="1876"/>
        <w:gridCol w:w="1701"/>
      </w:tblGrid>
      <w:tr w:rsidR="00907DDB" w:rsidRPr="00163F19" w14:paraId="38443EF9" w14:textId="77777777" w:rsidTr="00F676AC">
        <w:trPr>
          <w:trHeight w:val="958"/>
        </w:trPr>
        <w:tc>
          <w:tcPr>
            <w:tcW w:w="2268" w:type="dxa"/>
            <w:shd w:val="clear" w:color="auto" w:fill="003876"/>
            <w:vAlign w:val="center"/>
          </w:tcPr>
          <w:p w14:paraId="598223B4" w14:textId="77777777" w:rsidR="00907DDB" w:rsidRPr="00ED5FF0" w:rsidRDefault="00907DDB" w:rsidP="00F676AC">
            <w:pPr>
              <w:spacing w:line="360" w:lineRule="auto"/>
              <w:jc w:val="center"/>
              <w:rPr>
                <w:rFonts w:ascii="Times New Roman" w:hAnsi="Times New Roman" w:cs="Times New Roman"/>
                <w:b/>
                <w:color w:val="FFFFFF" w:themeColor="background1"/>
              </w:rPr>
            </w:pPr>
            <w:r w:rsidRPr="00ED5FF0">
              <w:rPr>
                <w:rFonts w:ascii="Times New Roman" w:hAnsi="Times New Roman" w:cs="Times New Roman"/>
                <w:b/>
                <w:color w:val="FFFFFF" w:themeColor="background1"/>
              </w:rPr>
              <w:t>Resultado Institucional</w:t>
            </w:r>
          </w:p>
        </w:tc>
        <w:tc>
          <w:tcPr>
            <w:tcW w:w="2093" w:type="dxa"/>
            <w:shd w:val="clear" w:color="auto" w:fill="003876"/>
            <w:vAlign w:val="center"/>
          </w:tcPr>
          <w:p w14:paraId="70A09923" w14:textId="77777777" w:rsidR="00907DDB" w:rsidRPr="00ED5FF0" w:rsidRDefault="00907DDB" w:rsidP="00F676AC">
            <w:pPr>
              <w:spacing w:line="360" w:lineRule="auto"/>
              <w:jc w:val="center"/>
              <w:rPr>
                <w:rFonts w:ascii="Times New Roman" w:hAnsi="Times New Roman" w:cs="Times New Roman"/>
                <w:b/>
                <w:color w:val="FFFFFF" w:themeColor="background1"/>
              </w:rPr>
            </w:pPr>
            <w:r w:rsidRPr="00ED5FF0">
              <w:rPr>
                <w:rFonts w:ascii="Times New Roman" w:hAnsi="Times New Roman" w:cs="Times New Roman"/>
                <w:b/>
                <w:color w:val="FFFFFF" w:themeColor="background1"/>
              </w:rPr>
              <w:t xml:space="preserve">Objetivo </w:t>
            </w:r>
            <w:r w:rsidRPr="00ED5FF0">
              <w:rPr>
                <w:rFonts w:ascii="Times New Roman" w:hAnsi="Times New Roman" w:cs="Times New Roman"/>
                <w:b/>
                <w:color w:val="FFFFFF" w:themeColor="background1"/>
              </w:rPr>
              <w:br/>
              <w:t>General END</w:t>
            </w:r>
          </w:p>
        </w:tc>
        <w:tc>
          <w:tcPr>
            <w:tcW w:w="1876" w:type="dxa"/>
            <w:shd w:val="clear" w:color="auto" w:fill="003876"/>
            <w:vAlign w:val="center"/>
          </w:tcPr>
          <w:p w14:paraId="5C1FD15E" w14:textId="77777777" w:rsidR="00907DDB" w:rsidRPr="00ED5FF0" w:rsidRDefault="00907DDB" w:rsidP="00F676AC">
            <w:pPr>
              <w:spacing w:line="360" w:lineRule="auto"/>
              <w:jc w:val="center"/>
              <w:rPr>
                <w:rFonts w:ascii="Times New Roman" w:hAnsi="Times New Roman" w:cs="Times New Roman"/>
                <w:b/>
                <w:color w:val="FFFFFF" w:themeColor="background1"/>
              </w:rPr>
            </w:pPr>
            <w:r w:rsidRPr="00ED5FF0">
              <w:rPr>
                <w:rFonts w:ascii="Times New Roman" w:hAnsi="Times New Roman" w:cs="Times New Roman"/>
                <w:b/>
                <w:color w:val="FFFFFF" w:themeColor="background1"/>
              </w:rPr>
              <w:t>Objetivo Específico END</w:t>
            </w:r>
          </w:p>
        </w:tc>
        <w:tc>
          <w:tcPr>
            <w:tcW w:w="1701" w:type="dxa"/>
            <w:shd w:val="clear" w:color="auto" w:fill="003876"/>
            <w:vAlign w:val="center"/>
          </w:tcPr>
          <w:p w14:paraId="4BAFF484" w14:textId="77777777" w:rsidR="00907DDB" w:rsidRPr="00ED5FF0" w:rsidRDefault="00907DDB" w:rsidP="00F676AC">
            <w:pPr>
              <w:spacing w:line="360" w:lineRule="auto"/>
              <w:jc w:val="center"/>
              <w:rPr>
                <w:rFonts w:ascii="Times New Roman" w:hAnsi="Times New Roman" w:cs="Times New Roman"/>
                <w:b/>
                <w:color w:val="FFFFFF" w:themeColor="background1"/>
              </w:rPr>
            </w:pPr>
            <w:r w:rsidRPr="00ED5FF0">
              <w:rPr>
                <w:rFonts w:ascii="Times New Roman" w:hAnsi="Times New Roman" w:cs="Times New Roman"/>
                <w:b/>
                <w:color w:val="FFFFFF" w:themeColor="background1"/>
              </w:rPr>
              <w:t>Líneas de Acción END</w:t>
            </w:r>
          </w:p>
        </w:tc>
      </w:tr>
      <w:tr w:rsidR="00907DDB" w:rsidRPr="00163F19" w14:paraId="5671DD73" w14:textId="77777777" w:rsidTr="00F676AC">
        <w:trPr>
          <w:trHeight w:val="1577"/>
        </w:trPr>
        <w:tc>
          <w:tcPr>
            <w:tcW w:w="2268" w:type="dxa"/>
          </w:tcPr>
          <w:p w14:paraId="2D30BA30" w14:textId="77777777" w:rsidR="00907DDB" w:rsidRPr="009A25BD" w:rsidRDefault="00907DDB" w:rsidP="000E66D4">
            <w:pPr>
              <w:spacing w:line="360" w:lineRule="auto"/>
              <w:rPr>
                <w:rFonts w:ascii="Times New Roman" w:hAnsi="Times New Roman" w:cs="Times New Roman"/>
                <w:bCs/>
                <w:color w:val="4C4747"/>
              </w:rPr>
            </w:pPr>
            <w:r w:rsidRPr="009A25BD">
              <w:rPr>
                <w:rFonts w:ascii="Times New Roman" w:eastAsia="Calibri" w:hAnsi="Times New Roman" w:cs="Times New Roman"/>
                <w:color w:val="4C4747"/>
                <w:spacing w:val="20"/>
                <w:lang w:val="es-DO"/>
              </w:rPr>
              <w:t>Mejorado el desempeño, la productividad laboral y preservada la equidad de género en la institución</w:t>
            </w:r>
          </w:p>
        </w:tc>
        <w:tc>
          <w:tcPr>
            <w:tcW w:w="2093" w:type="dxa"/>
          </w:tcPr>
          <w:p w14:paraId="41639436" w14:textId="77777777" w:rsidR="00907DDB" w:rsidRPr="009A25BD" w:rsidRDefault="00907DDB" w:rsidP="000E66D4">
            <w:pPr>
              <w:spacing w:line="360" w:lineRule="auto"/>
              <w:jc w:val="center"/>
              <w:rPr>
                <w:rFonts w:ascii="Times New Roman" w:hAnsi="Times New Roman" w:cs="Times New Roman"/>
                <w:bCs/>
                <w:color w:val="4C4747"/>
              </w:rPr>
            </w:pPr>
            <w:r w:rsidRPr="009A25BD">
              <w:rPr>
                <w:rFonts w:ascii="Times New Roman" w:hAnsi="Times New Roman" w:cs="Times New Roman"/>
                <w:bCs/>
                <w:color w:val="4C4747"/>
              </w:rPr>
              <w:t>1.1</w:t>
            </w:r>
          </w:p>
        </w:tc>
        <w:tc>
          <w:tcPr>
            <w:tcW w:w="1876" w:type="dxa"/>
          </w:tcPr>
          <w:p w14:paraId="2439AE1E" w14:textId="77777777" w:rsidR="00907DDB" w:rsidRPr="009A25BD" w:rsidRDefault="00907DDB" w:rsidP="000E66D4">
            <w:pPr>
              <w:spacing w:line="360" w:lineRule="auto"/>
              <w:jc w:val="center"/>
              <w:rPr>
                <w:rFonts w:ascii="Times New Roman" w:hAnsi="Times New Roman" w:cs="Times New Roman"/>
                <w:bCs/>
                <w:color w:val="4C4747"/>
              </w:rPr>
            </w:pPr>
            <w:r w:rsidRPr="009A25BD">
              <w:rPr>
                <w:rFonts w:ascii="Times New Roman" w:hAnsi="Times New Roman" w:cs="Times New Roman"/>
                <w:bCs/>
                <w:color w:val="4C4747"/>
              </w:rPr>
              <w:t>1.1.1</w:t>
            </w:r>
          </w:p>
        </w:tc>
        <w:tc>
          <w:tcPr>
            <w:tcW w:w="1701" w:type="dxa"/>
          </w:tcPr>
          <w:p w14:paraId="53D967D9" w14:textId="77777777" w:rsidR="00907DDB" w:rsidRPr="009A25BD" w:rsidRDefault="00907DDB" w:rsidP="000E66D4">
            <w:pPr>
              <w:spacing w:line="360" w:lineRule="auto"/>
              <w:jc w:val="center"/>
              <w:rPr>
                <w:rFonts w:ascii="Times New Roman" w:hAnsi="Times New Roman" w:cs="Times New Roman"/>
                <w:bCs/>
                <w:color w:val="4C4747"/>
              </w:rPr>
            </w:pPr>
            <w:r w:rsidRPr="009A25BD">
              <w:rPr>
                <w:rFonts w:ascii="Times New Roman" w:hAnsi="Times New Roman" w:cs="Times New Roman"/>
                <w:bCs/>
                <w:color w:val="4C4747"/>
              </w:rPr>
              <w:t>1.1.1.4</w:t>
            </w:r>
          </w:p>
        </w:tc>
      </w:tr>
      <w:tr w:rsidR="00DE4567" w:rsidRPr="00740594" w14:paraId="68AEA3B2" w14:textId="77777777" w:rsidTr="00855BE2">
        <w:trPr>
          <w:trHeight w:val="980"/>
        </w:trPr>
        <w:tc>
          <w:tcPr>
            <w:tcW w:w="2268" w:type="dxa"/>
            <w:shd w:val="clear" w:color="auto" w:fill="002060"/>
          </w:tcPr>
          <w:p w14:paraId="540C1FD5" w14:textId="0E78A348" w:rsidR="00DE4567" w:rsidRPr="00DE4567" w:rsidRDefault="00DE4567" w:rsidP="00DE4567">
            <w:pPr>
              <w:spacing w:line="360" w:lineRule="auto"/>
              <w:jc w:val="center"/>
              <w:rPr>
                <w:rFonts w:ascii="Times New Roman" w:eastAsia="Calibri" w:hAnsi="Times New Roman" w:cs="Times New Roman"/>
                <w:b/>
                <w:color w:val="FFFFFF" w:themeColor="background1"/>
                <w:spacing w:val="20"/>
                <w:lang w:val="es-DO"/>
              </w:rPr>
            </w:pPr>
            <w:r w:rsidRPr="00DE4567">
              <w:rPr>
                <w:rFonts w:ascii="Times New Roman" w:hAnsi="Times New Roman" w:cs="Times New Roman"/>
                <w:b/>
                <w:color w:val="FFFFFF" w:themeColor="background1"/>
              </w:rPr>
              <w:lastRenderedPageBreak/>
              <w:t>Resultado Institucional</w:t>
            </w:r>
          </w:p>
        </w:tc>
        <w:tc>
          <w:tcPr>
            <w:tcW w:w="2093" w:type="dxa"/>
            <w:shd w:val="clear" w:color="auto" w:fill="002060"/>
          </w:tcPr>
          <w:p w14:paraId="5B077C71" w14:textId="77777777" w:rsidR="00DE4567" w:rsidRDefault="00DE4567" w:rsidP="00DE4567">
            <w:pPr>
              <w:spacing w:line="360" w:lineRule="auto"/>
              <w:jc w:val="center"/>
              <w:rPr>
                <w:rFonts w:ascii="Times New Roman" w:hAnsi="Times New Roman" w:cs="Times New Roman"/>
                <w:b/>
                <w:color w:val="FFFFFF" w:themeColor="background1"/>
              </w:rPr>
            </w:pPr>
            <w:r w:rsidRPr="00DE4567">
              <w:rPr>
                <w:rFonts w:ascii="Times New Roman" w:hAnsi="Times New Roman" w:cs="Times New Roman"/>
                <w:b/>
                <w:color w:val="FFFFFF" w:themeColor="background1"/>
              </w:rPr>
              <w:t>Objetivo</w:t>
            </w:r>
          </w:p>
          <w:p w14:paraId="702E1F98" w14:textId="0C20B702" w:rsidR="00DE4567" w:rsidRPr="00DE4567" w:rsidRDefault="00DE4567" w:rsidP="00DE4567">
            <w:pPr>
              <w:spacing w:line="360" w:lineRule="auto"/>
              <w:jc w:val="center"/>
              <w:rPr>
                <w:rFonts w:ascii="Times New Roman" w:hAnsi="Times New Roman" w:cs="Times New Roman"/>
                <w:b/>
                <w:bCs/>
                <w:color w:val="FFFFFF" w:themeColor="background1"/>
              </w:rPr>
            </w:pPr>
            <w:r>
              <w:rPr>
                <w:rFonts w:ascii="Times New Roman" w:hAnsi="Times New Roman" w:cs="Times New Roman"/>
                <w:b/>
                <w:color w:val="FFFFFF" w:themeColor="background1"/>
              </w:rPr>
              <w:t>General END</w:t>
            </w:r>
          </w:p>
        </w:tc>
        <w:tc>
          <w:tcPr>
            <w:tcW w:w="1876" w:type="dxa"/>
            <w:shd w:val="clear" w:color="auto" w:fill="002060"/>
          </w:tcPr>
          <w:p w14:paraId="347EF5AB" w14:textId="02253BE1" w:rsidR="00DE4567" w:rsidRPr="00DE4567" w:rsidRDefault="00DE4567" w:rsidP="00DE4567">
            <w:pPr>
              <w:spacing w:line="360" w:lineRule="auto"/>
              <w:jc w:val="center"/>
              <w:rPr>
                <w:rFonts w:ascii="Times New Roman" w:hAnsi="Times New Roman" w:cs="Times New Roman"/>
                <w:b/>
                <w:bCs/>
                <w:color w:val="FFFFFF" w:themeColor="background1"/>
              </w:rPr>
            </w:pPr>
            <w:r w:rsidRPr="00DE4567">
              <w:rPr>
                <w:rFonts w:ascii="Times New Roman" w:hAnsi="Times New Roman" w:cs="Times New Roman"/>
                <w:b/>
                <w:bCs/>
                <w:color w:val="FFFFFF" w:themeColor="background1"/>
              </w:rPr>
              <w:t>Objetivo Específico END</w:t>
            </w:r>
          </w:p>
        </w:tc>
        <w:tc>
          <w:tcPr>
            <w:tcW w:w="1701" w:type="dxa"/>
            <w:shd w:val="clear" w:color="auto" w:fill="002060"/>
          </w:tcPr>
          <w:p w14:paraId="05A366E2" w14:textId="280D63C9" w:rsidR="00DE4567" w:rsidRPr="00DE4567" w:rsidRDefault="00DE4567" w:rsidP="00DE4567">
            <w:pPr>
              <w:spacing w:line="360" w:lineRule="auto"/>
              <w:jc w:val="center"/>
              <w:rPr>
                <w:rFonts w:ascii="Times New Roman" w:hAnsi="Times New Roman" w:cs="Times New Roman"/>
                <w:b/>
                <w:bCs/>
                <w:color w:val="FFFFFF" w:themeColor="background1"/>
              </w:rPr>
            </w:pPr>
            <w:r>
              <w:rPr>
                <w:rFonts w:ascii="Times New Roman" w:hAnsi="Times New Roman" w:cs="Times New Roman"/>
                <w:b/>
                <w:color w:val="FFFFFF" w:themeColor="background1"/>
              </w:rPr>
              <w:t>Línea de Acción END</w:t>
            </w:r>
          </w:p>
        </w:tc>
      </w:tr>
      <w:tr w:rsidR="00907DDB" w:rsidRPr="00376423" w14:paraId="548DA2F8" w14:textId="77777777" w:rsidTr="00F676AC">
        <w:trPr>
          <w:trHeight w:val="350"/>
        </w:trPr>
        <w:tc>
          <w:tcPr>
            <w:tcW w:w="2268" w:type="dxa"/>
          </w:tcPr>
          <w:p w14:paraId="69497B03" w14:textId="77777777" w:rsidR="00907DDB" w:rsidRPr="009A25BD" w:rsidRDefault="00907DDB" w:rsidP="00DE4567">
            <w:pPr>
              <w:pStyle w:val="Sinespaciado"/>
              <w:spacing w:line="360" w:lineRule="auto"/>
              <w:rPr>
                <w:color w:val="4C4747"/>
                <w:lang w:val="es-DO"/>
              </w:rPr>
            </w:pPr>
            <w:r w:rsidRPr="009A25BD">
              <w:rPr>
                <w:color w:val="4C4747"/>
                <w:lang w:val="es-DO"/>
              </w:rPr>
              <w:t xml:space="preserve">Identificados los </w:t>
            </w:r>
          </w:p>
          <w:p w14:paraId="4301140E" w14:textId="77777777" w:rsidR="00907DDB" w:rsidRPr="009A25BD" w:rsidRDefault="00907DDB" w:rsidP="00DE4567">
            <w:pPr>
              <w:pStyle w:val="Sinespaciado"/>
              <w:spacing w:line="360" w:lineRule="auto"/>
              <w:rPr>
                <w:color w:val="4C4747"/>
                <w:lang w:val="es-DO"/>
              </w:rPr>
            </w:pPr>
            <w:r w:rsidRPr="009A25BD">
              <w:rPr>
                <w:color w:val="4C4747"/>
                <w:lang w:val="es-DO"/>
              </w:rPr>
              <w:t>colaboradores con los elementos de la cultura Institucional</w:t>
            </w:r>
          </w:p>
        </w:tc>
        <w:tc>
          <w:tcPr>
            <w:tcW w:w="2093" w:type="dxa"/>
          </w:tcPr>
          <w:p w14:paraId="1B6B417E" w14:textId="77777777" w:rsidR="00907DDB" w:rsidRPr="009A25BD" w:rsidRDefault="00907DDB" w:rsidP="000E66D4">
            <w:pPr>
              <w:spacing w:line="360" w:lineRule="auto"/>
              <w:rPr>
                <w:rFonts w:ascii="Times New Roman" w:hAnsi="Times New Roman" w:cs="Times New Roman"/>
                <w:bCs/>
                <w:color w:val="4C4747"/>
              </w:rPr>
            </w:pPr>
          </w:p>
        </w:tc>
        <w:tc>
          <w:tcPr>
            <w:tcW w:w="1876" w:type="dxa"/>
          </w:tcPr>
          <w:p w14:paraId="7CBC4188" w14:textId="77777777" w:rsidR="00907DDB" w:rsidRPr="009A25BD" w:rsidRDefault="00907DDB" w:rsidP="000E66D4">
            <w:pPr>
              <w:spacing w:line="360" w:lineRule="auto"/>
              <w:rPr>
                <w:rFonts w:ascii="Times New Roman" w:hAnsi="Times New Roman" w:cs="Times New Roman"/>
                <w:bCs/>
                <w:color w:val="4C4747"/>
              </w:rPr>
            </w:pPr>
          </w:p>
        </w:tc>
        <w:tc>
          <w:tcPr>
            <w:tcW w:w="1701" w:type="dxa"/>
          </w:tcPr>
          <w:p w14:paraId="5D2AF88A" w14:textId="77777777" w:rsidR="00907DDB" w:rsidRPr="009A25BD" w:rsidRDefault="00907DDB" w:rsidP="000E66D4">
            <w:pPr>
              <w:spacing w:line="360" w:lineRule="auto"/>
              <w:rPr>
                <w:rFonts w:ascii="Times New Roman" w:hAnsi="Times New Roman" w:cs="Times New Roman"/>
                <w:bCs/>
                <w:color w:val="4C4747"/>
              </w:rPr>
            </w:pPr>
          </w:p>
        </w:tc>
      </w:tr>
      <w:tr w:rsidR="00907DDB" w:rsidRPr="00376423" w14:paraId="15DF3665" w14:textId="77777777" w:rsidTr="00F676AC">
        <w:trPr>
          <w:trHeight w:val="778"/>
        </w:trPr>
        <w:tc>
          <w:tcPr>
            <w:tcW w:w="2268" w:type="dxa"/>
          </w:tcPr>
          <w:p w14:paraId="58B1DFF4" w14:textId="77777777" w:rsidR="00907DDB" w:rsidRPr="009A25BD" w:rsidRDefault="00907DDB" w:rsidP="00DE4567">
            <w:pPr>
              <w:pStyle w:val="Sinespaciado"/>
              <w:spacing w:line="360" w:lineRule="auto"/>
              <w:rPr>
                <w:color w:val="4C4747"/>
                <w:lang w:val="es-DO"/>
              </w:rPr>
            </w:pPr>
            <w:r w:rsidRPr="009A25BD">
              <w:rPr>
                <w:color w:val="4C4747"/>
                <w:lang w:val="es-DO"/>
              </w:rPr>
              <w:t xml:space="preserve">Elevados los </w:t>
            </w:r>
          </w:p>
          <w:p w14:paraId="3AE98801" w14:textId="77777777" w:rsidR="00907DDB" w:rsidRPr="009A25BD" w:rsidRDefault="00907DDB" w:rsidP="00DE4567">
            <w:pPr>
              <w:pStyle w:val="Sinespaciado"/>
              <w:spacing w:line="360" w:lineRule="auto"/>
              <w:rPr>
                <w:color w:val="4C4747"/>
                <w:lang w:val="es-DO"/>
              </w:rPr>
            </w:pPr>
            <w:r w:rsidRPr="009A25BD">
              <w:rPr>
                <w:color w:val="4C4747"/>
                <w:lang w:val="es-DO"/>
              </w:rPr>
              <w:t xml:space="preserve">estándares de gestión </w:t>
            </w:r>
          </w:p>
          <w:p w14:paraId="2C136B93" w14:textId="77777777" w:rsidR="00907DDB" w:rsidRPr="009A25BD" w:rsidRDefault="00907DDB" w:rsidP="00DE4567">
            <w:pPr>
              <w:pStyle w:val="Sinespaciado"/>
              <w:spacing w:line="360" w:lineRule="auto"/>
              <w:rPr>
                <w:color w:val="4C4747"/>
                <w:lang w:val="es-DO"/>
              </w:rPr>
            </w:pPr>
            <w:r w:rsidRPr="009A25BD">
              <w:rPr>
                <w:color w:val="4C4747"/>
                <w:lang w:val="es-DO"/>
              </w:rPr>
              <w:t>institucional</w:t>
            </w:r>
          </w:p>
        </w:tc>
        <w:tc>
          <w:tcPr>
            <w:tcW w:w="2093" w:type="dxa"/>
          </w:tcPr>
          <w:p w14:paraId="0012BEBF" w14:textId="77777777" w:rsidR="00907DDB" w:rsidRPr="009A25BD" w:rsidRDefault="00907DDB" w:rsidP="000E66D4">
            <w:pPr>
              <w:spacing w:line="360" w:lineRule="auto"/>
              <w:rPr>
                <w:rFonts w:ascii="Times New Roman" w:hAnsi="Times New Roman" w:cs="Times New Roman"/>
                <w:bCs/>
                <w:color w:val="4C4747"/>
              </w:rPr>
            </w:pPr>
          </w:p>
        </w:tc>
        <w:tc>
          <w:tcPr>
            <w:tcW w:w="1876" w:type="dxa"/>
          </w:tcPr>
          <w:p w14:paraId="6A2C5EC8" w14:textId="77777777" w:rsidR="00907DDB" w:rsidRPr="009A25BD" w:rsidRDefault="00907DDB" w:rsidP="000E66D4">
            <w:pPr>
              <w:spacing w:line="360" w:lineRule="auto"/>
              <w:rPr>
                <w:rFonts w:ascii="Times New Roman" w:hAnsi="Times New Roman" w:cs="Times New Roman"/>
                <w:bCs/>
                <w:color w:val="4C4747"/>
              </w:rPr>
            </w:pPr>
          </w:p>
        </w:tc>
        <w:tc>
          <w:tcPr>
            <w:tcW w:w="1701" w:type="dxa"/>
          </w:tcPr>
          <w:p w14:paraId="433CFDBE" w14:textId="77777777" w:rsidR="00907DDB" w:rsidRPr="009A25BD" w:rsidRDefault="00907DDB" w:rsidP="000E66D4">
            <w:pPr>
              <w:spacing w:line="360" w:lineRule="auto"/>
              <w:rPr>
                <w:rFonts w:ascii="Times New Roman" w:hAnsi="Times New Roman" w:cs="Times New Roman"/>
                <w:bCs/>
                <w:color w:val="4C4747"/>
              </w:rPr>
            </w:pPr>
          </w:p>
        </w:tc>
      </w:tr>
      <w:tr w:rsidR="00907DDB" w:rsidRPr="00376423" w14:paraId="35099895" w14:textId="77777777" w:rsidTr="00F676AC">
        <w:trPr>
          <w:trHeight w:val="778"/>
        </w:trPr>
        <w:tc>
          <w:tcPr>
            <w:tcW w:w="2268" w:type="dxa"/>
          </w:tcPr>
          <w:p w14:paraId="2F368866" w14:textId="77777777" w:rsidR="00907DDB" w:rsidRPr="009A25BD" w:rsidRDefault="00907DDB" w:rsidP="00DE4567">
            <w:pPr>
              <w:pStyle w:val="Sinespaciado"/>
              <w:spacing w:line="360" w:lineRule="auto"/>
              <w:rPr>
                <w:color w:val="4C4747"/>
                <w:lang w:val="es-DO"/>
              </w:rPr>
            </w:pPr>
            <w:r w:rsidRPr="009A25BD">
              <w:rPr>
                <w:color w:val="4C4747"/>
                <w:lang w:val="es-DO"/>
              </w:rPr>
              <w:t>Mejorado el desempeño y la gestión de la calidad</w:t>
            </w:r>
          </w:p>
        </w:tc>
        <w:tc>
          <w:tcPr>
            <w:tcW w:w="2093" w:type="dxa"/>
          </w:tcPr>
          <w:p w14:paraId="5A1B8460" w14:textId="77777777" w:rsidR="00907DDB" w:rsidRPr="009A25BD" w:rsidRDefault="00907DDB" w:rsidP="000E66D4">
            <w:pPr>
              <w:spacing w:line="360" w:lineRule="auto"/>
              <w:rPr>
                <w:rFonts w:ascii="Times New Roman" w:hAnsi="Times New Roman" w:cs="Times New Roman"/>
                <w:bCs/>
                <w:color w:val="4C4747"/>
              </w:rPr>
            </w:pPr>
          </w:p>
        </w:tc>
        <w:tc>
          <w:tcPr>
            <w:tcW w:w="1876" w:type="dxa"/>
          </w:tcPr>
          <w:p w14:paraId="6CB2301D" w14:textId="77777777" w:rsidR="00907DDB" w:rsidRPr="009A25BD" w:rsidRDefault="00907DDB" w:rsidP="000E66D4">
            <w:pPr>
              <w:spacing w:line="360" w:lineRule="auto"/>
              <w:rPr>
                <w:rFonts w:ascii="Times New Roman" w:hAnsi="Times New Roman" w:cs="Times New Roman"/>
                <w:bCs/>
                <w:color w:val="4C4747"/>
              </w:rPr>
            </w:pPr>
          </w:p>
        </w:tc>
        <w:tc>
          <w:tcPr>
            <w:tcW w:w="1701" w:type="dxa"/>
          </w:tcPr>
          <w:p w14:paraId="0AECAF31" w14:textId="77777777" w:rsidR="00907DDB" w:rsidRPr="009A25BD" w:rsidRDefault="00907DDB" w:rsidP="000E66D4">
            <w:pPr>
              <w:spacing w:line="360" w:lineRule="auto"/>
              <w:rPr>
                <w:rFonts w:ascii="Times New Roman" w:hAnsi="Times New Roman" w:cs="Times New Roman"/>
                <w:bCs/>
                <w:color w:val="4C4747"/>
              </w:rPr>
            </w:pPr>
          </w:p>
        </w:tc>
      </w:tr>
      <w:tr w:rsidR="00907DDB" w:rsidRPr="00376423" w14:paraId="6F172170" w14:textId="77777777" w:rsidTr="00F676AC">
        <w:trPr>
          <w:trHeight w:val="778"/>
        </w:trPr>
        <w:tc>
          <w:tcPr>
            <w:tcW w:w="2268" w:type="dxa"/>
          </w:tcPr>
          <w:p w14:paraId="4C2F654B" w14:textId="77777777" w:rsidR="00907DDB" w:rsidRPr="009A25BD" w:rsidRDefault="00907DDB" w:rsidP="00DE4567">
            <w:pPr>
              <w:pStyle w:val="Sinespaciado"/>
              <w:spacing w:line="360" w:lineRule="auto"/>
              <w:rPr>
                <w:color w:val="4C4747"/>
                <w:lang w:val="es-DO"/>
              </w:rPr>
            </w:pPr>
            <w:r w:rsidRPr="009A25BD">
              <w:rPr>
                <w:color w:val="4C4747"/>
                <w:lang w:val="es-DO"/>
              </w:rPr>
              <w:t xml:space="preserve">Asegurada la continuidad de los </w:t>
            </w:r>
          </w:p>
          <w:p w14:paraId="514DCDEE" w14:textId="77777777" w:rsidR="00907DDB" w:rsidRPr="009A25BD" w:rsidRDefault="00907DDB" w:rsidP="00DE4567">
            <w:pPr>
              <w:pStyle w:val="Sinespaciado"/>
              <w:spacing w:line="360" w:lineRule="auto"/>
              <w:rPr>
                <w:color w:val="4C4747"/>
                <w:lang w:val="es-DO"/>
              </w:rPr>
            </w:pPr>
            <w:r w:rsidRPr="009A25BD">
              <w:rPr>
                <w:color w:val="4C4747"/>
                <w:lang w:val="es-DO"/>
              </w:rPr>
              <w:t>sistemas y la plataforma tecnológica</w:t>
            </w:r>
          </w:p>
        </w:tc>
        <w:tc>
          <w:tcPr>
            <w:tcW w:w="2093" w:type="dxa"/>
          </w:tcPr>
          <w:p w14:paraId="30E1FB94" w14:textId="77777777" w:rsidR="00907DDB" w:rsidRPr="009A25BD" w:rsidRDefault="00907DDB" w:rsidP="000E66D4">
            <w:pPr>
              <w:spacing w:line="360" w:lineRule="auto"/>
              <w:rPr>
                <w:rFonts w:ascii="Times New Roman" w:hAnsi="Times New Roman" w:cs="Times New Roman"/>
                <w:bCs/>
                <w:color w:val="4C4747"/>
              </w:rPr>
            </w:pPr>
          </w:p>
        </w:tc>
        <w:tc>
          <w:tcPr>
            <w:tcW w:w="1876" w:type="dxa"/>
          </w:tcPr>
          <w:p w14:paraId="687D279E" w14:textId="77777777" w:rsidR="00907DDB" w:rsidRPr="009A25BD" w:rsidRDefault="00907DDB" w:rsidP="000E66D4">
            <w:pPr>
              <w:spacing w:line="360" w:lineRule="auto"/>
              <w:rPr>
                <w:rFonts w:ascii="Times New Roman" w:hAnsi="Times New Roman" w:cs="Times New Roman"/>
                <w:bCs/>
                <w:color w:val="4C4747"/>
              </w:rPr>
            </w:pPr>
          </w:p>
        </w:tc>
        <w:tc>
          <w:tcPr>
            <w:tcW w:w="1701" w:type="dxa"/>
          </w:tcPr>
          <w:p w14:paraId="2465C3D9" w14:textId="77777777" w:rsidR="00907DDB" w:rsidRPr="009A25BD" w:rsidRDefault="00907DDB" w:rsidP="000E66D4">
            <w:pPr>
              <w:spacing w:line="360" w:lineRule="auto"/>
              <w:rPr>
                <w:rFonts w:ascii="Times New Roman" w:hAnsi="Times New Roman" w:cs="Times New Roman"/>
                <w:bCs/>
                <w:color w:val="4C4747"/>
              </w:rPr>
            </w:pPr>
          </w:p>
        </w:tc>
      </w:tr>
      <w:tr w:rsidR="00907DDB" w:rsidRPr="00163F19" w14:paraId="032F3C37" w14:textId="77777777" w:rsidTr="00F676AC">
        <w:trPr>
          <w:trHeight w:val="558"/>
        </w:trPr>
        <w:tc>
          <w:tcPr>
            <w:tcW w:w="2268" w:type="dxa"/>
          </w:tcPr>
          <w:p w14:paraId="656ABC12" w14:textId="77777777" w:rsidR="00907DDB" w:rsidRPr="009A25BD" w:rsidRDefault="00907DDB" w:rsidP="00DE4567">
            <w:pPr>
              <w:pStyle w:val="Sinespaciado"/>
              <w:spacing w:line="360" w:lineRule="auto"/>
              <w:rPr>
                <w:color w:val="4C4747"/>
                <w:lang w:val="es-DO"/>
              </w:rPr>
            </w:pPr>
            <w:r w:rsidRPr="009A25BD">
              <w:rPr>
                <w:color w:val="4C4747"/>
                <w:lang w:val="es-DO"/>
              </w:rPr>
              <w:t>Optimizados e incorporados sistemas tecnológicos acorde a los requerimientos</w:t>
            </w:r>
          </w:p>
          <w:p w14:paraId="4ABDFE71" w14:textId="77777777" w:rsidR="00907DDB" w:rsidRPr="009A25BD" w:rsidRDefault="00907DDB" w:rsidP="00DE4567">
            <w:pPr>
              <w:pStyle w:val="Sinespaciado"/>
              <w:spacing w:line="360" w:lineRule="auto"/>
              <w:rPr>
                <w:color w:val="4C4747"/>
                <w:lang w:val="es-DO"/>
              </w:rPr>
            </w:pPr>
            <w:r w:rsidRPr="009A25BD">
              <w:rPr>
                <w:color w:val="4C4747"/>
                <w:lang w:val="es-DO"/>
              </w:rPr>
              <w:t>institucionales</w:t>
            </w:r>
          </w:p>
        </w:tc>
        <w:tc>
          <w:tcPr>
            <w:tcW w:w="2093" w:type="dxa"/>
          </w:tcPr>
          <w:p w14:paraId="75D71136" w14:textId="77777777" w:rsidR="00907DDB" w:rsidRPr="009A25BD" w:rsidRDefault="00907DDB" w:rsidP="000E66D4">
            <w:pPr>
              <w:spacing w:line="360" w:lineRule="auto"/>
              <w:rPr>
                <w:rFonts w:ascii="Times New Roman" w:hAnsi="Times New Roman" w:cs="Times New Roman"/>
                <w:bCs/>
                <w:color w:val="4C4747"/>
              </w:rPr>
            </w:pPr>
          </w:p>
        </w:tc>
        <w:tc>
          <w:tcPr>
            <w:tcW w:w="1876" w:type="dxa"/>
          </w:tcPr>
          <w:p w14:paraId="56BC2E7D" w14:textId="77777777" w:rsidR="00907DDB" w:rsidRPr="009A25BD" w:rsidRDefault="00907DDB" w:rsidP="000E66D4">
            <w:pPr>
              <w:spacing w:line="360" w:lineRule="auto"/>
              <w:rPr>
                <w:rFonts w:ascii="Times New Roman" w:hAnsi="Times New Roman" w:cs="Times New Roman"/>
                <w:bCs/>
                <w:color w:val="4C4747"/>
              </w:rPr>
            </w:pPr>
          </w:p>
        </w:tc>
        <w:tc>
          <w:tcPr>
            <w:tcW w:w="1701" w:type="dxa"/>
          </w:tcPr>
          <w:p w14:paraId="0C506494" w14:textId="77777777" w:rsidR="00907DDB" w:rsidRPr="009A25BD" w:rsidRDefault="00907DDB" w:rsidP="000E66D4">
            <w:pPr>
              <w:spacing w:line="360" w:lineRule="auto"/>
              <w:rPr>
                <w:rFonts w:ascii="Times New Roman" w:hAnsi="Times New Roman" w:cs="Times New Roman"/>
                <w:bCs/>
                <w:color w:val="4C4747"/>
              </w:rPr>
            </w:pPr>
          </w:p>
        </w:tc>
      </w:tr>
      <w:tr w:rsidR="00907DDB" w:rsidRPr="00740594" w14:paraId="74E51222" w14:textId="77777777" w:rsidTr="00F676AC">
        <w:trPr>
          <w:trHeight w:val="620"/>
        </w:trPr>
        <w:tc>
          <w:tcPr>
            <w:tcW w:w="2268" w:type="dxa"/>
          </w:tcPr>
          <w:p w14:paraId="24B9D5C9" w14:textId="77777777" w:rsidR="00907DDB" w:rsidRPr="009A25BD" w:rsidRDefault="00907DDB" w:rsidP="00DE4567">
            <w:pPr>
              <w:pStyle w:val="Sinespaciado"/>
              <w:spacing w:line="360" w:lineRule="auto"/>
              <w:rPr>
                <w:color w:val="4C4747"/>
                <w:lang w:val="es-DO"/>
              </w:rPr>
            </w:pPr>
            <w:r w:rsidRPr="009A25BD">
              <w:rPr>
                <w:color w:val="4C4747"/>
                <w:lang w:val="es-DO"/>
              </w:rPr>
              <w:t>Valorada positivamente la imagen institucional</w:t>
            </w:r>
          </w:p>
          <w:p w14:paraId="084B499A" w14:textId="77777777" w:rsidR="00DE4567" w:rsidRPr="009A25BD" w:rsidRDefault="00DE4567" w:rsidP="00DE4567">
            <w:pPr>
              <w:pStyle w:val="Sinespaciado"/>
              <w:spacing w:line="360" w:lineRule="auto"/>
              <w:rPr>
                <w:color w:val="4C4747"/>
                <w:lang w:val="es-DO"/>
              </w:rPr>
            </w:pPr>
          </w:p>
          <w:p w14:paraId="4B535AA8" w14:textId="77777777" w:rsidR="00DE4567" w:rsidRPr="009A25BD" w:rsidRDefault="00DE4567" w:rsidP="00DE4567">
            <w:pPr>
              <w:pStyle w:val="Sinespaciado"/>
              <w:spacing w:line="360" w:lineRule="auto"/>
              <w:rPr>
                <w:color w:val="4C4747"/>
                <w:lang w:val="es-DO"/>
              </w:rPr>
            </w:pPr>
          </w:p>
          <w:p w14:paraId="4625B12B" w14:textId="77777777" w:rsidR="00DE4567" w:rsidRPr="009A25BD" w:rsidRDefault="00DE4567" w:rsidP="00DE4567">
            <w:pPr>
              <w:pStyle w:val="Sinespaciado"/>
              <w:spacing w:line="360" w:lineRule="auto"/>
              <w:rPr>
                <w:color w:val="4C4747"/>
                <w:lang w:val="es-DO"/>
              </w:rPr>
            </w:pPr>
          </w:p>
        </w:tc>
        <w:tc>
          <w:tcPr>
            <w:tcW w:w="2093" w:type="dxa"/>
          </w:tcPr>
          <w:p w14:paraId="2F0A9864" w14:textId="77777777" w:rsidR="00907DDB" w:rsidRPr="009A25BD" w:rsidRDefault="00907DDB" w:rsidP="000E66D4">
            <w:pPr>
              <w:spacing w:line="360" w:lineRule="auto"/>
              <w:rPr>
                <w:rFonts w:ascii="Times New Roman" w:hAnsi="Times New Roman" w:cs="Times New Roman"/>
                <w:bCs/>
                <w:color w:val="4C4747"/>
              </w:rPr>
            </w:pPr>
          </w:p>
        </w:tc>
        <w:tc>
          <w:tcPr>
            <w:tcW w:w="1876" w:type="dxa"/>
          </w:tcPr>
          <w:p w14:paraId="4484EFAC" w14:textId="77777777" w:rsidR="00907DDB" w:rsidRPr="009A25BD" w:rsidRDefault="00907DDB" w:rsidP="000E66D4">
            <w:pPr>
              <w:spacing w:line="360" w:lineRule="auto"/>
              <w:rPr>
                <w:rFonts w:ascii="Times New Roman" w:hAnsi="Times New Roman" w:cs="Times New Roman"/>
                <w:bCs/>
                <w:color w:val="4C4747"/>
              </w:rPr>
            </w:pPr>
          </w:p>
        </w:tc>
        <w:tc>
          <w:tcPr>
            <w:tcW w:w="1701" w:type="dxa"/>
          </w:tcPr>
          <w:p w14:paraId="3AEB6DEE" w14:textId="77777777" w:rsidR="00907DDB" w:rsidRPr="009A25BD" w:rsidRDefault="00907DDB" w:rsidP="000E66D4">
            <w:pPr>
              <w:spacing w:line="360" w:lineRule="auto"/>
              <w:rPr>
                <w:rFonts w:ascii="Times New Roman" w:hAnsi="Times New Roman" w:cs="Times New Roman"/>
                <w:bCs/>
                <w:color w:val="4C4747"/>
              </w:rPr>
            </w:pPr>
          </w:p>
        </w:tc>
      </w:tr>
      <w:tr w:rsidR="00907DDB" w:rsidRPr="00163F19" w14:paraId="2E1A0082" w14:textId="77777777" w:rsidTr="00F676AC">
        <w:trPr>
          <w:trHeight w:val="958"/>
        </w:trPr>
        <w:tc>
          <w:tcPr>
            <w:tcW w:w="2268" w:type="dxa"/>
            <w:shd w:val="clear" w:color="auto" w:fill="003876"/>
            <w:vAlign w:val="center"/>
          </w:tcPr>
          <w:p w14:paraId="12F597EB" w14:textId="77777777" w:rsidR="00907DDB" w:rsidRPr="00ED5FF0" w:rsidRDefault="00907DDB" w:rsidP="00F676AC">
            <w:pPr>
              <w:jc w:val="center"/>
              <w:rPr>
                <w:rFonts w:ascii="Times New Roman" w:hAnsi="Times New Roman" w:cs="Times New Roman"/>
                <w:b/>
                <w:bCs/>
                <w:color w:val="FFFFFF" w:themeColor="background1"/>
              </w:rPr>
            </w:pPr>
            <w:r w:rsidRPr="00ED5FF0">
              <w:rPr>
                <w:rFonts w:ascii="Times New Roman" w:hAnsi="Times New Roman" w:cs="Times New Roman"/>
                <w:b/>
                <w:bCs/>
                <w:color w:val="FFFFFF" w:themeColor="background1"/>
              </w:rPr>
              <w:lastRenderedPageBreak/>
              <w:t>Resultado Institucional</w:t>
            </w:r>
          </w:p>
        </w:tc>
        <w:tc>
          <w:tcPr>
            <w:tcW w:w="2093" w:type="dxa"/>
            <w:shd w:val="clear" w:color="auto" w:fill="003876"/>
            <w:vAlign w:val="center"/>
          </w:tcPr>
          <w:p w14:paraId="72D1C5B2" w14:textId="77777777" w:rsidR="00907DDB" w:rsidRPr="00ED5FF0" w:rsidRDefault="00907DDB" w:rsidP="00F676AC">
            <w:pPr>
              <w:spacing w:line="360" w:lineRule="auto"/>
              <w:jc w:val="center"/>
              <w:rPr>
                <w:rFonts w:ascii="Times New Roman" w:hAnsi="Times New Roman" w:cs="Times New Roman"/>
                <w:b/>
                <w:bCs/>
                <w:color w:val="FFFFFF" w:themeColor="background1"/>
              </w:rPr>
            </w:pPr>
            <w:r w:rsidRPr="00ED5FF0">
              <w:rPr>
                <w:rFonts w:ascii="Times New Roman" w:hAnsi="Times New Roman" w:cs="Times New Roman"/>
                <w:b/>
                <w:color w:val="FFFFFF" w:themeColor="background1"/>
              </w:rPr>
              <w:t xml:space="preserve">Objetivo </w:t>
            </w:r>
            <w:r w:rsidRPr="00ED5FF0">
              <w:rPr>
                <w:rFonts w:ascii="Times New Roman" w:hAnsi="Times New Roman" w:cs="Times New Roman"/>
                <w:b/>
                <w:color w:val="FFFFFF" w:themeColor="background1"/>
              </w:rPr>
              <w:br/>
              <w:t>General END</w:t>
            </w:r>
          </w:p>
        </w:tc>
        <w:tc>
          <w:tcPr>
            <w:tcW w:w="1876" w:type="dxa"/>
            <w:shd w:val="clear" w:color="auto" w:fill="003876"/>
            <w:vAlign w:val="center"/>
          </w:tcPr>
          <w:p w14:paraId="749A27C2" w14:textId="77777777" w:rsidR="00907DDB" w:rsidRPr="00ED5FF0" w:rsidRDefault="00907DDB" w:rsidP="00F676AC">
            <w:pPr>
              <w:spacing w:line="360" w:lineRule="auto"/>
              <w:jc w:val="center"/>
              <w:rPr>
                <w:rFonts w:ascii="Times New Roman" w:hAnsi="Times New Roman" w:cs="Times New Roman"/>
                <w:b/>
                <w:bCs/>
                <w:color w:val="FFFFFF" w:themeColor="background1"/>
              </w:rPr>
            </w:pPr>
            <w:r w:rsidRPr="00ED5FF0">
              <w:rPr>
                <w:rFonts w:ascii="Times New Roman" w:hAnsi="Times New Roman" w:cs="Times New Roman"/>
                <w:b/>
                <w:color w:val="FFFFFF" w:themeColor="background1"/>
              </w:rPr>
              <w:t>Objetivo Específico END</w:t>
            </w:r>
          </w:p>
        </w:tc>
        <w:tc>
          <w:tcPr>
            <w:tcW w:w="1701" w:type="dxa"/>
            <w:shd w:val="clear" w:color="auto" w:fill="003876"/>
            <w:vAlign w:val="center"/>
          </w:tcPr>
          <w:p w14:paraId="58F44578" w14:textId="77777777" w:rsidR="00907DDB" w:rsidRPr="00ED5FF0" w:rsidRDefault="00907DDB" w:rsidP="00F676AC">
            <w:pPr>
              <w:spacing w:line="360" w:lineRule="auto"/>
              <w:jc w:val="center"/>
              <w:rPr>
                <w:rFonts w:ascii="Times New Roman" w:hAnsi="Times New Roman" w:cs="Times New Roman"/>
                <w:b/>
                <w:bCs/>
                <w:color w:val="FFFFFF" w:themeColor="background1"/>
              </w:rPr>
            </w:pPr>
            <w:r w:rsidRPr="00ED5FF0">
              <w:rPr>
                <w:rFonts w:ascii="Times New Roman" w:hAnsi="Times New Roman" w:cs="Times New Roman"/>
                <w:b/>
                <w:color w:val="FFFFFF" w:themeColor="background1"/>
              </w:rPr>
              <w:t>Líneas de Acción END</w:t>
            </w:r>
          </w:p>
        </w:tc>
      </w:tr>
      <w:tr w:rsidR="000E66D4" w:rsidRPr="009A25BD" w14:paraId="27FB66C1" w14:textId="77777777" w:rsidTr="00F676AC">
        <w:trPr>
          <w:trHeight w:val="778"/>
        </w:trPr>
        <w:tc>
          <w:tcPr>
            <w:tcW w:w="2268" w:type="dxa"/>
          </w:tcPr>
          <w:p w14:paraId="369254FE" w14:textId="77777777" w:rsidR="00907DDB" w:rsidRPr="009A25BD" w:rsidRDefault="00907DDB" w:rsidP="000E66D4">
            <w:pPr>
              <w:spacing w:line="360" w:lineRule="auto"/>
              <w:rPr>
                <w:rFonts w:ascii="Times New Roman" w:eastAsia="Calibri" w:hAnsi="Times New Roman" w:cs="Times New Roman"/>
                <w:color w:val="4C4747"/>
                <w:spacing w:val="20"/>
                <w:lang w:val="es-DO"/>
              </w:rPr>
            </w:pPr>
            <w:r w:rsidRPr="009A25BD">
              <w:rPr>
                <w:rFonts w:ascii="Times New Roman" w:eastAsia="Calibri" w:hAnsi="Times New Roman" w:cs="Times New Roman"/>
                <w:color w:val="4C4747"/>
                <w:spacing w:val="20"/>
                <w:lang w:val="es-DO"/>
              </w:rPr>
              <w:t xml:space="preserve">Asegurada la </w:t>
            </w:r>
          </w:p>
          <w:p w14:paraId="26D35EFB" w14:textId="77777777" w:rsidR="00907DDB" w:rsidRPr="009A25BD" w:rsidRDefault="00907DDB" w:rsidP="000E66D4">
            <w:pPr>
              <w:spacing w:line="360" w:lineRule="auto"/>
              <w:rPr>
                <w:rFonts w:ascii="Times New Roman" w:eastAsia="Calibri" w:hAnsi="Times New Roman" w:cs="Times New Roman"/>
                <w:color w:val="4C4747"/>
                <w:spacing w:val="20"/>
                <w:lang w:val="es-DO"/>
              </w:rPr>
            </w:pPr>
            <w:r w:rsidRPr="009A25BD">
              <w:rPr>
                <w:rFonts w:ascii="Times New Roman" w:eastAsia="Calibri" w:hAnsi="Times New Roman" w:cs="Times New Roman"/>
                <w:color w:val="4C4747"/>
                <w:spacing w:val="20"/>
                <w:lang w:val="es-DO"/>
              </w:rPr>
              <w:t xml:space="preserve">continuidad y eficacia de las operaciones de la </w:t>
            </w:r>
          </w:p>
          <w:p w14:paraId="15EF7A55" w14:textId="77777777" w:rsidR="00907DDB" w:rsidRPr="009A25BD" w:rsidRDefault="00907DDB" w:rsidP="000E66D4">
            <w:pPr>
              <w:spacing w:line="360" w:lineRule="auto"/>
              <w:rPr>
                <w:rFonts w:ascii="Times New Roman" w:eastAsia="Calibri" w:hAnsi="Times New Roman" w:cs="Times New Roman"/>
                <w:color w:val="4C4747"/>
                <w:spacing w:val="20"/>
                <w:lang w:val="es-DO"/>
              </w:rPr>
            </w:pPr>
            <w:r w:rsidRPr="009A25BD">
              <w:rPr>
                <w:rFonts w:ascii="Times New Roman" w:eastAsia="Calibri" w:hAnsi="Times New Roman" w:cs="Times New Roman"/>
                <w:color w:val="4C4747"/>
                <w:spacing w:val="20"/>
                <w:lang w:val="es-DO"/>
              </w:rPr>
              <w:t>institución</w:t>
            </w:r>
          </w:p>
        </w:tc>
        <w:tc>
          <w:tcPr>
            <w:tcW w:w="2093" w:type="dxa"/>
          </w:tcPr>
          <w:p w14:paraId="1F34DCBB" w14:textId="77777777" w:rsidR="00907DDB" w:rsidRPr="009A25BD" w:rsidRDefault="00907DDB" w:rsidP="000E66D4">
            <w:pPr>
              <w:spacing w:line="360" w:lineRule="auto"/>
              <w:rPr>
                <w:rFonts w:ascii="Times New Roman" w:hAnsi="Times New Roman" w:cs="Times New Roman"/>
                <w:bCs/>
                <w:color w:val="4C4747"/>
              </w:rPr>
            </w:pPr>
          </w:p>
        </w:tc>
        <w:tc>
          <w:tcPr>
            <w:tcW w:w="1876" w:type="dxa"/>
          </w:tcPr>
          <w:p w14:paraId="4A04C135" w14:textId="77777777" w:rsidR="00907DDB" w:rsidRPr="009A25BD" w:rsidRDefault="00907DDB" w:rsidP="000E66D4">
            <w:pPr>
              <w:spacing w:line="360" w:lineRule="auto"/>
              <w:rPr>
                <w:rFonts w:ascii="Times New Roman" w:hAnsi="Times New Roman" w:cs="Times New Roman"/>
                <w:bCs/>
                <w:color w:val="4C4747"/>
              </w:rPr>
            </w:pPr>
          </w:p>
        </w:tc>
        <w:tc>
          <w:tcPr>
            <w:tcW w:w="1701" w:type="dxa"/>
          </w:tcPr>
          <w:p w14:paraId="3374EED6" w14:textId="77777777" w:rsidR="00907DDB" w:rsidRPr="009A25BD" w:rsidRDefault="00907DDB" w:rsidP="000E66D4">
            <w:pPr>
              <w:spacing w:line="360" w:lineRule="auto"/>
              <w:rPr>
                <w:rFonts w:ascii="Times New Roman" w:hAnsi="Times New Roman" w:cs="Times New Roman"/>
                <w:bCs/>
                <w:color w:val="4C4747"/>
              </w:rPr>
            </w:pPr>
          </w:p>
        </w:tc>
      </w:tr>
      <w:tr w:rsidR="000E66D4" w:rsidRPr="009A25BD" w14:paraId="05219447" w14:textId="77777777" w:rsidTr="00F676AC">
        <w:trPr>
          <w:trHeight w:val="512"/>
        </w:trPr>
        <w:tc>
          <w:tcPr>
            <w:tcW w:w="2268" w:type="dxa"/>
          </w:tcPr>
          <w:p w14:paraId="72A1B9E0" w14:textId="77777777" w:rsidR="00907DDB" w:rsidRPr="009A25BD" w:rsidRDefault="00907DDB" w:rsidP="000E66D4">
            <w:pPr>
              <w:spacing w:line="360" w:lineRule="auto"/>
              <w:rPr>
                <w:rFonts w:ascii="Times New Roman" w:eastAsia="Calibri" w:hAnsi="Times New Roman" w:cs="Times New Roman"/>
                <w:color w:val="4C4747"/>
                <w:spacing w:val="20"/>
                <w:lang w:val="es-DO"/>
              </w:rPr>
            </w:pPr>
            <w:r w:rsidRPr="009A25BD">
              <w:rPr>
                <w:rFonts w:ascii="Times New Roman" w:eastAsia="Calibri" w:hAnsi="Times New Roman" w:cs="Times New Roman"/>
                <w:color w:val="4C4747"/>
                <w:spacing w:val="20"/>
                <w:lang w:val="es-DO"/>
              </w:rPr>
              <w:t>Optimizada la gestión financiera</w:t>
            </w:r>
          </w:p>
        </w:tc>
        <w:tc>
          <w:tcPr>
            <w:tcW w:w="2093" w:type="dxa"/>
          </w:tcPr>
          <w:p w14:paraId="4164B651" w14:textId="77777777" w:rsidR="00907DDB" w:rsidRPr="009A25BD" w:rsidRDefault="00907DDB" w:rsidP="000E66D4">
            <w:pPr>
              <w:spacing w:line="360" w:lineRule="auto"/>
              <w:rPr>
                <w:rFonts w:ascii="Times New Roman" w:hAnsi="Times New Roman" w:cs="Times New Roman"/>
                <w:bCs/>
                <w:color w:val="4C4747"/>
              </w:rPr>
            </w:pPr>
          </w:p>
        </w:tc>
        <w:tc>
          <w:tcPr>
            <w:tcW w:w="1876" w:type="dxa"/>
          </w:tcPr>
          <w:p w14:paraId="4FB329A7" w14:textId="77777777" w:rsidR="00907DDB" w:rsidRPr="009A25BD" w:rsidRDefault="00907DDB" w:rsidP="000E66D4">
            <w:pPr>
              <w:spacing w:line="360" w:lineRule="auto"/>
              <w:rPr>
                <w:rFonts w:ascii="Times New Roman" w:hAnsi="Times New Roman" w:cs="Times New Roman"/>
                <w:bCs/>
                <w:color w:val="4C4747"/>
              </w:rPr>
            </w:pPr>
          </w:p>
        </w:tc>
        <w:tc>
          <w:tcPr>
            <w:tcW w:w="1701" w:type="dxa"/>
          </w:tcPr>
          <w:p w14:paraId="2751B88C" w14:textId="77777777" w:rsidR="00907DDB" w:rsidRPr="009A25BD" w:rsidRDefault="00907DDB" w:rsidP="000E66D4">
            <w:pPr>
              <w:spacing w:line="360" w:lineRule="auto"/>
              <w:rPr>
                <w:rFonts w:ascii="Times New Roman" w:hAnsi="Times New Roman" w:cs="Times New Roman"/>
                <w:bCs/>
                <w:color w:val="4C4747"/>
              </w:rPr>
            </w:pPr>
          </w:p>
        </w:tc>
      </w:tr>
    </w:tbl>
    <w:p w14:paraId="39595884" w14:textId="37228EE4" w:rsidR="001C151B" w:rsidRPr="009A25BD" w:rsidRDefault="00BD79E2" w:rsidP="00FA019C">
      <w:pPr>
        <w:spacing w:line="360" w:lineRule="auto"/>
        <w:jc w:val="both"/>
        <w:rPr>
          <w:rFonts w:ascii="Times New Roman" w:eastAsia="Calibri" w:hAnsi="Times New Roman" w:cs="Times New Roman"/>
          <w:color w:val="4C4747"/>
          <w:spacing w:val="20"/>
          <w:sz w:val="18"/>
          <w:szCs w:val="18"/>
          <w:lang w:val="es-DO"/>
        </w:rPr>
      </w:pPr>
      <w:r w:rsidRPr="009A25BD">
        <w:rPr>
          <w:rFonts w:ascii="Times New Roman" w:eastAsia="Calibri" w:hAnsi="Times New Roman" w:cs="Times New Roman"/>
          <w:b/>
          <w:color w:val="4C4747"/>
          <w:spacing w:val="20"/>
          <w:sz w:val="18"/>
          <w:szCs w:val="18"/>
          <w:lang w:val="es-DO"/>
        </w:rPr>
        <w:t>Fuente:</w:t>
      </w:r>
      <w:r w:rsidRPr="009A25BD">
        <w:rPr>
          <w:rFonts w:ascii="Times New Roman" w:eastAsia="Calibri" w:hAnsi="Times New Roman" w:cs="Times New Roman"/>
          <w:color w:val="4C4747"/>
          <w:spacing w:val="20"/>
          <w:sz w:val="18"/>
          <w:szCs w:val="18"/>
          <w:lang w:val="es-DO"/>
        </w:rPr>
        <w:t xml:space="preserve"> Plan Estratégico Institucional (PEI) 2021-2024</w:t>
      </w:r>
    </w:p>
    <w:p w14:paraId="3D3453CE"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638AA406"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58C365DA"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5B2736B5"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0A6AA7C8"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38B357F5"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5342239A"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2B5C9D5E"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1B0DF17F"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00F66085"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06E17775"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12B06C45"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15364ADA"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5EE25CBB"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2D0C57BA"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4D8E3803" w14:textId="77777777" w:rsidR="00BD79E2" w:rsidRDefault="00BD79E2" w:rsidP="00FA019C">
      <w:pPr>
        <w:spacing w:line="360" w:lineRule="auto"/>
        <w:jc w:val="both"/>
        <w:rPr>
          <w:rFonts w:ascii="Times New Roman" w:eastAsia="Calibri" w:hAnsi="Times New Roman" w:cs="Times New Roman"/>
          <w:color w:val="767171"/>
          <w:spacing w:val="20"/>
          <w:sz w:val="18"/>
          <w:szCs w:val="18"/>
          <w:lang w:val="es-DO"/>
        </w:rPr>
      </w:pPr>
    </w:p>
    <w:p w14:paraId="5F326886" w14:textId="77777777" w:rsidR="001F33D9" w:rsidRDefault="001F33D9" w:rsidP="00FA019C">
      <w:pPr>
        <w:spacing w:line="360" w:lineRule="auto"/>
        <w:jc w:val="both"/>
        <w:rPr>
          <w:rFonts w:ascii="Times New Roman" w:eastAsia="Calibri" w:hAnsi="Times New Roman" w:cs="Times New Roman"/>
          <w:color w:val="767171"/>
          <w:spacing w:val="20"/>
          <w:sz w:val="24"/>
          <w:szCs w:val="24"/>
          <w:lang w:val="es-DO"/>
        </w:rPr>
      </w:pPr>
    </w:p>
    <w:bookmarkStart w:id="10" w:name="_Toc122425233"/>
    <w:p w14:paraId="33A5A57B" w14:textId="3EFFC4D9" w:rsidR="001C151B" w:rsidRPr="000E66D4" w:rsidRDefault="00BD79E2" w:rsidP="00A02BDE">
      <w:pPr>
        <w:pStyle w:val="Ttulo1"/>
        <w:numPr>
          <w:ilvl w:val="0"/>
          <w:numId w:val="27"/>
        </w:numPr>
        <w:spacing w:line="360" w:lineRule="auto"/>
        <w:jc w:val="center"/>
        <w:rPr>
          <w:color w:val="4C4747"/>
          <w:spacing w:val="20"/>
          <w:lang w:val="es-DO"/>
        </w:rPr>
      </w:pPr>
      <w:r w:rsidRPr="000E66D4">
        <w:rPr>
          <w:noProof/>
          <w:color w:val="4C4747"/>
          <w:spacing w:val="20"/>
        </w:rPr>
        <w:lastRenderedPageBreak/>
        <mc:AlternateContent>
          <mc:Choice Requires="wps">
            <w:drawing>
              <wp:anchor distT="0" distB="0" distL="114300" distR="114300" simplePos="0" relativeHeight="251725824" behindDoc="0" locked="0" layoutInCell="1" allowOverlap="1" wp14:anchorId="31AE9903" wp14:editId="1CB74330">
                <wp:simplePos x="0" y="0"/>
                <wp:positionH relativeFrom="margin">
                  <wp:posOffset>2406650</wp:posOffset>
                </wp:positionH>
                <wp:positionV relativeFrom="paragraph">
                  <wp:posOffset>273354</wp:posOffset>
                </wp:positionV>
                <wp:extent cx="463550" cy="0"/>
                <wp:effectExtent l="0" t="19050" r="31750" b="19050"/>
                <wp:wrapNone/>
                <wp:docPr id="1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7558B" id="Straight Connector 21"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5pt,21.5pt" to="22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H0NA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" strokecolor="#ee2a24" strokeweight="2.25pt">
                <v:stroke joinstyle="miter"/>
                <w10:wrap anchorx="margin"/>
              </v:line>
            </w:pict>
          </mc:Fallback>
        </mc:AlternateContent>
      </w:r>
      <w:r w:rsidR="001F33D9" w:rsidRPr="000E66D4">
        <w:rPr>
          <w:color w:val="4C4747"/>
          <w:spacing w:val="20"/>
          <w:lang w:val="es-DO"/>
        </w:rPr>
        <w:t>RESULTADOS MISIONALES</w:t>
      </w:r>
      <w:bookmarkEnd w:id="10"/>
    </w:p>
    <w:p w14:paraId="3D994D39" w14:textId="77777777" w:rsidR="00BD79E2" w:rsidRPr="000E66D4" w:rsidRDefault="00BD79E2" w:rsidP="00BD79E2">
      <w:pPr>
        <w:pStyle w:val="Prrafodelista"/>
        <w:spacing w:line="360" w:lineRule="auto"/>
        <w:ind w:left="1080"/>
        <w:jc w:val="center"/>
        <w:rPr>
          <w:rFonts w:ascii="Times New Roman" w:eastAsia="Calibri" w:hAnsi="Times New Roman" w:cs="Times New Roman"/>
          <w:color w:val="4C4747"/>
          <w:spacing w:val="20"/>
          <w:sz w:val="24"/>
          <w:szCs w:val="24"/>
          <w:lang w:val="es-DO"/>
        </w:rPr>
      </w:pPr>
    </w:p>
    <w:p w14:paraId="3F6A6857" w14:textId="7FD48462" w:rsidR="001F33D9" w:rsidRPr="000E66D4" w:rsidRDefault="00591C1B" w:rsidP="00BD79E2">
      <w:pPr>
        <w:pStyle w:val="Prrafodelista"/>
        <w:spacing w:line="360" w:lineRule="auto"/>
        <w:ind w:left="1080"/>
        <w:jc w:val="center"/>
        <w:rPr>
          <w:rFonts w:ascii="Times New Roman" w:eastAsia="Calibri" w:hAnsi="Times New Roman" w:cs="Times New Roman"/>
          <w:b/>
          <w:color w:val="4C4747"/>
          <w:spacing w:val="20"/>
          <w:sz w:val="28"/>
          <w:szCs w:val="28"/>
          <w:lang w:val="es-DO"/>
        </w:rPr>
      </w:pPr>
      <w:r w:rsidRPr="000E66D4">
        <w:rPr>
          <w:rFonts w:ascii="Times New Roman" w:eastAsia="Calibri" w:hAnsi="Times New Roman" w:cs="Times New Roman"/>
          <w:color w:val="4C4747"/>
          <w:spacing w:val="20"/>
          <w:sz w:val="24"/>
          <w:szCs w:val="24"/>
          <w:lang w:val="es-DO"/>
        </w:rPr>
        <w:t>Memoria I</w:t>
      </w:r>
      <w:r w:rsidR="00566BEC" w:rsidRPr="000E66D4">
        <w:rPr>
          <w:rFonts w:ascii="Times New Roman" w:eastAsia="Calibri" w:hAnsi="Times New Roman" w:cs="Times New Roman"/>
          <w:color w:val="4C4747"/>
          <w:spacing w:val="20"/>
          <w:sz w:val="24"/>
          <w:szCs w:val="24"/>
          <w:lang w:val="es-DO"/>
        </w:rPr>
        <w:t>nstitucional 2022</w:t>
      </w:r>
    </w:p>
    <w:p w14:paraId="7031A8AB" w14:textId="77777777" w:rsidR="001F33D9" w:rsidRDefault="001F33D9" w:rsidP="00FA019C">
      <w:pPr>
        <w:spacing w:line="360" w:lineRule="auto"/>
        <w:jc w:val="both"/>
        <w:rPr>
          <w:rFonts w:ascii="Times New Roman" w:eastAsia="Calibri" w:hAnsi="Times New Roman" w:cs="Times New Roman"/>
          <w:color w:val="767171"/>
          <w:spacing w:val="20"/>
          <w:sz w:val="24"/>
          <w:szCs w:val="24"/>
          <w:lang w:val="es-DO"/>
        </w:rPr>
      </w:pPr>
    </w:p>
    <w:p w14:paraId="74CA3E3D" w14:textId="336C6130" w:rsidR="001C151B" w:rsidRPr="000E66D4" w:rsidRDefault="00907DDB" w:rsidP="00BD79E2">
      <w:pPr>
        <w:spacing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3.1 Información Cuantitativa, Cualitativa e Indicad</w:t>
      </w:r>
      <w:r w:rsidR="00BD79E2" w:rsidRPr="000E66D4">
        <w:rPr>
          <w:rFonts w:ascii="Times New Roman" w:eastAsia="Calibri" w:hAnsi="Times New Roman" w:cs="Times New Roman"/>
          <w:b/>
          <w:color w:val="4C4747"/>
          <w:spacing w:val="20"/>
          <w:sz w:val="24"/>
          <w:szCs w:val="24"/>
          <w:lang w:val="es-DO"/>
        </w:rPr>
        <w:t>ores de los Procesos Misionales</w:t>
      </w:r>
    </w:p>
    <w:p w14:paraId="393B2123" w14:textId="10E3C438" w:rsidR="00650DCD" w:rsidRPr="000E66D4" w:rsidRDefault="006D62FE" w:rsidP="00650DCD">
      <w:pPr>
        <w:keepNext/>
        <w:spacing w:before="240" w:after="60"/>
        <w:jc w:val="both"/>
        <w:outlineLvl w:val="2"/>
        <w:rPr>
          <w:rFonts w:ascii="Times New Roman" w:eastAsia="Calibri" w:hAnsi="Times New Roman" w:cs="Times New Roman"/>
          <w:b/>
          <w:noProof/>
          <w:color w:val="4C4747"/>
          <w:spacing w:val="20"/>
          <w:sz w:val="24"/>
          <w:szCs w:val="24"/>
          <w:lang w:val="es-DO"/>
        </w:rPr>
      </w:pPr>
      <w:bookmarkStart w:id="11" w:name="_Toc79678412"/>
      <w:bookmarkStart w:id="12" w:name="_Toc122425234"/>
      <w:r w:rsidRPr="000E66D4">
        <w:rPr>
          <w:rFonts w:ascii="Times New Roman" w:eastAsia="Calibri" w:hAnsi="Times New Roman" w:cs="Times New Roman"/>
          <w:b/>
          <w:noProof/>
          <w:color w:val="4C4747"/>
          <w:spacing w:val="20"/>
          <w:sz w:val="24"/>
          <w:szCs w:val="24"/>
          <w:lang w:val="es-DO"/>
        </w:rPr>
        <w:t xml:space="preserve">3.1 </w:t>
      </w:r>
      <w:r w:rsidR="00650DCD" w:rsidRPr="000E66D4">
        <w:rPr>
          <w:rFonts w:ascii="Times New Roman" w:eastAsia="Calibri" w:hAnsi="Times New Roman" w:cs="Times New Roman"/>
          <w:b/>
          <w:noProof/>
          <w:color w:val="4C4747"/>
          <w:spacing w:val="20"/>
          <w:sz w:val="24"/>
          <w:szCs w:val="24"/>
          <w:lang w:val="es-DO"/>
        </w:rPr>
        <w:t>Regulación y Defensa de la Competencia</w:t>
      </w:r>
      <w:bookmarkEnd w:id="11"/>
      <w:r w:rsidR="00936D8F" w:rsidRPr="000E66D4">
        <w:rPr>
          <w:rFonts w:ascii="Times New Roman" w:eastAsia="Calibri" w:hAnsi="Times New Roman" w:cs="Times New Roman"/>
          <w:b/>
          <w:noProof/>
          <w:color w:val="4C4747"/>
          <w:spacing w:val="20"/>
          <w:sz w:val="24"/>
          <w:szCs w:val="24"/>
          <w:lang w:val="es-DO"/>
        </w:rPr>
        <w:t xml:space="preserve"> del Sector de las Telecomunicaciones</w:t>
      </w:r>
      <w:bookmarkEnd w:id="12"/>
      <w:r w:rsidR="00936D8F" w:rsidRPr="000E66D4">
        <w:rPr>
          <w:rFonts w:ascii="Times New Roman" w:eastAsia="Calibri" w:hAnsi="Times New Roman" w:cs="Times New Roman"/>
          <w:b/>
          <w:noProof/>
          <w:color w:val="4C4747"/>
          <w:spacing w:val="20"/>
          <w:sz w:val="24"/>
          <w:szCs w:val="24"/>
          <w:lang w:val="es-DO"/>
        </w:rPr>
        <w:t xml:space="preserve">  </w:t>
      </w:r>
    </w:p>
    <w:p w14:paraId="24CAD96B" w14:textId="77777777" w:rsidR="00650DCD" w:rsidRPr="000E66D4" w:rsidRDefault="00650DCD" w:rsidP="00A71A82">
      <w:pPr>
        <w:pStyle w:val="Sinespaciado"/>
        <w:rPr>
          <w:color w:val="4C4747"/>
          <w:lang w:val="es-DO" w:eastAsia="es-DO"/>
        </w:rPr>
      </w:pPr>
    </w:p>
    <w:p w14:paraId="062F8429" w14:textId="77777777" w:rsidR="00611381" w:rsidRPr="000E66D4" w:rsidRDefault="00611381" w:rsidP="00611381">
      <w:pPr>
        <w:spacing w:after="0" w:line="360" w:lineRule="auto"/>
        <w:jc w:val="both"/>
        <w:rPr>
          <w:color w:val="4C4747"/>
          <w:spacing w:val="20"/>
          <w:szCs w:val="24"/>
          <w:lang w:val="es-DO"/>
        </w:rPr>
      </w:pPr>
      <w:r w:rsidRPr="000E66D4">
        <w:rPr>
          <w:rFonts w:ascii="Times New Roman" w:eastAsia="Calibri" w:hAnsi="Times New Roman" w:cs="Times New Roman"/>
          <w:color w:val="4C4747"/>
          <w:spacing w:val="20"/>
          <w:sz w:val="24"/>
          <w:szCs w:val="24"/>
          <w:lang w:val="es-DO"/>
        </w:rPr>
        <w:t>A fin de garantizar el funcionamiento competitivo del mercado de servicios de telecomunicaciones, que se traduzcan en mejoras en términos de calidad, precio e innovación que contribuyan con el desarrollo productivo del país; así como para proteger los derechos de los usuarios y los sujetos regulados; y dar seguimiento a las tendencias regulatorias internacionales y realidades nacionales, el Consejo Directivo del INDOTEL ha emitido las siguientes actuaciones:</w:t>
      </w:r>
    </w:p>
    <w:p w14:paraId="506B65CF" w14:textId="77777777" w:rsidR="002F4988" w:rsidRPr="000E66D4" w:rsidRDefault="002F4988" w:rsidP="00943FA5">
      <w:pPr>
        <w:spacing w:after="0" w:line="360" w:lineRule="auto"/>
        <w:jc w:val="both"/>
        <w:rPr>
          <w:rFonts w:eastAsia="Calibri"/>
          <w:color w:val="4C4747"/>
          <w:spacing w:val="20"/>
          <w:szCs w:val="24"/>
          <w:lang w:val="es-DO"/>
        </w:rPr>
      </w:pPr>
    </w:p>
    <w:p w14:paraId="7B589B81" w14:textId="77777777" w:rsidR="002F4988" w:rsidRPr="000E66D4" w:rsidRDefault="002F4988" w:rsidP="00943FA5">
      <w:pPr>
        <w:spacing w:after="0" w:line="360" w:lineRule="auto"/>
        <w:jc w:val="both"/>
        <w:rPr>
          <w:rFonts w:eastAsia="Calibri"/>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Asignación de frecuencias y canal digital para prestación del servicio de Televisión Terrestre Digital (TTD)</w:t>
      </w:r>
    </w:p>
    <w:p w14:paraId="11529DDA" w14:textId="083BF50E" w:rsidR="002F4988" w:rsidRPr="000E66D4" w:rsidRDefault="002F4988" w:rsidP="00943FA5">
      <w:pPr>
        <w:spacing w:before="240"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El Consejo Directivo del INDOTE</w:t>
      </w:r>
      <w:r w:rsidR="000B498D" w:rsidRPr="000E66D4">
        <w:rPr>
          <w:rFonts w:ascii="Times New Roman" w:eastAsia="Calibri" w:hAnsi="Times New Roman" w:cs="Times New Roman"/>
          <w:color w:val="4C4747"/>
          <w:spacing w:val="20"/>
          <w:sz w:val="24"/>
          <w:szCs w:val="24"/>
          <w:lang w:val="es-DO"/>
        </w:rPr>
        <w:t>L mediante resoluciones números</w:t>
      </w:r>
      <w:r w:rsidRPr="000E66D4">
        <w:rPr>
          <w:rFonts w:ascii="Times New Roman" w:eastAsia="Calibri" w:hAnsi="Times New Roman" w:cs="Times New Roman"/>
          <w:color w:val="4C4747"/>
          <w:spacing w:val="20"/>
          <w:sz w:val="24"/>
          <w:szCs w:val="24"/>
          <w:lang w:val="es-DO"/>
        </w:rPr>
        <w:t xml:space="preserve"> 001-2022, 002-2022, 003-2022, 004-2022, 005-2022, 006-2022, 007-2022, 017-2022, 018-2022, 019-2022, 020-2022, 043-2022</w:t>
      </w:r>
      <w:r w:rsidR="00F148FB" w:rsidRPr="000E66D4">
        <w:rPr>
          <w:rFonts w:ascii="Times New Roman" w:eastAsia="Calibri" w:hAnsi="Times New Roman" w:cs="Times New Roman"/>
          <w:color w:val="4C4747"/>
          <w:spacing w:val="20"/>
          <w:sz w:val="24"/>
          <w:szCs w:val="24"/>
          <w:lang w:val="es-DO"/>
        </w:rPr>
        <w:t>,</w:t>
      </w:r>
      <w:r w:rsidRPr="000E66D4">
        <w:rPr>
          <w:rFonts w:ascii="Times New Roman" w:eastAsia="Calibri" w:hAnsi="Times New Roman" w:cs="Times New Roman"/>
          <w:color w:val="4C4747"/>
          <w:spacing w:val="20"/>
          <w:sz w:val="24"/>
          <w:szCs w:val="24"/>
          <w:lang w:val="es-DO"/>
        </w:rPr>
        <w:t xml:space="preserve"> y 049-2022, 054-2022, 055-2022, 056-2022 y 087-2022 continúa con el proceso de asignación de frecuencias definitivas y número de canal virtual a favor de diecisiete (17) concesionarias de radiodifusión televisiva para el encendido y prestación del servicio de Televisión Terrestre Digital de conformidad con lo establecido en el Plan de Transición a la Televisión Digital. </w:t>
      </w:r>
    </w:p>
    <w:p w14:paraId="49D2B513" w14:textId="77777777" w:rsidR="002F4988" w:rsidRPr="000E66D4" w:rsidRDefault="002F4988" w:rsidP="00943FA5">
      <w:pPr>
        <w:spacing w:after="0" w:line="360" w:lineRule="auto"/>
        <w:jc w:val="both"/>
        <w:rPr>
          <w:rFonts w:eastAsia="Calibri"/>
          <w:color w:val="4C4747"/>
          <w:spacing w:val="20"/>
          <w:szCs w:val="24"/>
          <w:lang w:val="es-DO"/>
        </w:rPr>
      </w:pPr>
    </w:p>
    <w:p w14:paraId="6FB2964B" w14:textId="77777777" w:rsidR="002F4988" w:rsidRPr="000E66D4" w:rsidRDefault="002F4988" w:rsidP="00943FA5">
      <w:pPr>
        <w:spacing w:after="0" w:line="360" w:lineRule="auto"/>
        <w:jc w:val="both"/>
        <w:rPr>
          <w:rFonts w:eastAsia="Calibri"/>
          <w:b/>
          <w:color w:val="4C4747"/>
          <w:spacing w:val="20"/>
          <w:szCs w:val="24"/>
          <w:lang w:val="es-DO"/>
        </w:rPr>
      </w:pPr>
      <w:r w:rsidRPr="000E66D4">
        <w:rPr>
          <w:rFonts w:ascii="Times New Roman" w:eastAsia="Calibri" w:hAnsi="Times New Roman" w:cs="Times New Roman"/>
          <w:b/>
          <w:color w:val="4C4747"/>
          <w:spacing w:val="20"/>
          <w:sz w:val="24"/>
          <w:szCs w:val="24"/>
          <w:lang w:val="es-DO"/>
        </w:rPr>
        <w:lastRenderedPageBreak/>
        <w:t xml:space="preserve">Plan de Transición a la Televisión Terrestre Digital en la República Dominicana </w:t>
      </w:r>
    </w:p>
    <w:p w14:paraId="3AD69F84" w14:textId="66477209" w:rsidR="00611381" w:rsidRPr="000E66D4" w:rsidRDefault="00611381" w:rsidP="00943FA5">
      <w:pPr>
        <w:spacing w:before="240" w:after="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Igualmente, el 1° de septiembre de 2022, el Consejo Directivo mediante la Resolución número 083-2022 dictó </w:t>
      </w:r>
      <w:r w:rsidR="00DD1D67" w:rsidRPr="000E66D4">
        <w:rPr>
          <w:rFonts w:ascii="Times New Roman" w:eastAsia="Calibri" w:hAnsi="Times New Roman" w:cs="Times New Roman"/>
          <w:color w:val="4C4747"/>
          <w:spacing w:val="20"/>
          <w:sz w:val="24"/>
          <w:szCs w:val="24"/>
          <w:lang w:val="es-DO"/>
        </w:rPr>
        <w:t xml:space="preserve">la </w:t>
      </w:r>
      <w:r w:rsidRPr="000E66D4">
        <w:rPr>
          <w:rFonts w:ascii="Times New Roman" w:eastAsia="Calibri" w:hAnsi="Times New Roman" w:cs="Times New Roman"/>
          <w:color w:val="4C4747"/>
          <w:spacing w:val="20"/>
          <w:sz w:val="24"/>
          <w:szCs w:val="24"/>
          <w:lang w:val="es-DO"/>
        </w:rPr>
        <w:t xml:space="preserve">actualización del Plan de Transición a la Televisión Terrestre Digital y las resoluciones de asignación de frecuencia definitiva que se derivan de este, conforme al Decreto Presidencial número 437-22 que modificó las fechas para el encendido digital y del apagón de la </w:t>
      </w:r>
      <w:r w:rsidR="00FC249B" w:rsidRPr="000E66D4">
        <w:rPr>
          <w:rFonts w:ascii="Times New Roman" w:eastAsia="Calibri" w:hAnsi="Times New Roman" w:cs="Times New Roman"/>
          <w:color w:val="4C4747"/>
          <w:spacing w:val="20"/>
          <w:sz w:val="24"/>
          <w:szCs w:val="24"/>
          <w:lang w:val="es-DO"/>
        </w:rPr>
        <w:t>t</w:t>
      </w:r>
      <w:r w:rsidRPr="000E66D4">
        <w:rPr>
          <w:rFonts w:ascii="Times New Roman" w:eastAsia="Calibri" w:hAnsi="Times New Roman" w:cs="Times New Roman"/>
          <w:color w:val="4C4747"/>
          <w:spacing w:val="20"/>
          <w:sz w:val="24"/>
          <w:szCs w:val="24"/>
          <w:lang w:val="es-DO"/>
        </w:rPr>
        <w:t xml:space="preserve">elevisión analógica. </w:t>
      </w:r>
    </w:p>
    <w:p w14:paraId="72C38360" w14:textId="77777777" w:rsidR="002F4988" w:rsidRPr="000E66D4" w:rsidRDefault="002F4988" w:rsidP="002F4988">
      <w:pPr>
        <w:spacing w:after="0" w:line="360" w:lineRule="auto"/>
        <w:jc w:val="both"/>
        <w:rPr>
          <w:rFonts w:ascii="Times New Roman" w:eastAsia="Calibri" w:hAnsi="Times New Roman" w:cs="Times New Roman"/>
          <w:color w:val="4C4747"/>
          <w:spacing w:val="20"/>
          <w:sz w:val="24"/>
          <w:szCs w:val="24"/>
          <w:lang w:val="es-DO"/>
        </w:rPr>
      </w:pPr>
    </w:p>
    <w:p w14:paraId="5193FAFA" w14:textId="77777777" w:rsidR="002F4988" w:rsidRPr="000E66D4" w:rsidRDefault="002F4988" w:rsidP="002F4988">
      <w:pPr>
        <w:spacing w:after="0"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Reglamento para la Celebración de Consultas y Audiencias Públicas para la elaboración de Normas y Reglamentos del Instituto Dominicano de las Telecomunicaciones (INDOTEL)</w:t>
      </w:r>
    </w:p>
    <w:p w14:paraId="0BBC6B1A" w14:textId="77777777" w:rsidR="00611381" w:rsidRPr="000E66D4" w:rsidRDefault="00611381" w:rsidP="00943FA5">
      <w:pPr>
        <w:spacing w:before="240"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El 14 de febrero de 2022, el Consejo Directivo del INDOTEL emitió la Resolución número 022-2022, que dictó el nuevo Reglamento para la Celebración de Consultas y Audiencias Públicas para la elaboración de Normas y Reglamentos del Instituto Dominicano de las Telecomunicaciones (INDOTEL).</w:t>
      </w:r>
    </w:p>
    <w:p w14:paraId="56657D9D" w14:textId="77777777" w:rsidR="00611381" w:rsidRPr="000E66D4" w:rsidRDefault="00611381" w:rsidP="00611381">
      <w:pPr>
        <w:spacing w:after="0" w:line="360" w:lineRule="auto"/>
        <w:jc w:val="both"/>
        <w:rPr>
          <w:rFonts w:eastAsia="Calibri"/>
          <w:color w:val="4C4747"/>
          <w:spacing w:val="20"/>
          <w:szCs w:val="24"/>
          <w:lang w:val="es-DO"/>
        </w:rPr>
      </w:pPr>
    </w:p>
    <w:p w14:paraId="0E90E095" w14:textId="294BA422" w:rsidR="00611381" w:rsidRPr="000E66D4" w:rsidRDefault="00611381" w:rsidP="00611381">
      <w:pPr>
        <w:spacing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El objeto de este reglamento es crear un mecanismo justo, transparente, eficaz, eficiente, no discriminatorio y abierto a la participación de las partes en el proceso de consulta y audiencia pública para la elaboración de normas de alcance general que emita el INDOTEL, a través de</w:t>
      </w:r>
      <w:r w:rsidR="00C02FE4" w:rsidRPr="000E66D4">
        <w:rPr>
          <w:rFonts w:ascii="Times New Roman" w:eastAsia="Calibri" w:hAnsi="Times New Roman" w:cs="Times New Roman"/>
          <w:color w:val="4C4747"/>
          <w:spacing w:val="20"/>
          <w:sz w:val="24"/>
          <w:szCs w:val="24"/>
          <w:lang w:val="es-DO"/>
        </w:rPr>
        <w:t>l</w:t>
      </w:r>
      <w:r w:rsidRPr="000E66D4">
        <w:rPr>
          <w:rFonts w:ascii="Times New Roman" w:eastAsia="Calibri" w:hAnsi="Times New Roman" w:cs="Times New Roman"/>
          <w:color w:val="4C4747"/>
          <w:spacing w:val="20"/>
          <w:sz w:val="24"/>
          <w:szCs w:val="24"/>
          <w:lang w:val="es-DO"/>
        </w:rPr>
        <w:t xml:space="preserve"> cual se </w:t>
      </w:r>
      <w:r w:rsidR="00C02FE4" w:rsidRPr="000E66D4">
        <w:rPr>
          <w:rFonts w:ascii="Times New Roman" w:eastAsia="Calibri" w:hAnsi="Times New Roman" w:cs="Times New Roman"/>
          <w:color w:val="4C4747"/>
          <w:spacing w:val="20"/>
          <w:sz w:val="24"/>
          <w:szCs w:val="24"/>
          <w:lang w:val="es-DO"/>
        </w:rPr>
        <w:t xml:space="preserve">les </w:t>
      </w:r>
      <w:r w:rsidRPr="000E66D4">
        <w:rPr>
          <w:rFonts w:ascii="Times New Roman" w:eastAsia="Calibri" w:hAnsi="Times New Roman" w:cs="Times New Roman"/>
          <w:color w:val="4C4747"/>
          <w:spacing w:val="20"/>
          <w:sz w:val="24"/>
          <w:szCs w:val="24"/>
          <w:lang w:val="es-DO"/>
        </w:rPr>
        <w:t>da oportunidad a tod</w:t>
      </w:r>
      <w:r w:rsidR="000B498D" w:rsidRPr="000E66D4">
        <w:rPr>
          <w:rFonts w:ascii="Times New Roman" w:eastAsia="Calibri" w:hAnsi="Times New Roman" w:cs="Times New Roman"/>
          <w:color w:val="4C4747"/>
          <w:spacing w:val="20"/>
          <w:sz w:val="24"/>
          <w:szCs w:val="24"/>
          <w:lang w:val="es-DO"/>
        </w:rPr>
        <w:t>os los interesados a participar</w:t>
      </w:r>
      <w:r w:rsidRPr="000E66D4">
        <w:rPr>
          <w:rFonts w:ascii="Times New Roman" w:eastAsia="Calibri" w:hAnsi="Times New Roman" w:cs="Times New Roman"/>
          <w:color w:val="4C4747"/>
          <w:spacing w:val="20"/>
          <w:sz w:val="24"/>
          <w:szCs w:val="24"/>
          <w:lang w:val="es-DO"/>
        </w:rPr>
        <w:t xml:space="preserve"> </w:t>
      </w:r>
      <w:r w:rsidR="00C02FE4" w:rsidRPr="000E66D4">
        <w:rPr>
          <w:rFonts w:ascii="Times New Roman" w:eastAsia="Calibri" w:hAnsi="Times New Roman" w:cs="Times New Roman"/>
          <w:color w:val="4C4747"/>
          <w:spacing w:val="20"/>
          <w:sz w:val="24"/>
          <w:szCs w:val="24"/>
          <w:lang w:val="es-DO"/>
        </w:rPr>
        <w:t xml:space="preserve">y poder expresar </w:t>
      </w:r>
      <w:r w:rsidRPr="000E66D4">
        <w:rPr>
          <w:rFonts w:ascii="Times New Roman" w:eastAsia="Calibri" w:hAnsi="Times New Roman" w:cs="Times New Roman"/>
          <w:color w:val="4C4747"/>
          <w:spacing w:val="20"/>
          <w:sz w:val="24"/>
          <w:szCs w:val="24"/>
          <w:lang w:val="es-DO"/>
        </w:rPr>
        <w:t>sus comentarios sobre la norma o reglamentación consultada, los cuales no serán vinculantes para el órgano regulador.</w:t>
      </w:r>
      <w:r w:rsidRPr="000E66D4">
        <w:rPr>
          <w:rFonts w:ascii="Times New Roman" w:eastAsia="Calibri" w:hAnsi="Times New Roman" w:cs="Times New Roman"/>
          <w:color w:val="4C4747"/>
          <w:spacing w:val="20"/>
          <w:sz w:val="24"/>
          <w:szCs w:val="24"/>
          <w:lang w:val="es-DO"/>
        </w:rPr>
        <w:tab/>
      </w:r>
    </w:p>
    <w:p w14:paraId="3F002CE2" w14:textId="77777777" w:rsidR="002F4988" w:rsidRPr="000E66D4" w:rsidRDefault="002F4988" w:rsidP="002F4988">
      <w:pPr>
        <w:pStyle w:val="Sinespaciado"/>
        <w:spacing w:line="360" w:lineRule="auto"/>
        <w:jc w:val="both"/>
        <w:rPr>
          <w:rFonts w:eastAsia="Times New Roman"/>
          <w:b/>
          <w:bCs/>
          <w:color w:val="4C4747"/>
          <w:sz w:val="28"/>
          <w:szCs w:val="28"/>
          <w:lang w:val="es-DO"/>
        </w:rPr>
      </w:pPr>
    </w:p>
    <w:p w14:paraId="2874EB1A" w14:textId="77777777" w:rsidR="00611381" w:rsidRPr="000E66D4" w:rsidRDefault="00611381" w:rsidP="002F4988">
      <w:pPr>
        <w:pStyle w:val="Sinespaciado"/>
        <w:spacing w:line="360" w:lineRule="auto"/>
        <w:jc w:val="both"/>
        <w:rPr>
          <w:rFonts w:eastAsia="Times New Roman"/>
          <w:b/>
          <w:bCs/>
          <w:color w:val="4C4747"/>
          <w:sz w:val="28"/>
          <w:szCs w:val="28"/>
          <w:lang w:val="es-DO"/>
        </w:rPr>
      </w:pPr>
    </w:p>
    <w:p w14:paraId="04C6B299" w14:textId="77777777" w:rsidR="002F4988" w:rsidRPr="000E66D4" w:rsidRDefault="002F4988" w:rsidP="00943FA5">
      <w:pPr>
        <w:spacing w:after="0" w:line="360" w:lineRule="auto"/>
        <w:jc w:val="both"/>
        <w:rPr>
          <w:rFonts w:eastAsia="Calibri"/>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lastRenderedPageBreak/>
        <w:t>Reglamento para la Prestación del Servicio de Difusión Televisiva por Suscripción</w:t>
      </w:r>
    </w:p>
    <w:p w14:paraId="014892FC" w14:textId="77777777" w:rsidR="00611381" w:rsidRPr="000E66D4" w:rsidRDefault="00611381" w:rsidP="00943FA5">
      <w:pPr>
        <w:spacing w:before="240"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El 17 de noviembre de 2022, el Consejo Directivo del INDOTEL emitió la Resolución número 101-2022, que aprueba el Reglamento para la Prestación de Servicio de Difusión Televisiva por Suscripción.</w:t>
      </w:r>
    </w:p>
    <w:p w14:paraId="583B76AE" w14:textId="77777777" w:rsidR="00611381" w:rsidRPr="000E66D4" w:rsidRDefault="00611381" w:rsidP="00611381">
      <w:pPr>
        <w:spacing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 xml:space="preserve"> </w:t>
      </w:r>
    </w:p>
    <w:p w14:paraId="7C44E6B2" w14:textId="5B51F1E4" w:rsidR="00611381" w:rsidRPr="000E66D4" w:rsidRDefault="00611381" w:rsidP="00611381">
      <w:pPr>
        <w:spacing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El presente reglamento constituye el marco regulatorio, que desarrolla las previsiones de la Ley  General de Telecomunicaciones número 153-98, para todo lo relacionado con la instalación, funcionamiento y prestación del Servicio de Difu</w:t>
      </w:r>
      <w:r w:rsidR="000B498D" w:rsidRPr="000E66D4">
        <w:rPr>
          <w:rFonts w:ascii="Times New Roman" w:eastAsia="Calibri" w:hAnsi="Times New Roman" w:cs="Times New Roman"/>
          <w:color w:val="4C4747"/>
          <w:spacing w:val="20"/>
          <w:sz w:val="24"/>
          <w:szCs w:val="24"/>
          <w:lang w:val="es-DO"/>
        </w:rPr>
        <w:t>sión Televisiva por Suscripción</w:t>
      </w:r>
      <w:r w:rsidRPr="000E66D4">
        <w:rPr>
          <w:rFonts w:ascii="Times New Roman" w:eastAsia="Calibri" w:hAnsi="Times New Roman" w:cs="Times New Roman"/>
          <w:color w:val="4C4747"/>
          <w:spacing w:val="20"/>
          <w:sz w:val="24"/>
          <w:szCs w:val="24"/>
          <w:lang w:val="es-DO"/>
        </w:rPr>
        <w:t xml:space="preserve"> en todo el territorio de la República Dominicana, con el fin de proteger los derechos de los usuarios titulares; y optimizar las condiciones de prestación del servicio en</w:t>
      </w:r>
      <w:r w:rsidR="000B498D" w:rsidRPr="000E66D4">
        <w:rPr>
          <w:rFonts w:ascii="Times New Roman" w:eastAsia="Calibri" w:hAnsi="Times New Roman" w:cs="Times New Roman"/>
          <w:color w:val="4C4747"/>
          <w:spacing w:val="20"/>
          <w:sz w:val="24"/>
          <w:szCs w:val="24"/>
          <w:lang w:val="es-DO"/>
        </w:rPr>
        <w:t xml:space="preserve"> cualquiera de sus modalidades,</w:t>
      </w:r>
      <w:r w:rsidRPr="000E66D4">
        <w:rPr>
          <w:rFonts w:ascii="Times New Roman" w:eastAsia="Calibri" w:hAnsi="Times New Roman" w:cs="Times New Roman"/>
          <w:color w:val="4C4747"/>
          <w:spacing w:val="20"/>
          <w:sz w:val="24"/>
          <w:szCs w:val="24"/>
          <w:lang w:val="es-DO"/>
        </w:rPr>
        <w:t xml:space="preserve"> independientemente de la tecnología que se utilice; y garantizar la transparencia y seguridad jurídica de la relación contractual entre las prestadoras de los servicios de difusión televisiva por suscripción y las concesionarias del servicio público de radiodifusión televisiva. </w:t>
      </w:r>
    </w:p>
    <w:p w14:paraId="104408F7" w14:textId="77777777" w:rsidR="002F4988" w:rsidRPr="000E66D4" w:rsidRDefault="002F4988" w:rsidP="00943FA5">
      <w:pPr>
        <w:spacing w:after="0" w:line="360" w:lineRule="auto"/>
        <w:jc w:val="both"/>
        <w:rPr>
          <w:rFonts w:eastAsia="Calibri"/>
          <w:color w:val="4C4747"/>
          <w:spacing w:val="20"/>
          <w:sz w:val="24"/>
          <w:szCs w:val="24"/>
          <w:lang w:val="es-DO"/>
        </w:rPr>
      </w:pPr>
    </w:p>
    <w:p w14:paraId="52BABBC8" w14:textId="7DEBF0B2" w:rsidR="002F4988" w:rsidRPr="000E66D4" w:rsidRDefault="002F4988" w:rsidP="00943FA5">
      <w:pPr>
        <w:spacing w:after="0" w:line="360" w:lineRule="auto"/>
        <w:jc w:val="both"/>
        <w:rPr>
          <w:rFonts w:eastAsia="Calibri"/>
          <w:b/>
          <w:color w:val="4C4747"/>
          <w:spacing w:val="20"/>
          <w:szCs w:val="24"/>
          <w:lang w:val="es-DO"/>
        </w:rPr>
      </w:pPr>
      <w:r w:rsidRPr="000E66D4">
        <w:rPr>
          <w:rFonts w:ascii="Times New Roman" w:eastAsia="Calibri" w:hAnsi="Times New Roman" w:cs="Times New Roman"/>
          <w:b/>
          <w:color w:val="4C4747"/>
          <w:spacing w:val="20"/>
          <w:sz w:val="24"/>
          <w:szCs w:val="24"/>
          <w:lang w:val="es-DO"/>
        </w:rPr>
        <w:t xml:space="preserve">Condiciones de operación en la Banda 5925-7125 MHz, de equipos de baja potencia para uso exclusivamente en espacios interiores, que quedan </w:t>
      </w:r>
      <w:r w:rsidR="000B498D" w:rsidRPr="000E66D4">
        <w:rPr>
          <w:rFonts w:ascii="Times New Roman" w:eastAsia="Calibri" w:hAnsi="Times New Roman" w:cs="Times New Roman"/>
          <w:b/>
          <w:color w:val="4C4747"/>
          <w:spacing w:val="20"/>
          <w:sz w:val="24"/>
          <w:szCs w:val="24"/>
          <w:lang w:val="es-DO"/>
        </w:rPr>
        <w:t>autorizados bajo el esquema de licencias g</w:t>
      </w:r>
      <w:r w:rsidRPr="000E66D4">
        <w:rPr>
          <w:rFonts w:ascii="Times New Roman" w:eastAsia="Calibri" w:hAnsi="Times New Roman" w:cs="Times New Roman"/>
          <w:b/>
          <w:color w:val="4C4747"/>
          <w:spacing w:val="20"/>
          <w:sz w:val="24"/>
          <w:szCs w:val="24"/>
          <w:lang w:val="es-DO"/>
        </w:rPr>
        <w:t xml:space="preserve">enéricas </w:t>
      </w:r>
    </w:p>
    <w:p w14:paraId="36C01719" w14:textId="1CF229C0" w:rsidR="00611381" w:rsidRPr="000E66D4" w:rsidRDefault="00611381" w:rsidP="00943FA5">
      <w:pPr>
        <w:spacing w:before="240" w:after="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El 1° septiembre de 2022, el Consejo Directivo del INDOTEL emitió la Resolución número 082-2022, que establece las condiciones para </w:t>
      </w:r>
      <w:r w:rsidR="00071039" w:rsidRPr="000E66D4">
        <w:rPr>
          <w:rFonts w:ascii="Times New Roman" w:eastAsia="Calibri" w:hAnsi="Times New Roman" w:cs="Times New Roman"/>
          <w:color w:val="4C4747"/>
          <w:spacing w:val="20"/>
          <w:sz w:val="24"/>
          <w:szCs w:val="24"/>
          <w:lang w:val="es-DO"/>
        </w:rPr>
        <w:t>operar en la banda 5925-7125 MHz</w:t>
      </w:r>
      <w:r w:rsidRPr="000E66D4">
        <w:rPr>
          <w:rFonts w:ascii="Times New Roman" w:eastAsia="Calibri" w:hAnsi="Times New Roman" w:cs="Times New Roman"/>
          <w:color w:val="4C4747"/>
          <w:spacing w:val="20"/>
          <w:sz w:val="24"/>
          <w:szCs w:val="24"/>
          <w:lang w:val="es-DO"/>
        </w:rPr>
        <w:t xml:space="preserve"> de equipos de baja y muy baja potencia mediante el esquema de licencias genéricas. </w:t>
      </w:r>
    </w:p>
    <w:p w14:paraId="11386C9D" w14:textId="77777777" w:rsidR="00071039" w:rsidRPr="000E66D4" w:rsidRDefault="00071039" w:rsidP="00943FA5">
      <w:pPr>
        <w:spacing w:before="240" w:after="0" w:line="360" w:lineRule="auto"/>
        <w:jc w:val="both"/>
        <w:rPr>
          <w:color w:val="4C4747"/>
          <w:spacing w:val="20"/>
          <w:szCs w:val="24"/>
          <w:lang w:val="es-DO"/>
        </w:rPr>
      </w:pPr>
    </w:p>
    <w:p w14:paraId="5409EDED" w14:textId="77777777" w:rsidR="002D2E81" w:rsidRPr="000E66D4" w:rsidRDefault="002D2E81" w:rsidP="00611381">
      <w:pPr>
        <w:spacing w:after="0" w:line="360" w:lineRule="auto"/>
        <w:jc w:val="both"/>
        <w:rPr>
          <w:rFonts w:ascii="Times New Roman" w:eastAsia="Calibri" w:hAnsi="Times New Roman" w:cs="Times New Roman"/>
          <w:color w:val="4C4747"/>
          <w:spacing w:val="20"/>
          <w:sz w:val="24"/>
          <w:szCs w:val="24"/>
          <w:lang w:val="es-DO"/>
        </w:rPr>
      </w:pPr>
    </w:p>
    <w:p w14:paraId="0242E10B" w14:textId="2A2418E6" w:rsidR="00611381" w:rsidRPr="000E66D4" w:rsidRDefault="00611381" w:rsidP="00611381">
      <w:pPr>
        <w:spacing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lastRenderedPageBreak/>
        <w:t>Con esta decisión, la cual fue ratifi</w:t>
      </w:r>
      <w:r w:rsidR="000B498D" w:rsidRPr="000E66D4">
        <w:rPr>
          <w:rFonts w:ascii="Times New Roman" w:eastAsia="Calibri" w:hAnsi="Times New Roman" w:cs="Times New Roman"/>
          <w:color w:val="4C4747"/>
          <w:spacing w:val="20"/>
          <w:sz w:val="24"/>
          <w:szCs w:val="24"/>
          <w:lang w:val="es-DO"/>
        </w:rPr>
        <w:t>cada mediante la R</w:t>
      </w:r>
      <w:r w:rsidRPr="000E66D4">
        <w:rPr>
          <w:rFonts w:ascii="Times New Roman" w:eastAsia="Calibri" w:hAnsi="Times New Roman" w:cs="Times New Roman"/>
          <w:color w:val="4C4747"/>
          <w:spacing w:val="20"/>
          <w:sz w:val="24"/>
          <w:szCs w:val="24"/>
          <w:lang w:val="es-DO"/>
        </w:rPr>
        <w:t xml:space="preserve">esolución número 102-2022 del 17 de noviembre de 2022, </w:t>
      </w:r>
      <w:r w:rsidRPr="00DE4567">
        <w:rPr>
          <w:rFonts w:ascii="Times New Roman" w:eastAsia="Calibri" w:hAnsi="Times New Roman" w:cs="Times New Roman"/>
          <w:color w:val="4C4747"/>
          <w:spacing w:val="20"/>
          <w:sz w:val="24"/>
          <w:szCs w:val="24"/>
          <w:lang w:val="es-DO"/>
        </w:rPr>
        <w:t>más que se duplica</w:t>
      </w:r>
      <w:r w:rsidRPr="000E66D4">
        <w:rPr>
          <w:rFonts w:ascii="Times New Roman" w:eastAsia="Calibri" w:hAnsi="Times New Roman" w:cs="Times New Roman"/>
          <w:color w:val="4C4747"/>
          <w:spacing w:val="20"/>
          <w:sz w:val="24"/>
          <w:szCs w:val="24"/>
          <w:lang w:val="es-DO"/>
        </w:rPr>
        <w:t xml:space="preserve"> el espectro identificado para uso libre, de prove</w:t>
      </w:r>
      <w:r w:rsidR="00071039" w:rsidRPr="000E66D4">
        <w:rPr>
          <w:rFonts w:ascii="Times New Roman" w:eastAsia="Calibri" w:hAnsi="Times New Roman" w:cs="Times New Roman"/>
          <w:color w:val="4C4747"/>
          <w:spacing w:val="20"/>
          <w:sz w:val="24"/>
          <w:szCs w:val="24"/>
          <w:lang w:val="es-DO"/>
        </w:rPr>
        <w:t>cho para sistemas como los de Wi-Fi</w:t>
      </w:r>
      <w:r w:rsidRPr="000E66D4">
        <w:rPr>
          <w:rFonts w:ascii="Times New Roman" w:eastAsia="Calibri" w:hAnsi="Times New Roman" w:cs="Times New Roman"/>
          <w:color w:val="4C4747"/>
          <w:spacing w:val="20"/>
          <w:sz w:val="24"/>
          <w:szCs w:val="24"/>
          <w:lang w:val="es-DO"/>
        </w:rPr>
        <w:t xml:space="preserve"> que tienen alto impacto en los usuarios y en el ecosistema digital.</w:t>
      </w:r>
    </w:p>
    <w:p w14:paraId="2B57CD5F" w14:textId="77777777" w:rsidR="002F4988" w:rsidRPr="000E66D4" w:rsidRDefault="002F4988" w:rsidP="00943FA5">
      <w:pPr>
        <w:spacing w:after="0" w:line="360" w:lineRule="auto"/>
        <w:jc w:val="both"/>
        <w:rPr>
          <w:rFonts w:eastAsia="Calibri"/>
          <w:color w:val="4C4747"/>
          <w:spacing w:val="20"/>
          <w:sz w:val="24"/>
          <w:szCs w:val="24"/>
          <w:lang w:val="es-DO"/>
        </w:rPr>
      </w:pPr>
    </w:p>
    <w:p w14:paraId="419619E2" w14:textId="1B048296" w:rsidR="002F4988" w:rsidRPr="000E66D4" w:rsidRDefault="002F4988" w:rsidP="00943FA5">
      <w:pPr>
        <w:spacing w:after="0" w:line="360" w:lineRule="auto"/>
        <w:jc w:val="both"/>
        <w:rPr>
          <w:rFonts w:eastAsia="Calibri"/>
          <w:b/>
          <w:color w:val="4C4747"/>
          <w:spacing w:val="20"/>
          <w:szCs w:val="24"/>
          <w:lang w:val="es-DO"/>
        </w:rPr>
      </w:pPr>
      <w:r w:rsidRPr="000E66D4">
        <w:rPr>
          <w:rFonts w:ascii="Times New Roman" w:eastAsia="Calibri" w:hAnsi="Times New Roman" w:cs="Times New Roman"/>
          <w:b/>
          <w:color w:val="4C4747"/>
          <w:spacing w:val="20"/>
          <w:sz w:val="24"/>
          <w:szCs w:val="24"/>
          <w:lang w:val="es-DO"/>
        </w:rPr>
        <w:t xml:space="preserve">Condiciones para autorizar la ampliación de la concesión a las concesionarias del Servicio de Difusión por Cable para ofrecer el Servicio de Acceso a Internet </w:t>
      </w:r>
    </w:p>
    <w:p w14:paraId="7498A220" w14:textId="77777777" w:rsidR="00041294" w:rsidRPr="000E66D4" w:rsidRDefault="00041294" w:rsidP="00943FA5">
      <w:pPr>
        <w:spacing w:before="240"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El 22 de septiembre de 2022, el Consejo Directivo del INDOTEL emitió la Resolución número 086-2022, que dictó las condiciones para autorizar la ampliación de la concesión a las concesionarias del Servicio de Difusión por Cable para ofrecer el Servicio de Acceso a Internet.</w:t>
      </w:r>
    </w:p>
    <w:p w14:paraId="1E909A11" w14:textId="77777777" w:rsidR="00041294" w:rsidRPr="000E66D4" w:rsidRDefault="00041294" w:rsidP="00041294">
      <w:pPr>
        <w:spacing w:after="0" w:line="360" w:lineRule="auto"/>
        <w:jc w:val="both"/>
        <w:rPr>
          <w:rFonts w:eastAsia="Calibri"/>
          <w:color w:val="4C4747"/>
          <w:spacing w:val="20"/>
          <w:szCs w:val="24"/>
          <w:lang w:val="es-DO"/>
        </w:rPr>
      </w:pPr>
    </w:p>
    <w:p w14:paraId="2C733C25" w14:textId="77777777" w:rsidR="00041294" w:rsidRPr="000E66D4" w:rsidRDefault="00041294" w:rsidP="00041294">
      <w:pPr>
        <w:spacing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La citada normativa, en comunión con las iniciativas de reducción de burocracia y simplificación de trámites, tiene por objeto establecer el procedimiento simplificado a seguir para autorizar la prestación del servicio de acceso a internet a aquellas concesionarias del servicio público de difusión por cable, lo que deberá impactar positivamente la oferta de servicios de internet de banda ancha en decenas de municipios de la República Dominicana.</w:t>
      </w:r>
    </w:p>
    <w:p w14:paraId="61988D35" w14:textId="77777777" w:rsidR="002F4988" w:rsidRPr="000E66D4" w:rsidRDefault="002F4988" w:rsidP="002F4988">
      <w:pPr>
        <w:pStyle w:val="Sinespaciado"/>
        <w:spacing w:line="360" w:lineRule="auto"/>
        <w:jc w:val="both"/>
        <w:rPr>
          <w:b/>
          <w:color w:val="4C4747"/>
          <w:spacing w:val="20"/>
          <w:szCs w:val="24"/>
          <w:lang w:val="es-DO"/>
        </w:rPr>
      </w:pPr>
    </w:p>
    <w:p w14:paraId="007C8666" w14:textId="5B657F66" w:rsidR="002F4988" w:rsidRPr="000E66D4" w:rsidRDefault="002F4988" w:rsidP="00943FA5">
      <w:pPr>
        <w:pStyle w:val="Sinespaciado"/>
        <w:spacing w:line="360" w:lineRule="auto"/>
        <w:jc w:val="both"/>
        <w:rPr>
          <w:b/>
          <w:color w:val="4C4747"/>
          <w:spacing w:val="20"/>
          <w:szCs w:val="24"/>
          <w:lang w:val="es-DO"/>
        </w:rPr>
      </w:pPr>
      <w:r w:rsidRPr="000E66D4">
        <w:rPr>
          <w:b/>
          <w:color w:val="4C4747"/>
          <w:spacing w:val="20"/>
          <w:szCs w:val="24"/>
          <w:lang w:val="es-DO"/>
        </w:rPr>
        <w:t>Plan Nacion</w:t>
      </w:r>
      <w:r w:rsidR="00071039" w:rsidRPr="000E66D4">
        <w:rPr>
          <w:b/>
          <w:color w:val="4C4747"/>
          <w:spacing w:val="20"/>
          <w:szCs w:val="24"/>
          <w:lang w:val="es-DO"/>
        </w:rPr>
        <w:t>al de Atribución de Frecuencias (PNAF)</w:t>
      </w:r>
    </w:p>
    <w:p w14:paraId="01311E58" w14:textId="77777777" w:rsidR="007C16C5" w:rsidRDefault="00041294" w:rsidP="00943FA5">
      <w:pPr>
        <w:spacing w:before="240" w:after="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Luego de agotado el proceso de consulta pública que inició el 4 de julio de 2022 con la Resolución número </w:t>
      </w:r>
      <w:r w:rsidR="005D4E4B" w:rsidRPr="000E66D4">
        <w:rPr>
          <w:rFonts w:ascii="Times New Roman" w:eastAsia="Calibri" w:hAnsi="Times New Roman" w:cs="Times New Roman"/>
          <w:color w:val="4C4747"/>
          <w:spacing w:val="20"/>
          <w:sz w:val="24"/>
          <w:szCs w:val="24"/>
          <w:lang w:val="es-DO"/>
        </w:rPr>
        <w:t>0</w:t>
      </w:r>
      <w:r w:rsidR="005A2962" w:rsidRPr="000E66D4">
        <w:rPr>
          <w:rFonts w:ascii="Times New Roman" w:eastAsia="Calibri" w:hAnsi="Times New Roman" w:cs="Times New Roman"/>
          <w:color w:val="4C4747"/>
          <w:spacing w:val="20"/>
          <w:sz w:val="24"/>
          <w:szCs w:val="24"/>
          <w:lang w:val="es-DO"/>
        </w:rPr>
        <w:t xml:space="preserve">69-2022 para modificar </w:t>
      </w:r>
      <w:r w:rsidRPr="000E66D4">
        <w:rPr>
          <w:rFonts w:ascii="Times New Roman" w:eastAsia="Calibri" w:hAnsi="Times New Roman" w:cs="Times New Roman"/>
          <w:color w:val="4C4747"/>
          <w:spacing w:val="20"/>
          <w:sz w:val="24"/>
          <w:szCs w:val="24"/>
          <w:lang w:val="es-DO"/>
        </w:rPr>
        <w:t xml:space="preserve">el Plan Nacional de Atribución de Frecuencias (PNAF);  el día 10 de noviembre de 2022, el Consejo Directivo del INDOTEL emitió su Resolución número 097-2022 que aprobó el proyecto del Plan </w:t>
      </w:r>
    </w:p>
    <w:p w14:paraId="7765D8D8" w14:textId="5465C59F" w:rsidR="00041294" w:rsidRPr="000E66D4" w:rsidRDefault="00041294" w:rsidP="00943FA5">
      <w:pPr>
        <w:spacing w:before="240" w:after="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lastRenderedPageBreak/>
        <w:t>Nacional de Atribución d</w:t>
      </w:r>
      <w:r w:rsidR="005A2962" w:rsidRPr="000E66D4">
        <w:rPr>
          <w:rFonts w:ascii="Times New Roman" w:eastAsia="Calibri" w:hAnsi="Times New Roman" w:cs="Times New Roman"/>
          <w:color w:val="4C4747"/>
          <w:spacing w:val="20"/>
          <w:sz w:val="24"/>
          <w:szCs w:val="24"/>
          <w:lang w:val="es-DO"/>
        </w:rPr>
        <w:t>e Frecuencias (PNAF</w:t>
      </w:r>
      <w:r w:rsidR="00071039" w:rsidRPr="000E66D4">
        <w:rPr>
          <w:rFonts w:ascii="Times New Roman" w:eastAsia="Calibri" w:hAnsi="Times New Roman" w:cs="Times New Roman"/>
          <w:color w:val="4C4747"/>
          <w:spacing w:val="20"/>
          <w:sz w:val="24"/>
          <w:szCs w:val="24"/>
          <w:lang w:val="es-DO"/>
        </w:rPr>
        <w:t>)</w:t>
      </w:r>
      <w:r w:rsidR="005A2962" w:rsidRPr="000E66D4">
        <w:rPr>
          <w:rFonts w:ascii="Times New Roman" w:eastAsia="Calibri" w:hAnsi="Times New Roman" w:cs="Times New Roman"/>
          <w:color w:val="4C4747"/>
          <w:spacing w:val="20"/>
          <w:sz w:val="24"/>
          <w:szCs w:val="24"/>
          <w:lang w:val="es-DO"/>
        </w:rPr>
        <w:t xml:space="preserve"> y </w:t>
      </w:r>
      <w:r w:rsidRPr="000E66D4">
        <w:rPr>
          <w:rFonts w:ascii="Times New Roman" w:eastAsia="Calibri" w:hAnsi="Times New Roman" w:cs="Times New Roman"/>
          <w:color w:val="4C4747"/>
          <w:spacing w:val="20"/>
          <w:sz w:val="24"/>
          <w:szCs w:val="24"/>
          <w:lang w:val="es-DO"/>
        </w:rPr>
        <w:t>dispone su envío al Poder Ejecutivo para aprobación y publicación.</w:t>
      </w:r>
    </w:p>
    <w:p w14:paraId="193CC0CB" w14:textId="77777777" w:rsidR="00041294" w:rsidRPr="000E66D4" w:rsidRDefault="00041294" w:rsidP="00041294">
      <w:pPr>
        <w:spacing w:after="0" w:line="360" w:lineRule="auto"/>
        <w:jc w:val="both"/>
        <w:rPr>
          <w:rFonts w:eastAsia="Calibri"/>
          <w:color w:val="4C4747"/>
          <w:spacing w:val="20"/>
          <w:szCs w:val="24"/>
          <w:lang w:val="es-DO"/>
        </w:rPr>
      </w:pPr>
    </w:p>
    <w:p w14:paraId="4ABCFBFE" w14:textId="59642A44" w:rsidR="00041294" w:rsidRPr="000E66D4" w:rsidRDefault="00041294" w:rsidP="00041294">
      <w:pPr>
        <w:spacing w:after="0" w:line="360" w:lineRule="auto"/>
        <w:jc w:val="both"/>
        <w:rPr>
          <w:color w:val="4C4747"/>
          <w:spacing w:val="20"/>
          <w:szCs w:val="24"/>
          <w:lang w:val="es-DO"/>
        </w:rPr>
      </w:pPr>
      <w:r w:rsidRPr="000E66D4">
        <w:rPr>
          <w:rFonts w:ascii="Times New Roman" w:eastAsia="Calibri" w:hAnsi="Times New Roman" w:cs="Times New Roman"/>
          <w:color w:val="4C4747"/>
          <w:spacing w:val="20"/>
          <w:sz w:val="24"/>
          <w:szCs w:val="24"/>
          <w:lang w:val="es-DO"/>
        </w:rPr>
        <w:t xml:space="preserve">El </w:t>
      </w:r>
      <w:r w:rsidR="00071039" w:rsidRPr="000E66D4">
        <w:rPr>
          <w:rFonts w:ascii="Times New Roman" w:eastAsia="Calibri" w:hAnsi="Times New Roman" w:cs="Times New Roman"/>
          <w:color w:val="4C4747"/>
          <w:spacing w:val="20"/>
          <w:sz w:val="24"/>
          <w:szCs w:val="24"/>
          <w:lang w:val="es-DO"/>
        </w:rPr>
        <w:t>PNAF</w:t>
      </w:r>
      <w:r w:rsidRPr="000E66D4">
        <w:rPr>
          <w:rFonts w:ascii="Times New Roman" w:eastAsia="Calibri" w:hAnsi="Times New Roman" w:cs="Times New Roman"/>
          <w:color w:val="4C4747"/>
          <w:spacing w:val="20"/>
          <w:sz w:val="24"/>
          <w:szCs w:val="24"/>
          <w:lang w:val="es-DO"/>
        </w:rPr>
        <w:t xml:space="preserve"> es un instrumento regulador, cuya finalidad es optimizar y racionalizar el uso del espectro radioeléctrico, para satisfacer oportuna y adecuadamente las necesidades de frecuencias que requieren los diferentes servicios de radiocomunicaciones, tanto para sus desarrollos actuales, como para responder eficientemente a la creciente demanda de las nuevas tecnologías y aplicaciones de estos servicios. </w:t>
      </w:r>
    </w:p>
    <w:p w14:paraId="079C1350" w14:textId="77777777" w:rsidR="00756B42" w:rsidRPr="000E66D4" w:rsidRDefault="00756B42" w:rsidP="00041294">
      <w:pPr>
        <w:spacing w:after="0" w:line="360" w:lineRule="auto"/>
        <w:jc w:val="both"/>
        <w:rPr>
          <w:rFonts w:ascii="Times New Roman" w:eastAsia="Calibri" w:hAnsi="Times New Roman" w:cs="Times New Roman"/>
          <w:color w:val="4C4747"/>
          <w:spacing w:val="20"/>
          <w:sz w:val="24"/>
          <w:szCs w:val="24"/>
          <w:lang w:val="es-DO"/>
        </w:rPr>
      </w:pPr>
    </w:p>
    <w:p w14:paraId="4F1C2DB8" w14:textId="260431F6" w:rsidR="00041294" w:rsidRPr="000E66D4" w:rsidRDefault="00041294" w:rsidP="00041294">
      <w:pPr>
        <w:spacing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 xml:space="preserve">En </w:t>
      </w:r>
      <w:r w:rsidR="00756B42" w:rsidRPr="000E66D4">
        <w:rPr>
          <w:rFonts w:ascii="Times New Roman" w:eastAsia="Calibri" w:hAnsi="Times New Roman" w:cs="Times New Roman"/>
          <w:color w:val="4C4747"/>
          <w:spacing w:val="20"/>
          <w:sz w:val="24"/>
          <w:szCs w:val="24"/>
          <w:lang w:val="es-DO"/>
        </w:rPr>
        <w:t xml:space="preserve">la </w:t>
      </w:r>
      <w:r w:rsidR="00E517E6" w:rsidRPr="000E66D4">
        <w:rPr>
          <w:rFonts w:ascii="Times New Roman" w:eastAsia="Calibri" w:hAnsi="Times New Roman" w:cs="Times New Roman"/>
          <w:color w:val="4C4747"/>
          <w:spacing w:val="20"/>
          <w:sz w:val="24"/>
          <w:szCs w:val="24"/>
          <w:lang w:val="es-DO"/>
        </w:rPr>
        <w:t>modificación del p</w:t>
      </w:r>
      <w:r w:rsidR="00756B42" w:rsidRPr="000E66D4">
        <w:rPr>
          <w:rFonts w:ascii="Times New Roman" w:eastAsia="Calibri" w:hAnsi="Times New Roman" w:cs="Times New Roman"/>
          <w:color w:val="4C4747"/>
          <w:spacing w:val="20"/>
          <w:sz w:val="24"/>
          <w:szCs w:val="24"/>
          <w:lang w:val="es-DO"/>
        </w:rPr>
        <w:t>lan</w:t>
      </w:r>
      <w:r w:rsidRPr="000E66D4">
        <w:rPr>
          <w:rFonts w:ascii="Times New Roman" w:eastAsia="Calibri" w:hAnsi="Times New Roman" w:cs="Times New Roman"/>
          <w:color w:val="4C4747"/>
          <w:spacing w:val="20"/>
          <w:sz w:val="24"/>
          <w:szCs w:val="24"/>
          <w:lang w:val="es-DO"/>
        </w:rPr>
        <w:t xml:space="preserve"> se identifican nuevas bandas de frecuencias para las telecomunicaciones móviles internacionales (IMT, por sus siglas en inglés)</w:t>
      </w:r>
      <w:r w:rsidR="00E517E6" w:rsidRPr="000E66D4">
        <w:rPr>
          <w:rFonts w:ascii="Times New Roman" w:eastAsia="Calibri" w:hAnsi="Times New Roman" w:cs="Times New Roman"/>
          <w:color w:val="4C4747"/>
          <w:spacing w:val="20"/>
          <w:sz w:val="24"/>
          <w:szCs w:val="24"/>
          <w:lang w:val="es-DO"/>
        </w:rPr>
        <w:t>,</w:t>
      </w:r>
      <w:r w:rsidRPr="000E66D4">
        <w:rPr>
          <w:rFonts w:ascii="Times New Roman" w:eastAsia="Calibri" w:hAnsi="Times New Roman" w:cs="Times New Roman"/>
          <w:color w:val="4C4747"/>
          <w:spacing w:val="20"/>
          <w:sz w:val="24"/>
          <w:szCs w:val="24"/>
          <w:lang w:val="es-DO"/>
        </w:rPr>
        <w:t xml:space="preserve"> siguiendo las recomendaciones del Reglamento de Radio de 2020 de la </w:t>
      </w:r>
      <w:r w:rsidR="00E517E6" w:rsidRPr="000E66D4">
        <w:rPr>
          <w:rFonts w:ascii="Times New Roman" w:eastAsia="Calibri" w:hAnsi="Times New Roman" w:cs="Times New Roman"/>
          <w:color w:val="4C4747"/>
          <w:spacing w:val="20"/>
          <w:sz w:val="24"/>
          <w:szCs w:val="24"/>
          <w:lang w:val="es-DO"/>
        </w:rPr>
        <w:t>Unión Internacional de las Telecomunicaciones (</w:t>
      </w:r>
      <w:r w:rsidRPr="000E66D4">
        <w:rPr>
          <w:rFonts w:ascii="Times New Roman" w:eastAsia="Calibri" w:hAnsi="Times New Roman" w:cs="Times New Roman"/>
          <w:color w:val="4C4747"/>
          <w:spacing w:val="20"/>
          <w:sz w:val="24"/>
          <w:szCs w:val="24"/>
          <w:lang w:val="es-DO"/>
        </w:rPr>
        <w:t>UIT</w:t>
      </w:r>
      <w:r w:rsidR="00E517E6" w:rsidRPr="000E66D4">
        <w:rPr>
          <w:rFonts w:ascii="Times New Roman" w:eastAsia="Calibri" w:hAnsi="Times New Roman" w:cs="Times New Roman"/>
          <w:color w:val="4C4747"/>
          <w:spacing w:val="20"/>
          <w:sz w:val="24"/>
          <w:szCs w:val="24"/>
          <w:lang w:val="es-DO"/>
        </w:rPr>
        <w:t>)</w:t>
      </w:r>
      <w:r w:rsidRPr="000E66D4">
        <w:rPr>
          <w:rFonts w:ascii="Times New Roman" w:eastAsia="Calibri" w:hAnsi="Times New Roman" w:cs="Times New Roman"/>
          <w:color w:val="4C4747"/>
          <w:spacing w:val="20"/>
          <w:sz w:val="24"/>
          <w:szCs w:val="24"/>
          <w:lang w:val="es-DO"/>
        </w:rPr>
        <w:t>, las cuales servirán de base para el desarrollo de los servicios de 5G y la eventual llegada de servicios 6G. Todo lo anterior, de conformidad al marco legal y reglamentario vigente y a los acuerdos y convenios internacionales ratificados por la República Dominicana.</w:t>
      </w:r>
    </w:p>
    <w:p w14:paraId="093655EE" w14:textId="77777777" w:rsidR="002F4988" w:rsidRPr="000E66D4" w:rsidRDefault="002F4988" w:rsidP="00943FA5">
      <w:pPr>
        <w:spacing w:after="0" w:line="360" w:lineRule="auto"/>
        <w:jc w:val="both"/>
        <w:rPr>
          <w:rFonts w:eastAsia="Calibri"/>
          <w:color w:val="4C4747"/>
          <w:spacing w:val="20"/>
          <w:sz w:val="24"/>
          <w:szCs w:val="24"/>
          <w:lang w:val="es-DO"/>
        </w:rPr>
      </w:pPr>
    </w:p>
    <w:p w14:paraId="048B3ABF" w14:textId="77777777" w:rsidR="002F4988" w:rsidRPr="000E66D4" w:rsidRDefault="002F4988" w:rsidP="00943FA5">
      <w:pPr>
        <w:spacing w:after="0" w:line="360" w:lineRule="auto"/>
        <w:jc w:val="both"/>
        <w:rPr>
          <w:rFonts w:eastAsia="Calibri"/>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Propuesta de Condiciones de aplicación del mecanismo para innovación y pruebas regulatorias (Sandbox Regulatorio)</w:t>
      </w:r>
    </w:p>
    <w:p w14:paraId="13DDAD83" w14:textId="77777777" w:rsidR="00041294" w:rsidRPr="000E66D4" w:rsidRDefault="00041294" w:rsidP="00943FA5">
      <w:pPr>
        <w:spacing w:before="240"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 xml:space="preserve">El 22 de agosto de 2022, el Consejo Directivo por medio de su Resolución número 081-2022, que ordenó el inicio del proceso de consulta pública para establecer las condiciones de aplicación del mecanismo para innovaciones y pruebas regulatorias (Sandbox Regulatorio).  </w:t>
      </w:r>
    </w:p>
    <w:p w14:paraId="60BBE00C" w14:textId="77777777" w:rsidR="00756B42" w:rsidRPr="000E66D4" w:rsidRDefault="00756B42" w:rsidP="00041294">
      <w:pPr>
        <w:spacing w:after="0" w:line="360" w:lineRule="auto"/>
        <w:jc w:val="both"/>
        <w:rPr>
          <w:rFonts w:ascii="Times New Roman" w:eastAsia="Calibri" w:hAnsi="Times New Roman" w:cs="Times New Roman"/>
          <w:color w:val="4C4747"/>
          <w:spacing w:val="20"/>
          <w:sz w:val="24"/>
          <w:szCs w:val="24"/>
          <w:lang w:val="es-DO"/>
        </w:rPr>
      </w:pPr>
    </w:p>
    <w:p w14:paraId="3A5623CD" w14:textId="77777777" w:rsidR="00041294" w:rsidRPr="000E66D4" w:rsidRDefault="00041294" w:rsidP="00041294">
      <w:pPr>
        <w:spacing w:after="0" w:line="360" w:lineRule="auto"/>
        <w:jc w:val="both"/>
        <w:rPr>
          <w:color w:val="4C4747"/>
          <w:spacing w:val="20"/>
          <w:szCs w:val="24"/>
          <w:lang w:val="es-DO"/>
        </w:rPr>
      </w:pPr>
      <w:r w:rsidRPr="000E66D4">
        <w:rPr>
          <w:rFonts w:ascii="Times New Roman" w:eastAsia="Calibri" w:hAnsi="Times New Roman" w:cs="Times New Roman"/>
          <w:color w:val="4C4747"/>
          <w:spacing w:val="20"/>
          <w:sz w:val="24"/>
          <w:szCs w:val="24"/>
          <w:lang w:val="es-DO"/>
        </w:rPr>
        <w:lastRenderedPageBreak/>
        <w:t xml:space="preserve">La citada normativa tiene por objeto establecer las condiciones generales para la aplicación del Sandbox Regulatorio como mecanismo alternativo para innovaciones y pruebas regulatorias basado en la experimentación monitoreada, con el objetivo de promover la innovación en cualquier aspecto de la provisión de redes y servicios públicos de telecomunicaciones y firma digital. </w:t>
      </w:r>
    </w:p>
    <w:p w14:paraId="228F1A35" w14:textId="77777777" w:rsidR="00756B42" w:rsidRPr="000E66D4" w:rsidRDefault="00756B42" w:rsidP="00041294">
      <w:pPr>
        <w:spacing w:after="0" w:line="360" w:lineRule="auto"/>
        <w:jc w:val="both"/>
        <w:rPr>
          <w:rFonts w:ascii="Times New Roman" w:eastAsia="Calibri" w:hAnsi="Times New Roman" w:cs="Times New Roman"/>
          <w:color w:val="4C4747"/>
          <w:spacing w:val="20"/>
          <w:sz w:val="24"/>
          <w:szCs w:val="24"/>
          <w:lang w:val="es-DO"/>
        </w:rPr>
      </w:pPr>
    </w:p>
    <w:p w14:paraId="0AD0286F" w14:textId="77777777" w:rsidR="00041294" w:rsidRPr="000E66D4" w:rsidRDefault="00041294" w:rsidP="00041294">
      <w:pPr>
        <w:spacing w:after="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Los objetivos del INDOTEL en la implementación del Sandbox Regulatorio, de manera enunciativa pero no limitativa son:</w:t>
      </w:r>
    </w:p>
    <w:p w14:paraId="6BD8E16B" w14:textId="77777777" w:rsidR="00911DE9" w:rsidRPr="000E66D4" w:rsidRDefault="00911DE9" w:rsidP="00041294">
      <w:pPr>
        <w:spacing w:after="0" w:line="360" w:lineRule="auto"/>
        <w:jc w:val="both"/>
        <w:rPr>
          <w:rFonts w:ascii="Times New Roman" w:eastAsia="Calibri" w:hAnsi="Times New Roman" w:cs="Times New Roman"/>
          <w:color w:val="4C4747"/>
          <w:spacing w:val="20"/>
          <w:sz w:val="24"/>
          <w:szCs w:val="24"/>
          <w:lang w:val="es-DO"/>
        </w:rPr>
      </w:pPr>
    </w:p>
    <w:p w14:paraId="73819A33" w14:textId="490DCDCA" w:rsidR="00041294" w:rsidRPr="000E66D4" w:rsidRDefault="00041294" w:rsidP="00041294">
      <w:pPr>
        <w:spacing w:after="0" w:line="360" w:lineRule="auto"/>
        <w:jc w:val="both"/>
        <w:rPr>
          <w:color w:val="4C4747"/>
          <w:spacing w:val="20"/>
          <w:szCs w:val="24"/>
          <w:lang w:val="es-DO"/>
        </w:rPr>
      </w:pPr>
      <w:r w:rsidRPr="000E66D4">
        <w:rPr>
          <w:rFonts w:ascii="Times New Roman" w:eastAsia="Calibri" w:hAnsi="Times New Roman" w:cs="Times New Roman"/>
          <w:color w:val="4C4747"/>
          <w:spacing w:val="20"/>
          <w:sz w:val="24"/>
          <w:szCs w:val="24"/>
          <w:lang w:val="es-DO"/>
        </w:rPr>
        <w:t xml:space="preserve"> a) Desarrollo de la economía digital, b) Productos y servicios innovadores que beneficien al usuario, c) Adaptar la regulación para impulsar la innovación en cualquier aspecto de la provisión de redes y servicios de comunicaciones, d) Priorización </w:t>
      </w:r>
      <w:r w:rsidR="00F44782" w:rsidRPr="000E66D4">
        <w:rPr>
          <w:rFonts w:ascii="Times New Roman" w:eastAsia="Calibri" w:hAnsi="Times New Roman" w:cs="Times New Roman"/>
          <w:color w:val="4C4747"/>
          <w:spacing w:val="20"/>
          <w:sz w:val="24"/>
          <w:szCs w:val="24"/>
          <w:lang w:val="es-DO"/>
        </w:rPr>
        <w:t>d</w:t>
      </w:r>
      <w:r w:rsidRPr="000E66D4">
        <w:rPr>
          <w:rFonts w:ascii="Times New Roman" w:eastAsia="Calibri" w:hAnsi="Times New Roman" w:cs="Times New Roman"/>
          <w:color w:val="4C4747"/>
          <w:spacing w:val="20"/>
          <w:sz w:val="24"/>
          <w:szCs w:val="24"/>
          <w:lang w:val="es-DO"/>
        </w:rPr>
        <w:t>el acceso y uso de las TIC, e) Ampliar el enfoque regulatorio flexible para las zonas de baja cobertura en conectividad, f) Flexibilizar o exceptuar medidas regulatorias por un tiempo y geografía determinados, g) Incentivar la competencia en los mercados de comunicaciones.</w:t>
      </w:r>
    </w:p>
    <w:p w14:paraId="06FE7B9D" w14:textId="77777777" w:rsidR="00911DE9" w:rsidRPr="000E66D4" w:rsidRDefault="00911DE9" w:rsidP="00943FA5">
      <w:pPr>
        <w:spacing w:after="0" w:line="360" w:lineRule="auto"/>
        <w:jc w:val="both"/>
        <w:rPr>
          <w:color w:val="4C4747"/>
          <w:spacing w:val="20"/>
          <w:szCs w:val="24"/>
          <w:lang w:val="es-DO"/>
        </w:rPr>
      </w:pPr>
    </w:p>
    <w:p w14:paraId="1D2F6B03" w14:textId="051C263C" w:rsidR="002F4988" w:rsidRPr="000E66D4" w:rsidRDefault="00041294" w:rsidP="00943FA5">
      <w:pPr>
        <w:spacing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El 8 de diciembre se realizó la audiencia ante el Consejo Directivo con las partes interesadas, permitiendo entonces recabar los planteamientos que han de considerarse al momento de adoptar la decisión definitiva sobre el uso de Sandbox R</w:t>
      </w:r>
      <w:r w:rsidR="00EC741E" w:rsidRPr="000E66D4">
        <w:rPr>
          <w:rFonts w:ascii="Times New Roman" w:eastAsia="Calibri" w:hAnsi="Times New Roman" w:cs="Times New Roman"/>
          <w:color w:val="4C4747"/>
          <w:spacing w:val="20"/>
          <w:sz w:val="24"/>
          <w:szCs w:val="24"/>
          <w:lang w:val="es-DO"/>
        </w:rPr>
        <w:t>egulatorio</w:t>
      </w:r>
      <w:r w:rsidRPr="000E66D4">
        <w:rPr>
          <w:rFonts w:ascii="Times New Roman" w:eastAsia="Calibri" w:hAnsi="Times New Roman" w:cs="Times New Roman"/>
          <w:color w:val="4C4747"/>
          <w:spacing w:val="20"/>
          <w:sz w:val="24"/>
          <w:szCs w:val="24"/>
          <w:lang w:val="es-DO"/>
        </w:rPr>
        <w:t xml:space="preserve"> en el mercado de las telecomunicaciones.</w:t>
      </w:r>
    </w:p>
    <w:p w14:paraId="3F2903D8" w14:textId="77777777" w:rsidR="002F4988" w:rsidRPr="000E66D4" w:rsidRDefault="002F4988" w:rsidP="00943FA5">
      <w:pPr>
        <w:spacing w:after="0" w:line="360" w:lineRule="auto"/>
        <w:jc w:val="both"/>
        <w:rPr>
          <w:rFonts w:eastAsia="Calibri"/>
          <w:color w:val="4C4747"/>
          <w:spacing w:val="20"/>
          <w:szCs w:val="24"/>
          <w:lang w:val="es-DO"/>
        </w:rPr>
      </w:pPr>
    </w:p>
    <w:p w14:paraId="4A01753C" w14:textId="05C33966" w:rsidR="002F4988" w:rsidRPr="000E66D4" w:rsidRDefault="002F4988" w:rsidP="00943FA5">
      <w:pPr>
        <w:spacing w:after="0" w:line="360" w:lineRule="auto"/>
        <w:jc w:val="both"/>
        <w:rPr>
          <w:rFonts w:eastAsia="Calibri"/>
          <w:b/>
          <w:color w:val="4C4747"/>
          <w:spacing w:val="20"/>
          <w:szCs w:val="24"/>
          <w:lang w:val="es-DO"/>
        </w:rPr>
      </w:pPr>
      <w:r w:rsidRPr="000E66D4">
        <w:rPr>
          <w:rFonts w:ascii="Times New Roman" w:eastAsia="Calibri" w:hAnsi="Times New Roman" w:cs="Times New Roman"/>
          <w:b/>
          <w:color w:val="4C4747"/>
          <w:spacing w:val="20"/>
          <w:sz w:val="24"/>
          <w:szCs w:val="24"/>
          <w:lang w:val="es-DO"/>
        </w:rPr>
        <w:t>Propuesta</w:t>
      </w:r>
      <w:r w:rsidR="00552A9A" w:rsidRPr="000E66D4">
        <w:rPr>
          <w:rFonts w:ascii="Times New Roman" w:eastAsia="Calibri" w:hAnsi="Times New Roman" w:cs="Times New Roman"/>
          <w:b/>
          <w:color w:val="4C4747"/>
          <w:spacing w:val="20"/>
          <w:sz w:val="24"/>
          <w:szCs w:val="24"/>
          <w:lang w:val="es-DO"/>
        </w:rPr>
        <w:t xml:space="preserve"> de l</w:t>
      </w:r>
      <w:r w:rsidRPr="000E66D4">
        <w:rPr>
          <w:rFonts w:ascii="Times New Roman" w:eastAsia="Calibri" w:hAnsi="Times New Roman" w:cs="Times New Roman"/>
          <w:b/>
          <w:color w:val="4C4747"/>
          <w:spacing w:val="20"/>
          <w:sz w:val="24"/>
          <w:szCs w:val="24"/>
          <w:lang w:val="es-DO"/>
        </w:rPr>
        <w:t>ímites máximos a la tenencia de Espectro Radioeléctrico en Bandas identificadas para servicios móviles (IMT) por el PNAF</w:t>
      </w:r>
    </w:p>
    <w:p w14:paraId="3F5303FD" w14:textId="77777777" w:rsidR="00041294" w:rsidRPr="000E66D4" w:rsidRDefault="00041294" w:rsidP="00943FA5">
      <w:pPr>
        <w:spacing w:before="240"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 xml:space="preserve">El 14 de septiembre de 2022, el Consejo Directivo mediante la Resolución número 085-2022, colocó en consulta pública la norma </w:t>
      </w:r>
      <w:r w:rsidRPr="000E66D4">
        <w:rPr>
          <w:rFonts w:ascii="Times New Roman" w:eastAsia="Calibri" w:hAnsi="Times New Roman" w:cs="Times New Roman"/>
          <w:color w:val="4C4747"/>
          <w:spacing w:val="20"/>
          <w:sz w:val="24"/>
          <w:szCs w:val="24"/>
          <w:lang w:val="es-DO"/>
        </w:rPr>
        <w:lastRenderedPageBreak/>
        <w:t>para el establecimiento de límites máximos a la tenencia de Espectro Radioeléctrico en bandas identificadas para servicios móviles (IMT) por el PNAF.</w:t>
      </w:r>
    </w:p>
    <w:p w14:paraId="6ECCDDD2" w14:textId="77777777" w:rsidR="00041294" w:rsidRPr="000E66D4" w:rsidRDefault="00041294" w:rsidP="00041294">
      <w:pPr>
        <w:spacing w:after="0" w:line="360" w:lineRule="auto"/>
        <w:jc w:val="both"/>
        <w:rPr>
          <w:rFonts w:eastAsia="Calibri"/>
          <w:color w:val="4C4747"/>
          <w:spacing w:val="20"/>
          <w:szCs w:val="24"/>
          <w:lang w:val="es-DO"/>
        </w:rPr>
      </w:pPr>
    </w:p>
    <w:p w14:paraId="4381AF51" w14:textId="4E8785EC" w:rsidR="002F4988" w:rsidRPr="000E66D4" w:rsidRDefault="00041294" w:rsidP="00943FA5">
      <w:pPr>
        <w:spacing w:after="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La citada norma tiene por objeto limitar la acumulación de espectro radioeléctrico, la concentración de un recurso escaso y reducir barreras a la entrada, mediante el establecimiento de topes de espectro radioeléctr</w:t>
      </w:r>
      <w:r w:rsidR="005D4E4B" w:rsidRPr="000E66D4">
        <w:rPr>
          <w:rFonts w:ascii="Times New Roman" w:eastAsia="Calibri" w:hAnsi="Times New Roman" w:cs="Times New Roman"/>
          <w:color w:val="4C4747"/>
          <w:spacing w:val="20"/>
          <w:sz w:val="24"/>
          <w:szCs w:val="24"/>
          <w:lang w:val="es-DO"/>
        </w:rPr>
        <w:t>ico atribuido al servicio móvil</w:t>
      </w:r>
      <w:r w:rsidRPr="000E66D4">
        <w:rPr>
          <w:rFonts w:ascii="Times New Roman" w:eastAsia="Calibri" w:hAnsi="Times New Roman" w:cs="Times New Roman"/>
          <w:color w:val="4C4747"/>
          <w:spacing w:val="20"/>
          <w:sz w:val="24"/>
          <w:szCs w:val="24"/>
          <w:lang w:val="es-DO"/>
        </w:rPr>
        <w:t xml:space="preserve"> e identificadas para telecomunicaciones</w:t>
      </w:r>
      <w:r w:rsidR="00EC741E" w:rsidRPr="000E66D4">
        <w:rPr>
          <w:rFonts w:ascii="Times New Roman" w:eastAsia="Calibri" w:hAnsi="Times New Roman" w:cs="Times New Roman"/>
          <w:color w:val="4C4747"/>
          <w:spacing w:val="20"/>
          <w:sz w:val="24"/>
          <w:szCs w:val="24"/>
          <w:lang w:val="es-DO"/>
        </w:rPr>
        <w:t xml:space="preserve"> móviles internacionales o IMT, </w:t>
      </w:r>
      <w:r w:rsidRPr="000E66D4">
        <w:rPr>
          <w:rFonts w:ascii="Times New Roman" w:eastAsia="Calibri" w:hAnsi="Times New Roman" w:cs="Times New Roman"/>
          <w:color w:val="4C4747"/>
          <w:spacing w:val="20"/>
          <w:sz w:val="24"/>
          <w:szCs w:val="24"/>
          <w:lang w:val="es-DO"/>
        </w:rPr>
        <w:t>a ser aplicados por el INDOTEL al momento de la asignación, cesión o transferencia de licencias.</w:t>
      </w:r>
    </w:p>
    <w:p w14:paraId="3CF37F73" w14:textId="77777777" w:rsidR="00911DE9" w:rsidRPr="000E66D4" w:rsidRDefault="00911DE9" w:rsidP="00943FA5">
      <w:pPr>
        <w:spacing w:after="0" w:line="360" w:lineRule="auto"/>
        <w:jc w:val="both"/>
        <w:rPr>
          <w:rFonts w:eastAsia="Calibri"/>
          <w:color w:val="4C4747"/>
          <w:spacing w:val="20"/>
          <w:szCs w:val="24"/>
          <w:lang w:val="es-DO"/>
        </w:rPr>
      </w:pPr>
    </w:p>
    <w:p w14:paraId="76A1EAAF" w14:textId="31BD19FE" w:rsidR="002F4988" w:rsidRPr="000E66D4" w:rsidRDefault="002F4988" w:rsidP="00943FA5">
      <w:pPr>
        <w:pStyle w:val="Sinespaciado"/>
        <w:spacing w:line="360" w:lineRule="auto"/>
        <w:jc w:val="both"/>
        <w:rPr>
          <w:b/>
          <w:color w:val="4C4747"/>
          <w:spacing w:val="20"/>
          <w:szCs w:val="24"/>
          <w:lang w:val="es-DO"/>
        </w:rPr>
      </w:pPr>
      <w:r w:rsidRPr="000E66D4">
        <w:rPr>
          <w:b/>
          <w:color w:val="4C4747"/>
          <w:spacing w:val="20"/>
          <w:szCs w:val="24"/>
          <w:lang w:val="es-DO"/>
        </w:rPr>
        <w:t>Mercados R</w:t>
      </w:r>
      <w:r w:rsidR="00EC741E" w:rsidRPr="000E66D4">
        <w:rPr>
          <w:b/>
          <w:color w:val="4C4747"/>
          <w:spacing w:val="20"/>
          <w:szCs w:val="24"/>
          <w:lang w:val="es-DO"/>
        </w:rPr>
        <w:t>elevantes del sector de las t</w:t>
      </w:r>
      <w:r w:rsidRPr="000E66D4">
        <w:rPr>
          <w:b/>
          <w:color w:val="4C4747"/>
          <w:spacing w:val="20"/>
          <w:szCs w:val="24"/>
          <w:lang w:val="es-DO"/>
        </w:rPr>
        <w:t>elecomunicaciones</w:t>
      </w:r>
    </w:p>
    <w:p w14:paraId="10885C1C" w14:textId="5AACF38B" w:rsidR="00041294" w:rsidRPr="000E66D4" w:rsidRDefault="00041294" w:rsidP="00943FA5">
      <w:pPr>
        <w:spacing w:before="240" w:after="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En enero de 2022, el Consejo Directivo del INDOTEL dictó la Resolución número 011-2022, que conoce los recursos de reconsideración interpuestos por las prestadoras de servicios públicos de telecomunicaciones</w:t>
      </w:r>
      <w:r w:rsidR="00971A01" w:rsidRPr="000E66D4">
        <w:rPr>
          <w:rFonts w:ascii="Times New Roman" w:eastAsia="Calibri" w:hAnsi="Times New Roman" w:cs="Times New Roman"/>
          <w:color w:val="4C4747"/>
          <w:spacing w:val="20"/>
          <w:sz w:val="24"/>
          <w:szCs w:val="24"/>
          <w:lang w:val="es-DO"/>
        </w:rPr>
        <w:t>,</w:t>
      </w:r>
      <w:r w:rsidRPr="000E66D4">
        <w:rPr>
          <w:rFonts w:ascii="Times New Roman" w:eastAsia="Calibri" w:hAnsi="Times New Roman" w:cs="Times New Roman"/>
          <w:color w:val="4C4747"/>
          <w:spacing w:val="20"/>
          <w:sz w:val="24"/>
          <w:szCs w:val="24"/>
          <w:lang w:val="es-DO"/>
        </w:rPr>
        <w:t xml:space="preserve"> </w:t>
      </w:r>
      <w:r w:rsidR="007C5CEF" w:rsidRPr="000E66D4">
        <w:rPr>
          <w:rFonts w:ascii="Times New Roman" w:eastAsia="Calibri" w:hAnsi="Times New Roman" w:cs="Times New Roman"/>
          <w:color w:val="4C4747"/>
          <w:spacing w:val="20"/>
          <w:sz w:val="24"/>
          <w:szCs w:val="24"/>
          <w:lang w:val="es-DO"/>
        </w:rPr>
        <w:t xml:space="preserve">Compañía Dominicana de Teléfonos (CLARO) y Altice Dominicana (AlTICE) </w:t>
      </w:r>
      <w:r w:rsidRPr="000E66D4">
        <w:rPr>
          <w:rFonts w:ascii="Times New Roman" w:eastAsia="Calibri" w:hAnsi="Times New Roman" w:cs="Times New Roman"/>
          <w:color w:val="4C4747"/>
          <w:spacing w:val="20"/>
          <w:sz w:val="24"/>
          <w:szCs w:val="24"/>
          <w:lang w:val="es-DO"/>
        </w:rPr>
        <w:t xml:space="preserve">contra la Resolución del Consejo Directivo número 098-2021 </w:t>
      </w:r>
      <w:r w:rsidR="00EC741E" w:rsidRPr="000E66D4">
        <w:rPr>
          <w:rFonts w:ascii="Times New Roman" w:eastAsia="Calibri" w:hAnsi="Times New Roman" w:cs="Times New Roman"/>
          <w:color w:val="4C4747"/>
          <w:spacing w:val="20"/>
          <w:sz w:val="24"/>
          <w:szCs w:val="24"/>
          <w:lang w:val="es-DO"/>
        </w:rPr>
        <w:t>que</w:t>
      </w:r>
      <w:r w:rsidRPr="000E66D4">
        <w:rPr>
          <w:rFonts w:ascii="Times New Roman" w:eastAsia="Calibri" w:hAnsi="Times New Roman" w:cs="Times New Roman"/>
          <w:color w:val="4C4747"/>
          <w:spacing w:val="20"/>
          <w:sz w:val="24"/>
          <w:szCs w:val="24"/>
          <w:lang w:val="es-DO"/>
        </w:rPr>
        <w:t xml:space="preserve"> ratifica los mercados relevantes del sector de las telecomunicaciones identificados sujetos de regulación ex ante; y el 17 de marzo de 2022 se procedió a celebrar la audiencia pública para conocer los comentarios de las partes interesadas en la determinación de los operadores con posición de dominio en los mercados relevantes.</w:t>
      </w:r>
    </w:p>
    <w:p w14:paraId="10D146E3" w14:textId="77777777" w:rsidR="002F4988" w:rsidRPr="000E66D4" w:rsidRDefault="002F4988" w:rsidP="002F4988">
      <w:pPr>
        <w:spacing w:after="0" w:line="360" w:lineRule="auto"/>
        <w:jc w:val="both"/>
        <w:rPr>
          <w:rFonts w:ascii="Times New Roman" w:eastAsia="Times New Roman" w:hAnsi="Times New Roman" w:cs="Times New Roman"/>
          <w:color w:val="4C4747"/>
          <w:sz w:val="24"/>
          <w:szCs w:val="24"/>
          <w:lang w:val="es-DO"/>
        </w:rPr>
      </w:pPr>
    </w:p>
    <w:p w14:paraId="479928B6" w14:textId="26E3D46D" w:rsidR="002F4988" w:rsidRPr="000E66D4" w:rsidRDefault="00EC741E" w:rsidP="00943FA5">
      <w:pPr>
        <w:pStyle w:val="Sinespaciado"/>
        <w:spacing w:line="360" w:lineRule="auto"/>
        <w:jc w:val="both"/>
        <w:rPr>
          <w:b/>
          <w:color w:val="4C4747"/>
          <w:spacing w:val="20"/>
          <w:szCs w:val="24"/>
          <w:lang w:val="es-DO"/>
        </w:rPr>
      </w:pPr>
      <w:r w:rsidRPr="000E66D4">
        <w:rPr>
          <w:b/>
          <w:color w:val="4C4747"/>
          <w:spacing w:val="20"/>
          <w:szCs w:val="24"/>
          <w:lang w:val="es-DO"/>
        </w:rPr>
        <w:t>Proceso de fijación cargos de i</w:t>
      </w:r>
      <w:r w:rsidR="002F4988" w:rsidRPr="000E66D4">
        <w:rPr>
          <w:b/>
          <w:color w:val="4C4747"/>
          <w:spacing w:val="20"/>
          <w:szCs w:val="24"/>
          <w:lang w:val="es-DO"/>
        </w:rPr>
        <w:t>nterconexión</w:t>
      </w:r>
    </w:p>
    <w:p w14:paraId="0D591B77" w14:textId="77777777" w:rsidR="00EC741E" w:rsidRPr="000E66D4" w:rsidRDefault="001D3CC6" w:rsidP="00943FA5">
      <w:pPr>
        <w:spacing w:before="24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En febrero, el Consejo Directivo por medio de su Resolución número 023-2022, conoce los recursos de reconsideración interpuesto por las prestadoras de servicios públicos</w:t>
      </w:r>
      <w:r w:rsidR="00971A01" w:rsidRPr="000E66D4">
        <w:rPr>
          <w:rFonts w:ascii="Times New Roman" w:eastAsia="Calibri" w:hAnsi="Times New Roman" w:cs="Times New Roman"/>
          <w:color w:val="4C4747"/>
          <w:spacing w:val="20"/>
          <w:sz w:val="24"/>
          <w:szCs w:val="24"/>
          <w:lang w:val="es-DO"/>
        </w:rPr>
        <w:t>,</w:t>
      </w:r>
      <w:r w:rsidRPr="000E66D4">
        <w:rPr>
          <w:rFonts w:ascii="Times New Roman" w:eastAsia="Calibri" w:hAnsi="Times New Roman" w:cs="Times New Roman"/>
          <w:color w:val="4C4747"/>
          <w:spacing w:val="20"/>
          <w:sz w:val="24"/>
          <w:szCs w:val="24"/>
          <w:lang w:val="es-DO"/>
        </w:rPr>
        <w:t xml:space="preserve"> Compañía Dominicana de </w:t>
      </w:r>
    </w:p>
    <w:p w14:paraId="495ABAE7" w14:textId="2E7F4ABF" w:rsidR="001D3CC6" w:rsidRPr="000E66D4" w:rsidRDefault="001D3CC6" w:rsidP="00943FA5">
      <w:pPr>
        <w:spacing w:before="24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lastRenderedPageBreak/>
        <w:t>Teléfonos (</w:t>
      </w:r>
      <w:r w:rsidR="007C5CEF" w:rsidRPr="000E66D4">
        <w:rPr>
          <w:rFonts w:ascii="Times New Roman" w:eastAsia="Calibri" w:hAnsi="Times New Roman" w:cs="Times New Roman"/>
          <w:color w:val="4C4747"/>
          <w:spacing w:val="20"/>
          <w:sz w:val="24"/>
          <w:szCs w:val="24"/>
          <w:lang w:val="es-DO"/>
        </w:rPr>
        <w:t>CLARO</w:t>
      </w:r>
      <w:r w:rsidRPr="000E66D4">
        <w:rPr>
          <w:rFonts w:ascii="Times New Roman" w:eastAsia="Calibri" w:hAnsi="Times New Roman" w:cs="Times New Roman"/>
          <w:color w:val="4C4747"/>
          <w:spacing w:val="20"/>
          <w:sz w:val="24"/>
          <w:szCs w:val="24"/>
          <w:lang w:val="es-DO"/>
        </w:rPr>
        <w:t>) y Altice Dominicana (</w:t>
      </w:r>
      <w:r w:rsidR="007C5CEF" w:rsidRPr="000E66D4">
        <w:rPr>
          <w:rFonts w:ascii="Times New Roman" w:eastAsia="Calibri" w:hAnsi="Times New Roman" w:cs="Times New Roman"/>
          <w:color w:val="4C4747"/>
          <w:spacing w:val="20"/>
          <w:sz w:val="24"/>
          <w:szCs w:val="24"/>
          <w:lang w:val="es-DO"/>
        </w:rPr>
        <w:t>ALTICE</w:t>
      </w:r>
      <w:r w:rsidRPr="000E66D4">
        <w:rPr>
          <w:rFonts w:ascii="Times New Roman" w:eastAsia="Calibri" w:hAnsi="Times New Roman" w:cs="Times New Roman"/>
          <w:color w:val="4C4747"/>
          <w:spacing w:val="20"/>
          <w:sz w:val="24"/>
          <w:szCs w:val="24"/>
          <w:lang w:val="es-DO"/>
        </w:rPr>
        <w:t xml:space="preserve">), en contra de la Resolución número 104-2021 que dio inicio al procedimiento para la fijación de los cargos de interconexión. </w:t>
      </w:r>
    </w:p>
    <w:p w14:paraId="38C119DE" w14:textId="5475B7F5" w:rsidR="001D3CC6" w:rsidRPr="000E66D4" w:rsidRDefault="001D3CC6" w:rsidP="001D3CC6">
      <w:pPr>
        <w:spacing w:before="30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 xml:space="preserve">En mayo de 2022, fueron publicadas nuevas </w:t>
      </w:r>
      <w:r w:rsidR="00DE4567" w:rsidRPr="00DE4567">
        <w:rPr>
          <w:rFonts w:ascii="Times New Roman" w:eastAsia="Calibri" w:hAnsi="Times New Roman" w:cs="Times New Roman"/>
          <w:color w:val="4C4747"/>
          <w:spacing w:val="20"/>
          <w:sz w:val="24"/>
          <w:szCs w:val="24"/>
          <w:lang w:val="es-DO"/>
        </w:rPr>
        <w:t>a</w:t>
      </w:r>
      <w:r w:rsidRPr="00DE4567">
        <w:rPr>
          <w:rFonts w:ascii="Times New Roman" w:eastAsia="Calibri" w:hAnsi="Times New Roman" w:cs="Times New Roman"/>
          <w:color w:val="4C4747"/>
          <w:spacing w:val="20"/>
          <w:sz w:val="24"/>
          <w:szCs w:val="24"/>
          <w:lang w:val="es-DO"/>
        </w:rPr>
        <w:t xml:space="preserve">dendas de </w:t>
      </w:r>
      <w:r w:rsidR="00DE4567" w:rsidRPr="00DE4567">
        <w:rPr>
          <w:rFonts w:ascii="Times New Roman" w:eastAsia="Calibri" w:hAnsi="Times New Roman" w:cs="Times New Roman"/>
          <w:color w:val="4C4747"/>
          <w:spacing w:val="20"/>
          <w:sz w:val="24"/>
          <w:szCs w:val="24"/>
          <w:lang w:val="es-DO"/>
        </w:rPr>
        <w:t>i</w:t>
      </w:r>
      <w:r w:rsidRPr="00DE4567">
        <w:rPr>
          <w:rFonts w:ascii="Times New Roman" w:eastAsia="Calibri" w:hAnsi="Times New Roman" w:cs="Times New Roman"/>
          <w:color w:val="4C4747"/>
          <w:spacing w:val="20"/>
          <w:sz w:val="24"/>
          <w:szCs w:val="24"/>
          <w:lang w:val="es-DO"/>
        </w:rPr>
        <w:t>nterconexión, suscritas entre las prestadoras de servicios</w:t>
      </w:r>
      <w:r w:rsidRPr="000E66D4">
        <w:rPr>
          <w:rFonts w:ascii="Times New Roman" w:eastAsia="Calibri" w:hAnsi="Times New Roman" w:cs="Times New Roman"/>
          <w:color w:val="4C4747"/>
          <w:spacing w:val="20"/>
          <w:sz w:val="24"/>
          <w:szCs w:val="24"/>
          <w:lang w:val="es-DO"/>
        </w:rPr>
        <w:t xml:space="preserve"> de telecomunicaciones CLARO, ALTICE, Trilogy Dominicana y Onemax las cuales estuvieron sujetas a la revisión por parte </w:t>
      </w:r>
      <w:r w:rsidR="00285190" w:rsidRPr="000E66D4">
        <w:rPr>
          <w:rFonts w:ascii="Times New Roman" w:eastAsia="Calibri" w:hAnsi="Times New Roman" w:cs="Times New Roman"/>
          <w:color w:val="4C4747"/>
          <w:spacing w:val="20"/>
          <w:sz w:val="24"/>
          <w:szCs w:val="24"/>
          <w:lang w:val="es-DO"/>
        </w:rPr>
        <w:t>d</w:t>
      </w:r>
      <w:r w:rsidRPr="000E66D4">
        <w:rPr>
          <w:rFonts w:ascii="Times New Roman" w:eastAsia="Calibri" w:hAnsi="Times New Roman" w:cs="Times New Roman"/>
          <w:color w:val="4C4747"/>
          <w:spacing w:val="20"/>
          <w:sz w:val="24"/>
          <w:szCs w:val="24"/>
          <w:lang w:val="es-DO"/>
        </w:rPr>
        <w:t xml:space="preserve">el INDOTEL. </w:t>
      </w:r>
    </w:p>
    <w:p w14:paraId="630A2D57" w14:textId="77777777" w:rsidR="001D3CC6" w:rsidRPr="000E66D4" w:rsidRDefault="001D3CC6" w:rsidP="001D3CC6">
      <w:pPr>
        <w:spacing w:before="30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El 29 de junio de 2022, mediante la Resolución número 063-2022, el Consejo Directivo decidió no acoger los cargos de interconexión acordados en dichas enmiendas y dar continuidad al proceso de fijación de cargos dispuesto por la Resolución número 104-2021. Dicha resolución fue recurrida por ALTICE, CLARO y VIVA, recurso que fue rechazado por el Consejo Directivo en su Resolución número 103-2022 del 17 de noviembre.</w:t>
      </w:r>
    </w:p>
    <w:p w14:paraId="187A5EB1" w14:textId="090B2616" w:rsidR="001D3CC6" w:rsidRPr="000E66D4" w:rsidRDefault="001D3CC6" w:rsidP="001D3CC6">
      <w:pPr>
        <w:spacing w:before="300" w:line="360" w:lineRule="auto"/>
        <w:jc w:val="both"/>
        <w:rPr>
          <w:rFonts w:eastAsia="Calibri"/>
          <w:color w:val="4C4747"/>
          <w:spacing w:val="20"/>
          <w:szCs w:val="24"/>
          <w:lang w:val="es-DO"/>
        </w:rPr>
      </w:pPr>
      <w:r w:rsidRPr="000E66D4">
        <w:rPr>
          <w:rFonts w:ascii="Times New Roman" w:eastAsia="Calibri" w:hAnsi="Times New Roman" w:cs="Times New Roman"/>
          <w:color w:val="4C4747"/>
          <w:spacing w:val="20"/>
          <w:sz w:val="24"/>
          <w:szCs w:val="24"/>
          <w:lang w:val="es-DO"/>
        </w:rPr>
        <w:t xml:space="preserve">Igualmente, el 29 de junio 2022, el Consejo Directivo mediante la Resolución número 064-2022 instruye </w:t>
      </w:r>
      <w:r w:rsidR="00034C2E" w:rsidRPr="000E66D4">
        <w:rPr>
          <w:rFonts w:ascii="Times New Roman" w:eastAsia="Calibri" w:hAnsi="Times New Roman" w:cs="Times New Roman"/>
          <w:color w:val="4C4747"/>
          <w:spacing w:val="20"/>
          <w:sz w:val="24"/>
          <w:szCs w:val="24"/>
          <w:lang w:val="es-DO"/>
        </w:rPr>
        <w:t xml:space="preserve">la elaboración de </w:t>
      </w:r>
      <w:r w:rsidRPr="000E66D4">
        <w:rPr>
          <w:rFonts w:ascii="Times New Roman" w:eastAsia="Calibri" w:hAnsi="Times New Roman" w:cs="Times New Roman"/>
          <w:color w:val="4C4747"/>
          <w:spacing w:val="20"/>
          <w:sz w:val="24"/>
          <w:szCs w:val="24"/>
          <w:lang w:val="es-DO"/>
        </w:rPr>
        <w:t xml:space="preserve">un nuevo estudio de costos y continuar el procedimiento para la fijación de los cargos de interconexión dispuesto en la Resolución número 104-2021. </w:t>
      </w:r>
    </w:p>
    <w:p w14:paraId="68375699" w14:textId="3D7219E1" w:rsidR="00971A01" w:rsidRPr="000E66D4" w:rsidRDefault="001D3CC6" w:rsidP="006575D7">
      <w:pPr>
        <w:spacing w:before="30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El INDOTEL presentó a las prestadoras un modelo de costos preparado junto con la empresa consultora internacional Axon Partners Group, la cual resultó adjudicada en el proceso de Licitación Pública Internacional INDOTEL-CCC-LPI-2021-0001, </w:t>
      </w:r>
      <w:r w:rsidR="00971A01" w:rsidRPr="000E66D4">
        <w:rPr>
          <w:rFonts w:ascii="Times New Roman" w:eastAsia="Calibri" w:hAnsi="Times New Roman" w:cs="Times New Roman"/>
          <w:color w:val="4C4747"/>
          <w:spacing w:val="20"/>
          <w:sz w:val="24"/>
          <w:szCs w:val="24"/>
          <w:lang w:val="es-DO"/>
        </w:rPr>
        <w:t xml:space="preserve">para </w:t>
      </w:r>
      <w:r w:rsidRPr="000E66D4">
        <w:rPr>
          <w:rFonts w:ascii="Times New Roman" w:eastAsia="Calibri" w:hAnsi="Times New Roman" w:cs="Times New Roman"/>
          <w:color w:val="4C4747"/>
          <w:spacing w:val="20"/>
          <w:sz w:val="24"/>
          <w:szCs w:val="24"/>
          <w:lang w:val="es-DO"/>
        </w:rPr>
        <w:t xml:space="preserve">la elaboración de un estudio de costos que sirva para la fijación de cargos de interconexión. El día 22 de septiembre de 2022, las prestadoras tuvieron una audiencia con el Consejo Directivo del </w:t>
      </w:r>
      <w:r w:rsidRPr="000E66D4">
        <w:rPr>
          <w:rFonts w:ascii="Times New Roman" w:eastAsia="Calibri" w:hAnsi="Times New Roman" w:cs="Times New Roman"/>
          <w:color w:val="4C4747"/>
          <w:spacing w:val="20"/>
          <w:sz w:val="24"/>
          <w:szCs w:val="24"/>
          <w:lang w:val="es-DO"/>
        </w:rPr>
        <w:lastRenderedPageBreak/>
        <w:t>INDOTEL para presentar sus observaciones a dicho estudio y modelo de costos.</w:t>
      </w:r>
    </w:p>
    <w:p w14:paraId="24D05293" w14:textId="6E6D20E7" w:rsidR="002F4988" w:rsidRPr="000E66D4" w:rsidRDefault="002F4988" w:rsidP="00943FA5">
      <w:pPr>
        <w:pStyle w:val="Sinespaciado"/>
        <w:spacing w:before="240" w:line="360" w:lineRule="auto"/>
        <w:jc w:val="both"/>
        <w:rPr>
          <w:b/>
          <w:color w:val="4C4747"/>
          <w:spacing w:val="20"/>
          <w:szCs w:val="24"/>
          <w:lang w:val="es-DO"/>
        </w:rPr>
      </w:pPr>
      <w:r w:rsidRPr="000E66D4">
        <w:rPr>
          <w:b/>
          <w:color w:val="4C4747"/>
          <w:spacing w:val="20"/>
          <w:szCs w:val="24"/>
          <w:lang w:val="es-DO"/>
        </w:rPr>
        <w:t>Actualización y modernización de la Ley General de Telecomunicaciones</w:t>
      </w:r>
    </w:p>
    <w:p w14:paraId="403EE67E" w14:textId="1F2326E5" w:rsidR="001D3CC6" w:rsidRPr="000E66D4" w:rsidRDefault="001D3CC6" w:rsidP="00943FA5">
      <w:pPr>
        <w:spacing w:before="24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En el mes de agosto del 2022, fueron celebradas mesas de socialización con la participación del sector </w:t>
      </w:r>
      <w:r w:rsidR="00285190" w:rsidRPr="000E66D4">
        <w:rPr>
          <w:rFonts w:ascii="Times New Roman" w:eastAsia="Calibri" w:hAnsi="Times New Roman" w:cs="Times New Roman"/>
          <w:color w:val="4C4747"/>
          <w:spacing w:val="20"/>
          <w:sz w:val="24"/>
          <w:szCs w:val="24"/>
          <w:lang w:val="es-DO"/>
        </w:rPr>
        <w:t xml:space="preserve">de telecomunicaciones </w:t>
      </w:r>
      <w:r w:rsidRPr="000E66D4">
        <w:rPr>
          <w:rFonts w:ascii="Times New Roman" w:eastAsia="Calibri" w:hAnsi="Times New Roman" w:cs="Times New Roman"/>
          <w:color w:val="4C4747"/>
          <w:spacing w:val="20"/>
          <w:sz w:val="24"/>
          <w:szCs w:val="24"/>
          <w:lang w:val="es-DO"/>
        </w:rPr>
        <w:t xml:space="preserve">y </w:t>
      </w:r>
      <w:r w:rsidR="00285190" w:rsidRPr="000E66D4">
        <w:rPr>
          <w:rFonts w:ascii="Times New Roman" w:eastAsia="Calibri" w:hAnsi="Times New Roman" w:cs="Times New Roman"/>
          <w:color w:val="4C4747"/>
          <w:spacing w:val="20"/>
          <w:sz w:val="24"/>
          <w:szCs w:val="24"/>
          <w:lang w:val="es-DO"/>
        </w:rPr>
        <w:t xml:space="preserve">un </w:t>
      </w:r>
      <w:r w:rsidRPr="000E66D4">
        <w:rPr>
          <w:rFonts w:ascii="Times New Roman" w:eastAsia="Calibri" w:hAnsi="Times New Roman" w:cs="Times New Roman"/>
          <w:color w:val="4C4747"/>
          <w:spacing w:val="20"/>
          <w:sz w:val="24"/>
          <w:szCs w:val="24"/>
          <w:lang w:val="es-DO"/>
        </w:rPr>
        <w:t xml:space="preserve">consultor internacional del </w:t>
      </w:r>
      <w:r w:rsidR="000066D2" w:rsidRPr="000E66D4">
        <w:rPr>
          <w:rFonts w:ascii="Times New Roman" w:eastAsia="Calibri" w:hAnsi="Times New Roman" w:cs="Times New Roman"/>
          <w:color w:val="4C4747"/>
          <w:spacing w:val="20"/>
          <w:sz w:val="24"/>
          <w:szCs w:val="24"/>
          <w:lang w:val="es-DO"/>
        </w:rPr>
        <w:t>Banco Interamericano de Desarrollo (</w:t>
      </w:r>
      <w:r w:rsidRPr="000E66D4">
        <w:rPr>
          <w:rFonts w:ascii="Times New Roman" w:eastAsia="Calibri" w:hAnsi="Times New Roman" w:cs="Times New Roman"/>
          <w:color w:val="4C4747"/>
          <w:spacing w:val="20"/>
          <w:sz w:val="24"/>
          <w:szCs w:val="24"/>
          <w:lang w:val="es-DO"/>
        </w:rPr>
        <w:t>BID</w:t>
      </w:r>
      <w:r w:rsidR="000066D2" w:rsidRPr="000E66D4">
        <w:rPr>
          <w:rFonts w:ascii="Times New Roman" w:eastAsia="Calibri" w:hAnsi="Times New Roman" w:cs="Times New Roman"/>
          <w:color w:val="4C4747"/>
          <w:spacing w:val="20"/>
          <w:sz w:val="24"/>
          <w:szCs w:val="24"/>
          <w:lang w:val="es-DO"/>
        </w:rPr>
        <w:t>)</w:t>
      </w:r>
      <w:r w:rsidRPr="000E66D4">
        <w:rPr>
          <w:rFonts w:ascii="Times New Roman" w:eastAsia="Calibri" w:hAnsi="Times New Roman" w:cs="Times New Roman"/>
          <w:color w:val="4C4747"/>
          <w:spacing w:val="20"/>
          <w:sz w:val="24"/>
          <w:szCs w:val="24"/>
          <w:lang w:val="es-DO"/>
        </w:rPr>
        <w:t xml:space="preserve">, </w:t>
      </w:r>
      <w:r w:rsidR="00285190" w:rsidRPr="000E66D4">
        <w:rPr>
          <w:rFonts w:ascii="Times New Roman" w:eastAsia="Calibri" w:hAnsi="Times New Roman" w:cs="Times New Roman"/>
          <w:color w:val="4C4747"/>
          <w:spacing w:val="20"/>
          <w:sz w:val="24"/>
          <w:szCs w:val="24"/>
          <w:lang w:val="es-DO"/>
        </w:rPr>
        <w:t>dando</w:t>
      </w:r>
      <w:r w:rsidR="00971A01" w:rsidRPr="000E66D4">
        <w:rPr>
          <w:rFonts w:ascii="Times New Roman" w:eastAsia="Calibri" w:hAnsi="Times New Roman" w:cs="Times New Roman"/>
          <w:color w:val="4C4747"/>
          <w:spacing w:val="20"/>
          <w:sz w:val="24"/>
          <w:szCs w:val="24"/>
          <w:lang w:val="es-DO"/>
        </w:rPr>
        <w:t xml:space="preserve"> </w:t>
      </w:r>
      <w:r w:rsidRPr="000E66D4">
        <w:rPr>
          <w:rFonts w:ascii="Times New Roman" w:eastAsia="Calibri" w:hAnsi="Times New Roman" w:cs="Times New Roman"/>
          <w:color w:val="4C4747"/>
          <w:spacing w:val="20"/>
          <w:sz w:val="24"/>
          <w:szCs w:val="24"/>
          <w:lang w:val="es-DO"/>
        </w:rPr>
        <w:t xml:space="preserve">continuación </w:t>
      </w:r>
      <w:r w:rsidR="00285190" w:rsidRPr="000E66D4">
        <w:rPr>
          <w:rFonts w:ascii="Times New Roman" w:eastAsia="Calibri" w:hAnsi="Times New Roman" w:cs="Times New Roman"/>
          <w:color w:val="4C4747"/>
          <w:spacing w:val="20"/>
          <w:sz w:val="24"/>
          <w:szCs w:val="24"/>
          <w:lang w:val="es-DO"/>
        </w:rPr>
        <w:t xml:space="preserve">a </w:t>
      </w:r>
      <w:r w:rsidRPr="000E66D4">
        <w:rPr>
          <w:rFonts w:ascii="Times New Roman" w:eastAsia="Calibri" w:hAnsi="Times New Roman" w:cs="Times New Roman"/>
          <w:color w:val="4C4747"/>
          <w:spacing w:val="20"/>
          <w:sz w:val="24"/>
          <w:szCs w:val="24"/>
          <w:lang w:val="es-DO"/>
        </w:rPr>
        <w:t>los trabajos que se están realizando desde el año 2021 para lograr una actualización y modernización de la Ley G</w:t>
      </w:r>
      <w:r w:rsidR="000066D2" w:rsidRPr="000E66D4">
        <w:rPr>
          <w:rFonts w:ascii="Times New Roman" w:eastAsia="Calibri" w:hAnsi="Times New Roman" w:cs="Times New Roman"/>
          <w:color w:val="4C4747"/>
          <w:spacing w:val="20"/>
          <w:sz w:val="24"/>
          <w:szCs w:val="24"/>
          <w:lang w:val="es-DO"/>
        </w:rPr>
        <w:t>eneral de Telecomunicaciones, e</w:t>
      </w:r>
      <w:r w:rsidRPr="000E66D4">
        <w:rPr>
          <w:rFonts w:ascii="Times New Roman" w:eastAsia="Calibri" w:hAnsi="Times New Roman" w:cs="Times New Roman"/>
          <w:color w:val="4C4747"/>
          <w:spacing w:val="20"/>
          <w:sz w:val="24"/>
          <w:szCs w:val="24"/>
          <w:lang w:val="es-DO"/>
        </w:rPr>
        <w:t xml:space="preserve">volución a una Ley de Tecnologías de la Información y las Comunicaciones (TIC). </w:t>
      </w:r>
    </w:p>
    <w:p w14:paraId="481D597F" w14:textId="07883354" w:rsidR="001D3CC6" w:rsidRPr="000E66D4" w:rsidRDefault="001D3CC6" w:rsidP="001D3CC6">
      <w:pPr>
        <w:spacing w:before="30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El objetivo principal </w:t>
      </w:r>
      <w:r w:rsidR="007C5CEF" w:rsidRPr="000E66D4">
        <w:rPr>
          <w:rFonts w:ascii="Times New Roman" w:eastAsia="Calibri" w:hAnsi="Times New Roman" w:cs="Times New Roman"/>
          <w:color w:val="4C4747"/>
          <w:spacing w:val="20"/>
          <w:sz w:val="24"/>
          <w:szCs w:val="24"/>
          <w:lang w:val="es-DO"/>
        </w:rPr>
        <w:t xml:space="preserve">de </w:t>
      </w:r>
      <w:r w:rsidRPr="000E66D4">
        <w:rPr>
          <w:rFonts w:ascii="Times New Roman" w:eastAsia="Calibri" w:hAnsi="Times New Roman" w:cs="Times New Roman"/>
          <w:color w:val="4C4747"/>
          <w:spacing w:val="20"/>
          <w:sz w:val="24"/>
          <w:szCs w:val="24"/>
          <w:lang w:val="es-DO"/>
        </w:rPr>
        <w:t xml:space="preserve">la actualización y modernización de la Ley General de Telecomunicaciones número 153-98 es para facilitar el despliegue y ampliación de las redes, impulsar condiciones de competencia más efectivas y </w:t>
      </w:r>
      <w:r w:rsidR="00285190" w:rsidRPr="000E66D4">
        <w:rPr>
          <w:rFonts w:ascii="Times New Roman" w:eastAsia="Calibri" w:hAnsi="Times New Roman" w:cs="Times New Roman"/>
          <w:color w:val="4C4747"/>
          <w:spacing w:val="20"/>
          <w:sz w:val="24"/>
          <w:szCs w:val="24"/>
          <w:lang w:val="es-DO"/>
        </w:rPr>
        <w:t xml:space="preserve">dar un </w:t>
      </w:r>
      <w:r w:rsidRPr="000E66D4">
        <w:rPr>
          <w:rFonts w:ascii="Times New Roman" w:eastAsia="Calibri" w:hAnsi="Times New Roman" w:cs="Times New Roman"/>
          <w:color w:val="4C4747"/>
          <w:spacing w:val="20"/>
          <w:sz w:val="24"/>
          <w:szCs w:val="24"/>
          <w:lang w:val="es-DO"/>
        </w:rPr>
        <w:t>uso más eficiente del espectro radioeléctrico, que redunden en mejores ofertas para los usuarios, acompañadas de una adecuada protección de los datos de carácter personal y la privacidad de éstos</w:t>
      </w:r>
      <w:r w:rsidR="007A641B" w:rsidRPr="000E66D4">
        <w:rPr>
          <w:rFonts w:ascii="Times New Roman" w:eastAsia="Calibri" w:hAnsi="Times New Roman" w:cs="Times New Roman"/>
          <w:color w:val="4C4747"/>
          <w:spacing w:val="20"/>
          <w:sz w:val="24"/>
          <w:szCs w:val="24"/>
          <w:lang w:val="es-DO"/>
        </w:rPr>
        <w:t xml:space="preserve">; </w:t>
      </w:r>
      <w:r w:rsidRPr="000E66D4">
        <w:rPr>
          <w:rFonts w:ascii="Times New Roman" w:eastAsia="Calibri" w:hAnsi="Times New Roman" w:cs="Times New Roman"/>
          <w:color w:val="4C4747"/>
          <w:spacing w:val="20"/>
          <w:sz w:val="24"/>
          <w:szCs w:val="24"/>
          <w:lang w:val="es-DO"/>
        </w:rPr>
        <w:t xml:space="preserve">el fortalecimiento de las capacidades de regulación y control del INDOTEL para ordenar el funcionamiento del mercado e intervenir ante fallas en el mismo, de cara al cumplimiento de los Objetivos de Desarrollo Sostenible (ODS) y la Estrategia Nacional de Desarrollo (END) 2030. </w:t>
      </w:r>
    </w:p>
    <w:p w14:paraId="20FB0E5D" w14:textId="096E8D19" w:rsidR="002D2E81" w:rsidRPr="000E66D4" w:rsidRDefault="001D3CC6" w:rsidP="00BA7DE5">
      <w:pPr>
        <w:spacing w:before="30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Asimismo, unificar principios y criterios consignados en diferentes normas asociadas a elementos y componentes relacionados con las TIC y, en consecuencia, evitar dispersión y garantizar la articulación y visión uniforme de las reglas aplicables al sector, de manera simplificada, coherente y armónica, promoviendo la coordinación entre entes y órganos del Estado dada la transversalidad de las TIC.</w:t>
      </w:r>
    </w:p>
    <w:p w14:paraId="14EA184C" w14:textId="2E64B5E4" w:rsidR="00650DCD" w:rsidRPr="007C16C5" w:rsidRDefault="006D62FE" w:rsidP="00943FA5">
      <w:pPr>
        <w:keepNext/>
        <w:spacing w:before="240" w:after="60" w:line="360" w:lineRule="auto"/>
        <w:contextualSpacing/>
        <w:jc w:val="both"/>
        <w:outlineLvl w:val="2"/>
        <w:rPr>
          <w:color w:val="4C4747"/>
          <w:lang w:val="es-DO" w:eastAsia="es-DO"/>
        </w:rPr>
      </w:pPr>
      <w:bookmarkStart w:id="13" w:name="_Toc122425235"/>
      <w:r w:rsidRPr="007C16C5">
        <w:rPr>
          <w:rFonts w:ascii="Times New Roman" w:eastAsia="Times New Roman" w:hAnsi="Times New Roman" w:cs="Times New Roman"/>
          <w:b/>
          <w:bCs/>
          <w:color w:val="4C4747"/>
          <w:sz w:val="24"/>
          <w:szCs w:val="26"/>
          <w:lang w:val="es-DO" w:eastAsia="es-DO"/>
        </w:rPr>
        <w:lastRenderedPageBreak/>
        <w:t xml:space="preserve">3.2 </w:t>
      </w:r>
      <w:r w:rsidR="00650DCD" w:rsidRPr="007C16C5">
        <w:rPr>
          <w:rFonts w:ascii="Times New Roman" w:eastAsia="Times New Roman" w:hAnsi="Times New Roman" w:cs="Times New Roman"/>
          <w:b/>
          <w:bCs/>
          <w:color w:val="4C4747"/>
          <w:sz w:val="24"/>
          <w:szCs w:val="26"/>
          <w:lang w:val="es-DO" w:eastAsia="es-DO"/>
        </w:rPr>
        <w:t>Espectro Radioeléctrico</w:t>
      </w:r>
      <w:bookmarkEnd w:id="13"/>
    </w:p>
    <w:p w14:paraId="758F1973" w14:textId="19231CFC" w:rsidR="001D3CC6" w:rsidRPr="007C16C5" w:rsidRDefault="008A3378" w:rsidP="001D3CC6">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El</w:t>
      </w:r>
      <w:r w:rsidR="001D3CC6" w:rsidRPr="007C16C5">
        <w:rPr>
          <w:rFonts w:ascii="Times New Roman" w:eastAsia="Calibri" w:hAnsi="Times New Roman" w:cs="Times New Roman"/>
          <w:color w:val="4C4747"/>
          <w:spacing w:val="20"/>
          <w:sz w:val="24"/>
          <w:szCs w:val="24"/>
          <w:lang w:val="es-DO"/>
        </w:rPr>
        <w:t xml:space="preserve"> INDOTEL </w:t>
      </w:r>
      <w:r w:rsidRPr="007C16C5">
        <w:rPr>
          <w:rFonts w:ascii="Times New Roman" w:eastAsia="Calibri" w:hAnsi="Times New Roman" w:cs="Times New Roman"/>
          <w:color w:val="4C4747"/>
          <w:spacing w:val="20"/>
          <w:sz w:val="24"/>
          <w:szCs w:val="24"/>
          <w:lang w:val="es-DO"/>
        </w:rPr>
        <w:t>tiene la responsabilidad de</w:t>
      </w:r>
      <w:r w:rsidR="001D3CC6" w:rsidRPr="007C16C5">
        <w:rPr>
          <w:rFonts w:ascii="Times New Roman" w:eastAsia="Calibri" w:hAnsi="Times New Roman" w:cs="Times New Roman"/>
          <w:color w:val="4C4747"/>
          <w:spacing w:val="20"/>
          <w:sz w:val="24"/>
          <w:szCs w:val="24"/>
          <w:lang w:val="es-DO"/>
        </w:rPr>
        <w:t xml:space="preserve"> procura</w:t>
      </w:r>
      <w:r w:rsidRPr="007C16C5">
        <w:rPr>
          <w:rFonts w:ascii="Times New Roman" w:eastAsia="Calibri" w:hAnsi="Times New Roman" w:cs="Times New Roman"/>
          <w:color w:val="4C4747"/>
          <w:spacing w:val="20"/>
          <w:sz w:val="24"/>
          <w:szCs w:val="24"/>
          <w:lang w:val="es-DO"/>
        </w:rPr>
        <w:t>r</w:t>
      </w:r>
      <w:r w:rsidR="001D3CC6" w:rsidRPr="007C16C5">
        <w:rPr>
          <w:rFonts w:ascii="Times New Roman" w:eastAsia="Calibri" w:hAnsi="Times New Roman" w:cs="Times New Roman"/>
          <w:color w:val="4C4747"/>
          <w:spacing w:val="20"/>
          <w:sz w:val="24"/>
          <w:szCs w:val="24"/>
          <w:lang w:val="es-DO"/>
        </w:rPr>
        <w:t xml:space="preserve"> una adecuada planeación y gestión del espectro radioeléctrico a los fines de satisfacer la demanda actual y futura de los diferentes servicios de radiocomunicaciones, verificar su correcto uso mediante comprobaciones técnicas llevadas a cabo de forma remota o presencial, ya sea a través de las estaciones fijas o móviles de monitoreo; actualizar el Registro Nacional de Frecuencias (RNF) a partir de las resoluciones del Consejo Directivo al otorgar licencias para el uso del espectro radioeléctrico, así como la emisión anual de los Derechos de Uso (DU).</w:t>
      </w:r>
    </w:p>
    <w:p w14:paraId="0DD05418" w14:textId="33BCC15E" w:rsidR="001D3CC6" w:rsidRPr="007C16C5" w:rsidRDefault="001D3CC6" w:rsidP="001D3CC6">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Para llevar a cabo las tareas mencionad</w:t>
      </w:r>
      <w:r w:rsidR="002D2E81" w:rsidRPr="007C16C5">
        <w:rPr>
          <w:rFonts w:ascii="Times New Roman" w:eastAsia="Calibri" w:hAnsi="Times New Roman" w:cs="Times New Roman"/>
          <w:color w:val="4C4747"/>
          <w:spacing w:val="20"/>
          <w:sz w:val="24"/>
          <w:szCs w:val="24"/>
          <w:lang w:val="es-DO"/>
        </w:rPr>
        <w:t xml:space="preserve">as anteriormente, </w:t>
      </w:r>
      <w:r w:rsidRPr="007C16C5">
        <w:rPr>
          <w:rFonts w:ascii="Times New Roman" w:eastAsia="Calibri" w:hAnsi="Times New Roman" w:cs="Times New Roman"/>
          <w:color w:val="4C4747"/>
          <w:spacing w:val="20"/>
          <w:sz w:val="24"/>
          <w:szCs w:val="24"/>
          <w:lang w:val="es-DO"/>
        </w:rPr>
        <w:t>se realizaron las siguientes acciones:</w:t>
      </w:r>
    </w:p>
    <w:p w14:paraId="6E74FD00" w14:textId="15C75B75" w:rsidR="009B2515" w:rsidRPr="000E66D4" w:rsidRDefault="0062591D" w:rsidP="00943FA5">
      <w:pPr>
        <w:spacing w:before="240"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Derecho de Uso (DU) del espectro r</w:t>
      </w:r>
      <w:r w:rsidR="009B2515" w:rsidRPr="000E66D4">
        <w:rPr>
          <w:rFonts w:ascii="Times New Roman" w:eastAsia="Calibri" w:hAnsi="Times New Roman" w:cs="Times New Roman"/>
          <w:b/>
          <w:color w:val="4C4747"/>
          <w:spacing w:val="20"/>
          <w:sz w:val="24"/>
          <w:szCs w:val="24"/>
          <w:lang w:val="es-DO"/>
        </w:rPr>
        <w:t xml:space="preserve">adioeléctrico </w:t>
      </w:r>
    </w:p>
    <w:p w14:paraId="16976342" w14:textId="12698B9B" w:rsidR="001D3CC6" w:rsidRPr="000E66D4" w:rsidRDefault="001D3CC6" w:rsidP="00943FA5">
      <w:pPr>
        <w:spacing w:before="24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Durante el primer semestre del presen</w:t>
      </w:r>
      <w:r w:rsidR="002141A4" w:rsidRPr="000E66D4">
        <w:rPr>
          <w:rFonts w:ascii="Times New Roman" w:eastAsia="Calibri" w:hAnsi="Times New Roman" w:cs="Times New Roman"/>
          <w:color w:val="4C4747"/>
          <w:spacing w:val="20"/>
          <w:sz w:val="24"/>
          <w:szCs w:val="24"/>
          <w:lang w:val="es-DO"/>
        </w:rPr>
        <w:t>te año</w:t>
      </w:r>
      <w:r w:rsidRPr="000E66D4">
        <w:rPr>
          <w:rFonts w:ascii="Times New Roman" w:eastAsia="Calibri" w:hAnsi="Times New Roman" w:cs="Times New Roman"/>
          <w:color w:val="4C4747"/>
          <w:spacing w:val="20"/>
          <w:sz w:val="24"/>
          <w:szCs w:val="24"/>
          <w:lang w:val="es-DO"/>
        </w:rPr>
        <w:t xml:space="preserve">, se llevó a cabo el proceso de emisión de </w:t>
      </w:r>
      <w:r w:rsidR="00117F7E" w:rsidRPr="000E66D4">
        <w:rPr>
          <w:rFonts w:ascii="Times New Roman" w:eastAsia="Calibri" w:hAnsi="Times New Roman" w:cs="Times New Roman"/>
          <w:color w:val="4C4747"/>
          <w:spacing w:val="20"/>
          <w:sz w:val="24"/>
          <w:szCs w:val="24"/>
          <w:lang w:val="es-DO"/>
        </w:rPr>
        <w:t xml:space="preserve">las facturas de </w:t>
      </w:r>
      <w:r w:rsidRPr="000E66D4">
        <w:rPr>
          <w:rFonts w:ascii="Times New Roman" w:eastAsia="Calibri" w:hAnsi="Times New Roman" w:cs="Times New Roman"/>
          <w:color w:val="4C4747"/>
          <w:spacing w:val="20"/>
          <w:sz w:val="24"/>
          <w:szCs w:val="24"/>
          <w:lang w:val="es-DO"/>
        </w:rPr>
        <w:t>los Derechos de Uso (DU) del espectro radioeléctrico</w:t>
      </w:r>
      <w:r w:rsidR="002141A4" w:rsidRPr="000E66D4">
        <w:rPr>
          <w:rFonts w:ascii="Times New Roman" w:eastAsia="Calibri" w:hAnsi="Times New Roman" w:cs="Times New Roman"/>
          <w:color w:val="4C4747"/>
          <w:spacing w:val="20"/>
          <w:sz w:val="24"/>
          <w:szCs w:val="24"/>
          <w:lang w:val="es-DO"/>
        </w:rPr>
        <w:t xml:space="preserve"> correspondientes al año 2022</w:t>
      </w:r>
      <w:r w:rsidRPr="000E66D4">
        <w:rPr>
          <w:rFonts w:ascii="Times New Roman" w:eastAsia="Calibri" w:hAnsi="Times New Roman" w:cs="Times New Roman"/>
          <w:color w:val="4C4747"/>
          <w:spacing w:val="20"/>
          <w:sz w:val="24"/>
          <w:szCs w:val="24"/>
          <w:lang w:val="es-DO"/>
        </w:rPr>
        <w:t xml:space="preserve">. El cual consiste en </w:t>
      </w:r>
      <w:r w:rsidR="00CB450A" w:rsidRPr="000E66D4">
        <w:rPr>
          <w:rFonts w:ascii="Times New Roman" w:eastAsia="Calibri" w:hAnsi="Times New Roman" w:cs="Times New Roman"/>
          <w:color w:val="4C4747"/>
          <w:spacing w:val="20"/>
          <w:sz w:val="24"/>
          <w:szCs w:val="24"/>
          <w:lang w:val="es-DO"/>
        </w:rPr>
        <w:t xml:space="preserve">establecer </w:t>
      </w:r>
      <w:r w:rsidRPr="000E66D4">
        <w:rPr>
          <w:rFonts w:ascii="Times New Roman" w:eastAsia="Calibri" w:hAnsi="Times New Roman" w:cs="Times New Roman"/>
          <w:color w:val="4C4747"/>
          <w:spacing w:val="20"/>
          <w:sz w:val="24"/>
          <w:szCs w:val="24"/>
          <w:lang w:val="es-DO"/>
        </w:rPr>
        <w:t xml:space="preserve">el monto que deben pagar anualmente los licenciatarios por la utilización del espectro radioeléctrico a partir de las frecuencias que </w:t>
      </w:r>
      <w:r w:rsidR="002D2E81" w:rsidRPr="000E66D4">
        <w:rPr>
          <w:rFonts w:ascii="Times New Roman" w:eastAsia="Calibri" w:hAnsi="Times New Roman" w:cs="Times New Roman"/>
          <w:color w:val="4C4747"/>
          <w:spacing w:val="20"/>
          <w:sz w:val="24"/>
          <w:szCs w:val="24"/>
          <w:lang w:val="es-DO"/>
        </w:rPr>
        <w:t xml:space="preserve">tienen </w:t>
      </w:r>
      <w:r w:rsidRPr="000E66D4">
        <w:rPr>
          <w:rFonts w:ascii="Times New Roman" w:eastAsia="Calibri" w:hAnsi="Times New Roman" w:cs="Times New Roman"/>
          <w:color w:val="4C4747"/>
          <w:spacing w:val="20"/>
          <w:sz w:val="24"/>
          <w:szCs w:val="24"/>
          <w:lang w:val="es-DO"/>
        </w:rPr>
        <w:t xml:space="preserve"> asignadas. </w:t>
      </w:r>
      <w:r w:rsidR="004A2FA6" w:rsidRPr="000E66D4">
        <w:rPr>
          <w:rFonts w:ascii="Times New Roman" w:eastAsia="Calibri" w:hAnsi="Times New Roman" w:cs="Times New Roman"/>
          <w:color w:val="4C4747"/>
          <w:spacing w:val="20"/>
          <w:sz w:val="24"/>
          <w:szCs w:val="24"/>
          <w:lang w:val="es-DO"/>
        </w:rPr>
        <w:t>Los montos se calculan</w:t>
      </w:r>
      <w:r w:rsidRPr="000E66D4">
        <w:rPr>
          <w:rFonts w:ascii="Times New Roman" w:eastAsia="Calibri" w:hAnsi="Times New Roman" w:cs="Times New Roman"/>
          <w:color w:val="4C4747"/>
          <w:spacing w:val="20"/>
          <w:sz w:val="24"/>
          <w:szCs w:val="24"/>
          <w:lang w:val="es-DO"/>
        </w:rPr>
        <w:t xml:space="preserve"> a través del Sistema de Gestión Automatizado del Espectro (ASMS), </w:t>
      </w:r>
      <w:r w:rsidR="002D2E81" w:rsidRPr="000E66D4">
        <w:rPr>
          <w:rFonts w:ascii="Times New Roman" w:eastAsia="Calibri" w:hAnsi="Times New Roman" w:cs="Times New Roman"/>
          <w:color w:val="4C4747"/>
          <w:spacing w:val="20"/>
          <w:sz w:val="24"/>
          <w:szCs w:val="24"/>
          <w:lang w:val="es-DO"/>
        </w:rPr>
        <w:t xml:space="preserve">lo </w:t>
      </w:r>
      <w:r w:rsidRPr="000E66D4">
        <w:rPr>
          <w:rFonts w:ascii="Times New Roman" w:eastAsia="Calibri" w:hAnsi="Times New Roman" w:cs="Times New Roman"/>
          <w:color w:val="4C4747"/>
          <w:spacing w:val="20"/>
          <w:sz w:val="24"/>
          <w:szCs w:val="24"/>
          <w:lang w:val="es-DO"/>
        </w:rPr>
        <w:t xml:space="preserve">que permite al INDOTEL </w:t>
      </w:r>
      <w:r w:rsidR="000558D2" w:rsidRPr="000E66D4">
        <w:rPr>
          <w:rFonts w:ascii="Times New Roman" w:eastAsia="Calibri" w:hAnsi="Times New Roman" w:cs="Times New Roman"/>
          <w:color w:val="4C4747"/>
          <w:spacing w:val="20"/>
          <w:sz w:val="24"/>
          <w:szCs w:val="24"/>
          <w:lang w:val="es-DO"/>
        </w:rPr>
        <w:t>realizar una eficiente labor</w:t>
      </w:r>
      <w:r w:rsidRPr="000E66D4">
        <w:rPr>
          <w:rFonts w:ascii="Times New Roman" w:eastAsia="Calibri" w:hAnsi="Times New Roman" w:cs="Times New Roman"/>
          <w:color w:val="4C4747"/>
          <w:spacing w:val="20"/>
          <w:sz w:val="24"/>
          <w:szCs w:val="24"/>
          <w:lang w:val="es-DO"/>
        </w:rPr>
        <w:t>.</w:t>
      </w:r>
    </w:p>
    <w:p w14:paraId="48C78CF4" w14:textId="7127BD3D" w:rsidR="001D3CC6" w:rsidRPr="000E66D4" w:rsidRDefault="001D3CC6" w:rsidP="001D3CC6">
      <w:p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El siguiente gráfico  muestra la proporción en que cada uno de los servicios de telecomunicaciones que utilizan frecuencias radioeléctricas contribuye </w:t>
      </w:r>
      <w:r w:rsidR="00CB450A" w:rsidRPr="000E66D4">
        <w:rPr>
          <w:rFonts w:ascii="Times New Roman" w:eastAsia="Calibri" w:hAnsi="Times New Roman" w:cs="Times New Roman"/>
          <w:color w:val="4C4747"/>
          <w:spacing w:val="20"/>
          <w:sz w:val="24"/>
          <w:szCs w:val="24"/>
          <w:lang w:val="es-DO"/>
        </w:rPr>
        <w:t xml:space="preserve">económicamente </w:t>
      </w:r>
      <w:r w:rsidRPr="000E66D4">
        <w:rPr>
          <w:rFonts w:ascii="Times New Roman" w:eastAsia="Calibri" w:hAnsi="Times New Roman" w:cs="Times New Roman"/>
          <w:color w:val="4C4747"/>
          <w:spacing w:val="20"/>
          <w:sz w:val="24"/>
          <w:szCs w:val="24"/>
          <w:lang w:val="es-DO"/>
        </w:rPr>
        <w:t>en términos del Derecho de Uso de espectro, los cuales generaron un monto total para el año 2022 de trescientos veinte cinco millones ciento noventa y tres mil novecientos ochenta y ocho con 63/100, RD $ 325, 193,988.63.</w:t>
      </w:r>
    </w:p>
    <w:p w14:paraId="459FA852" w14:textId="4E3645BD" w:rsidR="009B2515" w:rsidRPr="000E66D4" w:rsidRDefault="009B2515" w:rsidP="00943FA5">
      <w:pPr>
        <w:spacing w:after="0" w:line="360" w:lineRule="auto"/>
        <w:jc w:val="both"/>
        <w:rPr>
          <w:rFonts w:ascii="Times New Roman" w:eastAsia="Calibri" w:hAnsi="Times New Roman" w:cs="Times New Roman"/>
          <w:color w:val="4C4747"/>
          <w:spacing w:val="20"/>
          <w:sz w:val="20"/>
          <w:szCs w:val="24"/>
          <w:lang w:val="es-DO"/>
        </w:rPr>
      </w:pPr>
      <w:r w:rsidRPr="000E66D4">
        <w:rPr>
          <w:rFonts w:ascii="Times New Roman" w:eastAsia="Calibri" w:hAnsi="Times New Roman" w:cs="Times New Roman"/>
          <w:noProof/>
          <w:color w:val="4C4747"/>
          <w:sz w:val="24"/>
        </w:rPr>
        <w:lastRenderedPageBreak/>
        <w:drawing>
          <wp:inline distT="0" distB="0" distL="0" distR="0" wp14:anchorId="646B6296" wp14:editId="6A51A02E">
            <wp:extent cx="5029200" cy="3208283"/>
            <wp:effectExtent l="0" t="0" r="0" b="11430"/>
            <wp:docPr id="2052" name="Gráfico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E66D4">
        <w:rPr>
          <w:rFonts w:ascii="Times New Roman" w:eastAsia="Calibri" w:hAnsi="Times New Roman" w:cs="Times New Roman"/>
          <w:b/>
          <w:color w:val="4C4747"/>
          <w:spacing w:val="20"/>
          <w:sz w:val="18"/>
          <w:szCs w:val="24"/>
          <w:lang w:val="es-DO"/>
        </w:rPr>
        <w:t>Fuente:</w:t>
      </w:r>
      <w:r w:rsidRPr="000E66D4">
        <w:rPr>
          <w:rFonts w:ascii="Times New Roman" w:eastAsia="Calibri" w:hAnsi="Times New Roman" w:cs="Times New Roman"/>
          <w:color w:val="4C4747"/>
          <w:spacing w:val="20"/>
          <w:sz w:val="18"/>
          <w:szCs w:val="24"/>
          <w:lang w:val="es-DO"/>
        </w:rPr>
        <w:t xml:space="preserve"> Dirección de Espectro Radioeléctrico</w:t>
      </w:r>
    </w:p>
    <w:p w14:paraId="05980785" w14:textId="77777777" w:rsidR="00B41B8D" w:rsidRPr="000E66D4" w:rsidRDefault="00B41B8D" w:rsidP="00943FA5">
      <w:pPr>
        <w:spacing w:after="0" w:line="360" w:lineRule="auto"/>
        <w:jc w:val="both"/>
        <w:rPr>
          <w:rFonts w:ascii="Times New Roman" w:eastAsia="Calibri" w:hAnsi="Times New Roman" w:cs="Times New Roman"/>
          <w:b/>
          <w:color w:val="4C4747"/>
          <w:spacing w:val="20"/>
          <w:sz w:val="24"/>
          <w:szCs w:val="24"/>
          <w:lang w:val="es-DO"/>
        </w:rPr>
      </w:pPr>
    </w:p>
    <w:p w14:paraId="19091C58" w14:textId="2BB49DFD" w:rsidR="009B2515" w:rsidRPr="000E66D4" w:rsidRDefault="009B2515">
      <w:pPr>
        <w:spacing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E</w:t>
      </w:r>
      <w:r w:rsidR="0062591D" w:rsidRPr="000E66D4">
        <w:rPr>
          <w:rFonts w:ascii="Times New Roman" w:eastAsia="Calibri" w:hAnsi="Times New Roman" w:cs="Times New Roman"/>
          <w:b/>
          <w:color w:val="4C4747"/>
          <w:spacing w:val="20"/>
          <w:sz w:val="24"/>
          <w:szCs w:val="24"/>
          <w:lang w:val="es-DO"/>
        </w:rPr>
        <w:t>ncuentros bime</w:t>
      </w:r>
      <w:r w:rsidR="000558D2" w:rsidRPr="000E66D4">
        <w:rPr>
          <w:rFonts w:ascii="Times New Roman" w:eastAsia="Calibri" w:hAnsi="Times New Roman" w:cs="Times New Roman"/>
          <w:b/>
          <w:color w:val="4C4747"/>
          <w:spacing w:val="20"/>
          <w:sz w:val="24"/>
          <w:szCs w:val="24"/>
          <w:lang w:val="es-DO"/>
        </w:rPr>
        <w:t>strales</w:t>
      </w:r>
      <w:r w:rsidR="0062591D" w:rsidRPr="000E66D4">
        <w:rPr>
          <w:rFonts w:ascii="Times New Roman" w:eastAsia="Calibri" w:hAnsi="Times New Roman" w:cs="Times New Roman"/>
          <w:b/>
          <w:color w:val="4C4747"/>
          <w:spacing w:val="20"/>
          <w:sz w:val="24"/>
          <w:szCs w:val="24"/>
          <w:lang w:val="es-DO"/>
        </w:rPr>
        <w:t xml:space="preserve"> con el sector radiodifusión s</w:t>
      </w:r>
      <w:r w:rsidRPr="000E66D4">
        <w:rPr>
          <w:rFonts w:ascii="Times New Roman" w:eastAsia="Calibri" w:hAnsi="Times New Roman" w:cs="Times New Roman"/>
          <w:b/>
          <w:color w:val="4C4747"/>
          <w:spacing w:val="20"/>
          <w:sz w:val="24"/>
          <w:szCs w:val="24"/>
          <w:lang w:val="es-DO"/>
        </w:rPr>
        <w:t>onora</w:t>
      </w:r>
    </w:p>
    <w:p w14:paraId="739009B5" w14:textId="0F52FED1" w:rsidR="00BE6A84" w:rsidRPr="000E66D4" w:rsidRDefault="001D3CC6" w:rsidP="00BA7DE5">
      <w:pPr>
        <w:spacing w:line="360" w:lineRule="auto"/>
        <w:jc w:val="both"/>
        <w:rPr>
          <w:color w:val="4C4747"/>
          <w:spacing w:val="20"/>
          <w:szCs w:val="24"/>
          <w:lang w:val="es-DO"/>
        </w:rPr>
      </w:pPr>
      <w:r w:rsidRPr="000E66D4">
        <w:rPr>
          <w:rFonts w:ascii="Times New Roman" w:eastAsia="Calibri" w:hAnsi="Times New Roman" w:cs="Times New Roman"/>
          <w:color w:val="4C4747"/>
          <w:spacing w:val="20"/>
          <w:sz w:val="24"/>
          <w:szCs w:val="24"/>
          <w:lang w:val="es-DO"/>
        </w:rPr>
        <w:t>Estos encuentros se realizan con el objetivo de darle seguimiento a los acuerdos arribados en la</w:t>
      </w:r>
      <w:r w:rsidR="002141A4" w:rsidRPr="000E66D4">
        <w:rPr>
          <w:rFonts w:ascii="Times New Roman" w:eastAsia="Calibri" w:hAnsi="Times New Roman" w:cs="Times New Roman"/>
          <w:color w:val="4C4747"/>
          <w:spacing w:val="20"/>
          <w:sz w:val="24"/>
          <w:szCs w:val="24"/>
          <w:lang w:val="es-DO"/>
        </w:rPr>
        <w:t>s</w:t>
      </w:r>
      <w:r w:rsidRPr="000E66D4">
        <w:rPr>
          <w:rFonts w:ascii="Times New Roman" w:eastAsia="Calibri" w:hAnsi="Times New Roman" w:cs="Times New Roman"/>
          <w:color w:val="4C4747"/>
          <w:spacing w:val="20"/>
          <w:sz w:val="24"/>
          <w:szCs w:val="24"/>
          <w:lang w:val="es-DO"/>
        </w:rPr>
        <w:t xml:space="preserve"> Mesa</w:t>
      </w:r>
      <w:r w:rsidR="002141A4" w:rsidRPr="000E66D4">
        <w:rPr>
          <w:rFonts w:ascii="Times New Roman" w:eastAsia="Calibri" w:hAnsi="Times New Roman" w:cs="Times New Roman"/>
          <w:color w:val="4C4747"/>
          <w:spacing w:val="20"/>
          <w:sz w:val="24"/>
          <w:szCs w:val="24"/>
          <w:lang w:val="es-DO"/>
        </w:rPr>
        <w:t>s</w:t>
      </w:r>
      <w:r w:rsidRPr="000E66D4">
        <w:rPr>
          <w:rFonts w:ascii="Times New Roman" w:eastAsia="Calibri" w:hAnsi="Times New Roman" w:cs="Times New Roman"/>
          <w:color w:val="4C4747"/>
          <w:spacing w:val="20"/>
          <w:sz w:val="24"/>
          <w:szCs w:val="24"/>
          <w:lang w:val="es-DO"/>
        </w:rPr>
        <w:t xml:space="preserve"> Técnica</w:t>
      </w:r>
      <w:r w:rsidR="002141A4" w:rsidRPr="000E66D4">
        <w:rPr>
          <w:rFonts w:ascii="Times New Roman" w:eastAsia="Calibri" w:hAnsi="Times New Roman" w:cs="Times New Roman"/>
          <w:color w:val="4C4747"/>
          <w:spacing w:val="20"/>
          <w:sz w:val="24"/>
          <w:szCs w:val="24"/>
          <w:lang w:val="es-DO"/>
        </w:rPr>
        <w:t>s</w:t>
      </w:r>
      <w:r w:rsidRPr="000E66D4">
        <w:rPr>
          <w:rFonts w:ascii="Times New Roman" w:eastAsia="Calibri" w:hAnsi="Times New Roman" w:cs="Times New Roman"/>
          <w:color w:val="4C4747"/>
          <w:spacing w:val="20"/>
          <w:sz w:val="24"/>
          <w:szCs w:val="24"/>
          <w:lang w:val="es-DO"/>
        </w:rPr>
        <w:t xml:space="preserve"> de R</w:t>
      </w:r>
      <w:r w:rsidR="000558D2" w:rsidRPr="000E66D4">
        <w:rPr>
          <w:rFonts w:ascii="Times New Roman" w:eastAsia="Calibri" w:hAnsi="Times New Roman" w:cs="Times New Roman"/>
          <w:color w:val="4C4747"/>
          <w:spacing w:val="20"/>
          <w:sz w:val="24"/>
          <w:szCs w:val="24"/>
          <w:lang w:val="es-DO"/>
        </w:rPr>
        <w:t>adiodifusión Sonora que se llevaron</w:t>
      </w:r>
      <w:r w:rsidRPr="000E66D4">
        <w:rPr>
          <w:rFonts w:ascii="Times New Roman" w:eastAsia="Calibri" w:hAnsi="Times New Roman" w:cs="Times New Roman"/>
          <w:color w:val="4C4747"/>
          <w:spacing w:val="20"/>
          <w:sz w:val="24"/>
          <w:szCs w:val="24"/>
          <w:lang w:val="es-DO"/>
        </w:rPr>
        <w:t xml:space="preserve"> a cabo entre el Instituto Dominicano de las Telecomunicaciones (INDOTEL) y la Asociación Dominicana de Radiodifusoras (ADORA), </w:t>
      </w:r>
      <w:r w:rsidR="000558D2" w:rsidRPr="000E66D4">
        <w:rPr>
          <w:rFonts w:ascii="Times New Roman" w:eastAsia="Calibri" w:hAnsi="Times New Roman" w:cs="Times New Roman"/>
          <w:color w:val="4C4747"/>
          <w:spacing w:val="20"/>
          <w:sz w:val="24"/>
          <w:szCs w:val="24"/>
          <w:lang w:val="es-DO"/>
        </w:rPr>
        <w:t xml:space="preserve">con la finalidad de </w:t>
      </w:r>
      <w:r w:rsidRPr="000E66D4">
        <w:rPr>
          <w:rFonts w:ascii="Times New Roman" w:eastAsia="Calibri" w:hAnsi="Times New Roman" w:cs="Times New Roman"/>
          <w:color w:val="4C4747"/>
          <w:spacing w:val="20"/>
          <w:sz w:val="24"/>
          <w:szCs w:val="24"/>
          <w:lang w:val="es-DO"/>
        </w:rPr>
        <w:t xml:space="preserve">mejorar la aplicación de la regulación vigente, lograr una mayor colaboración entre el INDOTEL y los entes regulados del sector de radiodifusión sonora, </w:t>
      </w:r>
      <w:r w:rsidR="00BA7DE5" w:rsidRPr="000E66D4">
        <w:rPr>
          <w:rFonts w:ascii="Times New Roman" w:eastAsia="Calibri" w:hAnsi="Times New Roman" w:cs="Times New Roman"/>
          <w:color w:val="4C4747"/>
          <w:spacing w:val="20"/>
          <w:sz w:val="24"/>
          <w:szCs w:val="24"/>
          <w:lang w:val="es-DO"/>
        </w:rPr>
        <w:t xml:space="preserve">logrando </w:t>
      </w:r>
      <w:r w:rsidRPr="000E66D4">
        <w:rPr>
          <w:rFonts w:ascii="Times New Roman" w:eastAsia="Calibri" w:hAnsi="Times New Roman" w:cs="Times New Roman"/>
          <w:color w:val="4C4747"/>
          <w:spacing w:val="20"/>
          <w:sz w:val="24"/>
          <w:szCs w:val="24"/>
          <w:lang w:val="es-DO"/>
        </w:rPr>
        <w:t>asegurar una gestión más eficiente del espectro radioeléctrico, haciendo hincapié en la vigilancia y control del uso no autorizado del espectro.</w:t>
      </w:r>
    </w:p>
    <w:p w14:paraId="2AEADDFD" w14:textId="43CB3CCC" w:rsidR="00BA7DE5" w:rsidRPr="000E66D4" w:rsidRDefault="00C66BBB" w:rsidP="00F65C89">
      <w:pPr>
        <w:spacing w:before="24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El acuerdo se enfoca en cuatro aspectos fundamentales de compromiso entre ambas partes: la transparencia en las autorizaciones, organización del espectro y emisión de títulos habilitantes, vigilancia y control, y la creación de capacidades y </w:t>
      </w:r>
      <w:r w:rsidRPr="000E66D4">
        <w:rPr>
          <w:rFonts w:ascii="Times New Roman" w:eastAsia="Calibri" w:hAnsi="Times New Roman" w:cs="Times New Roman"/>
          <w:color w:val="4C4747"/>
          <w:spacing w:val="20"/>
          <w:sz w:val="24"/>
          <w:szCs w:val="24"/>
          <w:lang w:val="es-DO"/>
        </w:rPr>
        <w:lastRenderedPageBreak/>
        <w:t>c</w:t>
      </w:r>
      <w:r w:rsidR="00BA7DE5" w:rsidRPr="000E66D4">
        <w:rPr>
          <w:rFonts w:ascii="Times New Roman" w:eastAsia="Calibri" w:hAnsi="Times New Roman" w:cs="Times New Roman"/>
          <w:color w:val="4C4747"/>
          <w:spacing w:val="20"/>
          <w:sz w:val="24"/>
          <w:szCs w:val="24"/>
          <w:lang w:val="es-DO"/>
        </w:rPr>
        <w:t>olaboración interinstitucional.</w:t>
      </w:r>
    </w:p>
    <w:p w14:paraId="5E53F461" w14:textId="1E069645" w:rsidR="009B2515" w:rsidRPr="000E66D4" w:rsidRDefault="0062591D" w:rsidP="00BA7DE5">
      <w:pPr>
        <w:spacing w:before="240"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Reordenamiento de la banda de radiodifusión s</w:t>
      </w:r>
      <w:r w:rsidR="009B2515" w:rsidRPr="000E66D4">
        <w:rPr>
          <w:rFonts w:ascii="Times New Roman" w:eastAsia="Calibri" w:hAnsi="Times New Roman" w:cs="Times New Roman"/>
          <w:b/>
          <w:color w:val="4C4747"/>
          <w:spacing w:val="20"/>
          <w:sz w:val="24"/>
          <w:szCs w:val="24"/>
          <w:lang w:val="es-DO"/>
        </w:rPr>
        <w:t>onora FM</w:t>
      </w:r>
    </w:p>
    <w:p w14:paraId="021B76EB" w14:textId="4A7A9D35" w:rsidR="001D3CC6" w:rsidRPr="000E66D4" w:rsidRDefault="001D3CC6" w:rsidP="001D3CC6">
      <w:pPr>
        <w:spacing w:line="360" w:lineRule="auto"/>
        <w:jc w:val="both"/>
        <w:rPr>
          <w:rFonts w:ascii="Times New Roman" w:eastAsia="Calibri" w:hAnsi="Times New Roman" w:cs="Times New Roman"/>
          <w:strike/>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En procura de resolver los problemas de interferencias que por años han afectado al sector radiodifusión sonora FM, </w:t>
      </w:r>
      <w:r w:rsidR="00BA7DE5" w:rsidRPr="000E66D4">
        <w:rPr>
          <w:rFonts w:ascii="Times New Roman" w:eastAsia="Calibri" w:hAnsi="Times New Roman" w:cs="Times New Roman"/>
          <w:color w:val="4C4747"/>
          <w:spacing w:val="20"/>
          <w:sz w:val="24"/>
          <w:szCs w:val="24"/>
          <w:lang w:val="es-DO"/>
        </w:rPr>
        <w:t xml:space="preserve">se ha </w:t>
      </w:r>
      <w:r w:rsidRPr="000E66D4">
        <w:rPr>
          <w:rFonts w:ascii="Times New Roman" w:eastAsia="Calibri" w:hAnsi="Times New Roman" w:cs="Times New Roman"/>
          <w:color w:val="4C4747"/>
          <w:spacing w:val="20"/>
          <w:sz w:val="24"/>
          <w:szCs w:val="24"/>
          <w:lang w:val="es-DO"/>
        </w:rPr>
        <w:t>estado trabajando en un plan para el reordenamiento de dicha banda, identificando los conflictos que existen entre las diferentes estaciones, tales como adyacencia e interferencias</w:t>
      </w:r>
      <w:r w:rsidR="00665419" w:rsidRPr="000E66D4">
        <w:rPr>
          <w:rFonts w:ascii="Times New Roman" w:eastAsia="Calibri" w:hAnsi="Times New Roman" w:cs="Times New Roman"/>
          <w:color w:val="4C4747"/>
          <w:spacing w:val="20"/>
          <w:sz w:val="24"/>
          <w:szCs w:val="24"/>
          <w:lang w:val="es-DO"/>
        </w:rPr>
        <w:t>.</w:t>
      </w:r>
    </w:p>
    <w:p w14:paraId="72ADD55B" w14:textId="62AF3AF9" w:rsidR="001D3CC6" w:rsidRPr="000E66D4" w:rsidRDefault="001D3CC6" w:rsidP="001D3CC6">
      <w:p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En este mismo tenor, el Consejo Directivo del INDOTEL emanó la instrucción de realizar migraciones puntuales a los fines de resolver las interferencias que afectan principalmente a las emisoras del Estado dominicano Quisqueya FM y Dominicana FM, que se interfieren entre sí con otras estaciones de radio. </w:t>
      </w:r>
      <w:r w:rsidR="00665419" w:rsidRPr="000E66D4">
        <w:rPr>
          <w:rFonts w:ascii="Times New Roman" w:eastAsia="Calibri" w:hAnsi="Times New Roman" w:cs="Times New Roman"/>
          <w:color w:val="4C4747"/>
          <w:spacing w:val="20"/>
          <w:sz w:val="24"/>
          <w:szCs w:val="24"/>
          <w:lang w:val="es-DO"/>
        </w:rPr>
        <w:t>Se</w:t>
      </w:r>
      <w:r w:rsidRPr="000E66D4">
        <w:rPr>
          <w:rFonts w:ascii="Times New Roman" w:eastAsia="Calibri" w:hAnsi="Times New Roman" w:cs="Times New Roman"/>
          <w:color w:val="4C4747"/>
          <w:spacing w:val="20"/>
          <w:sz w:val="24"/>
          <w:szCs w:val="24"/>
          <w:lang w:val="es-DO"/>
        </w:rPr>
        <w:t xml:space="preserve"> realizaron los informes técnicos correspondientes a las migraciones de frecuencias y las simulaciones de propagación de ondas electromagnéticas necesarias para garantizar que las estaciones del Estado dominicano, puedan operar sin los problemas de interferencias que hoy en día les impiden transmitir de manera regular. </w:t>
      </w:r>
    </w:p>
    <w:p w14:paraId="11DF08E9" w14:textId="2E0E7BA5" w:rsidR="001D3CC6" w:rsidRPr="000E66D4" w:rsidRDefault="001D3CC6" w:rsidP="001D3CC6">
      <w:p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Actualmente </w:t>
      </w:r>
      <w:r w:rsidR="00CC4E19" w:rsidRPr="000E66D4">
        <w:rPr>
          <w:rFonts w:ascii="Times New Roman" w:eastAsia="Calibri" w:hAnsi="Times New Roman" w:cs="Times New Roman"/>
          <w:color w:val="4C4747"/>
          <w:spacing w:val="20"/>
          <w:sz w:val="24"/>
          <w:szCs w:val="24"/>
          <w:lang w:val="es-DO"/>
        </w:rPr>
        <w:t xml:space="preserve">el INDOTEL se encuentra </w:t>
      </w:r>
      <w:r w:rsidRPr="000E66D4">
        <w:rPr>
          <w:rFonts w:ascii="Times New Roman" w:eastAsia="Calibri" w:hAnsi="Times New Roman" w:cs="Times New Roman"/>
          <w:color w:val="4C4747"/>
          <w:spacing w:val="20"/>
          <w:sz w:val="24"/>
          <w:szCs w:val="24"/>
          <w:lang w:val="es-DO"/>
        </w:rPr>
        <w:t>en el proceso de emitir las resoluciones individuales de migración de las frecuencias.</w:t>
      </w:r>
    </w:p>
    <w:p w14:paraId="0529A44E" w14:textId="77777777" w:rsidR="009B2515" w:rsidRPr="000E66D4" w:rsidRDefault="009B2515" w:rsidP="009B2515">
      <w:pPr>
        <w:pStyle w:val="Sinespaciado"/>
        <w:rPr>
          <w:color w:val="4C4747"/>
          <w:lang w:val="es-DO"/>
        </w:rPr>
      </w:pPr>
    </w:p>
    <w:p w14:paraId="2990EDEC" w14:textId="77777777" w:rsidR="009B2515" w:rsidRPr="000E66D4" w:rsidRDefault="009B2515" w:rsidP="009B2515">
      <w:pPr>
        <w:spacing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Implementación de la Televisión Terrestre Digital (TTD)</w:t>
      </w:r>
    </w:p>
    <w:p w14:paraId="69C27004" w14:textId="310843CC" w:rsidR="001D3CC6" w:rsidRPr="000E66D4" w:rsidRDefault="00505719" w:rsidP="001D3CC6">
      <w:p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En el año</w:t>
      </w:r>
      <w:r w:rsidR="001D3CC6" w:rsidRPr="000E66D4">
        <w:rPr>
          <w:rFonts w:ascii="Times New Roman" w:eastAsia="Calibri" w:hAnsi="Times New Roman" w:cs="Times New Roman"/>
          <w:color w:val="4C4747"/>
          <w:spacing w:val="20"/>
          <w:sz w:val="24"/>
          <w:szCs w:val="24"/>
          <w:lang w:val="es-DO"/>
        </w:rPr>
        <w:t xml:space="preserve"> 2022, </w:t>
      </w:r>
      <w:r w:rsidR="00CC4E19" w:rsidRPr="000E66D4">
        <w:rPr>
          <w:rFonts w:ascii="Times New Roman" w:eastAsia="Calibri" w:hAnsi="Times New Roman" w:cs="Times New Roman"/>
          <w:color w:val="4C4747"/>
          <w:spacing w:val="20"/>
          <w:sz w:val="24"/>
          <w:szCs w:val="24"/>
          <w:lang w:val="es-DO"/>
        </w:rPr>
        <w:t>se continuó</w:t>
      </w:r>
      <w:r w:rsidR="001D3CC6" w:rsidRPr="000E66D4">
        <w:rPr>
          <w:rFonts w:ascii="Times New Roman" w:eastAsia="Calibri" w:hAnsi="Times New Roman" w:cs="Times New Roman"/>
          <w:color w:val="4C4747"/>
          <w:spacing w:val="20"/>
          <w:sz w:val="24"/>
          <w:szCs w:val="24"/>
          <w:lang w:val="es-DO"/>
        </w:rPr>
        <w:t xml:space="preserve"> </w:t>
      </w:r>
      <w:r w:rsidR="00717142" w:rsidRPr="000E66D4">
        <w:rPr>
          <w:rFonts w:ascii="Times New Roman" w:eastAsia="Calibri" w:hAnsi="Times New Roman" w:cs="Times New Roman"/>
          <w:color w:val="4C4747"/>
          <w:spacing w:val="20"/>
          <w:sz w:val="24"/>
          <w:szCs w:val="24"/>
          <w:lang w:val="es-DO"/>
        </w:rPr>
        <w:t xml:space="preserve">trabajando </w:t>
      </w:r>
      <w:r w:rsidR="001D3CC6" w:rsidRPr="000E66D4">
        <w:rPr>
          <w:rFonts w:ascii="Times New Roman" w:eastAsia="Calibri" w:hAnsi="Times New Roman" w:cs="Times New Roman"/>
          <w:color w:val="4C4747"/>
          <w:spacing w:val="20"/>
          <w:sz w:val="24"/>
          <w:szCs w:val="24"/>
          <w:lang w:val="es-DO"/>
        </w:rPr>
        <w:t xml:space="preserve">con </w:t>
      </w:r>
      <w:r w:rsidR="00717142" w:rsidRPr="000E66D4">
        <w:rPr>
          <w:rFonts w:ascii="Times New Roman" w:eastAsia="Calibri" w:hAnsi="Times New Roman" w:cs="Times New Roman"/>
          <w:color w:val="4C4747"/>
          <w:spacing w:val="20"/>
          <w:sz w:val="24"/>
          <w:szCs w:val="24"/>
          <w:lang w:val="es-DO"/>
        </w:rPr>
        <w:t xml:space="preserve">el </w:t>
      </w:r>
      <w:r w:rsidR="001D3CC6" w:rsidRPr="000E66D4">
        <w:rPr>
          <w:rFonts w:ascii="Times New Roman" w:eastAsia="Calibri" w:hAnsi="Times New Roman" w:cs="Times New Roman"/>
          <w:color w:val="4C4747"/>
          <w:spacing w:val="20"/>
          <w:sz w:val="24"/>
          <w:szCs w:val="24"/>
          <w:lang w:val="es-DO"/>
        </w:rPr>
        <w:t xml:space="preserve">cronograma del proyecto de implementación de la Televisión Digital </w:t>
      </w:r>
      <w:r w:rsidR="005F164E" w:rsidRPr="000E66D4">
        <w:rPr>
          <w:rFonts w:ascii="Times New Roman" w:eastAsia="Calibri" w:hAnsi="Times New Roman" w:cs="Times New Roman"/>
          <w:color w:val="4C4747"/>
          <w:spacing w:val="20"/>
          <w:sz w:val="24"/>
          <w:szCs w:val="24"/>
          <w:lang w:val="es-DO"/>
        </w:rPr>
        <w:t xml:space="preserve">ejecutando </w:t>
      </w:r>
      <w:r w:rsidR="001D3CC6" w:rsidRPr="000E66D4">
        <w:rPr>
          <w:rFonts w:ascii="Times New Roman" w:eastAsia="Calibri" w:hAnsi="Times New Roman" w:cs="Times New Roman"/>
          <w:color w:val="4C4747"/>
          <w:spacing w:val="20"/>
          <w:sz w:val="24"/>
          <w:szCs w:val="24"/>
          <w:lang w:val="es-DO"/>
        </w:rPr>
        <w:t xml:space="preserve">las </w:t>
      </w:r>
      <w:r w:rsidRPr="000E66D4">
        <w:rPr>
          <w:rFonts w:ascii="Times New Roman" w:eastAsia="Calibri" w:hAnsi="Times New Roman" w:cs="Times New Roman"/>
          <w:color w:val="4C4747"/>
          <w:spacing w:val="20"/>
          <w:sz w:val="24"/>
          <w:szCs w:val="24"/>
          <w:lang w:val="es-DO"/>
        </w:rPr>
        <w:t>actividades necesarias</w:t>
      </w:r>
      <w:r w:rsidR="001D3CC6" w:rsidRPr="000E66D4">
        <w:rPr>
          <w:rFonts w:ascii="Times New Roman" w:eastAsia="Calibri" w:hAnsi="Times New Roman" w:cs="Times New Roman"/>
          <w:color w:val="4C4747"/>
          <w:spacing w:val="20"/>
          <w:sz w:val="24"/>
          <w:szCs w:val="24"/>
          <w:lang w:val="es-DO"/>
        </w:rPr>
        <w:t xml:space="preserve"> para poder implementar la TTD en </w:t>
      </w:r>
      <w:r w:rsidR="005F164E" w:rsidRPr="000E66D4">
        <w:rPr>
          <w:rFonts w:ascii="Times New Roman" w:eastAsia="Calibri" w:hAnsi="Times New Roman" w:cs="Times New Roman"/>
          <w:color w:val="4C4747"/>
          <w:spacing w:val="20"/>
          <w:sz w:val="24"/>
          <w:szCs w:val="24"/>
          <w:lang w:val="es-DO"/>
        </w:rPr>
        <w:t xml:space="preserve">la </w:t>
      </w:r>
      <w:r w:rsidR="001D3CC6" w:rsidRPr="000E66D4">
        <w:rPr>
          <w:rFonts w:ascii="Times New Roman" w:eastAsia="Calibri" w:hAnsi="Times New Roman" w:cs="Times New Roman"/>
          <w:color w:val="4C4747"/>
          <w:spacing w:val="20"/>
          <w:sz w:val="24"/>
          <w:szCs w:val="24"/>
          <w:lang w:val="es-DO"/>
        </w:rPr>
        <w:t>República Dominicana.</w:t>
      </w:r>
    </w:p>
    <w:p w14:paraId="63502A1C" w14:textId="77777777" w:rsidR="001D3CC6" w:rsidRPr="000E66D4" w:rsidRDefault="001D3CC6" w:rsidP="001D3CC6">
      <w:p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Dentro de estas actividades podemos citar: </w:t>
      </w:r>
    </w:p>
    <w:p w14:paraId="156C5A27" w14:textId="0B23FC96" w:rsidR="001D3CC6" w:rsidRPr="000E66D4" w:rsidRDefault="001D3CC6" w:rsidP="00A02BDE">
      <w:pPr>
        <w:pStyle w:val="Prrafodelista"/>
        <w:numPr>
          <w:ilvl w:val="0"/>
          <w:numId w:val="3"/>
        </w:num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Reglamento de Televisión </w:t>
      </w:r>
      <w:r w:rsidR="00505719" w:rsidRPr="000E66D4">
        <w:rPr>
          <w:rFonts w:ascii="Times New Roman" w:eastAsia="Calibri" w:hAnsi="Times New Roman" w:cs="Times New Roman"/>
          <w:color w:val="4C4747"/>
          <w:spacing w:val="20"/>
          <w:sz w:val="24"/>
          <w:szCs w:val="24"/>
          <w:lang w:val="es-DO"/>
        </w:rPr>
        <w:t xml:space="preserve">Terrestre </w:t>
      </w:r>
      <w:r w:rsidRPr="000E66D4">
        <w:rPr>
          <w:rFonts w:ascii="Times New Roman" w:eastAsia="Calibri" w:hAnsi="Times New Roman" w:cs="Times New Roman"/>
          <w:color w:val="4C4747"/>
          <w:spacing w:val="20"/>
          <w:sz w:val="24"/>
          <w:szCs w:val="24"/>
          <w:lang w:val="es-DO"/>
        </w:rPr>
        <w:t>Digital</w:t>
      </w:r>
    </w:p>
    <w:p w14:paraId="78CB45CF" w14:textId="77777777" w:rsidR="001D3CC6" w:rsidRPr="000E66D4" w:rsidRDefault="001D3CC6" w:rsidP="00A02BDE">
      <w:pPr>
        <w:pStyle w:val="Prrafodelista"/>
        <w:numPr>
          <w:ilvl w:val="0"/>
          <w:numId w:val="3"/>
        </w:num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Plan Técnico Fundamental </w:t>
      </w:r>
    </w:p>
    <w:p w14:paraId="29420685" w14:textId="77777777" w:rsidR="001D3CC6" w:rsidRPr="000E66D4" w:rsidRDefault="001D3CC6" w:rsidP="00A02BDE">
      <w:pPr>
        <w:pStyle w:val="Prrafodelista"/>
        <w:numPr>
          <w:ilvl w:val="0"/>
          <w:numId w:val="3"/>
        </w:num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lastRenderedPageBreak/>
        <w:t>Plan de migración de los canales de televisión</w:t>
      </w:r>
    </w:p>
    <w:p w14:paraId="6500DA94" w14:textId="77777777" w:rsidR="001D3CC6" w:rsidRPr="000E66D4" w:rsidRDefault="001D3CC6" w:rsidP="00A02BDE">
      <w:pPr>
        <w:pStyle w:val="Prrafodelista"/>
        <w:numPr>
          <w:ilvl w:val="0"/>
          <w:numId w:val="3"/>
        </w:num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Transición de la Televisión Digital</w:t>
      </w:r>
    </w:p>
    <w:p w14:paraId="6CCE5DCB" w14:textId="61AFD6EA" w:rsidR="001D3CC6" w:rsidRPr="000E66D4" w:rsidRDefault="000558D2" w:rsidP="00A02BDE">
      <w:pPr>
        <w:pStyle w:val="Prrafodelista"/>
        <w:numPr>
          <w:ilvl w:val="0"/>
          <w:numId w:val="3"/>
        </w:num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Adquisición y distribución de d</w:t>
      </w:r>
      <w:r w:rsidR="001D3CC6" w:rsidRPr="000E66D4">
        <w:rPr>
          <w:rFonts w:ascii="Times New Roman" w:eastAsia="Calibri" w:hAnsi="Times New Roman" w:cs="Times New Roman"/>
          <w:color w:val="4C4747"/>
          <w:spacing w:val="20"/>
          <w:sz w:val="24"/>
          <w:szCs w:val="24"/>
          <w:lang w:val="es-DO"/>
        </w:rPr>
        <w:t>ispositivos decodificadores de Televisión Digital</w:t>
      </w:r>
    </w:p>
    <w:p w14:paraId="43F12284" w14:textId="014B5B08" w:rsidR="001D3CC6" w:rsidRPr="000E66D4" w:rsidRDefault="00505719" w:rsidP="00A02BDE">
      <w:pPr>
        <w:pStyle w:val="Prrafodelista"/>
        <w:numPr>
          <w:ilvl w:val="0"/>
          <w:numId w:val="3"/>
        </w:num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Elaboración </w:t>
      </w:r>
      <w:r w:rsidR="000558D2" w:rsidRPr="000E66D4">
        <w:rPr>
          <w:rFonts w:ascii="Times New Roman" w:eastAsia="Calibri" w:hAnsi="Times New Roman" w:cs="Times New Roman"/>
          <w:color w:val="4C4747"/>
          <w:spacing w:val="20"/>
          <w:sz w:val="24"/>
          <w:szCs w:val="24"/>
          <w:lang w:val="es-DO"/>
        </w:rPr>
        <w:t>p</w:t>
      </w:r>
      <w:r w:rsidR="001D3CC6" w:rsidRPr="000E66D4">
        <w:rPr>
          <w:rFonts w:ascii="Times New Roman" w:eastAsia="Calibri" w:hAnsi="Times New Roman" w:cs="Times New Roman"/>
          <w:color w:val="4C4747"/>
          <w:spacing w:val="20"/>
          <w:sz w:val="24"/>
          <w:szCs w:val="24"/>
          <w:lang w:val="es-DO"/>
        </w:rPr>
        <w:t>lan comunicacional</w:t>
      </w:r>
    </w:p>
    <w:p w14:paraId="0E137A4D" w14:textId="3C7AED61" w:rsidR="00505719" w:rsidRPr="000E66D4" w:rsidRDefault="001D3CC6" w:rsidP="00345AC2">
      <w:p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En cuanto a los dispositivos decodificadores de Televisión Digital, se lanzó la licitación pública internacional  INDOTEL-BID-LPI-001-2022. Para la adquisición y distribución de 450,000.00 unidades de dispositivos decodificadores de la señal ATSC 1.0, con lo que el Estado dominicano garantiza</w:t>
      </w:r>
      <w:r w:rsidR="00E35F7C" w:rsidRPr="000E66D4">
        <w:rPr>
          <w:rFonts w:ascii="Times New Roman" w:eastAsia="Calibri" w:hAnsi="Times New Roman" w:cs="Times New Roman"/>
          <w:color w:val="4C4747"/>
          <w:spacing w:val="20"/>
          <w:sz w:val="24"/>
          <w:szCs w:val="24"/>
          <w:lang w:val="es-DO"/>
        </w:rPr>
        <w:t>rá</w:t>
      </w:r>
      <w:r w:rsidRPr="000E66D4">
        <w:rPr>
          <w:rFonts w:ascii="Times New Roman" w:eastAsia="Calibri" w:hAnsi="Times New Roman" w:cs="Times New Roman"/>
          <w:color w:val="4C4747"/>
          <w:spacing w:val="20"/>
          <w:sz w:val="24"/>
          <w:szCs w:val="24"/>
          <w:lang w:val="es-DO"/>
        </w:rPr>
        <w:t xml:space="preserve"> el acceso a la televisión digital a los sectores más vulnerables de nuestro país; de igual manera se inició </w:t>
      </w:r>
      <w:r w:rsidR="00505719" w:rsidRPr="000E66D4">
        <w:rPr>
          <w:rFonts w:ascii="Times New Roman" w:eastAsia="Calibri" w:hAnsi="Times New Roman" w:cs="Times New Roman"/>
          <w:color w:val="4C4747"/>
          <w:spacing w:val="20"/>
          <w:sz w:val="24"/>
          <w:szCs w:val="24"/>
          <w:lang w:val="es-DO"/>
        </w:rPr>
        <w:t xml:space="preserve">a ejecutar </w:t>
      </w:r>
      <w:r w:rsidRPr="000E66D4">
        <w:rPr>
          <w:rFonts w:ascii="Times New Roman" w:eastAsia="Calibri" w:hAnsi="Times New Roman" w:cs="Times New Roman"/>
          <w:color w:val="4C4747"/>
          <w:spacing w:val="20"/>
          <w:sz w:val="24"/>
          <w:szCs w:val="24"/>
          <w:lang w:val="es-DO"/>
        </w:rPr>
        <w:t>un plan comunicacional a los fines de concientizar y educar a la población sobre el cambio en el fo</w:t>
      </w:r>
      <w:r w:rsidR="00345AC2" w:rsidRPr="000E66D4">
        <w:rPr>
          <w:rFonts w:ascii="Times New Roman" w:eastAsia="Calibri" w:hAnsi="Times New Roman" w:cs="Times New Roman"/>
          <w:color w:val="4C4747"/>
          <w:spacing w:val="20"/>
          <w:sz w:val="24"/>
          <w:szCs w:val="24"/>
          <w:lang w:val="es-DO"/>
        </w:rPr>
        <w:t>rmato de la televisión digital.</w:t>
      </w:r>
    </w:p>
    <w:p w14:paraId="1A327033" w14:textId="4DFFF9AD" w:rsidR="00505719" w:rsidRPr="000E66D4" w:rsidRDefault="001D3CC6" w:rsidP="00345AC2">
      <w:pPr>
        <w:spacing w:before="24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Mediante el Decreto </w:t>
      </w:r>
      <w:r w:rsidR="005268A3" w:rsidRPr="000E66D4">
        <w:rPr>
          <w:rFonts w:ascii="Times New Roman" w:eastAsia="Calibri" w:hAnsi="Times New Roman" w:cs="Times New Roman"/>
          <w:color w:val="4C4747"/>
          <w:spacing w:val="20"/>
          <w:sz w:val="24"/>
          <w:szCs w:val="24"/>
          <w:lang w:val="es-DO"/>
        </w:rPr>
        <w:t xml:space="preserve">Presidencial </w:t>
      </w:r>
      <w:r w:rsidRPr="000E66D4">
        <w:rPr>
          <w:rFonts w:ascii="Times New Roman" w:eastAsia="Calibri" w:hAnsi="Times New Roman" w:cs="Times New Roman"/>
          <w:color w:val="4C4747"/>
          <w:spacing w:val="20"/>
          <w:sz w:val="24"/>
          <w:szCs w:val="24"/>
          <w:lang w:val="es-DO"/>
        </w:rPr>
        <w:t>número</w:t>
      </w:r>
      <w:r w:rsidR="00505719" w:rsidRPr="000E66D4">
        <w:rPr>
          <w:rFonts w:ascii="Times New Roman" w:eastAsia="Calibri" w:hAnsi="Times New Roman" w:cs="Times New Roman"/>
          <w:color w:val="4C4747"/>
          <w:spacing w:val="20"/>
          <w:sz w:val="24"/>
          <w:szCs w:val="24"/>
          <w:lang w:val="es-DO"/>
        </w:rPr>
        <w:t xml:space="preserve"> 437-2022 se instruyó</w:t>
      </w:r>
      <w:r w:rsidRPr="000E66D4">
        <w:rPr>
          <w:rFonts w:ascii="Times New Roman" w:eastAsia="Calibri" w:hAnsi="Times New Roman" w:cs="Times New Roman"/>
          <w:color w:val="4C4747"/>
          <w:spacing w:val="20"/>
          <w:sz w:val="24"/>
          <w:szCs w:val="24"/>
          <w:lang w:val="es-DO"/>
        </w:rPr>
        <w:t xml:space="preserve"> al INDOTEL establecer una hoja de ruta que permita la implementación de la Televisión Terrestre Digital, estableciendo el 31 de agosto de 2023 como la fecha límite para que las concesionarias del servicio de radiodifusión televisiva procedan a realizar el apagón analógico y el 31 de diciembre de 2023 como fecha límite para</w:t>
      </w:r>
      <w:r w:rsidR="00345AC2" w:rsidRPr="000E66D4">
        <w:rPr>
          <w:rFonts w:ascii="Times New Roman" w:eastAsia="Calibri" w:hAnsi="Times New Roman" w:cs="Times New Roman"/>
          <w:color w:val="4C4747"/>
          <w:spacing w:val="20"/>
          <w:sz w:val="24"/>
          <w:szCs w:val="24"/>
          <w:lang w:val="es-DO"/>
        </w:rPr>
        <w:t xml:space="preserve"> realizar el encendido digital.</w:t>
      </w:r>
    </w:p>
    <w:p w14:paraId="4BBF1E41" w14:textId="148C2A66" w:rsidR="009B2515" w:rsidRPr="007C16C5" w:rsidRDefault="0062591D" w:rsidP="00345AC2">
      <w:pPr>
        <w:spacing w:before="240" w:line="360" w:lineRule="auto"/>
        <w:jc w:val="both"/>
        <w:rPr>
          <w:rFonts w:ascii="Times New Roman" w:eastAsia="Calibri" w:hAnsi="Times New Roman" w:cs="Times New Roman"/>
          <w:b/>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Despeje de b</w:t>
      </w:r>
      <w:r w:rsidR="009B2515" w:rsidRPr="007C16C5">
        <w:rPr>
          <w:rFonts w:ascii="Times New Roman" w:eastAsia="Calibri" w:hAnsi="Times New Roman" w:cs="Times New Roman"/>
          <w:b/>
          <w:color w:val="4C4747"/>
          <w:spacing w:val="20"/>
          <w:sz w:val="24"/>
          <w:szCs w:val="24"/>
          <w:lang w:val="es-DO"/>
        </w:rPr>
        <w:t>anda 800 MHz</w:t>
      </w:r>
    </w:p>
    <w:p w14:paraId="1D445E19" w14:textId="3E2065D3" w:rsidR="001D3CC6" w:rsidRPr="007C16C5" w:rsidRDefault="001D3CC6" w:rsidP="001D3CC6">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Como parte de las funciones del INDOTEL de velar por un uso eficiente del </w:t>
      </w:r>
      <w:r w:rsidR="00DE4567" w:rsidRPr="007C16C5">
        <w:rPr>
          <w:rFonts w:ascii="Times New Roman" w:eastAsia="Calibri" w:hAnsi="Times New Roman" w:cs="Times New Roman"/>
          <w:color w:val="4C4747"/>
          <w:spacing w:val="20"/>
          <w:sz w:val="24"/>
          <w:szCs w:val="24"/>
          <w:lang w:val="es-DO"/>
        </w:rPr>
        <w:t>e</w:t>
      </w:r>
      <w:r w:rsidRPr="007C16C5">
        <w:rPr>
          <w:rFonts w:ascii="Times New Roman" w:eastAsia="Calibri" w:hAnsi="Times New Roman" w:cs="Times New Roman"/>
          <w:color w:val="4C4747"/>
          <w:spacing w:val="20"/>
          <w:sz w:val="24"/>
          <w:szCs w:val="24"/>
          <w:lang w:val="es-DO"/>
        </w:rPr>
        <w:t xml:space="preserve">spectro </w:t>
      </w:r>
      <w:r w:rsidR="00DE4567" w:rsidRPr="007C16C5">
        <w:rPr>
          <w:rFonts w:ascii="Times New Roman" w:eastAsia="Calibri" w:hAnsi="Times New Roman" w:cs="Times New Roman"/>
          <w:color w:val="4C4747"/>
          <w:spacing w:val="20"/>
          <w:sz w:val="24"/>
          <w:szCs w:val="24"/>
          <w:lang w:val="es-DO"/>
        </w:rPr>
        <w:t>r</w:t>
      </w:r>
      <w:r w:rsidRPr="007C16C5">
        <w:rPr>
          <w:rFonts w:ascii="Times New Roman" w:eastAsia="Calibri" w:hAnsi="Times New Roman" w:cs="Times New Roman"/>
          <w:color w:val="4C4747"/>
          <w:spacing w:val="20"/>
          <w:sz w:val="24"/>
          <w:szCs w:val="24"/>
          <w:lang w:val="es-DO"/>
        </w:rPr>
        <w:t xml:space="preserve">adioeléctrico, se </w:t>
      </w:r>
      <w:r w:rsidR="005F164E" w:rsidRPr="007C16C5">
        <w:rPr>
          <w:rFonts w:ascii="Times New Roman" w:eastAsia="Calibri" w:hAnsi="Times New Roman" w:cs="Times New Roman"/>
          <w:color w:val="4C4747"/>
          <w:spacing w:val="20"/>
          <w:sz w:val="24"/>
          <w:szCs w:val="24"/>
          <w:lang w:val="es-DO"/>
        </w:rPr>
        <w:t xml:space="preserve">realizó </w:t>
      </w:r>
      <w:r w:rsidRPr="007C16C5">
        <w:rPr>
          <w:rFonts w:ascii="Times New Roman" w:eastAsia="Calibri" w:hAnsi="Times New Roman" w:cs="Times New Roman"/>
          <w:color w:val="4C4747"/>
          <w:spacing w:val="20"/>
          <w:sz w:val="24"/>
          <w:szCs w:val="24"/>
          <w:lang w:val="es-DO"/>
        </w:rPr>
        <w:t>la tarea de verificar los usos en las diferentes bandas, continuando con la banda de 800 MHz, en la cual se inició el monitoreo en diferentes lugares a nivel nacional. Se realiz</w:t>
      </w:r>
      <w:r w:rsidR="00345AC2" w:rsidRPr="007C16C5">
        <w:rPr>
          <w:rFonts w:ascii="Times New Roman" w:eastAsia="Calibri" w:hAnsi="Times New Roman" w:cs="Times New Roman"/>
          <w:color w:val="4C4747"/>
          <w:spacing w:val="20"/>
          <w:sz w:val="24"/>
          <w:szCs w:val="24"/>
          <w:lang w:val="es-DO"/>
        </w:rPr>
        <w:t>ó</w:t>
      </w:r>
      <w:r w:rsidR="00505719" w:rsidRPr="007C16C5">
        <w:rPr>
          <w:rFonts w:ascii="Times New Roman" w:eastAsia="Calibri" w:hAnsi="Times New Roman" w:cs="Times New Roman"/>
          <w:color w:val="4C4747"/>
          <w:spacing w:val="20"/>
          <w:sz w:val="24"/>
          <w:szCs w:val="24"/>
          <w:lang w:val="es-DO"/>
        </w:rPr>
        <w:t xml:space="preserve"> los informes pertinentes y se </w:t>
      </w:r>
      <w:r w:rsidRPr="007C16C5">
        <w:rPr>
          <w:rFonts w:ascii="Times New Roman" w:eastAsia="Calibri" w:hAnsi="Times New Roman" w:cs="Times New Roman"/>
          <w:color w:val="4C4747"/>
          <w:spacing w:val="20"/>
          <w:sz w:val="24"/>
          <w:szCs w:val="24"/>
          <w:lang w:val="es-DO"/>
        </w:rPr>
        <w:t xml:space="preserve">remitieron comunicaciones a </w:t>
      </w:r>
      <w:r w:rsidR="00117F7E" w:rsidRPr="007C16C5">
        <w:rPr>
          <w:rFonts w:ascii="Times New Roman" w:eastAsia="Calibri" w:hAnsi="Times New Roman" w:cs="Times New Roman"/>
          <w:color w:val="4C4747"/>
          <w:spacing w:val="20"/>
          <w:sz w:val="24"/>
          <w:szCs w:val="24"/>
          <w:lang w:val="es-DO"/>
        </w:rPr>
        <w:t>las</w:t>
      </w:r>
      <w:r w:rsidRPr="007C16C5">
        <w:rPr>
          <w:rFonts w:ascii="Times New Roman" w:eastAsia="Calibri" w:hAnsi="Times New Roman" w:cs="Times New Roman"/>
          <w:color w:val="4C4747"/>
          <w:spacing w:val="20"/>
          <w:sz w:val="24"/>
          <w:szCs w:val="24"/>
          <w:lang w:val="es-DO"/>
        </w:rPr>
        <w:t xml:space="preserve"> </w:t>
      </w:r>
      <w:r w:rsidR="00117F7E" w:rsidRPr="007C16C5">
        <w:rPr>
          <w:rFonts w:ascii="Times New Roman" w:eastAsia="Calibri" w:hAnsi="Times New Roman" w:cs="Times New Roman"/>
          <w:color w:val="4C4747"/>
          <w:spacing w:val="20"/>
          <w:sz w:val="24"/>
          <w:szCs w:val="24"/>
          <w:lang w:val="es-DO"/>
        </w:rPr>
        <w:t xml:space="preserve">prestadoras de telecomunicaciones </w:t>
      </w:r>
      <w:r w:rsidRPr="007C16C5">
        <w:rPr>
          <w:rFonts w:ascii="Times New Roman" w:eastAsia="Calibri" w:hAnsi="Times New Roman" w:cs="Times New Roman"/>
          <w:color w:val="4C4747"/>
          <w:spacing w:val="20"/>
          <w:sz w:val="24"/>
          <w:szCs w:val="24"/>
          <w:lang w:val="es-DO"/>
        </w:rPr>
        <w:t xml:space="preserve">de dicha banda con la finalidad de que entregaran voluntariamente </w:t>
      </w:r>
      <w:r w:rsidR="006E249B" w:rsidRPr="007C16C5">
        <w:rPr>
          <w:rFonts w:ascii="Times New Roman" w:eastAsia="Calibri" w:hAnsi="Times New Roman" w:cs="Times New Roman"/>
          <w:color w:val="4C4747"/>
          <w:spacing w:val="20"/>
          <w:sz w:val="24"/>
          <w:szCs w:val="24"/>
          <w:lang w:val="es-DO"/>
        </w:rPr>
        <w:t xml:space="preserve">las </w:t>
      </w:r>
      <w:r w:rsidRPr="007C16C5">
        <w:rPr>
          <w:rFonts w:ascii="Times New Roman" w:eastAsia="Calibri" w:hAnsi="Times New Roman" w:cs="Times New Roman"/>
          <w:color w:val="4C4747"/>
          <w:spacing w:val="20"/>
          <w:sz w:val="24"/>
          <w:szCs w:val="24"/>
          <w:lang w:val="es-DO"/>
        </w:rPr>
        <w:t>frecuencias</w:t>
      </w:r>
      <w:r w:rsidR="006E249B" w:rsidRPr="007C16C5">
        <w:rPr>
          <w:rFonts w:ascii="Times New Roman" w:eastAsia="Calibri" w:hAnsi="Times New Roman" w:cs="Times New Roman"/>
          <w:color w:val="4C4747"/>
          <w:spacing w:val="20"/>
          <w:sz w:val="24"/>
          <w:szCs w:val="24"/>
          <w:lang w:val="es-DO"/>
        </w:rPr>
        <w:t xml:space="preserve"> asignadas</w:t>
      </w:r>
      <w:r w:rsidRPr="007C16C5">
        <w:rPr>
          <w:rFonts w:ascii="Times New Roman" w:eastAsia="Calibri" w:hAnsi="Times New Roman" w:cs="Times New Roman"/>
          <w:color w:val="4C4747"/>
          <w:spacing w:val="20"/>
          <w:sz w:val="24"/>
          <w:szCs w:val="24"/>
          <w:lang w:val="es-DO"/>
        </w:rPr>
        <w:t>.</w:t>
      </w:r>
    </w:p>
    <w:p w14:paraId="408C5E37" w14:textId="26ABCA70" w:rsidR="00281E74" w:rsidRPr="007C16C5" w:rsidRDefault="001D3CC6" w:rsidP="00345AC2">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lastRenderedPageBreak/>
        <w:t xml:space="preserve">Luego se </w:t>
      </w:r>
      <w:r w:rsidR="00345AC2" w:rsidRPr="007C16C5">
        <w:rPr>
          <w:rFonts w:ascii="Times New Roman" w:eastAsia="Calibri" w:hAnsi="Times New Roman" w:cs="Times New Roman"/>
          <w:color w:val="4C4747"/>
          <w:spacing w:val="20"/>
          <w:sz w:val="24"/>
          <w:szCs w:val="24"/>
          <w:lang w:val="es-DO"/>
        </w:rPr>
        <w:t>realizó</w:t>
      </w:r>
      <w:r w:rsidRPr="007C16C5">
        <w:rPr>
          <w:rFonts w:ascii="Times New Roman" w:eastAsia="Calibri" w:hAnsi="Times New Roman" w:cs="Times New Roman"/>
          <w:color w:val="4C4747"/>
          <w:spacing w:val="20"/>
          <w:sz w:val="24"/>
          <w:szCs w:val="24"/>
          <w:lang w:val="es-DO"/>
        </w:rPr>
        <w:t xml:space="preserve"> reuniones con las prestadoras de telecomunicaciones que aún poseían frecuencias en dichas bandas y </w:t>
      </w:r>
      <w:r w:rsidR="00117F7E" w:rsidRPr="007C16C5">
        <w:rPr>
          <w:rFonts w:ascii="Times New Roman" w:eastAsia="Calibri" w:hAnsi="Times New Roman" w:cs="Times New Roman"/>
          <w:color w:val="4C4747"/>
          <w:spacing w:val="20"/>
          <w:sz w:val="24"/>
          <w:szCs w:val="24"/>
          <w:lang w:val="es-DO"/>
        </w:rPr>
        <w:t>se concienti</w:t>
      </w:r>
      <w:r w:rsidR="00345AC2" w:rsidRPr="007C16C5">
        <w:rPr>
          <w:rFonts w:ascii="Times New Roman" w:eastAsia="Calibri" w:hAnsi="Times New Roman" w:cs="Times New Roman"/>
          <w:color w:val="4C4747"/>
          <w:spacing w:val="20"/>
          <w:sz w:val="24"/>
          <w:szCs w:val="24"/>
          <w:lang w:val="es-DO"/>
        </w:rPr>
        <w:t xml:space="preserve">zo </w:t>
      </w:r>
      <w:r w:rsidRPr="007C16C5">
        <w:rPr>
          <w:rFonts w:ascii="Times New Roman" w:eastAsia="Calibri" w:hAnsi="Times New Roman" w:cs="Times New Roman"/>
          <w:color w:val="4C4747"/>
          <w:spacing w:val="20"/>
          <w:sz w:val="24"/>
          <w:szCs w:val="24"/>
          <w:lang w:val="es-DO"/>
        </w:rPr>
        <w:t xml:space="preserve">sobre el uso eficiente del </w:t>
      </w:r>
      <w:r w:rsidR="00DE4567" w:rsidRPr="007C16C5">
        <w:rPr>
          <w:rFonts w:ascii="Times New Roman" w:eastAsia="Calibri" w:hAnsi="Times New Roman" w:cs="Times New Roman"/>
          <w:color w:val="4C4747"/>
          <w:spacing w:val="20"/>
          <w:sz w:val="24"/>
          <w:szCs w:val="24"/>
          <w:lang w:val="es-DO"/>
        </w:rPr>
        <w:t>e</w:t>
      </w:r>
      <w:r w:rsidRPr="007C16C5">
        <w:rPr>
          <w:rFonts w:ascii="Times New Roman" w:eastAsia="Calibri" w:hAnsi="Times New Roman" w:cs="Times New Roman"/>
          <w:color w:val="4C4747"/>
          <w:spacing w:val="20"/>
          <w:sz w:val="24"/>
          <w:szCs w:val="24"/>
          <w:lang w:val="es-DO"/>
        </w:rPr>
        <w:t xml:space="preserve">spectro </w:t>
      </w:r>
      <w:r w:rsidR="00DE4567" w:rsidRPr="007C16C5">
        <w:rPr>
          <w:rFonts w:ascii="Times New Roman" w:eastAsia="Calibri" w:hAnsi="Times New Roman" w:cs="Times New Roman"/>
          <w:color w:val="4C4747"/>
          <w:spacing w:val="20"/>
          <w:sz w:val="24"/>
          <w:szCs w:val="24"/>
          <w:lang w:val="es-DO"/>
        </w:rPr>
        <w:t>r</w:t>
      </w:r>
      <w:r w:rsidRPr="007C16C5">
        <w:rPr>
          <w:rFonts w:ascii="Times New Roman" w:eastAsia="Calibri" w:hAnsi="Times New Roman" w:cs="Times New Roman"/>
          <w:color w:val="4C4747"/>
          <w:spacing w:val="20"/>
          <w:sz w:val="24"/>
          <w:szCs w:val="24"/>
          <w:lang w:val="es-DO"/>
        </w:rPr>
        <w:t xml:space="preserve">adioeléctrico y a su vez sobre la solicitud de extinción voluntaria de las frecuencias que no estaban en uso, de manera que les impactaban positivamente en sus facturas de Derecho de Uso, bajando los montos anuales de facturación. </w:t>
      </w:r>
    </w:p>
    <w:p w14:paraId="4F11F642" w14:textId="547B5BC0" w:rsidR="00281E74" w:rsidRPr="007C16C5" w:rsidRDefault="001D3CC6" w:rsidP="00281E74">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Las prestadoras </w:t>
      </w:r>
      <w:r w:rsidR="00117F7E" w:rsidRPr="007C16C5">
        <w:rPr>
          <w:rFonts w:ascii="Times New Roman" w:eastAsia="Calibri" w:hAnsi="Times New Roman" w:cs="Times New Roman"/>
          <w:color w:val="4C4747"/>
          <w:spacing w:val="20"/>
          <w:sz w:val="24"/>
          <w:szCs w:val="24"/>
          <w:lang w:val="es-DO"/>
        </w:rPr>
        <w:t xml:space="preserve">de telecomunicaciones </w:t>
      </w:r>
      <w:r w:rsidRPr="007C16C5">
        <w:rPr>
          <w:rFonts w:ascii="Times New Roman" w:eastAsia="Calibri" w:hAnsi="Times New Roman" w:cs="Times New Roman"/>
          <w:color w:val="4C4747"/>
          <w:spacing w:val="20"/>
          <w:sz w:val="24"/>
          <w:szCs w:val="24"/>
          <w:lang w:val="es-DO"/>
        </w:rPr>
        <w:t>accedieron a la entrega voluntaria de no solo las frecuencias que tenían asignadas en la banda de 800 MHz, sino también a otras frecuencias en diferentes bandas</w:t>
      </w:r>
      <w:r w:rsidR="00345AC2" w:rsidRPr="007C16C5">
        <w:rPr>
          <w:rFonts w:ascii="Times New Roman" w:eastAsia="Calibri" w:hAnsi="Times New Roman" w:cs="Times New Roman"/>
          <w:color w:val="4C4747"/>
          <w:spacing w:val="20"/>
          <w:sz w:val="24"/>
          <w:szCs w:val="24"/>
          <w:lang w:val="es-DO"/>
        </w:rPr>
        <w:t xml:space="preserve"> </w:t>
      </w:r>
      <w:r w:rsidR="00281E74" w:rsidRPr="007C16C5">
        <w:rPr>
          <w:rFonts w:ascii="Times New Roman" w:eastAsia="Calibri" w:hAnsi="Times New Roman" w:cs="Times New Roman"/>
          <w:color w:val="4C4747"/>
          <w:spacing w:val="20"/>
          <w:sz w:val="24"/>
          <w:szCs w:val="24"/>
          <w:lang w:val="es-DO"/>
        </w:rPr>
        <w:t xml:space="preserve">que ya no estaban utilizando. </w:t>
      </w:r>
    </w:p>
    <w:p w14:paraId="2F42A09E" w14:textId="624D915F" w:rsidR="009B2515" w:rsidRPr="007C16C5" w:rsidRDefault="00655447" w:rsidP="00943FA5">
      <w:pPr>
        <w:spacing w:before="240" w:line="360" w:lineRule="auto"/>
        <w:jc w:val="both"/>
        <w:rPr>
          <w:rFonts w:ascii="Times New Roman" w:eastAsia="Calibri" w:hAnsi="Times New Roman" w:cs="Times New Roman"/>
          <w:b/>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Publicación de las asignaciones de frecuencias en la página web i</w:t>
      </w:r>
      <w:r w:rsidR="009B2515" w:rsidRPr="007C16C5">
        <w:rPr>
          <w:rFonts w:ascii="Times New Roman" w:eastAsia="Calibri" w:hAnsi="Times New Roman" w:cs="Times New Roman"/>
          <w:b/>
          <w:color w:val="4C4747"/>
          <w:spacing w:val="20"/>
          <w:sz w:val="24"/>
          <w:szCs w:val="24"/>
          <w:lang w:val="es-DO"/>
        </w:rPr>
        <w:t>nstitucional</w:t>
      </w:r>
    </w:p>
    <w:p w14:paraId="0C08E10A" w14:textId="2EF9FBBD" w:rsidR="009B2515" w:rsidRPr="007C16C5" w:rsidRDefault="001D3CC6" w:rsidP="00281E74">
      <w:pPr>
        <w:spacing w:line="360" w:lineRule="auto"/>
        <w:jc w:val="both"/>
        <w:rPr>
          <w:rFonts w:ascii="Times New Roman" w:eastAsia="Calibri" w:hAnsi="Times New Roman" w:cs="Times New Roman"/>
          <w:strike/>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Como parte de los acuerdos adquiridos con las mesas de regulación, </w:t>
      </w:r>
      <w:r w:rsidR="00665419" w:rsidRPr="007C16C5">
        <w:rPr>
          <w:rFonts w:ascii="Times New Roman" w:eastAsia="Calibri" w:hAnsi="Times New Roman" w:cs="Times New Roman"/>
          <w:color w:val="4C4747"/>
          <w:spacing w:val="20"/>
          <w:sz w:val="24"/>
          <w:szCs w:val="24"/>
          <w:lang w:val="es-DO"/>
        </w:rPr>
        <w:t xml:space="preserve">se mantiene </w:t>
      </w:r>
      <w:r w:rsidRPr="007C16C5">
        <w:rPr>
          <w:rFonts w:ascii="Times New Roman" w:eastAsia="Calibri" w:hAnsi="Times New Roman" w:cs="Times New Roman"/>
          <w:color w:val="4C4747"/>
          <w:spacing w:val="20"/>
          <w:sz w:val="24"/>
          <w:szCs w:val="24"/>
          <w:lang w:val="es-DO"/>
        </w:rPr>
        <w:t>actualizada la página web del portal institucional, con la información relacionada de las asignaciones en el  Re</w:t>
      </w:r>
      <w:r w:rsidR="00665419" w:rsidRPr="007C16C5">
        <w:rPr>
          <w:rFonts w:ascii="Times New Roman" w:eastAsia="Calibri" w:hAnsi="Times New Roman" w:cs="Times New Roman"/>
          <w:color w:val="4C4747"/>
          <w:spacing w:val="20"/>
          <w:sz w:val="24"/>
          <w:szCs w:val="24"/>
          <w:lang w:val="es-DO"/>
        </w:rPr>
        <w:t>gistro Nacional de Frecuencias.</w:t>
      </w:r>
    </w:p>
    <w:p w14:paraId="4BADE5FE" w14:textId="144BF8C4" w:rsidR="009B2515" w:rsidRPr="007C16C5" w:rsidRDefault="00655447" w:rsidP="00345AC2">
      <w:pPr>
        <w:spacing w:before="240" w:line="360" w:lineRule="auto"/>
        <w:jc w:val="both"/>
        <w:rPr>
          <w:rFonts w:ascii="Times New Roman" w:eastAsia="Calibri" w:hAnsi="Times New Roman" w:cs="Times New Roman"/>
          <w:b/>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Licenciamiento de enlaces de r</w:t>
      </w:r>
      <w:r w:rsidR="009B2515" w:rsidRPr="007C16C5">
        <w:rPr>
          <w:rFonts w:ascii="Times New Roman" w:eastAsia="Calibri" w:hAnsi="Times New Roman" w:cs="Times New Roman"/>
          <w:b/>
          <w:color w:val="4C4747"/>
          <w:spacing w:val="20"/>
          <w:sz w:val="24"/>
          <w:szCs w:val="24"/>
          <w:lang w:val="es-DO"/>
        </w:rPr>
        <w:t>adio</w:t>
      </w:r>
    </w:p>
    <w:p w14:paraId="0725C0CD" w14:textId="1D234E90" w:rsidR="001D3CC6" w:rsidRPr="007C16C5" w:rsidRDefault="001D3CC6" w:rsidP="001D3CC6">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Como parte de las iniciativas para un uso eficiente y eficaz del </w:t>
      </w:r>
      <w:r w:rsidR="00DE4567" w:rsidRPr="007C16C5">
        <w:rPr>
          <w:rFonts w:ascii="Times New Roman" w:eastAsia="Calibri" w:hAnsi="Times New Roman" w:cs="Times New Roman"/>
          <w:color w:val="4C4747"/>
          <w:spacing w:val="20"/>
          <w:sz w:val="24"/>
          <w:szCs w:val="24"/>
          <w:lang w:val="es-DO"/>
        </w:rPr>
        <w:t>e</w:t>
      </w:r>
      <w:r w:rsidRPr="007C16C5">
        <w:rPr>
          <w:rFonts w:ascii="Times New Roman" w:eastAsia="Calibri" w:hAnsi="Times New Roman" w:cs="Times New Roman"/>
          <w:color w:val="4C4747"/>
          <w:spacing w:val="20"/>
          <w:sz w:val="24"/>
          <w:szCs w:val="24"/>
          <w:lang w:val="es-DO"/>
        </w:rPr>
        <w:t xml:space="preserve">spectro </w:t>
      </w:r>
      <w:r w:rsidR="00DE4567" w:rsidRPr="007C16C5">
        <w:rPr>
          <w:rFonts w:ascii="Times New Roman" w:eastAsia="Calibri" w:hAnsi="Times New Roman" w:cs="Times New Roman"/>
          <w:color w:val="4C4747"/>
          <w:spacing w:val="20"/>
          <w:sz w:val="24"/>
          <w:szCs w:val="24"/>
          <w:lang w:val="es-DO"/>
        </w:rPr>
        <w:t>r</w:t>
      </w:r>
      <w:r w:rsidRPr="007C16C5">
        <w:rPr>
          <w:rFonts w:ascii="Times New Roman" w:eastAsia="Calibri" w:hAnsi="Times New Roman" w:cs="Times New Roman"/>
          <w:color w:val="4C4747"/>
          <w:spacing w:val="20"/>
          <w:sz w:val="24"/>
          <w:szCs w:val="24"/>
          <w:lang w:val="es-DO"/>
        </w:rPr>
        <w:t xml:space="preserve">adioeléctrico, un punto de mejora que </w:t>
      </w:r>
      <w:r w:rsidR="00DE4567" w:rsidRPr="007C16C5">
        <w:rPr>
          <w:rFonts w:ascii="Times New Roman" w:eastAsia="Calibri" w:hAnsi="Times New Roman" w:cs="Times New Roman"/>
          <w:color w:val="4C4747"/>
          <w:spacing w:val="20"/>
          <w:sz w:val="24"/>
          <w:szCs w:val="24"/>
          <w:lang w:val="es-DO"/>
        </w:rPr>
        <w:t>se visualizó</w:t>
      </w:r>
      <w:r w:rsidRPr="007C16C5">
        <w:rPr>
          <w:rFonts w:ascii="Times New Roman" w:eastAsia="Calibri" w:hAnsi="Times New Roman" w:cs="Times New Roman"/>
          <w:color w:val="4C4747"/>
          <w:spacing w:val="20"/>
          <w:sz w:val="24"/>
          <w:szCs w:val="24"/>
          <w:lang w:val="es-DO"/>
        </w:rPr>
        <w:t xml:space="preserve"> fue realizar el proceso de licenciami</w:t>
      </w:r>
      <w:r w:rsidR="00345AC2" w:rsidRPr="007C16C5">
        <w:rPr>
          <w:rFonts w:ascii="Times New Roman" w:eastAsia="Calibri" w:hAnsi="Times New Roman" w:cs="Times New Roman"/>
          <w:color w:val="4C4747"/>
          <w:spacing w:val="20"/>
          <w:sz w:val="24"/>
          <w:szCs w:val="24"/>
          <w:lang w:val="es-DO"/>
        </w:rPr>
        <w:t>ento de los enlaces que utilizaban</w:t>
      </w:r>
      <w:r w:rsidRPr="007C16C5">
        <w:rPr>
          <w:rFonts w:ascii="Times New Roman" w:eastAsia="Calibri" w:hAnsi="Times New Roman" w:cs="Times New Roman"/>
          <w:color w:val="4C4747"/>
          <w:spacing w:val="20"/>
          <w:sz w:val="24"/>
          <w:szCs w:val="24"/>
          <w:lang w:val="es-DO"/>
        </w:rPr>
        <w:t xml:space="preserve"> las prestadoras de telecomunicaciones, ya que los mismos no contaban con licencias de operación y el proceso de utilización se realizaba mediante notificación al órgano regulador. </w:t>
      </w:r>
    </w:p>
    <w:p w14:paraId="111DAE86" w14:textId="77777777" w:rsidR="00345AC2" w:rsidRPr="007C16C5" w:rsidRDefault="00345AC2" w:rsidP="001D3CC6">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 decidió</w:t>
      </w:r>
      <w:r w:rsidR="001D3CC6" w:rsidRPr="007C16C5">
        <w:rPr>
          <w:rFonts w:ascii="Times New Roman" w:eastAsia="Calibri" w:hAnsi="Times New Roman" w:cs="Times New Roman"/>
          <w:color w:val="4C4747"/>
          <w:spacing w:val="20"/>
          <w:sz w:val="24"/>
          <w:szCs w:val="24"/>
          <w:lang w:val="es-DO"/>
        </w:rPr>
        <w:t xml:space="preserve"> que la mejor manera de optimizar este proceso era licenciando los enlaces, </w:t>
      </w:r>
      <w:r w:rsidRPr="007C16C5">
        <w:rPr>
          <w:rFonts w:ascii="Times New Roman" w:eastAsia="Calibri" w:hAnsi="Times New Roman" w:cs="Times New Roman"/>
          <w:color w:val="4C4747"/>
          <w:spacing w:val="20"/>
          <w:sz w:val="24"/>
          <w:szCs w:val="24"/>
          <w:lang w:val="es-DO"/>
        </w:rPr>
        <w:t>siendo esta</w:t>
      </w:r>
      <w:r w:rsidR="001D3CC6" w:rsidRPr="007C16C5">
        <w:rPr>
          <w:rFonts w:ascii="Times New Roman" w:eastAsia="Calibri" w:hAnsi="Times New Roman" w:cs="Times New Roman"/>
          <w:color w:val="4C4747"/>
          <w:spacing w:val="20"/>
          <w:sz w:val="24"/>
          <w:szCs w:val="24"/>
          <w:lang w:val="es-DO"/>
        </w:rPr>
        <w:t xml:space="preserve"> la manera correcta de operar los </w:t>
      </w:r>
    </w:p>
    <w:p w14:paraId="4E623311" w14:textId="00C81BC9" w:rsidR="001D3CC6" w:rsidRPr="007C16C5" w:rsidRDefault="001D3CC6" w:rsidP="001D3CC6">
      <w:pPr>
        <w:spacing w:line="360" w:lineRule="auto"/>
        <w:jc w:val="both"/>
        <w:rPr>
          <w:rFonts w:ascii="Times New Roman" w:hAnsi="Times New Roman" w:cs="Times New Roman"/>
          <w:color w:val="4C4747"/>
          <w:sz w:val="24"/>
          <w:szCs w:val="24"/>
          <w:lang w:val="es-DO"/>
        </w:rPr>
      </w:pPr>
      <w:r w:rsidRPr="007C16C5">
        <w:rPr>
          <w:rFonts w:ascii="Times New Roman" w:eastAsia="Calibri" w:hAnsi="Times New Roman" w:cs="Times New Roman"/>
          <w:color w:val="4C4747"/>
          <w:spacing w:val="20"/>
          <w:sz w:val="24"/>
          <w:szCs w:val="24"/>
          <w:lang w:val="es-DO"/>
        </w:rPr>
        <w:t xml:space="preserve">mismos. Por lo que </w:t>
      </w:r>
      <w:r w:rsidR="00345AC2" w:rsidRPr="007C16C5">
        <w:rPr>
          <w:rFonts w:ascii="Times New Roman" w:eastAsia="Calibri" w:hAnsi="Times New Roman" w:cs="Times New Roman"/>
          <w:color w:val="4C4747"/>
          <w:spacing w:val="20"/>
          <w:sz w:val="24"/>
          <w:szCs w:val="24"/>
          <w:lang w:val="es-DO"/>
        </w:rPr>
        <w:t>se comenzó</w:t>
      </w:r>
      <w:r w:rsidRPr="007C16C5">
        <w:rPr>
          <w:rFonts w:ascii="Times New Roman" w:eastAsia="Calibri" w:hAnsi="Times New Roman" w:cs="Times New Roman"/>
          <w:color w:val="4C4747"/>
          <w:spacing w:val="20"/>
          <w:sz w:val="24"/>
          <w:szCs w:val="24"/>
          <w:lang w:val="es-DO"/>
        </w:rPr>
        <w:t xml:space="preserve"> con la realización de reuniones con las prestadora</w:t>
      </w:r>
      <w:r w:rsidR="00345AC2" w:rsidRPr="007C16C5">
        <w:rPr>
          <w:rFonts w:ascii="Times New Roman" w:eastAsia="Calibri" w:hAnsi="Times New Roman" w:cs="Times New Roman"/>
          <w:color w:val="4C4747"/>
          <w:spacing w:val="20"/>
          <w:sz w:val="24"/>
          <w:szCs w:val="24"/>
          <w:lang w:val="es-DO"/>
        </w:rPr>
        <w:t>s a los fines de concientizar</w:t>
      </w:r>
      <w:r w:rsidRPr="007C16C5">
        <w:rPr>
          <w:rFonts w:ascii="Times New Roman" w:eastAsia="Calibri" w:hAnsi="Times New Roman" w:cs="Times New Roman"/>
          <w:color w:val="4C4747"/>
          <w:spacing w:val="20"/>
          <w:sz w:val="24"/>
          <w:szCs w:val="24"/>
          <w:lang w:val="es-DO"/>
        </w:rPr>
        <w:t xml:space="preserve"> sobre los efectos de esta mala práctica y </w:t>
      </w:r>
      <w:r w:rsidRPr="007C16C5">
        <w:rPr>
          <w:rFonts w:ascii="Times New Roman" w:eastAsia="Calibri" w:hAnsi="Times New Roman" w:cs="Times New Roman"/>
          <w:color w:val="4C4747"/>
          <w:spacing w:val="20"/>
          <w:sz w:val="24"/>
          <w:szCs w:val="24"/>
          <w:lang w:val="es-DO"/>
        </w:rPr>
        <w:lastRenderedPageBreak/>
        <w:t xml:space="preserve">los beneficios que obtendrían de licenciar dichos enlaces, </w:t>
      </w:r>
      <w:r w:rsidR="002677EC" w:rsidRPr="007C16C5">
        <w:rPr>
          <w:rFonts w:ascii="Times New Roman" w:eastAsia="Calibri" w:hAnsi="Times New Roman" w:cs="Times New Roman"/>
          <w:color w:val="4C4747"/>
          <w:spacing w:val="20"/>
          <w:sz w:val="24"/>
          <w:szCs w:val="24"/>
          <w:lang w:val="es-DO"/>
        </w:rPr>
        <w:t xml:space="preserve">debido a que </w:t>
      </w:r>
      <w:r w:rsidRPr="007C16C5">
        <w:rPr>
          <w:rFonts w:ascii="Times New Roman" w:eastAsia="Calibri" w:hAnsi="Times New Roman" w:cs="Times New Roman"/>
          <w:color w:val="4C4747"/>
          <w:spacing w:val="20"/>
          <w:sz w:val="24"/>
          <w:szCs w:val="24"/>
          <w:lang w:val="es-DO"/>
        </w:rPr>
        <w:t xml:space="preserve">el licenciamiento de estos les otorga el derecho a la explotación  bajo un marco legal correcto y al INDOTEL le facilita el proceso de cobro del </w:t>
      </w:r>
      <w:r w:rsidR="00117F7E" w:rsidRPr="007C16C5">
        <w:rPr>
          <w:rFonts w:ascii="Times New Roman" w:eastAsia="Calibri" w:hAnsi="Times New Roman" w:cs="Times New Roman"/>
          <w:color w:val="4C4747"/>
          <w:spacing w:val="20"/>
          <w:sz w:val="24"/>
          <w:szCs w:val="24"/>
          <w:lang w:val="es-DO"/>
        </w:rPr>
        <w:t>Derecho de Uso</w:t>
      </w:r>
      <w:r w:rsidRPr="007C16C5">
        <w:rPr>
          <w:rFonts w:ascii="Times New Roman" w:eastAsia="Calibri" w:hAnsi="Times New Roman" w:cs="Times New Roman"/>
          <w:color w:val="4C4747"/>
          <w:spacing w:val="20"/>
          <w:sz w:val="24"/>
          <w:szCs w:val="24"/>
          <w:lang w:val="es-DO"/>
        </w:rPr>
        <w:t>, le genera ingresos por las solicitudes de frecuencias y facilita el proceso de solución a los casos de interferencias que se presentan.</w:t>
      </w:r>
      <w:r w:rsidRPr="007C16C5">
        <w:rPr>
          <w:rFonts w:ascii="Times New Roman" w:hAnsi="Times New Roman" w:cs="Times New Roman"/>
          <w:color w:val="4C4747"/>
          <w:sz w:val="24"/>
          <w:szCs w:val="24"/>
          <w:lang w:val="es-DO"/>
        </w:rPr>
        <w:t xml:space="preserve"> </w:t>
      </w:r>
    </w:p>
    <w:p w14:paraId="734F7C89" w14:textId="1802FDC7" w:rsidR="00BE6A84" w:rsidRPr="007C16C5" w:rsidRDefault="001D3CC6" w:rsidP="00E27AE4">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En esta etapa </w:t>
      </w:r>
      <w:r w:rsidR="00E27AE4" w:rsidRPr="007C16C5">
        <w:rPr>
          <w:rFonts w:ascii="Times New Roman" w:eastAsia="Calibri" w:hAnsi="Times New Roman" w:cs="Times New Roman"/>
          <w:color w:val="4C4747"/>
          <w:spacing w:val="20"/>
          <w:sz w:val="24"/>
          <w:szCs w:val="24"/>
          <w:lang w:val="es-DO"/>
        </w:rPr>
        <w:t>se ha</w:t>
      </w:r>
      <w:r w:rsidRPr="007C16C5">
        <w:rPr>
          <w:rFonts w:ascii="Times New Roman" w:eastAsia="Calibri" w:hAnsi="Times New Roman" w:cs="Times New Roman"/>
          <w:color w:val="4C4747"/>
          <w:spacing w:val="20"/>
          <w:sz w:val="24"/>
          <w:szCs w:val="24"/>
          <w:lang w:val="es-DO"/>
        </w:rPr>
        <w:t xml:space="preserve"> recibido la formal solicitud de licenciamiento de los enlaces radioeléctricos de una de las principales prestadoras de servicios de telecomunicaciones, mientras que las demás prestadoras se comprometieron a realizar dicha solicitud</w:t>
      </w:r>
      <w:r w:rsidR="00E27AE4" w:rsidRPr="007C16C5">
        <w:rPr>
          <w:rFonts w:ascii="Times New Roman" w:eastAsia="Calibri" w:hAnsi="Times New Roman" w:cs="Times New Roman"/>
          <w:color w:val="4C4747"/>
          <w:spacing w:val="20"/>
          <w:sz w:val="24"/>
          <w:szCs w:val="24"/>
          <w:lang w:val="es-DO"/>
        </w:rPr>
        <w:t>.</w:t>
      </w:r>
    </w:p>
    <w:p w14:paraId="4AD2868F" w14:textId="627B36E1" w:rsidR="009B2515" w:rsidRPr="000E66D4" w:rsidRDefault="008F7B63" w:rsidP="00E27AE4">
      <w:pPr>
        <w:spacing w:before="240"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Saneamiento de la banda de r</w:t>
      </w:r>
      <w:r w:rsidR="009B2515" w:rsidRPr="000E66D4">
        <w:rPr>
          <w:rFonts w:ascii="Times New Roman" w:eastAsia="Calibri" w:hAnsi="Times New Roman" w:cs="Times New Roman"/>
          <w:b/>
          <w:color w:val="4C4747"/>
          <w:spacing w:val="20"/>
          <w:sz w:val="24"/>
          <w:szCs w:val="24"/>
          <w:lang w:val="es-DO"/>
        </w:rPr>
        <w:t xml:space="preserve">adiocomunicaciones </w:t>
      </w:r>
    </w:p>
    <w:p w14:paraId="0F2048B2" w14:textId="3922BD63" w:rsidR="009B2515" w:rsidRPr="000E66D4" w:rsidRDefault="001D3CC6" w:rsidP="00E27AE4">
      <w:pPr>
        <w:spacing w:line="360" w:lineRule="auto"/>
        <w:jc w:val="both"/>
        <w:rPr>
          <w:rFonts w:ascii="Times New Roman" w:eastAsia="Calibri" w:hAnsi="Times New Roman" w:cs="Times New Roman"/>
          <w:color w:val="4C4747"/>
          <w:spacing w:val="20"/>
          <w:sz w:val="24"/>
          <w:szCs w:val="24"/>
          <w:lang w:val="es-DO"/>
        </w:rPr>
      </w:pPr>
      <w:r w:rsidRPr="002677EC">
        <w:rPr>
          <w:rFonts w:ascii="Times New Roman" w:eastAsia="Calibri" w:hAnsi="Times New Roman" w:cs="Times New Roman"/>
          <w:color w:val="4C4747"/>
          <w:spacing w:val="20"/>
          <w:sz w:val="24"/>
          <w:szCs w:val="24"/>
          <w:lang w:val="es-DO"/>
        </w:rPr>
        <w:t xml:space="preserve">Dentro de las medidas para eficientizar el uso del </w:t>
      </w:r>
      <w:r w:rsidR="002677EC" w:rsidRPr="002677EC">
        <w:rPr>
          <w:rFonts w:ascii="Times New Roman" w:eastAsia="Calibri" w:hAnsi="Times New Roman" w:cs="Times New Roman"/>
          <w:color w:val="4C4747"/>
          <w:spacing w:val="20"/>
          <w:sz w:val="24"/>
          <w:szCs w:val="24"/>
          <w:lang w:val="es-DO"/>
        </w:rPr>
        <w:t>e</w:t>
      </w:r>
      <w:r w:rsidRPr="002677EC">
        <w:rPr>
          <w:rFonts w:ascii="Times New Roman" w:eastAsia="Calibri" w:hAnsi="Times New Roman" w:cs="Times New Roman"/>
          <w:color w:val="4C4747"/>
          <w:spacing w:val="20"/>
          <w:sz w:val="24"/>
          <w:szCs w:val="24"/>
          <w:lang w:val="es-DO"/>
        </w:rPr>
        <w:t xml:space="preserve">spectro </w:t>
      </w:r>
      <w:r w:rsidR="002677EC" w:rsidRPr="002677EC">
        <w:rPr>
          <w:rFonts w:ascii="Times New Roman" w:eastAsia="Calibri" w:hAnsi="Times New Roman" w:cs="Times New Roman"/>
          <w:color w:val="4C4747"/>
          <w:spacing w:val="20"/>
          <w:sz w:val="24"/>
          <w:szCs w:val="24"/>
          <w:lang w:val="es-DO"/>
        </w:rPr>
        <w:t>r</w:t>
      </w:r>
      <w:r w:rsidRPr="002677EC">
        <w:rPr>
          <w:rFonts w:ascii="Times New Roman" w:eastAsia="Calibri" w:hAnsi="Times New Roman" w:cs="Times New Roman"/>
          <w:color w:val="4C4747"/>
          <w:spacing w:val="20"/>
          <w:sz w:val="24"/>
          <w:szCs w:val="24"/>
          <w:lang w:val="es-DO"/>
        </w:rPr>
        <w:t>adioeléctrico</w:t>
      </w:r>
      <w:r w:rsidRPr="000E66D4">
        <w:rPr>
          <w:rFonts w:ascii="Times New Roman" w:eastAsia="Calibri" w:hAnsi="Times New Roman" w:cs="Times New Roman"/>
          <w:color w:val="4C4747"/>
          <w:spacing w:val="20"/>
          <w:sz w:val="24"/>
          <w:szCs w:val="24"/>
          <w:lang w:val="es-DO"/>
        </w:rPr>
        <w:t xml:space="preserve"> nos encontramos en el proceso de saneamiento de la banda de radiocomunicaciones, </w:t>
      </w:r>
      <w:r w:rsidR="00B83AB5" w:rsidRPr="000E66D4">
        <w:rPr>
          <w:rFonts w:ascii="Times New Roman" w:eastAsia="Calibri" w:hAnsi="Times New Roman" w:cs="Times New Roman"/>
          <w:color w:val="4C4747"/>
          <w:spacing w:val="20"/>
          <w:sz w:val="24"/>
          <w:szCs w:val="24"/>
          <w:lang w:val="es-DO"/>
        </w:rPr>
        <w:t xml:space="preserve">dentro del cronograma de trabajo se </w:t>
      </w:r>
      <w:r w:rsidR="00E27AE4" w:rsidRPr="000E66D4">
        <w:rPr>
          <w:rFonts w:ascii="Times New Roman" w:eastAsia="Calibri" w:hAnsi="Times New Roman" w:cs="Times New Roman"/>
          <w:color w:val="4C4747"/>
          <w:spacing w:val="20"/>
          <w:sz w:val="24"/>
          <w:szCs w:val="24"/>
          <w:lang w:val="es-DO"/>
        </w:rPr>
        <w:t>realizó</w:t>
      </w:r>
      <w:r w:rsidR="00B83AB5" w:rsidRPr="000E66D4">
        <w:rPr>
          <w:rFonts w:ascii="Times New Roman" w:eastAsia="Calibri" w:hAnsi="Times New Roman" w:cs="Times New Roman"/>
          <w:color w:val="4C4747"/>
          <w:spacing w:val="20"/>
          <w:sz w:val="24"/>
          <w:szCs w:val="24"/>
          <w:lang w:val="es-DO"/>
        </w:rPr>
        <w:t xml:space="preserve"> visitas a</w:t>
      </w:r>
      <w:r w:rsidRPr="000E66D4">
        <w:rPr>
          <w:rFonts w:ascii="Times New Roman" w:eastAsia="Calibri" w:hAnsi="Times New Roman" w:cs="Times New Roman"/>
          <w:color w:val="4C4747"/>
          <w:spacing w:val="20"/>
          <w:sz w:val="24"/>
          <w:szCs w:val="24"/>
          <w:lang w:val="es-DO"/>
        </w:rPr>
        <w:t xml:space="preserve"> las principales zonas  donde se encuentran instalados los repetidores de las diferentes compañías que ofrecen servicios de radiocomunicación, con la finalidad de r</w:t>
      </w:r>
      <w:r w:rsidR="00E27AE4" w:rsidRPr="000E66D4">
        <w:rPr>
          <w:rFonts w:ascii="Times New Roman" w:eastAsia="Calibri" w:hAnsi="Times New Roman" w:cs="Times New Roman"/>
          <w:color w:val="4C4747"/>
          <w:spacing w:val="20"/>
          <w:sz w:val="24"/>
          <w:szCs w:val="24"/>
          <w:lang w:val="es-DO"/>
        </w:rPr>
        <w:t>ealizar barridos de frecuencias,</w:t>
      </w:r>
      <w:r w:rsidRPr="000E66D4">
        <w:rPr>
          <w:rFonts w:ascii="Times New Roman" w:eastAsia="Calibri" w:hAnsi="Times New Roman" w:cs="Times New Roman"/>
          <w:color w:val="4C4747"/>
          <w:spacing w:val="20"/>
          <w:sz w:val="24"/>
          <w:szCs w:val="24"/>
          <w:lang w:val="es-DO"/>
        </w:rPr>
        <w:t xml:space="preserve"> para así detectar y clasificar las frecuencias. Este ejercicio también permite verificar cuales frecuencias están asignadas, cuales están operando de manera ilegal y las </w:t>
      </w:r>
      <w:r w:rsidR="00E27AE4" w:rsidRPr="000E66D4">
        <w:rPr>
          <w:rFonts w:ascii="Times New Roman" w:eastAsia="Calibri" w:hAnsi="Times New Roman" w:cs="Times New Roman"/>
          <w:color w:val="4C4747"/>
          <w:spacing w:val="20"/>
          <w:sz w:val="24"/>
          <w:szCs w:val="24"/>
          <w:lang w:val="es-DO"/>
        </w:rPr>
        <w:t>que no están siendo utilizadas.</w:t>
      </w:r>
    </w:p>
    <w:p w14:paraId="7390143C" w14:textId="77777777" w:rsidR="009B2515" w:rsidRPr="000E66D4" w:rsidRDefault="009B2515" w:rsidP="00E27AE4">
      <w:pPr>
        <w:spacing w:before="240"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Actualización del Plan Nacional de Atribución de Frecuencias (PNAF)</w:t>
      </w:r>
    </w:p>
    <w:p w14:paraId="48529FF7" w14:textId="79541719" w:rsidR="009B2515" w:rsidRPr="000E66D4" w:rsidRDefault="001D3CC6" w:rsidP="00E27AE4">
      <w:pPr>
        <w:spacing w:line="360" w:lineRule="auto"/>
        <w:jc w:val="both"/>
        <w:rPr>
          <w:rFonts w:ascii="Times New Roman" w:eastAsia="Calibri" w:hAnsi="Times New Roman" w:cs="Times New Roman"/>
          <w:color w:val="4C4747"/>
          <w:spacing w:val="20"/>
          <w:sz w:val="24"/>
          <w:szCs w:val="24"/>
          <w:lang w:val="es-DO"/>
        </w:rPr>
      </w:pPr>
      <w:r w:rsidRPr="002677EC">
        <w:rPr>
          <w:rFonts w:ascii="Times New Roman" w:eastAsia="Calibri" w:hAnsi="Times New Roman" w:cs="Times New Roman"/>
          <w:color w:val="4C4747"/>
          <w:spacing w:val="20"/>
          <w:sz w:val="24"/>
          <w:szCs w:val="24"/>
          <w:lang w:val="es-DO"/>
        </w:rPr>
        <w:t>N</w:t>
      </w:r>
      <w:r w:rsidR="002677EC" w:rsidRPr="002677EC">
        <w:rPr>
          <w:rFonts w:ascii="Times New Roman" w:eastAsia="Calibri" w:hAnsi="Times New Roman" w:cs="Times New Roman"/>
          <w:color w:val="4C4747"/>
          <w:spacing w:val="20"/>
          <w:sz w:val="24"/>
          <w:szCs w:val="24"/>
          <w:lang w:val="es-DO"/>
        </w:rPr>
        <w:t>os encontramos en un proceso</w:t>
      </w:r>
      <w:r w:rsidRPr="002677EC">
        <w:rPr>
          <w:rFonts w:ascii="Times New Roman" w:eastAsia="Calibri" w:hAnsi="Times New Roman" w:cs="Times New Roman"/>
          <w:color w:val="4C4747"/>
          <w:spacing w:val="20"/>
          <w:sz w:val="24"/>
          <w:szCs w:val="24"/>
          <w:lang w:val="es-DO"/>
        </w:rPr>
        <w:t xml:space="preserve"> de </w:t>
      </w:r>
      <w:r w:rsidR="002677EC" w:rsidRPr="002677EC">
        <w:rPr>
          <w:rFonts w:ascii="Times New Roman" w:eastAsia="Calibri" w:hAnsi="Times New Roman" w:cs="Times New Roman"/>
          <w:color w:val="4C4747"/>
          <w:spacing w:val="20"/>
          <w:sz w:val="24"/>
          <w:szCs w:val="24"/>
          <w:lang w:val="es-DO"/>
        </w:rPr>
        <w:t xml:space="preserve">actualizar </w:t>
      </w:r>
      <w:r w:rsidRPr="002677EC">
        <w:rPr>
          <w:rFonts w:ascii="Times New Roman" w:eastAsia="Calibri" w:hAnsi="Times New Roman" w:cs="Times New Roman"/>
          <w:color w:val="4C4747"/>
          <w:spacing w:val="20"/>
          <w:sz w:val="24"/>
          <w:szCs w:val="24"/>
          <w:lang w:val="es-DO"/>
        </w:rPr>
        <w:t>el Plan Na</w:t>
      </w:r>
      <w:r w:rsidRPr="000E66D4">
        <w:rPr>
          <w:rFonts w:ascii="Times New Roman" w:eastAsia="Calibri" w:hAnsi="Times New Roman" w:cs="Times New Roman"/>
          <w:color w:val="4C4747"/>
          <w:spacing w:val="20"/>
          <w:sz w:val="24"/>
          <w:szCs w:val="24"/>
          <w:lang w:val="es-DO"/>
        </w:rPr>
        <w:t xml:space="preserve">cional de Atribución de Frecuencias (PNAF), el cual consiste en la realización de una revisión exhaustiva del mismo para descartar las informaciones desactualizadas e incorporar nuevas informaciones relativas a las atribuciones de frecuencias, así como corregir errores </w:t>
      </w:r>
      <w:r w:rsidRPr="000E66D4">
        <w:rPr>
          <w:rFonts w:ascii="Times New Roman" w:eastAsia="Calibri" w:hAnsi="Times New Roman" w:cs="Times New Roman"/>
          <w:color w:val="4C4747"/>
          <w:spacing w:val="20"/>
          <w:sz w:val="24"/>
          <w:szCs w:val="24"/>
          <w:lang w:val="es-DO"/>
        </w:rPr>
        <w:lastRenderedPageBreak/>
        <w:t>en el caso de q</w:t>
      </w:r>
      <w:r w:rsidR="00E27AE4" w:rsidRPr="000E66D4">
        <w:rPr>
          <w:rFonts w:ascii="Times New Roman" w:eastAsia="Calibri" w:hAnsi="Times New Roman" w:cs="Times New Roman"/>
          <w:color w:val="4C4747"/>
          <w:spacing w:val="20"/>
          <w:sz w:val="24"/>
          <w:szCs w:val="24"/>
          <w:lang w:val="es-DO"/>
        </w:rPr>
        <w:t>ue la versión actual los tenga.</w:t>
      </w:r>
    </w:p>
    <w:p w14:paraId="24CFB540" w14:textId="04586D25" w:rsidR="009B2515" w:rsidRPr="000E66D4" w:rsidRDefault="00002276" w:rsidP="00E27AE4">
      <w:pPr>
        <w:spacing w:before="240" w:line="360" w:lineRule="auto"/>
        <w:jc w:val="both"/>
        <w:rPr>
          <w:rFonts w:ascii="Times New Roman" w:eastAsia="Calibri" w:hAnsi="Times New Roman" w:cs="Times New Roman"/>
          <w:b/>
          <w:color w:val="4C4747"/>
          <w:spacing w:val="20"/>
          <w:sz w:val="24"/>
          <w:szCs w:val="24"/>
          <w:lang w:val="es-DO"/>
        </w:rPr>
      </w:pPr>
      <w:r w:rsidRPr="000E66D4">
        <w:rPr>
          <w:rFonts w:ascii="Times New Roman" w:eastAsia="Calibri" w:hAnsi="Times New Roman" w:cs="Times New Roman"/>
          <w:b/>
          <w:color w:val="4C4747"/>
          <w:spacing w:val="20"/>
          <w:sz w:val="24"/>
          <w:szCs w:val="24"/>
          <w:lang w:val="es-DO"/>
        </w:rPr>
        <w:t>Comprobaciones técnicas del e</w:t>
      </w:r>
      <w:r w:rsidR="009B2515" w:rsidRPr="000E66D4">
        <w:rPr>
          <w:rFonts w:ascii="Times New Roman" w:eastAsia="Calibri" w:hAnsi="Times New Roman" w:cs="Times New Roman"/>
          <w:b/>
          <w:color w:val="4C4747"/>
          <w:spacing w:val="20"/>
          <w:sz w:val="24"/>
          <w:szCs w:val="24"/>
          <w:lang w:val="es-DO"/>
        </w:rPr>
        <w:t>spectro</w:t>
      </w:r>
    </w:p>
    <w:p w14:paraId="31BD4693" w14:textId="57A57BD7" w:rsidR="00243839" w:rsidRPr="000E66D4" w:rsidRDefault="00E27AE4" w:rsidP="00E27AE4">
      <w:pPr>
        <w:spacing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Actividades</w:t>
      </w:r>
      <w:r w:rsidR="009B2515" w:rsidRPr="000E66D4">
        <w:rPr>
          <w:rFonts w:ascii="Times New Roman" w:eastAsia="Calibri" w:hAnsi="Times New Roman" w:cs="Times New Roman"/>
          <w:color w:val="4C4747"/>
          <w:spacing w:val="20"/>
          <w:sz w:val="24"/>
          <w:szCs w:val="24"/>
          <w:lang w:val="es-DO"/>
        </w:rPr>
        <w:t xml:space="preserve"> que se realizan con el objetivo de man</w:t>
      </w:r>
      <w:r w:rsidR="00002276" w:rsidRPr="000E66D4">
        <w:rPr>
          <w:rFonts w:ascii="Times New Roman" w:eastAsia="Calibri" w:hAnsi="Times New Roman" w:cs="Times New Roman"/>
          <w:color w:val="4C4747"/>
          <w:spacing w:val="20"/>
          <w:sz w:val="24"/>
          <w:szCs w:val="24"/>
          <w:lang w:val="es-DO"/>
        </w:rPr>
        <w:t>tener el control en el uso del espectro r</w:t>
      </w:r>
      <w:r w:rsidR="009B2515" w:rsidRPr="000E66D4">
        <w:rPr>
          <w:rFonts w:ascii="Times New Roman" w:eastAsia="Calibri" w:hAnsi="Times New Roman" w:cs="Times New Roman"/>
          <w:color w:val="4C4747"/>
          <w:spacing w:val="20"/>
          <w:sz w:val="24"/>
          <w:szCs w:val="24"/>
          <w:lang w:val="es-DO"/>
        </w:rPr>
        <w:t>adioeléctrico, además de solucionar interferencias entre prestadoras y detección de emisiones no autorizadas, dando como resultado la solución a las interferencias perjudiciales que reciben las prestadoras, así como también, generando la clausura de est</w:t>
      </w:r>
      <w:r w:rsidRPr="000E66D4">
        <w:rPr>
          <w:rFonts w:ascii="Times New Roman" w:eastAsia="Calibri" w:hAnsi="Times New Roman" w:cs="Times New Roman"/>
          <w:color w:val="4C4747"/>
          <w:spacing w:val="20"/>
          <w:sz w:val="24"/>
          <w:szCs w:val="24"/>
          <w:lang w:val="es-DO"/>
        </w:rPr>
        <w:t>aciones no autorizadas.</w:t>
      </w:r>
    </w:p>
    <w:p w14:paraId="0249E66B" w14:textId="61320F6B" w:rsidR="009B2515" w:rsidRPr="000E66D4" w:rsidRDefault="009B2515" w:rsidP="00E27AE4">
      <w:pPr>
        <w:spacing w:before="24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color w:val="4C4747"/>
          <w:spacing w:val="20"/>
          <w:sz w:val="24"/>
          <w:szCs w:val="24"/>
          <w:lang w:val="es-DO"/>
        </w:rPr>
        <w:t xml:space="preserve">En este período se trabajaron un total de 198 </w:t>
      </w:r>
      <w:r w:rsidR="00E35F7C" w:rsidRPr="000E66D4">
        <w:rPr>
          <w:rFonts w:ascii="Times New Roman" w:eastAsia="Calibri" w:hAnsi="Times New Roman" w:cs="Times New Roman"/>
          <w:color w:val="4C4747"/>
          <w:spacing w:val="20"/>
          <w:sz w:val="24"/>
          <w:szCs w:val="24"/>
          <w:lang w:val="es-DO"/>
        </w:rPr>
        <w:t>comprobaciones</w:t>
      </w:r>
      <w:r w:rsidRPr="000E66D4">
        <w:rPr>
          <w:rFonts w:ascii="Times New Roman" w:eastAsia="Calibri" w:hAnsi="Times New Roman" w:cs="Times New Roman"/>
          <w:color w:val="4C4747"/>
          <w:spacing w:val="20"/>
          <w:sz w:val="24"/>
          <w:szCs w:val="24"/>
          <w:lang w:val="es-DO"/>
        </w:rPr>
        <w:t>, relacionados a denuncias de interferencias, comprobación del espectro y detecciones de estaciones ilegales, los cuales se encuentran detallado</w:t>
      </w:r>
      <w:r w:rsidR="00314B29" w:rsidRPr="000E66D4">
        <w:rPr>
          <w:rFonts w:ascii="Times New Roman" w:eastAsia="Calibri" w:hAnsi="Times New Roman" w:cs="Times New Roman"/>
          <w:color w:val="4C4747"/>
          <w:spacing w:val="20"/>
          <w:sz w:val="24"/>
          <w:szCs w:val="24"/>
          <w:lang w:val="es-DO"/>
        </w:rPr>
        <w:t>s en la gráfica a continuación:</w:t>
      </w:r>
    </w:p>
    <w:p w14:paraId="63B91DA1" w14:textId="75A07E82" w:rsidR="00BE6A84" w:rsidRPr="000E66D4" w:rsidRDefault="009B2515" w:rsidP="00E27AE4">
      <w:pPr>
        <w:spacing w:before="240" w:line="360" w:lineRule="auto"/>
        <w:jc w:val="both"/>
        <w:rPr>
          <w:rFonts w:ascii="Times New Roman" w:eastAsia="Calibri" w:hAnsi="Times New Roman" w:cs="Times New Roman"/>
          <w:color w:val="4C4747"/>
          <w:spacing w:val="20"/>
          <w:sz w:val="24"/>
          <w:szCs w:val="24"/>
          <w:lang w:val="es-DO"/>
        </w:rPr>
      </w:pPr>
      <w:r w:rsidRPr="000E66D4">
        <w:rPr>
          <w:rFonts w:ascii="Times New Roman" w:eastAsia="Calibri" w:hAnsi="Times New Roman" w:cs="Times New Roman"/>
          <w:noProof/>
          <w:color w:val="4C4747"/>
          <w:sz w:val="24"/>
          <w:szCs w:val="24"/>
        </w:rPr>
        <w:lastRenderedPageBreak/>
        <w:drawing>
          <wp:anchor distT="0" distB="0" distL="114300" distR="114300" simplePos="0" relativeHeight="251726848" behindDoc="0" locked="0" layoutInCell="1" allowOverlap="1" wp14:anchorId="4A2BF89E" wp14:editId="49DE70F7">
            <wp:simplePos x="0" y="0"/>
            <wp:positionH relativeFrom="column">
              <wp:posOffset>0</wp:posOffset>
            </wp:positionH>
            <wp:positionV relativeFrom="paragraph">
              <wp:posOffset>0</wp:posOffset>
            </wp:positionV>
            <wp:extent cx="5029200" cy="4415698"/>
            <wp:effectExtent l="0" t="0" r="0" b="4445"/>
            <wp:wrapThrough wrapText="bothSides">
              <wp:wrapPolygon edited="0">
                <wp:start x="0" y="0"/>
                <wp:lineTo x="0" y="21529"/>
                <wp:lineTo x="21518" y="21529"/>
                <wp:lineTo x="21518" y="0"/>
                <wp:lineTo x="0" y="0"/>
              </wp:wrapPolygon>
            </wp:wrapThrough>
            <wp:docPr id="2053" name="Gráfico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0E66D4">
        <w:rPr>
          <w:rFonts w:ascii="Times New Roman" w:eastAsia="Calibri" w:hAnsi="Times New Roman" w:cs="Times New Roman"/>
          <w:b/>
          <w:color w:val="4C4747"/>
          <w:spacing w:val="20"/>
          <w:sz w:val="18"/>
          <w:szCs w:val="24"/>
          <w:lang w:val="es-DO"/>
        </w:rPr>
        <w:t>Fuente:</w:t>
      </w:r>
      <w:r w:rsidRPr="000E66D4">
        <w:rPr>
          <w:rFonts w:ascii="Times New Roman" w:eastAsia="Calibri" w:hAnsi="Times New Roman" w:cs="Times New Roman"/>
          <w:color w:val="4C4747"/>
          <w:spacing w:val="20"/>
          <w:sz w:val="18"/>
          <w:szCs w:val="24"/>
          <w:lang w:val="es-DO"/>
        </w:rPr>
        <w:t xml:space="preserve"> Dirección de Espectro Radioeléctrico</w:t>
      </w:r>
    </w:p>
    <w:p w14:paraId="6CC99822" w14:textId="3C7B7CFE" w:rsidR="009B2515" w:rsidRPr="007C16C5" w:rsidRDefault="009B2515" w:rsidP="00E27AE4">
      <w:pPr>
        <w:spacing w:before="240" w:line="360" w:lineRule="auto"/>
        <w:jc w:val="both"/>
        <w:rPr>
          <w:rFonts w:ascii="Times New Roman" w:eastAsia="Calibri" w:hAnsi="Times New Roman" w:cs="Times New Roman"/>
          <w:b/>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 xml:space="preserve">Eficientización </w:t>
      </w:r>
      <w:r w:rsidR="00314B29" w:rsidRPr="007C16C5">
        <w:rPr>
          <w:rFonts w:ascii="Times New Roman" w:eastAsia="Calibri" w:hAnsi="Times New Roman" w:cs="Times New Roman"/>
          <w:b/>
          <w:color w:val="4C4747"/>
          <w:spacing w:val="20"/>
          <w:sz w:val="24"/>
          <w:szCs w:val="24"/>
          <w:lang w:val="es-DO"/>
        </w:rPr>
        <w:t>e</w:t>
      </w:r>
      <w:r w:rsidRPr="007C16C5">
        <w:rPr>
          <w:rFonts w:ascii="Times New Roman" w:eastAsia="Calibri" w:hAnsi="Times New Roman" w:cs="Times New Roman"/>
          <w:b/>
          <w:color w:val="4C4747"/>
          <w:spacing w:val="20"/>
          <w:sz w:val="24"/>
          <w:szCs w:val="24"/>
          <w:lang w:val="es-DO"/>
        </w:rPr>
        <w:t xml:space="preserve">nergética </w:t>
      </w:r>
      <w:r w:rsidR="00314B29" w:rsidRPr="007C16C5">
        <w:rPr>
          <w:rFonts w:ascii="Times New Roman" w:eastAsia="Calibri" w:hAnsi="Times New Roman" w:cs="Times New Roman"/>
          <w:b/>
          <w:color w:val="4C4747"/>
          <w:spacing w:val="20"/>
          <w:sz w:val="24"/>
          <w:szCs w:val="24"/>
          <w:lang w:val="es-DO"/>
        </w:rPr>
        <w:t>del sistema de monitoreo del espectro r</w:t>
      </w:r>
      <w:r w:rsidRPr="007C16C5">
        <w:rPr>
          <w:rFonts w:ascii="Times New Roman" w:eastAsia="Calibri" w:hAnsi="Times New Roman" w:cs="Times New Roman"/>
          <w:b/>
          <w:color w:val="4C4747"/>
          <w:spacing w:val="20"/>
          <w:sz w:val="24"/>
          <w:szCs w:val="24"/>
          <w:lang w:val="es-DO"/>
        </w:rPr>
        <w:t>adioeléctrico</w:t>
      </w:r>
    </w:p>
    <w:p w14:paraId="42238B19" w14:textId="0985330D" w:rsidR="001D3CC6" w:rsidRPr="007C16C5" w:rsidRDefault="001D3CC6" w:rsidP="001D3CC6">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Como</w:t>
      </w:r>
      <w:r w:rsidR="00E27AE4" w:rsidRPr="007C16C5">
        <w:rPr>
          <w:rFonts w:ascii="Times New Roman" w:eastAsia="Calibri" w:hAnsi="Times New Roman" w:cs="Times New Roman"/>
          <w:color w:val="4C4747"/>
          <w:spacing w:val="20"/>
          <w:sz w:val="24"/>
          <w:szCs w:val="24"/>
          <w:lang w:val="es-DO"/>
        </w:rPr>
        <w:t xml:space="preserve"> parte de las mejoras que se ha</w:t>
      </w:r>
      <w:r w:rsidRPr="007C16C5">
        <w:rPr>
          <w:rFonts w:ascii="Times New Roman" w:eastAsia="Calibri" w:hAnsi="Times New Roman" w:cs="Times New Roman"/>
          <w:color w:val="4C4747"/>
          <w:spacing w:val="20"/>
          <w:sz w:val="24"/>
          <w:szCs w:val="24"/>
          <w:lang w:val="es-DO"/>
        </w:rPr>
        <w:t xml:space="preserve"> realizado al sistema de monitoreo del espectro radioeléctrico y a su vez reducción de gastos operativos relacionados al consumo de combustible y mantenimiento, se cuenta con una estación de monitoreo remota en Barahona, la cual opera con planta eléctrica todo el tiempo, debido a que para instalar energía comercial al lugar no había presupuesto. </w:t>
      </w:r>
    </w:p>
    <w:p w14:paraId="689C1AD7" w14:textId="77777777" w:rsidR="001D3CC6" w:rsidRPr="007C16C5" w:rsidRDefault="001D3CC6" w:rsidP="001D3CC6">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Por esta razón, se planificó la instalación de un sistema fotovoltaico con una autonomía de hasta 48 horas sin luz solar. Con este sistema la estación remota funcionaría sin la necesidad de utilizar ningún otro </w:t>
      </w:r>
      <w:r w:rsidRPr="007C16C5">
        <w:rPr>
          <w:rFonts w:ascii="Times New Roman" w:eastAsia="Calibri" w:hAnsi="Times New Roman" w:cs="Times New Roman"/>
          <w:color w:val="4C4747"/>
          <w:spacing w:val="20"/>
          <w:sz w:val="24"/>
          <w:szCs w:val="24"/>
          <w:lang w:val="es-DO"/>
        </w:rPr>
        <w:lastRenderedPageBreak/>
        <w:t>tipo de energía, en este sentido la planta eléctrica sería utilizada solamente en casos de emergencia.</w:t>
      </w:r>
    </w:p>
    <w:p w14:paraId="47BEA55D" w14:textId="771EE807" w:rsidR="001D3CC6" w:rsidRPr="007C16C5" w:rsidRDefault="001D3CC6" w:rsidP="001D3CC6">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En esta etapa, el proyecto fue adjudicado a una empresa y los trabajos de instalación están planificados para comenzar el 6 diciembre de 2022, por lo que s</w:t>
      </w:r>
      <w:r w:rsidR="00E27AE4" w:rsidRPr="007C16C5">
        <w:rPr>
          <w:rFonts w:ascii="Times New Roman" w:eastAsia="Calibri" w:hAnsi="Times New Roman" w:cs="Times New Roman"/>
          <w:color w:val="4C4747"/>
          <w:spacing w:val="20"/>
          <w:sz w:val="24"/>
          <w:szCs w:val="24"/>
          <w:lang w:val="es-DO"/>
        </w:rPr>
        <w:t>e espera</w:t>
      </w:r>
      <w:r w:rsidRPr="007C16C5">
        <w:rPr>
          <w:rFonts w:ascii="Times New Roman" w:eastAsia="Calibri" w:hAnsi="Times New Roman" w:cs="Times New Roman"/>
          <w:color w:val="4C4747"/>
          <w:spacing w:val="20"/>
          <w:sz w:val="24"/>
          <w:szCs w:val="24"/>
          <w:lang w:val="es-DO"/>
        </w:rPr>
        <w:t xml:space="preserve"> que la puesta en funcionamiento del sistema sea a finales del mes de diciembre de 2022.</w:t>
      </w:r>
    </w:p>
    <w:p w14:paraId="5E4393A0"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61835C01"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076D8E60"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10FB9D98"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1FD983D9"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76A3D513"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0632316B"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4E9E7E8E"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40015524"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0E2C1A3A"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4CF6D5DF"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3477ABB2"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6E02A3C7"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7651FA82"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420438C0" w14:textId="77777777" w:rsidR="002A40D6" w:rsidRDefault="002A40D6" w:rsidP="001D3CC6">
      <w:pPr>
        <w:spacing w:line="360" w:lineRule="auto"/>
        <w:jc w:val="both"/>
        <w:rPr>
          <w:rFonts w:ascii="Times New Roman" w:eastAsia="Calibri" w:hAnsi="Times New Roman" w:cs="Times New Roman"/>
          <w:color w:val="4C4747"/>
          <w:spacing w:val="20"/>
          <w:sz w:val="24"/>
          <w:szCs w:val="24"/>
          <w:lang w:val="es-DO"/>
        </w:rPr>
      </w:pPr>
    </w:p>
    <w:p w14:paraId="3701EA67" w14:textId="77777777" w:rsidR="002A40D6" w:rsidRPr="009A25BD" w:rsidRDefault="002A40D6" w:rsidP="001D3CC6">
      <w:pPr>
        <w:spacing w:line="360" w:lineRule="auto"/>
        <w:jc w:val="both"/>
        <w:rPr>
          <w:rFonts w:ascii="Times New Roman" w:eastAsia="Calibri" w:hAnsi="Times New Roman" w:cs="Times New Roman"/>
          <w:color w:val="4C4747"/>
          <w:spacing w:val="20"/>
          <w:sz w:val="24"/>
          <w:szCs w:val="24"/>
          <w:lang w:val="es-DO"/>
        </w:rPr>
      </w:pPr>
    </w:p>
    <w:p w14:paraId="5F8A4449" w14:textId="77777777" w:rsidR="002A40D6" w:rsidRPr="009A25BD" w:rsidRDefault="002A40D6" w:rsidP="001D3CC6">
      <w:pPr>
        <w:spacing w:line="360" w:lineRule="auto"/>
        <w:jc w:val="both"/>
        <w:rPr>
          <w:rFonts w:ascii="Times New Roman" w:eastAsia="Calibri" w:hAnsi="Times New Roman" w:cs="Times New Roman"/>
          <w:color w:val="4C4747"/>
          <w:spacing w:val="20"/>
          <w:sz w:val="24"/>
          <w:szCs w:val="24"/>
          <w:lang w:val="es-DO"/>
        </w:rPr>
      </w:pPr>
    </w:p>
    <w:p w14:paraId="5929E232" w14:textId="053C0043" w:rsidR="0083303F" w:rsidRPr="009A25BD" w:rsidRDefault="009A6D07" w:rsidP="009A6D07">
      <w:pPr>
        <w:keepNext/>
        <w:spacing w:before="240" w:after="60" w:line="360" w:lineRule="auto"/>
        <w:contextualSpacing/>
        <w:jc w:val="both"/>
        <w:outlineLvl w:val="2"/>
        <w:rPr>
          <w:rFonts w:ascii="Times New Roman" w:eastAsia="Times New Roman" w:hAnsi="Times New Roman" w:cs="Times New Roman"/>
          <w:b/>
          <w:bCs/>
          <w:color w:val="4C4747"/>
          <w:sz w:val="24"/>
          <w:szCs w:val="26"/>
          <w:lang w:val="es-DO" w:eastAsia="es-DO"/>
        </w:rPr>
      </w:pPr>
      <w:bookmarkStart w:id="14" w:name="_Toc122425236"/>
      <w:r w:rsidRPr="009A25BD">
        <w:rPr>
          <w:rFonts w:ascii="Times New Roman" w:eastAsia="Times New Roman" w:hAnsi="Times New Roman" w:cs="Times New Roman"/>
          <w:b/>
          <w:bCs/>
          <w:color w:val="4C4747"/>
          <w:sz w:val="24"/>
          <w:szCs w:val="26"/>
          <w:lang w:val="es-DO" w:eastAsia="es-DO"/>
        </w:rPr>
        <w:lastRenderedPageBreak/>
        <w:t xml:space="preserve">3.3 </w:t>
      </w:r>
      <w:r w:rsidR="00650DCD" w:rsidRPr="009A25BD">
        <w:rPr>
          <w:rFonts w:ascii="Times New Roman" w:eastAsia="Times New Roman" w:hAnsi="Times New Roman" w:cs="Times New Roman"/>
          <w:b/>
          <w:bCs/>
          <w:color w:val="4C4747"/>
          <w:sz w:val="24"/>
          <w:szCs w:val="26"/>
          <w:lang w:val="es-DO" w:eastAsia="es-DO"/>
        </w:rPr>
        <w:t>Fiscalización</w:t>
      </w:r>
      <w:bookmarkEnd w:id="14"/>
    </w:p>
    <w:p w14:paraId="6F989BEC" w14:textId="77777777" w:rsidR="00374E11" w:rsidRPr="009A25BD" w:rsidRDefault="00374E11" w:rsidP="00374E11">
      <w:pPr>
        <w:spacing w:before="240"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xml:space="preserve">El INDOTEL tiene la labor de fiscalizar el cumplimiento de las obligaciones a cargo de los agentes regulados del sector de las telecomunicaciones y/o aquellos que incurran en la prestación u operación de servicios de telecomunicaciones sin el correspondiente título habilitante. </w:t>
      </w:r>
    </w:p>
    <w:p w14:paraId="4CA294A9" w14:textId="04D5E03A" w:rsidR="00374E11" w:rsidRPr="009A25BD" w:rsidRDefault="00374E11" w:rsidP="00E14BA7">
      <w:pPr>
        <w:spacing w:before="240"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xml:space="preserve">En el período comprendido de enero a </w:t>
      </w:r>
      <w:r w:rsidR="00ED6B17" w:rsidRPr="009A25BD">
        <w:rPr>
          <w:rFonts w:ascii="Times New Roman" w:eastAsia="Calibri" w:hAnsi="Times New Roman" w:cs="Times New Roman"/>
          <w:color w:val="4C4747"/>
          <w:spacing w:val="20"/>
          <w:sz w:val="24"/>
          <w:szCs w:val="24"/>
          <w:lang w:val="es-DO"/>
        </w:rPr>
        <w:t xml:space="preserve">noviembre </w:t>
      </w:r>
      <w:r w:rsidRPr="009A25BD">
        <w:rPr>
          <w:rFonts w:ascii="Times New Roman" w:eastAsia="Calibri" w:hAnsi="Times New Roman" w:cs="Times New Roman"/>
          <w:color w:val="4C4747"/>
          <w:spacing w:val="20"/>
          <w:sz w:val="24"/>
          <w:szCs w:val="24"/>
          <w:lang w:val="es-DO"/>
        </w:rPr>
        <w:t xml:space="preserve">del año 2022, se </w:t>
      </w:r>
      <w:r w:rsidR="00243839" w:rsidRPr="009A25BD">
        <w:rPr>
          <w:rFonts w:ascii="Times New Roman" w:eastAsia="Calibri" w:hAnsi="Times New Roman" w:cs="Times New Roman"/>
          <w:color w:val="4C4747"/>
          <w:spacing w:val="20"/>
          <w:sz w:val="24"/>
          <w:szCs w:val="24"/>
          <w:lang w:val="es-DO"/>
        </w:rPr>
        <w:t>llevó</w:t>
      </w:r>
      <w:r w:rsidRPr="009A25BD">
        <w:rPr>
          <w:rFonts w:ascii="Times New Roman" w:eastAsia="Calibri" w:hAnsi="Times New Roman" w:cs="Times New Roman"/>
          <w:color w:val="4C4747"/>
          <w:spacing w:val="20"/>
          <w:sz w:val="24"/>
          <w:szCs w:val="24"/>
          <w:lang w:val="es-DO"/>
        </w:rPr>
        <w:t xml:space="preserve"> a cabo </w:t>
      </w:r>
      <w:r w:rsidR="00DB5745" w:rsidRPr="009A25BD">
        <w:rPr>
          <w:rFonts w:ascii="Times New Roman" w:eastAsia="Calibri" w:hAnsi="Times New Roman" w:cs="Times New Roman"/>
          <w:color w:val="4C4747"/>
          <w:spacing w:val="20"/>
          <w:sz w:val="24"/>
          <w:szCs w:val="24"/>
          <w:lang w:val="es-DO"/>
        </w:rPr>
        <w:t xml:space="preserve">una </w:t>
      </w:r>
      <w:r w:rsidRPr="009A25BD">
        <w:rPr>
          <w:rFonts w:ascii="Times New Roman" w:eastAsia="Calibri" w:hAnsi="Times New Roman" w:cs="Times New Roman"/>
          <w:color w:val="4C4747"/>
          <w:spacing w:val="20"/>
          <w:sz w:val="24"/>
          <w:szCs w:val="24"/>
          <w:lang w:val="es-DO"/>
        </w:rPr>
        <w:t xml:space="preserve">efectiva labor de fiscalización, investigación, supervisión, comprobación, localización </w:t>
      </w:r>
      <w:r w:rsidR="003A6538" w:rsidRPr="009A25BD">
        <w:rPr>
          <w:rFonts w:ascii="Times New Roman" w:eastAsia="Calibri" w:hAnsi="Times New Roman" w:cs="Times New Roman"/>
          <w:color w:val="4C4747"/>
          <w:spacing w:val="20"/>
          <w:sz w:val="24"/>
          <w:szCs w:val="24"/>
          <w:lang w:val="es-DO"/>
        </w:rPr>
        <w:t>de operaciones de</w:t>
      </w:r>
      <w:r w:rsidRPr="009A25BD">
        <w:rPr>
          <w:rFonts w:ascii="Times New Roman" w:eastAsia="Calibri" w:hAnsi="Times New Roman" w:cs="Times New Roman"/>
          <w:color w:val="4C4747"/>
          <w:spacing w:val="20"/>
          <w:sz w:val="24"/>
          <w:szCs w:val="24"/>
          <w:lang w:val="es-DO"/>
        </w:rPr>
        <w:t xml:space="preserve"> estaciones de radiodifusión sonora </w:t>
      </w:r>
      <w:r w:rsidR="00090FB3" w:rsidRPr="009A25BD">
        <w:rPr>
          <w:rFonts w:ascii="Times New Roman" w:eastAsia="Calibri" w:hAnsi="Times New Roman" w:cs="Times New Roman"/>
          <w:color w:val="4C4747"/>
          <w:spacing w:val="20"/>
          <w:sz w:val="24"/>
          <w:szCs w:val="24"/>
          <w:lang w:val="es-DO"/>
        </w:rPr>
        <w:t xml:space="preserve">y </w:t>
      </w:r>
      <w:r w:rsidRPr="009A25BD">
        <w:rPr>
          <w:rFonts w:ascii="Times New Roman" w:eastAsia="Calibri" w:hAnsi="Times New Roman" w:cs="Times New Roman"/>
          <w:color w:val="4C4747"/>
          <w:spacing w:val="20"/>
          <w:sz w:val="24"/>
          <w:szCs w:val="24"/>
          <w:lang w:val="es-DO"/>
        </w:rPr>
        <w:t>televisiva en sus respectivas bandas de frecuencias</w:t>
      </w:r>
      <w:r w:rsidR="004D5ADB" w:rsidRPr="009A25BD">
        <w:rPr>
          <w:rFonts w:ascii="Times New Roman" w:eastAsia="Calibri" w:hAnsi="Times New Roman" w:cs="Times New Roman"/>
          <w:color w:val="4C4747"/>
          <w:spacing w:val="20"/>
          <w:sz w:val="24"/>
          <w:szCs w:val="24"/>
          <w:lang w:val="es-DO"/>
        </w:rPr>
        <w:t xml:space="preserve"> y en el servicio de difusión por cable con el objetivo de </w:t>
      </w:r>
      <w:r w:rsidRPr="009A25BD">
        <w:rPr>
          <w:rFonts w:ascii="Times New Roman" w:eastAsia="Calibri" w:hAnsi="Times New Roman" w:cs="Times New Roman"/>
          <w:color w:val="4C4747"/>
          <w:spacing w:val="20"/>
          <w:sz w:val="24"/>
          <w:szCs w:val="24"/>
          <w:lang w:val="es-DO"/>
        </w:rPr>
        <w:t xml:space="preserve">evitar </w:t>
      </w:r>
      <w:r w:rsidR="004D5ADB" w:rsidRPr="009A25BD">
        <w:rPr>
          <w:rFonts w:ascii="Times New Roman" w:eastAsia="Calibri" w:hAnsi="Times New Roman" w:cs="Times New Roman"/>
          <w:color w:val="4C4747"/>
          <w:spacing w:val="20"/>
          <w:sz w:val="24"/>
          <w:szCs w:val="24"/>
          <w:lang w:val="es-DO"/>
        </w:rPr>
        <w:t>la prestación sin autorización de los servicios de telecomunicaciones,  así como el</w:t>
      </w:r>
      <w:r w:rsidRPr="009A25BD">
        <w:rPr>
          <w:rFonts w:ascii="Times New Roman" w:eastAsia="Calibri" w:hAnsi="Times New Roman" w:cs="Times New Roman"/>
          <w:color w:val="4C4747"/>
          <w:spacing w:val="20"/>
          <w:sz w:val="24"/>
          <w:szCs w:val="24"/>
          <w:lang w:val="es-DO"/>
        </w:rPr>
        <w:t xml:space="preserve"> uso de frecuencias del espectro radioeléctrico sin autorización.  </w:t>
      </w:r>
    </w:p>
    <w:p w14:paraId="142DEED7" w14:textId="57175949" w:rsidR="00374E11" w:rsidRPr="009A25BD" w:rsidRDefault="007F00FF" w:rsidP="00E14BA7">
      <w:pPr>
        <w:spacing w:before="240"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Producto de la labor realizada</w:t>
      </w:r>
      <w:r w:rsidR="00374E11" w:rsidRPr="009A25BD">
        <w:rPr>
          <w:rFonts w:ascii="Times New Roman" w:eastAsia="Calibri" w:hAnsi="Times New Roman" w:cs="Times New Roman"/>
          <w:color w:val="4C4747"/>
          <w:spacing w:val="20"/>
          <w:sz w:val="24"/>
          <w:szCs w:val="24"/>
          <w:lang w:val="es-DO"/>
        </w:rPr>
        <w:t xml:space="preserve"> se procedió a </w:t>
      </w:r>
      <w:r w:rsidR="0015013D" w:rsidRPr="009A25BD">
        <w:rPr>
          <w:rFonts w:ascii="Times New Roman" w:eastAsia="Calibri" w:hAnsi="Times New Roman" w:cs="Times New Roman"/>
          <w:color w:val="4C4747"/>
          <w:spacing w:val="20"/>
          <w:sz w:val="24"/>
          <w:szCs w:val="24"/>
          <w:lang w:val="es-DO"/>
        </w:rPr>
        <w:t xml:space="preserve">la clausura e incautación de quince (15) </w:t>
      </w:r>
      <w:r w:rsidR="00374E11" w:rsidRPr="009A25BD">
        <w:rPr>
          <w:rFonts w:ascii="Times New Roman" w:eastAsia="Calibri" w:hAnsi="Times New Roman" w:cs="Times New Roman"/>
          <w:color w:val="4C4747"/>
          <w:spacing w:val="20"/>
          <w:sz w:val="24"/>
          <w:szCs w:val="24"/>
          <w:lang w:val="es-DO"/>
        </w:rPr>
        <w:t xml:space="preserve">estaciones </w:t>
      </w:r>
      <w:r w:rsidR="00B975B1" w:rsidRPr="009A25BD">
        <w:rPr>
          <w:rFonts w:ascii="Times New Roman" w:eastAsia="Calibri" w:hAnsi="Times New Roman" w:cs="Times New Roman"/>
          <w:color w:val="4C4747"/>
          <w:spacing w:val="20"/>
          <w:sz w:val="24"/>
          <w:szCs w:val="24"/>
          <w:lang w:val="es-DO"/>
        </w:rPr>
        <w:t xml:space="preserve">de </w:t>
      </w:r>
      <w:r w:rsidR="00374E11" w:rsidRPr="009A25BD">
        <w:rPr>
          <w:rFonts w:ascii="Times New Roman" w:eastAsia="Calibri" w:hAnsi="Times New Roman" w:cs="Times New Roman"/>
          <w:color w:val="4C4747"/>
          <w:spacing w:val="20"/>
          <w:sz w:val="24"/>
          <w:szCs w:val="24"/>
          <w:lang w:val="es-DO"/>
        </w:rPr>
        <w:t>radiodifusión sonora y una</w:t>
      </w:r>
      <w:r w:rsidR="0015013D" w:rsidRPr="009A25BD">
        <w:rPr>
          <w:rFonts w:ascii="Times New Roman" w:eastAsia="Calibri" w:hAnsi="Times New Roman" w:cs="Times New Roman"/>
          <w:color w:val="4C4747"/>
          <w:spacing w:val="20"/>
          <w:sz w:val="24"/>
          <w:szCs w:val="24"/>
          <w:lang w:val="es-DO"/>
        </w:rPr>
        <w:t xml:space="preserve"> (1)</w:t>
      </w:r>
      <w:r w:rsidR="00374E11" w:rsidRPr="009A25BD">
        <w:rPr>
          <w:rFonts w:ascii="Times New Roman" w:eastAsia="Calibri" w:hAnsi="Times New Roman" w:cs="Times New Roman"/>
          <w:color w:val="4C4747"/>
          <w:spacing w:val="20"/>
          <w:sz w:val="24"/>
          <w:szCs w:val="24"/>
          <w:lang w:val="es-DO"/>
        </w:rPr>
        <w:t xml:space="preserve"> estación de radiodifusión televisiva que operaban sin la autorización correspondiente. De igual forma fueron realizadas 314 inspecciones a estaciones autorizadas para prestar el servicio de radiodifusión sonora. Esto ha contribuido, además, a la desocupación de frecuencias licenciadas que estaban en uso sin autorización. </w:t>
      </w:r>
    </w:p>
    <w:p w14:paraId="4130609B" w14:textId="3EFA4679" w:rsidR="00374E11" w:rsidRPr="009A25BD" w:rsidRDefault="00374E11" w:rsidP="00E14BA7">
      <w:pPr>
        <w:spacing w:before="240"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xml:space="preserve">Atendiendo a denuncias de competencia desleal y de interferencia de señales, se procedió a la fiscalización de 58 denuncias de interferencias, así como </w:t>
      </w:r>
      <w:r w:rsidR="00275B5B" w:rsidRPr="009A25BD">
        <w:rPr>
          <w:rFonts w:ascii="Times New Roman" w:eastAsia="Calibri" w:hAnsi="Times New Roman" w:cs="Times New Roman"/>
          <w:color w:val="4C4747"/>
          <w:spacing w:val="20"/>
          <w:sz w:val="24"/>
          <w:szCs w:val="24"/>
          <w:lang w:val="es-DO"/>
        </w:rPr>
        <w:t>a</w:t>
      </w:r>
      <w:r w:rsidR="006B445C" w:rsidRPr="009A25BD">
        <w:rPr>
          <w:rFonts w:ascii="Times New Roman" w:eastAsia="Calibri" w:hAnsi="Times New Roman" w:cs="Times New Roman"/>
          <w:color w:val="4C4747"/>
          <w:spacing w:val="20"/>
          <w:sz w:val="24"/>
          <w:szCs w:val="24"/>
          <w:lang w:val="es-DO"/>
        </w:rPr>
        <w:t xml:space="preserve"> </w:t>
      </w:r>
      <w:r w:rsidRPr="009A25BD">
        <w:rPr>
          <w:rFonts w:ascii="Times New Roman" w:eastAsia="Calibri" w:hAnsi="Times New Roman" w:cs="Times New Roman"/>
          <w:color w:val="4C4747"/>
          <w:spacing w:val="20"/>
          <w:sz w:val="24"/>
          <w:szCs w:val="24"/>
          <w:lang w:val="es-DO"/>
        </w:rPr>
        <w:t xml:space="preserve">72 empresas de agentes de reventa del servicio de internet de las que se han clausurado 40 a la fecha. Además, se </w:t>
      </w:r>
      <w:r w:rsidR="007033AD" w:rsidRPr="009A25BD">
        <w:rPr>
          <w:rFonts w:ascii="Times New Roman" w:eastAsia="Calibri" w:hAnsi="Times New Roman" w:cs="Times New Roman"/>
          <w:color w:val="4C4747"/>
          <w:spacing w:val="20"/>
          <w:sz w:val="24"/>
          <w:szCs w:val="24"/>
          <w:lang w:val="es-DO"/>
        </w:rPr>
        <w:t xml:space="preserve">inspeccionaron </w:t>
      </w:r>
      <w:r w:rsidRPr="009A25BD">
        <w:rPr>
          <w:rFonts w:ascii="Times New Roman" w:eastAsia="Calibri" w:hAnsi="Times New Roman" w:cs="Times New Roman"/>
          <w:color w:val="4C4747"/>
          <w:spacing w:val="20"/>
          <w:sz w:val="24"/>
          <w:szCs w:val="24"/>
          <w:lang w:val="es-DO"/>
        </w:rPr>
        <w:t xml:space="preserve">57 concesionarias del servicio de difusión por cable en distintas partes del territorio nacional, resultando en la clausura de 5 </w:t>
      </w:r>
      <w:r w:rsidR="00090FB3" w:rsidRPr="009A25BD">
        <w:rPr>
          <w:rFonts w:ascii="Times New Roman" w:eastAsia="Calibri" w:hAnsi="Times New Roman" w:cs="Times New Roman"/>
          <w:color w:val="4C4747"/>
          <w:spacing w:val="20"/>
          <w:sz w:val="24"/>
          <w:szCs w:val="24"/>
          <w:lang w:val="es-DO"/>
        </w:rPr>
        <w:t>las cuales fueron</w:t>
      </w:r>
      <w:r w:rsidR="003A6538" w:rsidRPr="009A25BD">
        <w:rPr>
          <w:rFonts w:ascii="Times New Roman" w:eastAsia="Calibri" w:hAnsi="Times New Roman" w:cs="Times New Roman"/>
          <w:color w:val="4C4747"/>
          <w:spacing w:val="20"/>
          <w:sz w:val="24"/>
          <w:szCs w:val="24"/>
          <w:lang w:val="es-DO"/>
        </w:rPr>
        <w:t xml:space="preserve"> recomendadas para iniciarles </w:t>
      </w:r>
      <w:r w:rsidRPr="009A25BD">
        <w:rPr>
          <w:rFonts w:ascii="Times New Roman" w:eastAsia="Calibri" w:hAnsi="Times New Roman" w:cs="Times New Roman"/>
          <w:color w:val="4C4747"/>
          <w:spacing w:val="20"/>
          <w:sz w:val="24"/>
          <w:szCs w:val="24"/>
          <w:lang w:val="es-DO"/>
        </w:rPr>
        <w:t xml:space="preserve">los </w:t>
      </w:r>
      <w:r w:rsidRPr="009A25BD">
        <w:rPr>
          <w:rFonts w:ascii="Times New Roman" w:eastAsia="Calibri" w:hAnsi="Times New Roman" w:cs="Times New Roman"/>
          <w:color w:val="4C4747"/>
          <w:spacing w:val="20"/>
          <w:sz w:val="24"/>
          <w:szCs w:val="24"/>
          <w:lang w:val="es-DO"/>
        </w:rPr>
        <w:lastRenderedPageBreak/>
        <w:t xml:space="preserve">procesos sancionadores administrativos correspondientes. </w:t>
      </w:r>
    </w:p>
    <w:p w14:paraId="77F7047B" w14:textId="772A921A" w:rsidR="00374E11" w:rsidRPr="009A25BD" w:rsidRDefault="003A6538" w:rsidP="00374E11">
      <w:pPr>
        <w:spacing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xml:space="preserve">En materia de calidad se realizaron </w:t>
      </w:r>
      <w:r w:rsidR="00374E11" w:rsidRPr="009A25BD">
        <w:rPr>
          <w:rFonts w:ascii="Times New Roman" w:eastAsia="Calibri" w:hAnsi="Times New Roman" w:cs="Times New Roman"/>
          <w:color w:val="4C4747"/>
          <w:spacing w:val="20"/>
          <w:sz w:val="24"/>
          <w:szCs w:val="24"/>
          <w:lang w:val="es-DO"/>
        </w:rPr>
        <w:t>las mediciones o comprobaciones a nivel nacional con el Drive Test en la que se midieron nueve (9) indicadore</w:t>
      </w:r>
      <w:r w:rsidRPr="009A25BD">
        <w:rPr>
          <w:rFonts w:ascii="Times New Roman" w:eastAsia="Calibri" w:hAnsi="Times New Roman" w:cs="Times New Roman"/>
          <w:color w:val="4C4747"/>
          <w:spacing w:val="20"/>
          <w:sz w:val="24"/>
          <w:szCs w:val="24"/>
          <w:lang w:val="es-DO"/>
        </w:rPr>
        <w:t>s</w:t>
      </w:r>
      <w:r w:rsidR="00374E11" w:rsidRPr="009A25BD">
        <w:rPr>
          <w:rFonts w:ascii="Times New Roman" w:eastAsia="Calibri" w:hAnsi="Times New Roman" w:cs="Times New Roman"/>
          <w:color w:val="4C4747"/>
          <w:spacing w:val="20"/>
          <w:sz w:val="24"/>
          <w:szCs w:val="24"/>
          <w:lang w:val="es-DO"/>
        </w:rPr>
        <w:t xml:space="preserve"> se dieron a conocer por primera vez al país mediante publicación conforme lo establece la Norma de Calidad del Servicio de Telefonía y Acceso a Internet dictada por el Consejo Directivo del INDOTEL, mediante la Resolución número 016-15 de fecha 8 de julio de 2015. </w:t>
      </w:r>
    </w:p>
    <w:p w14:paraId="5A73CB48" w14:textId="5AD81301" w:rsidR="00374E11" w:rsidRPr="009A25BD" w:rsidRDefault="00090FB3" w:rsidP="00E14BA7">
      <w:pPr>
        <w:spacing w:before="240"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Esta información es</w:t>
      </w:r>
      <w:r w:rsidR="00374E11" w:rsidRPr="009A25BD">
        <w:rPr>
          <w:rFonts w:ascii="Times New Roman" w:eastAsia="Calibri" w:hAnsi="Times New Roman" w:cs="Times New Roman"/>
          <w:color w:val="4C4747"/>
          <w:spacing w:val="20"/>
          <w:sz w:val="24"/>
          <w:szCs w:val="24"/>
          <w:lang w:val="es-DO"/>
        </w:rPr>
        <w:t xml:space="preserve"> valiosa para los usuarios, </w:t>
      </w:r>
      <w:r w:rsidR="007F00FF" w:rsidRPr="009A25BD">
        <w:rPr>
          <w:rFonts w:ascii="Times New Roman" w:eastAsia="Calibri" w:hAnsi="Times New Roman" w:cs="Times New Roman"/>
          <w:color w:val="4C4747"/>
          <w:spacing w:val="20"/>
          <w:sz w:val="24"/>
          <w:szCs w:val="24"/>
          <w:lang w:val="es-DO"/>
        </w:rPr>
        <w:t>debido a que</w:t>
      </w:r>
      <w:r w:rsidR="00374E11" w:rsidRPr="009A25BD">
        <w:rPr>
          <w:rFonts w:ascii="Times New Roman" w:eastAsia="Calibri" w:hAnsi="Times New Roman" w:cs="Times New Roman"/>
          <w:color w:val="4C4747"/>
          <w:spacing w:val="20"/>
          <w:sz w:val="24"/>
          <w:szCs w:val="24"/>
          <w:lang w:val="es-DO"/>
        </w:rPr>
        <w:t xml:space="preserve"> ahora pueden tener una referencia objetiva para la selección de su prestador de servicios móviles, a la vez que promueve la mejora en los servicios por parte de las concesionarias.  </w:t>
      </w:r>
    </w:p>
    <w:p w14:paraId="274A78E0" w14:textId="77777777" w:rsidR="00374E11" w:rsidRPr="009A25BD" w:rsidRDefault="00374E11" w:rsidP="00E14BA7">
      <w:pPr>
        <w:spacing w:before="240"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xml:space="preserve">Dentro de este ámbito se realizó el análisis de 13 reportes trimestrales de calidad, contentivos de un promedio de 16 indicadores de calidad incluidos los tres operadores principales, para la evaluación de la calidad de prestación de los servicios de telefonía móvil y fija, mensajería corta de texto (SMS) e internet móvil y fijo a nivel nacional. </w:t>
      </w:r>
    </w:p>
    <w:p w14:paraId="6F0BFC8B" w14:textId="77777777" w:rsidR="00374E11" w:rsidRPr="009A25BD" w:rsidRDefault="00374E11" w:rsidP="00374E11">
      <w:pPr>
        <w:spacing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xml:space="preserve">Los análisis han sido realizados en virtud de lo establecido en la referida norma, por lo que estas actuaciones constituyen el cumplimiento a un mandato normativo que tiene como objetivo garantizar que los servicios públicos de telecomunicaciones están siendo prestados con la calidad, tal y como lo establece la Ley General de Telecomunicaciones número 153-98. </w:t>
      </w:r>
    </w:p>
    <w:p w14:paraId="6B6BCC94" w14:textId="77777777" w:rsidR="00F65C89" w:rsidRDefault="00374E11" w:rsidP="00374E11">
      <w:pPr>
        <w:spacing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En el mismo tenor del aseguramiento de la calidad, se h</w:t>
      </w:r>
      <w:r w:rsidR="00E14BA7" w:rsidRPr="009A25BD">
        <w:rPr>
          <w:rFonts w:ascii="Times New Roman" w:eastAsia="Calibri" w:hAnsi="Times New Roman" w:cs="Times New Roman"/>
          <w:color w:val="4C4747"/>
          <w:spacing w:val="20"/>
          <w:sz w:val="24"/>
          <w:szCs w:val="24"/>
          <w:lang w:val="es-DO"/>
        </w:rPr>
        <w:t>a mantenido la observancia del p</w:t>
      </w:r>
      <w:r w:rsidRPr="009A25BD">
        <w:rPr>
          <w:rFonts w:ascii="Times New Roman" w:eastAsia="Calibri" w:hAnsi="Times New Roman" w:cs="Times New Roman"/>
          <w:color w:val="4C4747"/>
          <w:spacing w:val="20"/>
          <w:sz w:val="24"/>
          <w:szCs w:val="24"/>
          <w:lang w:val="es-DO"/>
        </w:rPr>
        <w:t xml:space="preserve">rotocolo para el </w:t>
      </w:r>
      <w:r w:rsidR="002677EC" w:rsidRPr="009A25BD">
        <w:rPr>
          <w:rFonts w:ascii="Times New Roman" w:eastAsia="Calibri" w:hAnsi="Times New Roman" w:cs="Times New Roman"/>
          <w:color w:val="4C4747"/>
          <w:spacing w:val="20"/>
          <w:sz w:val="24"/>
          <w:szCs w:val="24"/>
          <w:lang w:val="es-DO"/>
        </w:rPr>
        <w:t>m</w:t>
      </w:r>
      <w:r w:rsidRPr="009A25BD">
        <w:rPr>
          <w:rFonts w:ascii="Times New Roman" w:eastAsia="Calibri" w:hAnsi="Times New Roman" w:cs="Times New Roman"/>
          <w:color w:val="4C4747"/>
          <w:spacing w:val="20"/>
          <w:sz w:val="24"/>
          <w:szCs w:val="24"/>
          <w:lang w:val="es-DO"/>
        </w:rPr>
        <w:t xml:space="preserve">anejo de las </w:t>
      </w:r>
      <w:r w:rsidR="002677EC" w:rsidRPr="009A25BD">
        <w:rPr>
          <w:rFonts w:ascii="Times New Roman" w:eastAsia="Calibri" w:hAnsi="Times New Roman" w:cs="Times New Roman"/>
          <w:color w:val="4C4747"/>
          <w:spacing w:val="20"/>
          <w:sz w:val="24"/>
          <w:szCs w:val="24"/>
          <w:lang w:val="es-DO"/>
        </w:rPr>
        <w:t>a</w:t>
      </w:r>
      <w:r w:rsidRPr="009A25BD">
        <w:rPr>
          <w:rFonts w:ascii="Times New Roman" w:eastAsia="Calibri" w:hAnsi="Times New Roman" w:cs="Times New Roman"/>
          <w:color w:val="4C4747"/>
          <w:spacing w:val="20"/>
          <w:sz w:val="24"/>
          <w:szCs w:val="24"/>
          <w:lang w:val="es-DO"/>
        </w:rPr>
        <w:t xml:space="preserve">verías </w:t>
      </w:r>
      <w:r w:rsidR="002677EC" w:rsidRPr="009A25BD">
        <w:rPr>
          <w:rFonts w:ascii="Times New Roman" w:eastAsia="Calibri" w:hAnsi="Times New Roman" w:cs="Times New Roman"/>
          <w:color w:val="4C4747"/>
          <w:spacing w:val="20"/>
          <w:sz w:val="24"/>
          <w:szCs w:val="24"/>
          <w:lang w:val="es-DO"/>
        </w:rPr>
        <w:t>t</w:t>
      </w:r>
      <w:r w:rsidRPr="009A25BD">
        <w:rPr>
          <w:rFonts w:ascii="Times New Roman" w:eastAsia="Calibri" w:hAnsi="Times New Roman" w:cs="Times New Roman"/>
          <w:color w:val="4C4747"/>
          <w:spacing w:val="20"/>
          <w:sz w:val="24"/>
          <w:szCs w:val="24"/>
          <w:lang w:val="es-DO"/>
        </w:rPr>
        <w:t xml:space="preserve">ipo 2 para su ejecución, tanto por parte de las prestadoras como del órgano regulador. Este protocolo ha mejorado considerablemente la </w:t>
      </w:r>
    </w:p>
    <w:p w14:paraId="39E4522A" w14:textId="2194319E" w:rsidR="00374E11" w:rsidRPr="009A25BD" w:rsidRDefault="00374E11" w:rsidP="00374E11">
      <w:pPr>
        <w:spacing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lastRenderedPageBreak/>
        <w:t xml:space="preserve">visibilidad de las averías de cara al INDOTEL, la compensación a los usuarios por las mismas y la comunicación efectiva entre todas las partes. </w:t>
      </w:r>
    </w:p>
    <w:p w14:paraId="0730DDDE" w14:textId="55DD0344" w:rsidR="00374E11" w:rsidRPr="009A25BD" w:rsidRDefault="00374E11" w:rsidP="00374E11">
      <w:pPr>
        <w:spacing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xml:space="preserve">Bajo este protocolo se dio seguimiento y se documentaron 6 averías tipo 2, de las cuales 3 </w:t>
      </w:r>
      <w:r w:rsidR="007F00FF" w:rsidRPr="009A25BD">
        <w:rPr>
          <w:rFonts w:ascii="Times New Roman" w:eastAsia="Calibri" w:hAnsi="Times New Roman" w:cs="Times New Roman"/>
          <w:color w:val="4C4747"/>
          <w:spacing w:val="20"/>
          <w:sz w:val="24"/>
          <w:szCs w:val="24"/>
          <w:lang w:val="es-DO"/>
        </w:rPr>
        <w:t xml:space="preserve">conllevaron </w:t>
      </w:r>
      <w:r w:rsidRPr="009A25BD">
        <w:rPr>
          <w:rFonts w:ascii="Times New Roman" w:eastAsia="Calibri" w:hAnsi="Times New Roman" w:cs="Times New Roman"/>
          <w:color w:val="4C4747"/>
          <w:spacing w:val="20"/>
          <w:sz w:val="24"/>
          <w:szCs w:val="24"/>
          <w:lang w:val="es-DO"/>
        </w:rPr>
        <w:t xml:space="preserve">compensación a los usuarios por la afección de los servicios, sumando un total de RD$6, 565,012.99 en créditos a los usuarios afectados. </w:t>
      </w:r>
    </w:p>
    <w:p w14:paraId="48927611" w14:textId="78BC417F" w:rsidR="0083303F" w:rsidRPr="009A25BD" w:rsidRDefault="00374E11" w:rsidP="00374E11">
      <w:pPr>
        <w:spacing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Por otra parte, en atención a la Resolución número 070-19, que aprueba la Norma que Regula la Contratación y Activación de Servicios Públicos de Telecomunicaciones, el INDOTEL realizó operativos de comprobación de mecanismos de activación de líneas móviles. Los operativos fueron ejecutados a nivel nacional, con 965 comprobaciones, identificando importantes oportunidades de mejora en los procesos de las prestadoras, lo cual tendrá un impacto directo en la seguridad de la información de los usuarios.</w:t>
      </w:r>
      <w:r w:rsidR="0083303F" w:rsidRPr="009A25BD">
        <w:rPr>
          <w:rFonts w:ascii="Times New Roman" w:eastAsia="Calibri" w:hAnsi="Times New Roman" w:cs="Times New Roman"/>
          <w:color w:val="4C4747"/>
          <w:spacing w:val="20"/>
          <w:sz w:val="24"/>
          <w:szCs w:val="24"/>
          <w:lang w:val="es-DO"/>
        </w:rPr>
        <w:t xml:space="preserve">  </w:t>
      </w:r>
    </w:p>
    <w:p w14:paraId="2B592109" w14:textId="583A3353" w:rsidR="002A40D6" w:rsidRPr="009A25BD" w:rsidRDefault="0083303F" w:rsidP="0083303F">
      <w:pPr>
        <w:spacing w:line="360" w:lineRule="auto"/>
        <w:jc w:val="both"/>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Todo lo anterior conjuntamente con otras actividades resaltables, las cuales, junto a las descritas anteriormente, se listan a continuación:</w:t>
      </w:r>
    </w:p>
    <w:tbl>
      <w:tblPr>
        <w:tblW w:w="7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35"/>
        <w:gridCol w:w="1987"/>
      </w:tblGrid>
      <w:tr w:rsidR="0083303F" w:rsidRPr="00376423" w14:paraId="125548A6" w14:textId="77777777" w:rsidTr="00E14BA7">
        <w:trPr>
          <w:tblHeader/>
        </w:trPr>
        <w:tc>
          <w:tcPr>
            <w:tcW w:w="7822" w:type="dxa"/>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5C9319E5" w14:textId="5CB9B71E" w:rsidR="0083303F" w:rsidRPr="009A25BD" w:rsidRDefault="0083303F" w:rsidP="0083303F">
            <w:pPr>
              <w:spacing w:after="0" w:line="240" w:lineRule="auto"/>
              <w:jc w:val="center"/>
              <w:textAlignment w:val="baseline"/>
              <w:rPr>
                <w:rFonts w:ascii="Times New Roman" w:eastAsia="Calibri" w:hAnsi="Times New Roman" w:cs="Times New Roman"/>
                <w:b/>
                <w:color w:val="FFFFFF" w:themeColor="background1"/>
                <w:spacing w:val="20"/>
                <w:sz w:val="24"/>
                <w:szCs w:val="24"/>
                <w:lang w:val="es-DO"/>
              </w:rPr>
            </w:pPr>
            <w:r w:rsidRPr="009A25BD">
              <w:rPr>
                <w:rFonts w:ascii="Times New Roman" w:eastAsia="Calibri" w:hAnsi="Times New Roman" w:cs="Times New Roman"/>
                <w:b/>
                <w:color w:val="FFFFFF" w:themeColor="background1"/>
                <w:spacing w:val="20"/>
                <w:sz w:val="24"/>
                <w:szCs w:val="24"/>
                <w:lang w:val="es-DO"/>
              </w:rPr>
              <w:t xml:space="preserve">Actividades Dirección de </w:t>
            </w:r>
            <w:r w:rsidR="007033AD" w:rsidRPr="009A25BD">
              <w:rPr>
                <w:rFonts w:ascii="Times New Roman" w:eastAsia="Calibri" w:hAnsi="Times New Roman" w:cs="Times New Roman"/>
                <w:b/>
                <w:color w:val="FFFFFF" w:themeColor="background1"/>
                <w:spacing w:val="20"/>
                <w:sz w:val="24"/>
                <w:szCs w:val="24"/>
                <w:lang w:val="es-DO"/>
              </w:rPr>
              <w:t>Fiscalización </w:t>
            </w:r>
            <w:r w:rsidR="007033AD" w:rsidRPr="009A25BD">
              <w:rPr>
                <w:rFonts w:ascii="Times New Roman" w:eastAsia="Calibri" w:hAnsi="Times New Roman" w:cs="Times New Roman"/>
                <w:b/>
                <w:color w:val="FFFFFF" w:themeColor="background1"/>
                <w:spacing w:val="20"/>
                <w:sz w:val="24"/>
                <w:szCs w:val="24"/>
                <w:lang w:val="es-DO"/>
              </w:rPr>
              <w:br/>
              <w:t>Enero - Noviembre</w:t>
            </w:r>
            <w:r w:rsidRPr="009A25BD">
              <w:rPr>
                <w:rFonts w:ascii="Times New Roman" w:eastAsia="Calibri" w:hAnsi="Times New Roman" w:cs="Times New Roman"/>
                <w:b/>
                <w:color w:val="FFFFFF" w:themeColor="background1"/>
                <w:spacing w:val="20"/>
                <w:sz w:val="24"/>
                <w:szCs w:val="24"/>
                <w:lang w:val="es-DO"/>
              </w:rPr>
              <w:t xml:space="preserve"> de 2022 </w:t>
            </w:r>
          </w:p>
        </w:tc>
      </w:tr>
      <w:tr w:rsidR="0083303F" w:rsidRPr="008E6046" w14:paraId="6DBDC312" w14:textId="77777777" w:rsidTr="00E14BA7">
        <w:trPr>
          <w:tblHeader/>
        </w:trPr>
        <w:tc>
          <w:tcPr>
            <w:tcW w:w="583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CD0D5B4" w14:textId="77777777" w:rsidR="0083303F" w:rsidRPr="009A25BD" w:rsidRDefault="0083303F" w:rsidP="0083303F">
            <w:pPr>
              <w:spacing w:after="0" w:line="240" w:lineRule="auto"/>
              <w:jc w:val="center"/>
              <w:textAlignment w:val="baseline"/>
              <w:rPr>
                <w:rFonts w:ascii="Times New Roman" w:eastAsia="Calibri" w:hAnsi="Times New Roman" w:cs="Times New Roman"/>
                <w:b/>
                <w:color w:val="FFFFFF" w:themeColor="background1"/>
                <w:spacing w:val="20"/>
                <w:sz w:val="24"/>
                <w:szCs w:val="24"/>
                <w:lang w:val="es-DO"/>
              </w:rPr>
            </w:pPr>
            <w:r w:rsidRPr="009A25BD">
              <w:rPr>
                <w:rFonts w:ascii="Times New Roman" w:eastAsia="Calibri" w:hAnsi="Times New Roman" w:cs="Times New Roman"/>
                <w:b/>
                <w:color w:val="FFFFFF" w:themeColor="background1"/>
                <w:spacing w:val="20"/>
                <w:sz w:val="24"/>
                <w:szCs w:val="24"/>
                <w:lang w:val="es-DO"/>
              </w:rPr>
              <w:t>Actividad </w:t>
            </w:r>
          </w:p>
        </w:tc>
        <w:tc>
          <w:tcPr>
            <w:tcW w:w="1987"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2A34C95" w14:textId="77777777" w:rsidR="0083303F" w:rsidRPr="009A25BD" w:rsidRDefault="0083303F" w:rsidP="0083303F">
            <w:pPr>
              <w:spacing w:after="0" w:line="240" w:lineRule="auto"/>
              <w:jc w:val="center"/>
              <w:textAlignment w:val="baseline"/>
              <w:rPr>
                <w:rFonts w:ascii="Times New Roman" w:eastAsia="Calibri" w:hAnsi="Times New Roman" w:cs="Times New Roman"/>
                <w:b/>
                <w:color w:val="FFFFFF" w:themeColor="background1"/>
                <w:spacing w:val="20"/>
                <w:sz w:val="24"/>
                <w:szCs w:val="24"/>
                <w:lang w:val="es-DO"/>
              </w:rPr>
            </w:pPr>
            <w:r w:rsidRPr="009A25BD">
              <w:rPr>
                <w:rFonts w:ascii="Times New Roman" w:eastAsia="Calibri" w:hAnsi="Times New Roman" w:cs="Times New Roman"/>
                <w:b/>
                <w:color w:val="FFFFFF" w:themeColor="background1"/>
                <w:spacing w:val="20"/>
                <w:sz w:val="24"/>
                <w:szCs w:val="24"/>
                <w:lang w:val="es-DO"/>
              </w:rPr>
              <w:t>Cantidad de Actuaciones </w:t>
            </w:r>
          </w:p>
        </w:tc>
      </w:tr>
      <w:tr w:rsidR="0083303F" w:rsidRPr="008E6046" w14:paraId="0A486801" w14:textId="77777777" w:rsidTr="00E14BA7">
        <w:trPr>
          <w:trHeight w:val="828"/>
        </w:trPr>
        <w:tc>
          <w:tcPr>
            <w:tcW w:w="5835" w:type="dxa"/>
            <w:tcBorders>
              <w:top w:val="single" w:sz="6" w:space="0" w:color="auto"/>
              <w:left w:val="single" w:sz="6" w:space="0" w:color="auto"/>
              <w:bottom w:val="single" w:sz="6" w:space="0" w:color="auto"/>
              <w:right w:val="single" w:sz="6" w:space="0" w:color="auto"/>
            </w:tcBorders>
            <w:shd w:val="clear" w:color="auto" w:fill="auto"/>
            <w:hideMark/>
          </w:tcPr>
          <w:p w14:paraId="23F18CAA" w14:textId="77777777" w:rsidR="0083303F" w:rsidRPr="009A25BD" w:rsidRDefault="0083303F" w:rsidP="0083303F">
            <w:pPr>
              <w:spacing w:after="0" w:line="360" w:lineRule="auto"/>
              <w:jc w:val="both"/>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Fiscalización estaciones de radiodifusión sonora realizadas según programación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04AE2ACE" w14:textId="77777777" w:rsidR="0083303F" w:rsidRPr="009A25BD" w:rsidRDefault="0083303F" w:rsidP="0083303F">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w:t>
            </w:r>
          </w:p>
          <w:p w14:paraId="28ACDA88" w14:textId="77777777" w:rsidR="0083303F" w:rsidRPr="009A25BD" w:rsidRDefault="0083303F" w:rsidP="0083303F">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314</w:t>
            </w:r>
          </w:p>
        </w:tc>
      </w:tr>
      <w:tr w:rsidR="0083303F" w:rsidRPr="008E6046" w14:paraId="08CEF475" w14:textId="77777777" w:rsidTr="00E14BA7">
        <w:trPr>
          <w:trHeight w:val="828"/>
        </w:trPr>
        <w:tc>
          <w:tcPr>
            <w:tcW w:w="5835" w:type="dxa"/>
            <w:tcBorders>
              <w:top w:val="single" w:sz="6" w:space="0" w:color="auto"/>
              <w:left w:val="single" w:sz="6" w:space="0" w:color="auto"/>
              <w:bottom w:val="single" w:sz="6" w:space="0" w:color="auto"/>
              <w:right w:val="single" w:sz="6" w:space="0" w:color="auto"/>
            </w:tcBorders>
            <w:shd w:val="clear" w:color="auto" w:fill="auto"/>
            <w:hideMark/>
          </w:tcPr>
          <w:p w14:paraId="16CAA49D" w14:textId="77777777" w:rsidR="0083303F" w:rsidRPr="009A25BD" w:rsidRDefault="0083303F" w:rsidP="0083303F">
            <w:pPr>
              <w:spacing w:after="0" w:line="360" w:lineRule="auto"/>
              <w:jc w:val="both"/>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Fiscalizaciones concesionarias de difusión por cable realizadas según programación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7719E1FD" w14:textId="77777777" w:rsidR="0083303F" w:rsidRPr="009A25BD" w:rsidRDefault="0083303F" w:rsidP="0083303F">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w:t>
            </w:r>
          </w:p>
          <w:p w14:paraId="36FFA7A3" w14:textId="77777777" w:rsidR="0083303F" w:rsidRPr="009A25BD" w:rsidRDefault="0083303F" w:rsidP="0083303F">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57 </w:t>
            </w:r>
          </w:p>
        </w:tc>
      </w:tr>
      <w:tr w:rsidR="0083303F" w:rsidRPr="008E6046" w14:paraId="018679F1" w14:textId="77777777" w:rsidTr="00E14BA7">
        <w:trPr>
          <w:trHeight w:val="828"/>
        </w:trPr>
        <w:tc>
          <w:tcPr>
            <w:tcW w:w="5835" w:type="dxa"/>
            <w:tcBorders>
              <w:top w:val="single" w:sz="6" w:space="0" w:color="auto"/>
              <w:left w:val="single" w:sz="6" w:space="0" w:color="auto"/>
              <w:bottom w:val="single" w:sz="6" w:space="0" w:color="auto"/>
              <w:right w:val="single" w:sz="6" w:space="0" w:color="auto"/>
            </w:tcBorders>
            <w:shd w:val="clear" w:color="auto" w:fill="auto"/>
            <w:hideMark/>
          </w:tcPr>
          <w:p w14:paraId="0684D0A0" w14:textId="77777777" w:rsidR="0083303F" w:rsidRPr="009A25BD" w:rsidRDefault="0083303F" w:rsidP="0083303F">
            <w:pPr>
              <w:spacing w:after="0" w:line="360" w:lineRule="auto"/>
              <w:jc w:val="both"/>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Comprobación y verificación de datos de Calidad del Servicio de Telefonía e Internet (Móvil y Fijo)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30442C5E" w14:textId="77777777" w:rsidR="0083303F" w:rsidRPr="009A25BD" w:rsidRDefault="0083303F" w:rsidP="0083303F">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w:t>
            </w:r>
          </w:p>
          <w:p w14:paraId="4266EC5D" w14:textId="77777777" w:rsidR="0083303F" w:rsidRPr="009A25BD" w:rsidRDefault="0083303F" w:rsidP="0083303F">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13 </w:t>
            </w:r>
          </w:p>
        </w:tc>
      </w:tr>
      <w:tr w:rsidR="0083303F" w:rsidRPr="008E6046" w14:paraId="7AA0C4F1" w14:textId="77777777" w:rsidTr="00E14BA7">
        <w:trPr>
          <w:trHeight w:val="828"/>
        </w:trPr>
        <w:tc>
          <w:tcPr>
            <w:tcW w:w="5835" w:type="dxa"/>
            <w:tcBorders>
              <w:top w:val="single" w:sz="6" w:space="0" w:color="auto"/>
              <w:left w:val="single" w:sz="6" w:space="0" w:color="auto"/>
              <w:bottom w:val="single" w:sz="6" w:space="0" w:color="auto"/>
              <w:right w:val="single" w:sz="6" w:space="0" w:color="auto"/>
            </w:tcBorders>
            <w:shd w:val="clear" w:color="auto" w:fill="auto"/>
            <w:hideMark/>
          </w:tcPr>
          <w:p w14:paraId="1F00B0F9" w14:textId="77777777" w:rsidR="0083303F" w:rsidRPr="009A25BD" w:rsidRDefault="0083303F" w:rsidP="0083303F">
            <w:pPr>
              <w:spacing w:after="0" w:line="360" w:lineRule="auto"/>
              <w:jc w:val="both"/>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Fiscalizaciones concesionarias de radiodifusión televisiva realizadas según programación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7892108E" w14:textId="77777777" w:rsidR="0083303F" w:rsidRPr="009A25BD" w:rsidRDefault="0083303F" w:rsidP="0083303F">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w:t>
            </w:r>
          </w:p>
          <w:p w14:paraId="16920399" w14:textId="77777777" w:rsidR="0083303F" w:rsidRPr="009A25BD" w:rsidRDefault="0083303F" w:rsidP="0083303F">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28 </w:t>
            </w:r>
          </w:p>
        </w:tc>
      </w:tr>
      <w:tr w:rsidR="000E66D4" w:rsidRPr="000E66D4" w14:paraId="29962358" w14:textId="77777777" w:rsidTr="00E14BA7">
        <w:trPr>
          <w:trHeight w:val="828"/>
        </w:trPr>
        <w:tc>
          <w:tcPr>
            <w:tcW w:w="5835" w:type="dxa"/>
            <w:tcBorders>
              <w:top w:val="single" w:sz="6" w:space="0" w:color="auto"/>
              <w:left w:val="single" w:sz="6" w:space="0" w:color="auto"/>
              <w:bottom w:val="single" w:sz="6" w:space="0" w:color="auto"/>
              <w:right w:val="single" w:sz="6" w:space="0" w:color="auto"/>
            </w:tcBorders>
            <w:shd w:val="clear" w:color="auto" w:fill="auto"/>
            <w:hideMark/>
          </w:tcPr>
          <w:p w14:paraId="04B052E2" w14:textId="77777777" w:rsidR="0083303F" w:rsidRPr="009A25BD" w:rsidRDefault="0083303F" w:rsidP="000E66D4">
            <w:pPr>
              <w:spacing w:after="0" w:line="360" w:lineRule="auto"/>
              <w:jc w:val="both"/>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lastRenderedPageBreak/>
              <w:t>Clausura de estaciones ilegales de radiodifusión sonora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7B6848FE" w14:textId="77777777" w:rsidR="0083303F" w:rsidRPr="009A25BD" w:rsidRDefault="0083303F" w:rsidP="000E66D4">
            <w:pPr>
              <w:spacing w:after="0" w:line="360" w:lineRule="auto"/>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w:t>
            </w:r>
          </w:p>
          <w:p w14:paraId="6AC52E82" w14:textId="77777777" w:rsidR="0083303F" w:rsidRPr="009A25BD" w:rsidRDefault="0083303F" w:rsidP="000E66D4">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15 </w:t>
            </w:r>
          </w:p>
        </w:tc>
      </w:tr>
      <w:tr w:rsidR="000E66D4" w:rsidRPr="000E66D4" w14:paraId="5BC9D213" w14:textId="77777777" w:rsidTr="00E14BA7">
        <w:trPr>
          <w:trHeight w:val="381"/>
        </w:trPr>
        <w:tc>
          <w:tcPr>
            <w:tcW w:w="5835" w:type="dxa"/>
            <w:tcBorders>
              <w:top w:val="single" w:sz="6" w:space="0" w:color="auto"/>
              <w:left w:val="single" w:sz="6" w:space="0" w:color="auto"/>
              <w:bottom w:val="single" w:sz="6" w:space="0" w:color="auto"/>
              <w:right w:val="single" w:sz="6" w:space="0" w:color="auto"/>
            </w:tcBorders>
            <w:shd w:val="clear" w:color="auto" w:fill="auto"/>
            <w:hideMark/>
          </w:tcPr>
          <w:p w14:paraId="7FD6B304" w14:textId="77777777" w:rsidR="0083303F" w:rsidRPr="009A25BD" w:rsidRDefault="0083303F" w:rsidP="000E66D4">
            <w:pPr>
              <w:spacing w:after="0" w:line="360" w:lineRule="auto"/>
              <w:jc w:val="both"/>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Clausura de estación radiodifusión televisiva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649FA6AB" w14:textId="77777777" w:rsidR="0083303F" w:rsidRPr="009A25BD" w:rsidRDefault="0083303F" w:rsidP="000E66D4">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1 </w:t>
            </w:r>
          </w:p>
        </w:tc>
      </w:tr>
      <w:tr w:rsidR="000E66D4" w:rsidRPr="000E66D4" w14:paraId="48161B59" w14:textId="77777777" w:rsidTr="00E14BA7">
        <w:trPr>
          <w:trHeight w:val="714"/>
        </w:trPr>
        <w:tc>
          <w:tcPr>
            <w:tcW w:w="5835" w:type="dxa"/>
            <w:tcBorders>
              <w:top w:val="single" w:sz="6" w:space="0" w:color="auto"/>
              <w:left w:val="single" w:sz="6" w:space="0" w:color="auto"/>
              <w:bottom w:val="single" w:sz="6" w:space="0" w:color="auto"/>
              <w:right w:val="single" w:sz="6" w:space="0" w:color="auto"/>
            </w:tcBorders>
            <w:shd w:val="clear" w:color="auto" w:fill="auto"/>
            <w:hideMark/>
          </w:tcPr>
          <w:p w14:paraId="688D0894" w14:textId="77777777" w:rsidR="0083303F" w:rsidRPr="009A25BD" w:rsidRDefault="0083303F" w:rsidP="000E66D4">
            <w:pPr>
              <w:spacing w:after="0" w:line="360" w:lineRule="auto"/>
              <w:jc w:val="both"/>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Clausura de prestadoras ilegales de servicio de Internet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058F0244" w14:textId="77777777" w:rsidR="0083303F" w:rsidRPr="009A25BD" w:rsidRDefault="0083303F" w:rsidP="000E66D4">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w:t>
            </w:r>
          </w:p>
          <w:p w14:paraId="5A569EC7" w14:textId="77777777" w:rsidR="0083303F" w:rsidRPr="009A25BD" w:rsidRDefault="0083303F" w:rsidP="000E66D4">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40 </w:t>
            </w:r>
          </w:p>
        </w:tc>
      </w:tr>
      <w:tr w:rsidR="000E66D4" w:rsidRPr="000E66D4" w14:paraId="102C44D8" w14:textId="77777777" w:rsidTr="00E14BA7">
        <w:trPr>
          <w:trHeight w:val="705"/>
        </w:trPr>
        <w:tc>
          <w:tcPr>
            <w:tcW w:w="5835" w:type="dxa"/>
            <w:tcBorders>
              <w:top w:val="single" w:sz="6" w:space="0" w:color="auto"/>
              <w:left w:val="single" w:sz="6" w:space="0" w:color="auto"/>
              <w:bottom w:val="single" w:sz="6" w:space="0" w:color="auto"/>
              <w:right w:val="single" w:sz="6" w:space="0" w:color="auto"/>
            </w:tcBorders>
            <w:shd w:val="clear" w:color="auto" w:fill="auto"/>
            <w:hideMark/>
          </w:tcPr>
          <w:p w14:paraId="1324041F" w14:textId="77777777" w:rsidR="0083303F" w:rsidRPr="009A25BD" w:rsidRDefault="0083303F" w:rsidP="000E66D4">
            <w:pPr>
              <w:spacing w:after="0" w:line="360" w:lineRule="auto"/>
              <w:jc w:val="both"/>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Comprobaciones mecanismos de activación líneas móviles (Norma 70-19)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67BEC41E" w14:textId="77777777" w:rsidR="0083303F" w:rsidRPr="009A25BD" w:rsidRDefault="0083303F" w:rsidP="000E66D4">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w:t>
            </w:r>
          </w:p>
          <w:p w14:paraId="1C76AF35" w14:textId="77777777" w:rsidR="0083303F" w:rsidRPr="009A25BD" w:rsidRDefault="0083303F" w:rsidP="000E66D4">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965</w:t>
            </w:r>
          </w:p>
        </w:tc>
      </w:tr>
      <w:tr w:rsidR="000E66D4" w:rsidRPr="000E66D4" w14:paraId="293A9DC1" w14:textId="77777777" w:rsidTr="00E14BA7">
        <w:trPr>
          <w:trHeight w:val="480"/>
        </w:trPr>
        <w:tc>
          <w:tcPr>
            <w:tcW w:w="5835" w:type="dxa"/>
            <w:tcBorders>
              <w:top w:val="single" w:sz="6" w:space="0" w:color="auto"/>
              <w:left w:val="single" w:sz="6" w:space="0" w:color="auto"/>
              <w:bottom w:val="single" w:sz="6" w:space="0" w:color="auto"/>
              <w:right w:val="single" w:sz="6" w:space="0" w:color="auto"/>
            </w:tcBorders>
            <w:shd w:val="clear" w:color="auto" w:fill="auto"/>
            <w:hideMark/>
          </w:tcPr>
          <w:p w14:paraId="0D59DBFA" w14:textId="71834472" w:rsidR="0083303F" w:rsidRPr="009A25BD" w:rsidRDefault="0083303F" w:rsidP="000E66D4">
            <w:pPr>
              <w:spacing w:after="0" w:line="360" w:lineRule="auto"/>
              <w:jc w:val="both"/>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Fiscalización denuncia</w:t>
            </w:r>
            <w:r w:rsidR="00210B0C" w:rsidRPr="009A25BD">
              <w:rPr>
                <w:rFonts w:ascii="Times New Roman" w:eastAsia="Calibri" w:hAnsi="Times New Roman" w:cs="Times New Roman"/>
                <w:color w:val="4C4747"/>
                <w:spacing w:val="20"/>
                <w:sz w:val="24"/>
                <w:szCs w:val="24"/>
                <w:lang w:val="es-DO"/>
              </w:rPr>
              <w:t>s</w:t>
            </w:r>
            <w:r w:rsidRPr="009A25BD">
              <w:rPr>
                <w:rFonts w:ascii="Times New Roman" w:eastAsia="Calibri" w:hAnsi="Times New Roman" w:cs="Times New Roman"/>
                <w:color w:val="4C4747"/>
                <w:spacing w:val="20"/>
                <w:sz w:val="24"/>
                <w:szCs w:val="24"/>
                <w:lang w:val="es-DO"/>
              </w:rPr>
              <w:t xml:space="preserve"> de interferencias y otras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26E03DBD" w14:textId="77777777" w:rsidR="0083303F" w:rsidRPr="009A25BD" w:rsidRDefault="0083303F" w:rsidP="000E66D4">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58</w:t>
            </w:r>
          </w:p>
          <w:p w14:paraId="03AD44F2" w14:textId="77777777" w:rsidR="0083303F" w:rsidRPr="009A25BD" w:rsidRDefault="0083303F" w:rsidP="000E66D4">
            <w:pPr>
              <w:spacing w:after="0" w:line="360" w:lineRule="auto"/>
              <w:jc w:val="center"/>
              <w:textAlignment w:val="baseline"/>
              <w:rPr>
                <w:rFonts w:ascii="Times New Roman" w:eastAsia="Calibri" w:hAnsi="Times New Roman" w:cs="Times New Roman"/>
                <w:color w:val="4C4747"/>
                <w:spacing w:val="20"/>
                <w:sz w:val="24"/>
                <w:szCs w:val="24"/>
                <w:lang w:val="es-DO"/>
              </w:rPr>
            </w:pPr>
            <w:r w:rsidRPr="009A25BD">
              <w:rPr>
                <w:rFonts w:ascii="Times New Roman" w:eastAsia="Calibri" w:hAnsi="Times New Roman" w:cs="Times New Roman"/>
                <w:color w:val="4C4747"/>
                <w:spacing w:val="20"/>
                <w:sz w:val="24"/>
                <w:szCs w:val="24"/>
                <w:lang w:val="es-DO"/>
              </w:rPr>
              <w:t> </w:t>
            </w:r>
          </w:p>
        </w:tc>
      </w:tr>
    </w:tbl>
    <w:p w14:paraId="48C2C489" w14:textId="52B8504F" w:rsidR="0083303F" w:rsidRPr="00C62BB6" w:rsidRDefault="0083303F" w:rsidP="002A40D6">
      <w:pPr>
        <w:spacing w:before="240" w:line="360" w:lineRule="auto"/>
        <w:jc w:val="both"/>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006C471C" w:rsidRPr="00C62BB6">
        <w:rPr>
          <w:rFonts w:ascii="Times New Roman" w:eastAsia="Calibri" w:hAnsi="Times New Roman" w:cs="Times New Roman"/>
          <w:color w:val="4C4747"/>
          <w:spacing w:val="20"/>
          <w:sz w:val="18"/>
          <w:szCs w:val="24"/>
          <w:lang w:val="es-DO"/>
        </w:rPr>
        <w:t xml:space="preserve"> Base de datos de la Dirección de F</w:t>
      </w:r>
      <w:r w:rsidRPr="00C62BB6">
        <w:rPr>
          <w:rFonts w:ascii="Times New Roman" w:eastAsia="Calibri" w:hAnsi="Times New Roman" w:cs="Times New Roman"/>
          <w:color w:val="4C4747"/>
          <w:spacing w:val="20"/>
          <w:sz w:val="18"/>
          <w:szCs w:val="24"/>
          <w:lang w:val="es-DO"/>
        </w:rPr>
        <w:t>iscalización.</w:t>
      </w:r>
    </w:p>
    <w:p w14:paraId="72FAAA49" w14:textId="77777777" w:rsidR="0083303F" w:rsidRPr="00943FA5" w:rsidRDefault="0083303F" w:rsidP="0083303F">
      <w:pPr>
        <w:spacing w:line="360" w:lineRule="auto"/>
        <w:jc w:val="both"/>
        <w:rPr>
          <w:rFonts w:ascii="Times New Roman" w:eastAsia="Calibri" w:hAnsi="Times New Roman" w:cs="Times New Roman"/>
          <w:spacing w:val="20"/>
          <w:sz w:val="24"/>
          <w:szCs w:val="24"/>
          <w:lang w:val="es-DO"/>
        </w:rPr>
      </w:pPr>
    </w:p>
    <w:p w14:paraId="73C6CD5B" w14:textId="77777777" w:rsidR="00650DCD" w:rsidRPr="00943FA5" w:rsidRDefault="00650DCD" w:rsidP="00FA019C">
      <w:pPr>
        <w:spacing w:line="360" w:lineRule="auto"/>
        <w:jc w:val="both"/>
        <w:rPr>
          <w:rFonts w:ascii="Times New Roman" w:eastAsia="Calibri" w:hAnsi="Times New Roman" w:cs="Times New Roman"/>
          <w:color w:val="767171"/>
          <w:spacing w:val="20"/>
          <w:sz w:val="24"/>
          <w:szCs w:val="24"/>
          <w:lang w:val="es-DO"/>
        </w:rPr>
      </w:pPr>
    </w:p>
    <w:p w14:paraId="52514B69" w14:textId="77777777" w:rsidR="00685598" w:rsidRDefault="00685598" w:rsidP="00FA019C">
      <w:pPr>
        <w:spacing w:line="360" w:lineRule="auto"/>
        <w:jc w:val="both"/>
        <w:rPr>
          <w:rFonts w:ascii="Times New Roman" w:eastAsia="Calibri" w:hAnsi="Times New Roman" w:cs="Times New Roman"/>
          <w:color w:val="767171"/>
          <w:spacing w:val="20"/>
          <w:sz w:val="24"/>
          <w:szCs w:val="24"/>
          <w:lang w:val="es-DO"/>
        </w:rPr>
      </w:pPr>
    </w:p>
    <w:p w14:paraId="5A72457C" w14:textId="77777777" w:rsidR="00BE6A84" w:rsidRDefault="00BE6A84" w:rsidP="00FA019C">
      <w:pPr>
        <w:spacing w:line="360" w:lineRule="auto"/>
        <w:jc w:val="both"/>
        <w:rPr>
          <w:rFonts w:ascii="Times New Roman" w:eastAsia="Calibri" w:hAnsi="Times New Roman" w:cs="Times New Roman"/>
          <w:color w:val="767171"/>
          <w:spacing w:val="20"/>
          <w:sz w:val="24"/>
          <w:szCs w:val="24"/>
          <w:lang w:val="es-DO"/>
        </w:rPr>
      </w:pPr>
    </w:p>
    <w:p w14:paraId="460BB879" w14:textId="77777777" w:rsidR="002A40D6" w:rsidRDefault="002A40D6" w:rsidP="00FA019C">
      <w:pPr>
        <w:spacing w:line="360" w:lineRule="auto"/>
        <w:jc w:val="both"/>
        <w:rPr>
          <w:rFonts w:ascii="Times New Roman" w:eastAsia="Calibri" w:hAnsi="Times New Roman" w:cs="Times New Roman"/>
          <w:color w:val="767171"/>
          <w:spacing w:val="20"/>
          <w:sz w:val="24"/>
          <w:szCs w:val="24"/>
          <w:lang w:val="es-DO"/>
        </w:rPr>
      </w:pPr>
    </w:p>
    <w:p w14:paraId="4AB0D8BE" w14:textId="77777777" w:rsidR="002A40D6" w:rsidRDefault="002A40D6" w:rsidP="00FA019C">
      <w:pPr>
        <w:spacing w:line="360" w:lineRule="auto"/>
        <w:jc w:val="both"/>
        <w:rPr>
          <w:rFonts w:ascii="Times New Roman" w:eastAsia="Calibri" w:hAnsi="Times New Roman" w:cs="Times New Roman"/>
          <w:color w:val="767171"/>
          <w:spacing w:val="20"/>
          <w:sz w:val="24"/>
          <w:szCs w:val="24"/>
          <w:lang w:val="es-DO"/>
        </w:rPr>
      </w:pPr>
    </w:p>
    <w:p w14:paraId="7D77C23E" w14:textId="77777777" w:rsidR="002A40D6" w:rsidRDefault="002A40D6" w:rsidP="00FA019C">
      <w:pPr>
        <w:spacing w:line="360" w:lineRule="auto"/>
        <w:jc w:val="both"/>
        <w:rPr>
          <w:rFonts w:ascii="Times New Roman" w:eastAsia="Calibri" w:hAnsi="Times New Roman" w:cs="Times New Roman"/>
          <w:color w:val="767171"/>
          <w:spacing w:val="20"/>
          <w:sz w:val="24"/>
          <w:szCs w:val="24"/>
          <w:lang w:val="es-DO"/>
        </w:rPr>
      </w:pPr>
    </w:p>
    <w:p w14:paraId="7663C0D4" w14:textId="77777777" w:rsidR="002A40D6" w:rsidRDefault="002A40D6" w:rsidP="00FA019C">
      <w:pPr>
        <w:spacing w:line="360" w:lineRule="auto"/>
        <w:jc w:val="both"/>
        <w:rPr>
          <w:rFonts w:ascii="Times New Roman" w:eastAsia="Calibri" w:hAnsi="Times New Roman" w:cs="Times New Roman"/>
          <w:color w:val="767171"/>
          <w:spacing w:val="20"/>
          <w:sz w:val="24"/>
          <w:szCs w:val="24"/>
          <w:lang w:val="es-DO"/>
        </w:rPr>
      </w:pPr>
    </w:p>
    <w:p w14:paraId="6BE96C0A" w14:textId="77777777" w:rsidR="002A40D6" w:rsidRDefault="002A40D6" w:rsidP="00FA019C">
      <w:pPr>
        <w:spacing w:line="360" w:lineRule="auto"/>
        <w:jc w:val="both"/>
        <w:rPr>
          <w:rFonts w:ascii="Times New Roman" w:eastAsia="Calibri" w:hAnsi="Times New Roman" w:cs="Times New Roman"/>
          <w:color w:val="767171"/>
          <w:spacing w:val="20"/>
          <w:sz w:val="24"/>
          <w:szCs w:val="24"/>
          <w:lang w:val="es-DO"/>
        </w:rPr>
      </w:pPr>
    </w:p>
    <w:p w14:paraId="74E2B28B" w14:textId="77777777" w:rsidR="002A40D6" w:rsidRDefault="002A40D6" w:rsidP="00FA019C">
      <w:pPr>
        <w:spacing w:line="360" w:lineRule="auto"/>
        <w:jc w:val="both"/>
        <w:rPr>
          <w:rFonts w:ascii="Times New Roman" w:eastAsia="Calibri" w:hAnsi="Times New Roman" w:cs="Times New Roman"/>
          <w:color w:val="767171"/>
          <w:spacing w:val="20"/>
          <w:sz w:val="24"/>
          <w:szCs w:val="24"/>
          <w:lang w:val="es-DO"/>
        </w:rPr>
      </w:pPr>
    </w:p>
    <w:p w14:paraId="6CE09E61" w14:textId="77777777" w:rsidR="00BE6A84" w:rsidRDefault="00BE6A84" w:rsidP="00FA019C">
      <w:pPr>
        <w:spacing w:line="360" w:lineRule="auto"/>
        <w:jc w:val="both"/>
        <w:rPr>
          <w:rFonts w:ascii="Times New Roman" w:eastAsia="Calibri" w:hAnsi="Times New Roman" w:cs="Times New Roman"/>
          <w:color w:val="767171"/>
          <w:spacing w:val="20"/>
          <w:sz w:val="24"/>
          <w:szCs w:val="24"/>
          <w:lang w:val="es-DO"/>
        </w:rPr>
      </w:pPr>
    </w:p>
    <w:p w14:paraId="0028E481" w14:textId="77777777" w:rsidR="00BE6A84" w:rsidRDefault="00BE6A84" w:rsidP="00FA019C">
      <w:pPr>
        <w:spacing w:line="360" w:lineRule="auto"/>
        <w:jc w:val="both"/>
        <w:rPr>
          <w:rFonts w:ascii="Times New Roman" w:eastAsia="Calibri" w:hAnsi="Times New Roman" w:cs="Times New Roman"/>
          <w:color w:val="767171"/>
          <w:spacing w:val="20"/>
          <w:sz w:val="24"/>
          <w:szCs w:val="24"/>
          <w:lang w:val="es-DO"/>
        </w:rPr>
      </w:pPr>
    </w:p>
    <w:p w14:paraId="3BD2E6AE" w14:textId="77777777" w:rsidR="00BE6A84" w:rsidRDefault="00BE6A84" w:rsidP="00FA019C">
      <w:pPr>
        <w:spacing w:line="360" w:lineRule="auto"/>
        <w:jc w:val="both"/>
        <w:rPr>
          <w:rFonts w:ascii="Times New Roman" w:eastAsia="Calibri" w:hAnsi="Times New Roman" w:cs="Times New Roman"/>
          <w:color w:val="767171"/>
          <w:spacing w:val="20"/>
          <w:sz w:val="24"/>
          <w:szCs w:val="24"/>
          <w:lang w:val="es-DO"/>
        </w:rPr>
      </w:pPr>
    </w:p>
    <w:p w14:paraId="75F910C3" w14:textId="3CBFA50A" w:rsidR="007033AD" w:rsidRPr="007C16C5" w:rsidRDefault="009A6D07" w:rsidP="00E14BA7">
      <w:pPr>
        <w:keepNext/>
        <w:spacing w:before="240" w:after="60" w:line="360" w:lineRule="auto"/>
        <w:contextualSpacing/>
        <w:jc w:val="both"/>
        <w:outlineLvl w:val="2"/>
        <w:rPr>
          <w:rFonts w:ascii="Times New Roman" w:eastAsia="Calibri" w:hAnsi="Times New Roman" w:cs="Times New Roman"/>
          <w:b/>
          <w:color w:val="4C4747"/>
          <w:spacing w:val="20"/>
          <w:sz w:val="24"/>
          <w:szCs w:val="24"/>
          <w:lang w:val="es-DO"/>
        </w:rPr>
      </w:pPr>
      <w:bookmarkStart w:id="15" w:name="_Toc122425237"/>
      <w:r w:rsidRPr="007C16C5">
        <w:rPr>
          <w:rFonts w:ascii="Times New Roman" w:eastAsia="Calibri" w:hAnsi="Times New Roman" w:cs="Times New Roman"/>
          <w:b/>
          <w:color w:val="4C4747"/>
          <w:spacing w:val="20"/>
          <w:sz w:val="24"/>
          <w:szCs w:val="24"/>
          <w:lang w:val="es-DO"/>
        </w:rPr>
        <w:lastRenderedPageBreak/>
        <w:t>3.4</w:t>
      </w:r>
      <w:r w:rsidR="006D62FE" w:rsidRPr="007C16C5">
        <w:rPr>
          <w:rFonts w:ascii="Times New Roman" w:eastAsia="Calibri" w:hAnsi="Times New Roman" w:cs="Times New Roman"/>
          <w:b/>
          <w:color w:val="4C4747"/>
          <w:spacing w:val="20"/>
          <w:sz w:val="24"/>
          <w:szCs w:val="24"/>
          <w:lang w:val="es-DO"/>
        </w:rPr>
        <w:t xml:space="preserve"> </w:t>
      </w:r>
      <w:r w:rsidR="00650DCD" w:rsidRPr="007C16C5">
        <w:rPr>
          <w:rFonts w:ascii="Times New Roman" w:eastAsia="Calibri" w:hAnsi="Times New Roman" w:cs="Times New Roman"/>
          <w:b/>
          <w:color w:val="4C4747"/>
          <w:spacing w:val="20"/>
          <w:sz w:val="24"/>
          <w:szCs w:val="24"/>
          <w:lang w:val="es-DO"/>
        </w:rPr>
        <w:t>Autorizaciones</w:t>
      </w:r>
      <w:bookmarkEnd w:id="15"/>
    </w:p>
    <w:p w14:paraId="2C58DDDA" w14:textId="1F8CEB60" w:rsidR="007033AD" w:rsidRPr="007C16C5" w:rsidRDefault="007033AD" w:rsidP="00E14BA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El INDOTEL tiene la labor </w:t>
      </w:r>
      <w:r w:rsidR="009A3B59" w:rsidRPr="007C16C5">
        <w:rPr>
          <w:rFonts w:ascii="Times New Roman" w:eastAsia="Calibri" w:hAnsi="Times New Roman" w:cs="Times New Roman"/>
          <w:color w:val="4C4747"/>
          <w:spacing w:val="20"/>
          <w:sz w:val="24"/>
          <w:szCs w:val="24"/>
          <w:lang w:val="es-DO"/>
        </w:rPr>
        <w:t xml:space="preserve">de otorgar </w:t>
      </w:r>
      <w:r w:rsidR="003F0A84" w:rsidRPr="007C16C5">
        <w:rPr>
          <w:rFonts w:ascii="Times New Roman" w:eastAsia="Calibri" w:hAnsi="Times New Roman" w:cs="Times New Roman"/>
          <w:color w:val="4C4747"/>
          <w:spacing w:val="20"/>
          <w:sz w:val="24"/>
          <w:szCs w:val="24"/>
          <w:lang w:val="es-DO"/>
        </w:rPr>
        <w:t xml:space="preserve">las autorizaciones para prestar servicios públicos y privados de telecomunicaciones </w:t>
      </w:r>
      <w:r w:rsidRPr="007C16C5">
        <w:rPr>
          <w:rFonts w:ascii="Times New Roman" w:eastAsia="Calibri" w:hAnsi="Times New Roman" w:cs="Times New Roman"/>
          <w:color w:val="4C4747"/>
          <w:spacing w:val="20"/>
          <w:sz w:val="24"/>
          <w:szCs w:val="24"/>
          <w:lang w:val="es-DO"/>
        </w:rPr>
        <w:t>en la Repúb</w:t>
      </w:r>
      <w:r w:rsidR="00066DEA" w:rsidRPr="007C16C5">
        <w:rPr>
          <w:rFonts w:ascii="Times New Roman" w:eastAsia="Calibri" w:hAnsi="Times New Roman" w:cs="Times New Roman"/>
          <w:color w:val="4C4747"/>
          <w:spacing w:val="20"/>
          <w:sz w:val="24"/>
          <w:szCs w:val="24"/>
          <w:lang w:val="es-DO"/>
        </w:rPr>
        <w:t xml:space="preserve">lica Dominicana. </w:t>
      </w:r>
      <w:r w:rsidRPr="007C16C5">
        <w:rPr>
          <w:rFonts w:ascii="Times New Roman" w:eastAsia="Calibri" w:hAnsi="Times New Roman" w:cs="Times New Roman"/>
          <w:color w:val="4C4747"/>
          <w:spacing w:val="20"/>
          <w:sz w:val="24"/>
          <w:szCs w:val="24"/>
          <w:lang w:val="es-DO"/>
        </w:rPr>
        <w:t>El tipo de autorización a otorgar al solicitante en cada caso dependerá del servicio que a través de ésta se pretenda habilitar para su prestación.</w:t>
      </w:r>
    </w:p>
    <w:p w14:paraId="45719C45" w14:textId="76FE3AEA" w:rsidR="00374E11" w:rsidRPr="007C16C5" w:rsidRDefault="00374E11"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Para los fines de realizar progresos continuos en los procesos internos, se implementó una mejora parcial en la</w:t>
      </w:r>
      <w:r w:rsidR="00210B0C" w:rsidRPr="007C16C5">
        <w:rPr>
          <w:rFonts w:ascii="Times New Roman" w:eastAsia="Calibri" w:hAnsi="Times New Roman" w:cs="Times New Roman"/>
          <w:color w:val="4C4747"/>
          <w:spacing w:val="20"/>
          <w:sz w:val="24"/>
          <w:szCs w:val="24"/>
          <w:lang w:val="es-DO"/>
        </w:rPr>
        <w:t xml:space="preserve">s solicitudes de </w:t>
      </w:r>
      <w:r w:rsidRPr="007C16C5">
        <w:rPr>
          <w:rFonts w:ascii="Times New Roman" w:eastAsia="Calibri" w:hAnsi="Times New Roman" w:cs="Times New Roman"/>
          <w:color w:val="4C4747"/>
          <w:spacing w:val="20"/>
          <w:sz w:val="24"/>
          <w:szCs w:val="24"/>
          <w:lang w:val="es-DO"/>
        </w:rPr>
        <w:t xml:space="preserve"> </w:t>
      </w:r>
      <w:r w:rsidR="00210B0C" w:rsidRPr="007C16C5">
        <w:rPr>
          <w:rFonts w:ascii="Times New Roman" w:eastAsia="Calibri" w:hAnsi="Times New Roman" w:cs="Times New Roman"/>
          <w:color w:val="4C4747"/>
          <w:spacing w:val="20"/>
          <w:sz w:val="24"/>
          <w:szCs w:val="24"/>
          <w:lang w:val="es-DO"/>
        </w:rPr>
        <w:t>homologaciones</w:t>
      </w:r>
      <w:r w:rsidRPr="007C16C5">
        <w:rPr>
          <w:rFonts w:ascii="Times New Roman" w:eastAsia="Calibri" w:hAnsi="Times New Roman" w:cs="Times New Roman"/>
          <w:color w:val="4C4747"/>
          <w:spacing w:val="20"/>
          <w:sz w:val="24"/>
          <w:szCs w:val="24"/>
          <w:lang w:val="es-DO"/>
        </w:rPr>
        <w:t xml:space="preserve"> de equipos de telecomunicaciones. En este sentido, bajo un programa diseñado de manera interna con el lenguaje de programación Python, las solicitudes del servicio de homologación de equipos se </w:t>
      </w:r>
      <w:r w:rsidR="00210B0C" w:rsidRPr="007C16C5">
        <w:rPr>
          <w:rFonts w:ascii="Times New Roman" w:eastAsia="Calibri" w:hAnsi="Times New Roman" w:cs="Times New Roman"/>
          <w:color w:val="4C4747"/>
          <w:spacing w:val="20"/>
          <w:sz w:val="24"/>
          <w:szCs w:val="24"/>
          <w:lang w:val="es-DO"/>
        </w:rPr>
        <w:t xml:space="preserve">realizan </w:t>
      </w:r>
      <w:r w:rsidRPr="007C16C5">
        <w:rPr>
          <w:rFonts w:ascii="Times New Roman" w:eastAsia="Calibri" w:hAnsi="Times New Roman" w:cs="Times New Roman"/>
          <w:color w:val="4C4747"/>
          <w:spacing w:val="20"/>
          <w:sz w:val="24"/>
          <w:szCs w:val="24"/>
          <w:lang w:val="es-DO"/>
        </w:rPr>
        <w:t>completan</w:t>
      </w:r>
      <w:r w:rsidR="00210B0C" w:rsidRPr="007C16C5">
        <w:rPr>
          <w:rFonts w:ascii="Times New Roman" w:eastAsia="Calibri" w:hAnsi="Times New Roman" w:cs="Times New Roman"/>
          <w:color w:val="4C4747"/>
          <w:spacing w:val="20"/>
          <w:sz w:val="24"/>
          <w:szCs w:val="24"/>
          <w:lang w:val="es-DO"/>
        </w:rPr>
        <w:t>do</w:t>
      </w:r>
      <w:r w:rsidRPr="007C16C5">
        <w:rPr>
          <w:rFonts w:ascii="Times New Roman" w:eastAsia="Calibri" w:hAnsi="Times New Roman" w:cs="Times New Roman"/>
          <w:color w:val="4C4747"/>
          <w:spacing w:val="20"/>
          <w:sz w:val="24"/>
          <w:szCs w:val="24"/>
          <w:lang w:val="es-DO"/>
        </w:rPr>
        <w:t xml:space="preserve"> un formulario. De esta manera, se agilizó significat</w:t>
      </w:r>
      <w:r w:rsidR="009A3B59" w:rsidRPr="007C16C5">
        <w:rPr>
          <w:rFonts w:ascii="Times New Roman" w:eastAsia="Calibri" w:hAnsi="Times New Roman" w:cs="Times New Roman"/>
          <w:color w:val="4C4747"/>
          <w:spacing w:val="20"/>
          <w:sz w:val="24"/>
          <w:szCs w:val="24"/>
          <w:lang w:val="es-DO"/>
        </w:rPr>
        <w:t xml:space="preserve">ivamente el tiempo de respuesta </w:t>
      </w:r>
      <w:r w:rsidRPr="007C16C5">
        <w:rPr>
          <w:rFonts w:ascii="Times New Roman" w:eastAsia="Calibri" w:hAnsi="Times New Roman" w:cs="Times New Roman"/>
          <w:color w:val="4C4747"/>
          <w:spacing w:val="20"/>
          <w:sz w:val="24"/>
          <w:szCs w:val="24"/>
          <w:lang w:val="es-DO"/>
        </w:rPr>
        <w:t xml:space="preserve">al solicitante.      </w:t>
      </w:r>
    </w:p>
    <w:p w14:paraId="3284DF87" w14:textId="0248E574" w:rsidR="00374E11" w:rsidRPr="007C16C5" w:rsidRDefault="00374E11"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Por otro lado, en el caso de </w:t>
      </w:r>
      <w:r w:rsidR="00090FB3" w:rsidRPr="007C16C5">
        <w:rPr>
          <w:rFonts w:ascii="Times New Roman" w:eastAsia="Calibri" w:hAnsi="Times New Roman" w:cs="Times New Roman"/>
          <w:color w:val="4C4747"/>
          <w:spacing w:val="20"/>
          <w:sz w:val="24"/>
          <w:szCs w:val="24"/>
          <w:lang w:val="es-DO"/>
        </w:rPr>
        <w:t xml:space="preserve">las solicitudes de </w:t>
      </w:r>
      <w:r w:rsidRPr="007C16C5">
        <w:rPr>
          <w:rFonts w:ascii="Times New Roman" w:eastAsia="Calibri" w:hAnsi="Times New Roman" w:cs="Times New Roman"/>
          <w:color w:val="4C4747"/>
          <w:spacing w:val="20"/>
          <w:sz w:val="24"/>
          <w:szCs w:val="24"/>
          <w:lang w:val="es-DO"/>
        </w:rPr>
        <w:t xml:space="preserve">los radioaficionados, se contrató la herramienta AutoProctor que se encarga de monitorear y evaluar de manera virtual y en tiempo real a los solicitantes de dicho servicio que optan por examinarse, eficientizando así estos procesos. Concomitantemente, también se automatizó la generación e impresión de cartas y certificados para las renovaciones de este servicio mediante un programa diseñado de manera interna, como Generador de Documentos Estándares  creado con el lenguaje de programación Python. </w:t>
      </w:r>
    </w:p>
    <w:p w14:paraId="2E801D6E" w14:textId="77777777" w:rsidR="00374E11" w:rsidRPr="007C16C5" w:rsidRDefault="00374E11"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AutoProctor es una solución de supervisión automatizada para exámenes en línea. Trabaja conjuntamente con Google Classroom y Google Forms para monitorear los exámenes en vivo, empleando Machine Visión y Machine Learning, de esta manera se pueden detectar posibles interacciones en busca de acciones indebidas. </w:t>
      </w:r>
    </w:p>
    <w:p w14:paraId="618D548C" w14:textId="77777777" w:rsidR="004836B7" w:rsidRPr="007C16C5" w:rsidRDefault="00374E11" w:rsidP="00374E11">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lastRenderedPageBreak/>
        <w:t>Con relación a las atribuciones de frecuencias, se logró diseñar e implementar un código en el lenguaje de programación Python, el cual crea una base de datos de los pares de frecuencias para asignación solicitados por las concesionarias en un instante, reduciendo a solo minutos el traba</w:t>
      </w:r>
      <w:r w:rsidR="00066DEA" w:rsidRPr="007C16C5">
        <w:rPr>
          <w:rFonts w:ascii="Times New Roman" w:eastAsia="Calibri" w:hAnsi="Times New Roman" w:cs="Times New Roman"/>
          <w:color w:val="4C4747"/>
          <w:spacing w:val="20"/>
          <w:sz w:val="24"/>
          <w:szCs w:val="24"/>
          <w:lang w:val="es-DO"/>
        </w:rPr>
        <w:t>jo que le tomaba realizar meses.</w:t>
      </w:r>
      <w:r w:rsidRPr="007C16C5">
        <w:rPr>
          <w:rFonts w:ascii="Times New Roman" w:eastAsia="Calibri" w:hAnsi="Times New Roman" w:cs="Times New Roman"/>
          <w:color w:val="4C4747"/>
          <w:spacing w:val="20"/>
          <w:sz w:val="24"/>
          <w:szCs w:val="24"/>
          <w:lang w:val="es-DO"/>
        </w:rPr>
        <w:t xml:space="preserve"> </w:t>
      </w:r>
    </w:p>
    <w:p w14:paraId="03F5C135" w14:textId="05F1733A" w:rsidR="00374E11" w:rsidRPr="007C16C5" w:rsidRDefault="00374E11"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Este programa se encarga de organizar los datos de las asignaciones solicitadas, agrupando las informaciones necesarias y reubicándolas para cumplir con un formato predeterminado. </w:t>
      </w:r>
    </w:p>
    <w:p w14:paraId="0601C33B" w14:textId="2BCB6457" w:rsidR="00374E11" w:rsidRPr="007C16C5" w:rsidRDefault="00374E11"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En cuanto al otorgamiento de concesiones para prestar servicios públicos de telecomunicaciones, es importante resaltar que el Consejo Directivo mediante su Resolución </w:t>
      </w:r>
      <w:r w:rsidR="004836B7" w:rsidRPr="007C16C5">
        <w:rPr>
          <w:rFonts w:ascii="Times New Roman" w:eastAsia="Calibri" w:hAnsi="Times New Roman" w:cs="Times New Roman"/>
          <w:color w:val="4C4747"/>
          <w:spacing w:val="20"/>
          <w:sz w:val="24"/>
          <w:szCs w:val="24"/>
          <w:lang w:val="es-DO"/>
        </w:rPr>
        <w:t xml:space="preserve">número </w:t>
      </w:r>
      <w:r w:rsidRPr="007C16C5">
        <w:rPr>
          <w:rFonts w:ascii="Times New Roman" w:eastAsia="Calibri" w:hAnsi="Times New Roman" w:cs="Times New Roman"/>
          <w:color w:val="4C4747"/>
          <w:spacing w:val="20"/>
          <w:sz w:val="24"/>
          <w:szCs w:val="24"/>
          <w:lang w:val="es-DO"/>
        </w:rPr>
        <w:t xml:space="preserve">072-2022 adoptada en fecha 21 de julio de 2022, aprobó la solicitud de concesión y licencia de la empresa Starlink Dominican Republic, para prestar el servicio público de telecomunicaciones de acceso a internet en todo el territorio nacional. </w:t>
      </w:r>
    </w:p>
    <w:p w14:paraId="0CAB7206" w14:textId="77777777" w:rsidR="00374E11" w:rsidRPr="007C16C5" w:rsidRDefault="00374E11"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La importancia de esta concesión radica en que esta empresa es parte de un proyecto desarrollado por la sociedad Space Exploration Technologies, Corp. (SPACE X), la cual cuenta con una constelación satelital integrada por miles de satélites no geoestacionarios, lanzados en una órbita terrestre baja. </w:t>
      </w:r>
    </w:p>
    <w:p w14:paraId="2841FD83" w14:textId="77777777" w:rsidR="00374E11" w:rsidRPr="007C16C5" w:rsidRDefault="00374E11"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De esta manera Starlink Dominican Republic podrá servir a comunidades rurales y de difícil acceso que actualmente no son servidas por las redes alámbricas ni por las celulares, lo que redunda en una reducción expedita de la brecha digital que actualmente existe en nuestro país. </w:t>
      </w:r>
    </w:p>
    <w:p w14:paraId="06A76050" w14:textId="77777777" w:rsidR="00374E11" w:rsidRPr="007C16C5" w:rsidRDefault="00374E11"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En referencia a la adecuación de los títulos habilitantes otorgados, por la antigua Dirección General de Telecomunicaciones (DGT) a la Ley General de Telecomunicaciones número 153-98, de las </w:t>
      </w:r>
      <w:r w:rsidRPr="007C16C5">
        <w:rPr>
          <w:rFonts w:ascii="Times New Roman" w:eastAsia="Calibri" w:hAnsi="Times New Roman" w:cs="Times New Roman"/>
          <w:color w:val="4C4747"/>
          <w:spacing w:val="20"/>
          <w:sz w:val="24"/>
          <w:szCs w:val="24"/>
          <w:lang w:val="es-DO"/>
        </w:rPr>
        <w:lastRenderedPageBreak/>
        <w:t xml:space="preserve">concesionarias de servicios públicos de telecomunicaciones de radiodifusión televisa y sonora, se lograron adecuar 6 de un total de 102, quedando pendientes 96 adecuaciones. </w:t>
      </w:r>
    </w:p>
    <w:p w14:paraId="52704097" w14:textId="77777777" w:rsidR="004836B7" w:rsidRPr="007C16C5" w:rsidRDefault="00374E11" w:rsidP="008A2756">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Acerca de los servicios públicos de telecomunicaciones de radiodifusión televisiva ubicadas en la banda de los 700 MHz, por instrucción del Consejo Directivo, en seguimiento a las disposiciones establecidas en el Decreto </w:t>
      </w:r>
      <w:r w:rsidR="00747C96" w:rsidRPr="007C16C5">
        <w:rPr>
          <w:rFonts w:ascii="Times New Roman" w:eastAsia="Calibri" w:hAnsi="Times New Roman" w:cs="Times New Roman"/>
          <w:color w:val="4C4747"/>
          <w:spacing w:val="20"/>
          <w:sz w:val="24"/>
          <w:szCs w:val="24"/>
          <w:lang w:val="es-DO"/>
        </w:rPr>
        <w:t xml:space="preserve">Presidencial </w:t>
      </w:r>
      <w:r w:rsidRPr="007C16C5">
        <w:rPr>
          <w:rFonts w:ascii="Times New Roman" w:eastAsia="Calibri" w:hAnsi="Times New Roman" w:cs="Times New Roman"/>
          <w:color w:val="4C4747"/>
          <w:spacing w:val="20"/>
          <w:sz w:val="24"/>
          <w:szCs w:val="24"/>
          <w:lang w:val="es-DO"/>
        </w:rPr>
        <w:t>número 539-20 que ordena al INDOTEL iniciar el proceso de despeje de la banda de los 700 MHz, se completaron todos los procesos que estaban pendientes.</w:t>
      </w:r>
    </w:p>
    <w:p w14:paraId="460F8CF3" w14:textId="53C4BFB0" w:rsidR="00911DE9" w:rsidRPr="007C16C5" w:rsidRDefault="00911DE9"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Estos procesos consistieron en adecuar a la Ley General de Telecomunicaciones número 153-98</w:t>
      </w:r>
      <w:r w:rsidR="004836B7" w:rsidRPr="007C16C5">
        <w:rPr>
          <w:rFonts w:ascii="Times New Roman" w:eastAsia="Calibri" w:hAnsi="Times New Roman" w:cs="Times New Roman"/>
          <w:color w:val="4C4747"/>
          <w:spacing w:val="20"/>
          <w:sz w:val="24"/>
          <w:szCs w:val="24"/>
          <w:lang w:val="es-DO"/>
        </w:rPr>
        <w:t>,</w:t>
      </w:r>
      <w:r w:rsidRPr="007C16C5">
        <w:rPr>
          <w:rFonts w:ascii="Times New Roman" w:eastAsia="Calibri" w:hAnsi="Times New Roman" w:cs="Times New Roman"/>
          <w:color w:val="4C4747"/>
          <w:spacing w:val="20"/>
          <w:sz w:val="24"/>
          <w:szCs w:val="24"/>
          <w:lang w:val="es-DO"/>
        </w:rPr>
        <w:t xml:space="preserve"> los canales de televisión en la gama de UHF para el despeje de esta banda, y su posterior licitación. </w:t>
      </w:r>
      <w:r w:rsidR="00374E11" w:rsidRPr="007C16C5">
        <w:rPr>
          <w:rFonts w:ascii="Times New Roman" w:eastAsia="Calibri" w:hAnsi="Times New Roman" w:cs="Times New Roman"/>
          <w:color w:val="4C4747"/>
          <w:spacing w:val="20"/>
          <w:sz w:val="24"/>
          <w:szCs w:val="24"/>
          <w:lang w:val="es-DO"/>
        </w:rPr>
        <w:t xml:space="preserve"> </w:t>
      </w:r>
    </w:p>
    <w:p w14:paraId="19BFF872" w14:textId="2641B05A" w:rsidR="008A2756" w:rsidRPr="007C16C5" w:rsidRDefault="00374E11"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Adicionalmente, se está trabajando en la etapa final del proceso de adecuación de los demás canales de</w:t>
      </w:r>
      <w:r w:rsidR="004836B7" w:rsidRPr="007C16C5">
        <w:rPr>
          <w:rFonts w:ascii="Times New Roman" w:eastAsia="Calibri" w:hAnsi="Times New Roman" w:cs="Times New Roman"/>
          <w:color w:val="4C4747"/>
          <w:spacing w:val="20"/>
          <w:sz w:val="24"/>
          <w:szCs w:val="24"/>
          <w:lang w:val="es-DO"/>
        </w:rPr>
        <w:t xml:space="preserve"> televisión UHF y VHF asignados </w:t>
      </w:r>
      <w:r w:rsidRPr="007C16C5">
        <w:rPr>
          <w:rFonts w:ascii="Times New Roman" w:eastAsia="Calibri" w:hAnsi="Times New Roman" w:cs="Times New Roman"/>
          <w:color w:val="4C4747"/>
          <w:spacing w:val="20"/>
          <w:sz w:val="24"/>
          <w:szCs w:val="24"/>
          <w:lang w:val="es-DO"/>
        </w:rPr>
        <w:t>en el país.</w:t>
      </w:r>
      <w:r w:rsidR="008A2756" w:rsidRPr="007C16C5">
        <w:rPr>
          <w:rFonts w:ascii="Times New Roman" w:eastAsia="Calibri" w:hAnsi="Times New Roman" w:cs="Times New Roman"/>
          <w:color w:val="4C4747"/>
          <w:spacing w:val="20"/>
          <w:sz w:val="24"/>
          <w:szCs w:val="24"/>
          <w:lang w:val="es-DO"/>
        </w:rPr>
        <w:t xml:space="preserve"> </w:t>
      </w:r>
    </w:p>
    <w:p w14:paraId="0905EE88" w14:textId="74AAF38B" w:rsidR="00650DCD" w:rsidRPr="007C16C5" w:rsidRDefault="008A2756" w:rsidP="004836B7">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Como resumen, a continuación mostramos el detalle de los casos de autorizaciones concluidos en el período 1ro de enero al 30 de noviembre de 2022:  </w:t>
      </w: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
        <w:gridCol w:w="4410"/>
        <w:gridCol w:w="3142"/>
      </w:tblGrid>
      <w:tr w:rsidR="008A2756" w:rsidRPr="00376423" w14:paraId="2DDF2367" w14:textId="77777777" w:rsidTr="004836B7">
        <w:trPr>
          <w:trHeight w:val="945"/>
          <w:tblHeader/>
        </w:trPr>
        <w:tc>
          <w:tcPr>
            <w:tcW w:w="352"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06E7D90" w14:textId="77777777" w:rsidR="008A2756" w:rsidRPr="00943FA5" w:rsidRDefault="008A2756" w:rsidP="008A2756">
            <w:pPr>
              <w:spacing w:after="0" w:line="240" w:lineRule="auto"/>
              <w:jc w:val="center"/>
              <w:textAlignment w:val="baseline"/>
              <w:rPr>
                <w:rFonts w:ascii="Times New Roman" w:eastAsia="Times New Roman" w:hAnsi="Times New Roman" w:cs="Times New Roman"/>
                <w:sz w:val="24"/>
                <w:szCs w:val="24"/>
                <w:lang w:val="es-DO"/>
              </w:rPr>
            </w:pPr>
            <w:r w:rsidRPr="00943FA5">
              <w:rPr>
                <w:rFonts w:ascii="Times New Roman" w:eastAsia="Times New Roman" w:hAnsi="Times New Roman" w:cs="Times New Roman"/>
                <w:color w:val="767171"/>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002060"/>
            <w:vAlign w:val="center"/>
            <w:hideMark/>
          </w:tcPr>
          <w:p w14:paraId="29D3A7CC" w14:textId="77777777" w:rsidR="008A2756" w:rsidRPr="00943FA5" w:rsidRDefault="008A2756" w:rsidP="008A2756">
            <w:pPr>
              <w:spacing w:after="0" w:line="240" w:lineRule="auto"/>
              <w:jc w:val="center"/>
              <w:textAlignment w:val="baseline"/>
              <w:rPr>
                <w:rFonts w:ascii="Times New Roman" w:eastAsia="Times New Roman" w:hAnsi="Times New Roman" w:cs="Times New Roman"/>
                <w:color w:val="FFFFFF" w:themeColor="background1"/>
                <w:sz w:val="24"/>
                <w:szCs w:val="24"/>
                <w:lang w:val="es-DO"/>
              </w:rPr>
            </w:pPr>
            <w:r w:rsidRPr="00943FA5">
              <w:rPr>
                <w:rFonts w:ascii="Times New Roman" w:eastAsia="Times New Roman" w:hAnsi="Times New Roman" w:cs="Times New Roman"/>
                <w:b/>
                <w:bCs/>
                <w:color w:val="FFFFFF" w:themeColor="background1"/>
                <w:sz w:val="24"/>
                <w:szCs w:val="24"/>
                <w:lang w:val="es-DO"/>
              </w:rPr>
              <w:t>Producto</w:t>
            </w:r>
            <w:r w:rsidRPr="00943FA5">
              <w:rPr>
                <w:rFonts w:ascii="Times New Roman" w:eastAsia="Times New Roman" w:hAnsi="Times New Roman" w:cs="Times New Roman"/>
                <w:color w:val="FFFFFF" w:themeColor="background1"/>
                <w:sz w:val="24"/>
                <w:szCs w:val="24"/>
                <w:lang w:val="es-DO"/>
              </w:rPr>
              <w:t> </w:t>
            </w:r>
          </w:p>
        </w:tc>
        <w:tc>
          <w:tcPr>
            <w:tcW w:w="3142"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37D91693" w14:textId="77777777" w:rsidR="008A2756" w:rsidRPr="00943FA5" w:rsidRDefault="008A2756" w:rsidP="008A2756">
            <w:pPr>
              <w:spacing w:after="0" w:line="240" w:lineRule="auto"/>
              <w:jc w:val="center"/>
              <w:textAlignment w:val="baseline"/>
              <w:rPr>
                <w:rFonts w:ascii="Times New Roman" w:eastAsia="Times New Roman" w:hAnsi="Times New Roman" w:cs="Times New Roman"/>
                <w:color w:val="FFFFFF" w:themeColor="background1"/>
                <w:sz w:val="24"/>
                <w:szCs w:val="24"/>
                <w:lang w:val="es-DO"/>
              </w:rPr>
            </w:pPr>
            <w:r w:rsidRPr="00943FA5">
              <w:rPr>
                <w:rFonts w:ascii="Times New Roman" w:eastAsia="Times New Roman" w:hAnsi="Times New Roman" w:cs="Times New Roman"/>
                <w:b/>
                <w:bCs/>
                <w:color w:val="FFFFFF" w:themeColor="background1"/>
                <w:sz w:val="24"/>
                <w:szCs w:val="24"/>
                <w:lang w:val="es-DO"/>
              </w:rPr>
              <w:t>Concluidos en el período</w:t>
            </w:r>
            <w:r w:rsidRPr="00943FA5">
              <w:rPr>
                <w:rFonts w:ascii="Times New Roman" w:eastAsia="Times New Roman" w:hAnsi="Times New Roman" w:cs="Times New Roman"/>
                <w:color w:val="FFFFFF" w:themeColor="background1"/>
                <w:sz w:val="24"/>
                <w:szCs w:val="24"/>
                <w:lang w:val="es-DO"/>
              </w:rPr>
              <w:t> </w:t>
            </w:r>
          </w:p>
          <w:p w14:paraId="1E43E61A" w14:textId="77777777" w:rsidR="008A2756" w:rsidRPr="00943FA5" w:rsidRDefault="008A2756" w:rsidP="008A2756">
            <w:pPr>
              <w:spacing w:after="0" w:line="240" w:lineRule="auto"/>
              <w:jc w:val="center"/>
              <w:textAlignment w:val="baseline"/>
              <w:rPr>
                <w:rFonts w:ascii="Times New Roman" w:eastAsia="Times New Roman" w:hAnsi="Times New Roman" w:cs="Times New Roman"/>
                <w:color w:val="FFFFFF" w:themeColor="background1"/>
                <w:sz w:val="24"/>
                <w:szCs w:val="24"/>
                <w:lang w:val="es-DO"/>
              </w:rPr>
            </w:pPr>
            <w:r w:rsidRPr="00943FA5">
              <w:rPr>
                <w:rFonts w:ascii="Times New Roman" w:eastAsia="Times New Roman" w:hAnsi="Times New Roman" w:cs="Times New Roman"/>
                <w:b/>
                <w:bCs/>
                <w:color w:val="FFFFFF" w:themeColor="background1"/>
                <w:sz w:val="24"/>
                <w:szCs w:val="24"/>
                <w:lang w:val="es-DO"/>
              </w:rPr>
              <w:t>1ro enero al 30 noviembre de 2022</w:t>
            </w:r>
            <w:r w:rsidRPr="00943FA5">
              <w:rPr>
                <w:rFonts w:ascii="Times New Roman" w:eastAsia="Times New Roman" w:hAnsi="Times New Roman" w:cs="Times New Roman"/>
                <w:color w:val="FFFFFF" w:themeColor="background1"/>
                <w:sz w:val="24"/>
                <w:szCs w:val="24"/>
                <w:lang w:val="es-DO"/>
              </w:rPr>
              <w:t> </w:t>
            </w:r>
          </w:p>
        </w:tc>
      </w:tr>
      <w:tr w:rsidR="008A2756" w:rsidRPr="002D2821" w14:paraId="18247F08"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5DE37C"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1</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00ECE750"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Inscripción en Registro Especial de servicios de radioaficionados  </w:t>
            </w:r>
          </w:p>
        </w:tc>
        <w:tc>
          <w:tcPr>
            <w:tcW w:w="31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2A4AF" w14:textId="3E941A11"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 </w:t>
            </w:r>
            <w:r w:rsidR="00911DE9" w:rsidRPr="000E66D4">
              <w:rPr>
                <w:rFonts w:ascii="Times New Roman" w:eastAsia="Times New Roman" w:hAnsi="Times New Roman" w:cs="Times New Roman"/>
                <w:color w:val="4C4747"/>
                <w:sz w:val="24"/>
                <w:szCs w:val="24"/>
                <w:lang w:val="es-DO"/>
              </w:rPr>
              <w:t>21</w:t>
            </w:r>
          </w:p>
        </w:tc>
      </w:tr>
      <w:tr w:rsidR="008A2756" w:rsidRPr="002D2821" w14:paraId="6D77D589"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A1063"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2</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27C38A2F"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Renovación de inscripción en Registro Especial de servicios de radioaficionados </w:t>
            </w:r>
          </w:p>
        </w:tc>
        <w:tc>
          <w:tcPr>
            <w:tcW w:w="31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98F190" w14:textId="52B8E36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 </w:t>
            </w:r>
            <w:r w:rsidR="00911DE9" w:rsidRPr="000E66D4">
              <w:rPr>
                <w:rFonts w:ascii="Times New Roman" w:eastAsia="Times New Roman" w:hAnsi="Times New Roman" w:cs="Times New Roman"/>
                <w:color w:val="4C4747"/>
                <w:sz w:val="24"/>
                <w:szCs w:val="24"/>
                <w:lang w:val="es-DO"/>
              </w:rPr>
              <w:t>140</w:t>
            </w:r>
          </w:p>
        </w:tc>
      </w:tr>
      <w:tr w:rsidR="008A2756" w:rsidRPr="002D2821" w14:paraId="664EB74D"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47D9C3"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3</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4479E462"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Inscripción en Registro Especial de servicios de telecomunicaciones  </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3B5594" w14:textId="19F8CF78" w:rsidR="008A2756" w:rsidRPr="000E66D4" w:rsidRDefault="00911DE9"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59</w:t>
            </w:r>
            <w:r w:rsidR="008A2756" w:rsidRPr="000E66D4">
              <w:rPr>
                <w:rFonts w:ascii="Times New Roman" w:eastAsia="Times New Roman" w:hAnsi="Times New Roman" w:cs="Times New Roman"/>
                <w:color w:val="4C4747"/>
                <w:sz w:val="24"/>
                <w:szCs w:val="24"/>
                <w:lang w:val="es-DO"/>
              </w:rPr>
              <w:t> </w:t>
            </w:r>
          </w:p>
        </w:tc>
      </w:tr>
      <w:tr w:rsidR="008A2756" w:rsidRPr="002D2821" w14:paraId="45CFE150"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DAE913"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4</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0D2C7185"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Renovación de inscripción en Registro Especial de servicios de telecomunicaciones </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0BB947" w14:textId="793BFB64"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 </w:t>
            </w:r>
            <w:r w:rsidR="00911DE9" w:rsidRPr="000E66D4">
              <w:rPr>
                <w:rFonts w:ascii="Times New Roman" w:eastAsia="Times New Roman" w:hAnsi="Times New Roman" w:cs="Times New Roman"/>
                <w:color w:val="4C4747"/>
                <w:sz w:val="24"/>
                <w:szCs w:val="24"/>
                <w:lang w:val="es-DO"/>
              </w:rPr>
              <w:t>21</w:t>
            </w:r>
          </w:p>
        </w:tc>
      </w:tr>
      <w:tr w:rsidR="008A2756" w:rsidRPr="002D2821" w14:paraId="2D09123F"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03921A"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lastRenderedPageBreak/>
              <w:t>5</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4B08D9B1"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Concesiones que no requieren concurso público  </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944ADF" w14:textId="0D283281" w:rsidR="008A2756" w:rsidRPr="000E66D4" w:rsidRDefault="00911DE9"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4</w:t>
            </w:r>
            <w:r w:rsidR="008A2756" w:rsidRPr="000E66D4">
              <w:rPr>
                <w:rFonts w:ascii="Times New Roman" w:eastAsia="Times New Roman" w:hAnsi="Times New Roman" w:cs="Times New Roman"/>
                <w:color w:val="4C4747"/>
                <w:sz w:val="24"/>
                <w:szCs w:val="24"/>
                <w:lang w:val="es-DO"/>
              </w:rPr>
              <w:t> </w:t>
            </w:r>
          </w:p>
        </w:tc>
      </w:tr>
      <w:tr w:rsidR="008A2756" w:rsidRPr="008E6046" w14:paraId="2CE76234"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0DCE6E"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6</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3CB5401B"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Renovación de concesiones  </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69261A" w14:textId="5A26260D"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 </w:t>
            </w:r>
            <w:r w:rsidR="00911DE9" w:rsidRPr="000E66D4">
              <w:rPr>
                <w:rFonts w:ascii="Times New Roman" w:eastAsia="Times New Roman" w:hAnsi="Times New Roman" w:cs="Times New Roman"/>
                <w:color w:val="4C4747"/>
                <w:sz w:val="24"/>
                <w:szCs w:val="24"/>
                <w:lang w:val="es-DO"/>
              </w:rPr>
              <w:t>0</w:t>
            </w:r>
          </w:p>
        </w:tc>
      </w:tr>
      <w:tr w:rsidR="008A2756" w:rsidRPr="008E6046" w14:paraId="35934920"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AF258E"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7</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3140890F"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Modificación de Concesiones  </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D6E170" w14:textId="048E9A7E"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 </w:t>
            </w:r>
            <w:r w:rsidR="00911DE9" w:rsidRPr="000E66D4">
              <w:rPr>
                <w:rFonts w:ascii="Times New Roman" w:eastAsia="Times New Roman" w:hAnsi="Times New Roman" w:cs="Times New Roman"/>
                <w:color w:val="4C4747"/>
                <w:sz w:val="24"/>
                <w:szCs w:val="24"/>
                <w:lang w:val="es-DO"/>
              </w:rPr>
              <w:t>9</w:t>
            </w:r>
          </w:p>
        </w:tc>
      </w:tr>
      <w:tr w:rsidR="008A2756" w:rsidRPr="002D2821" w14:paraId="479ED153"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691661"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8</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508C8B90"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No Objeción, emitidas a través de la VUCE </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D2E4C3" w14:textId="6DC9781C"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 </w:t>
            </w:r>
            <w:r w:rsidR="00911DE9" w:rsidRPr="000E66D4">
              <w:rPr>
                <w:rFonts w:ascii="Times New Roman" w:eastAsia="Times New Roman" w:hAnsi="Times New Roman" w:cs="Times New Roman"/>
                <w:color w:val="4C4747"/>
                <w:sz w:val="24"/>
                <w:szCs w:val="24"/>
                <w:lang w:val="es-DO"/>
              </w:rPr>
              <w:t>9,558</w:t>
            </w:r>
          </w:p>
        </w:tc>
      </w:tr>
      <w:tr w:rsidR="008A2756" w:rsidRPr="008E6046" w14:paraId="238EE097"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D137BE"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9</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1F543EA8"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Homologaciones  </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F46335" w14:textId="6511CE0B" w:rsidR="008A2756" w:rsidRPr="000E66D4" w:rsidRDefault="00911DE9"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465</w:t>
            </w:r>
            <w:r w:rsidR="008A2756" w:rsidRPr="000E66D4">
              <w:rPr>
                <w:rFonts w:ascii="Times New Roman" w:eastAsia="Times New Roman" w:hAnsi="Times New Roman" w:cs="Times New Roman"/>
                <w:color w:val="4C4747"/>
                <w:sz w:val="24"/>
                <w:szCs w:val="24"/>
                <w:lang w:val="es-DO"/>
              </w:rPr>
              <w:t> </w:t>
            </w:r>
          </w:p>
        </w:tc>
      </w:tr>
      <w:tr w:rsidR="008A2756" w:rsidRPr="002D2821" w14:paraId="374773E1"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4ACFE8" w14:textId="77777777"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10</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hideMark/>
          </w:tcPr>
          <w:p w14:paraId="4016C2F6"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Asignación de números códigos NPA-NXX y código especial (1-8X9-976, 1-8X9-200) </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421C60" w14:textId="771A7035" w:rsidR="008A2756" w:rsidRPr="000E66D4" w:rsidRDefault="00911DE9"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10</w:t>
            </w:r>
            <w:r w:rsidR="008A2756" w:rsidRPr="000E66D4">
              <w:rPr>
                <w:rFonts w:ascii="Times New Roman" w:eastAsia="Times New Roman" w:hAnsi="Times New Roman" w:cs="Times New Roman"/>
                <w:color w:val="4C4747"/>
                <w:sz w:val="24"/>
                <w:szCs w:val="24"/>
                <w:lang w:val="es-DO"/>
              </w:rPr>
              <w:t> </w:t>
            </w:r>
          </w:p>
        </w:tc>
      </w:tr>
      <w:tr w:rsidR="00911DE9" w:rsidRPr="008E6046" w14:paraId="36F08CB5"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14:paraId="24D27214" w14:textId="19CED18A" w:rsidR="00911DE9" w:rsidRPr="000E66D4" w:rsidRDefault="00911DE9" w:rsidP="008A2756">
            <w:pPr>
              <w:spacing w:after="0" w:line="240" w:lineRule="auto"/>
              <w:jc w:val="center"/>
              <w:textAlignment w:val="baseline"/>
              <w:rPr>
                <w:rFonts w:ascii="Times New Roman" w:eastAsia="Times New Roman" w:hAnsi="Times New Roman" w:cs="Times New Roman"/>
                <w:b/>
                <w:bCs/>
                <w:color w:val="4C4747"/>
                <w:sz w:val="24"/>
                <w:szCs w:val="24"/>
                <w:lang w:val="es-DO"/>
              </w:rPr>
            </w:pPr>
            <w:r w:rsidRPr="000E66D4">
              <w:rPr>
                <w:rFonts w:ascii="Times New Roman" w:eastAsia="Times New Roman" w:hAnsi="Times New Roman" w:cs="Times New Roman"/>
                <w:b/>
                <w:bCs/>
                <w:color w:val="4C4747"/>
                <w:sz w:val="24"/>
                <w:szCs w:val="24"/>
                <w:lang w:val="es-DO"/>
              </w:rPr>
              <w:t>11</w:t>
            </w:r>
          </w:p>
        </w:tc>
        <w:tc>
          <w:tcPr>
            <w:tcW w:w="4410" w:type="dxa"/>
            <w:tcBorders>
              <w:top w:val="single" w:sz="6" w:space="0" w:color="auto"/>
              <w:left w:val="single" w:sz="6" w:space="0" w:color="auto"/>
              <w:bottom w:val="single" w:sz="6" w:space="0" w:color="auto"/>
              <w:right w:val="single" w:sz="6" w:space="0" w:color="auto"/>
            </w:tcBorders>
            <w:shd w:val="clear" w:color="auto" w:fill="FFFFFF"/>
            <w:vAlign w:val="center"/>
          </w:tcPr>
          <w:p w14:paraId="386F3398" w14:textId="185E24FD" w:rsidR="00911DE9" w:rsidRPr="000E66D4" w:rsidRDefault="00911DE9"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Asignación de código MMSI-Call Sign</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tcPr>
          <w:p w14:paraId="1D1B2F41" w14:textId="6EBDB5F5" w:rsidR="00911DE9" w:rsidRPr="000E66D4" w:rsidRDefault="00911DE9"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4</w:t>
            </w:r>
          </w:p>
        </w:tc>
      </w:tr>
      <w:tr w:rsidR="008A2756" w:rsidRPr="008E6046" w14:paraId="72BFC714"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3552E2" w14:textId="0E4B3DD9"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1</w:t>
            </w:r>
            <w:r w:rsidR="00911DE9" w:rsidRPr="000E66D4">
              <w:rPr>
                <w:rFonts w:ascii="Times New Roman" w:eastAsia="Times New Roman" w:hAnsi="Times New Roman" w:cs="Times New Roman"/>
                <w:b/>
                <w:bCs/>
                <w:color w:val="4C4747"/>
                <w:sz w:val="24"/>
                <w:szCs w:val="24"/>
                <w:lang w:val="es-DO"/>
              </w:rPr>
              <w:t>2</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B98144"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Concesiones adecuadas </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A0ED64" w14:textId="7EFA583F"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 </w:t>
            </w:r>
            <w:r w:rsidR="00911DE9" w:rsidRPr="000E66D4">
              <w:rPr>
                <w:rFonts w:ascii="Times New Roman" w:eastAsia="Times New Roman" w:hAnsi="Times New Roman" w:cs="Times New Roman"/>
                <w:color w:val="4C4747"/>
                <w:sz w:val="24"/>
                <w:szCs w:val="24"/>
                <w:lang w:val="es-DO"/>
              </w:rPr>
              <w:t>5</w:t>
            </w:r>
          </w:p>
        </w:tc>
      </w:tr>
      <w:tr w:rsidR="008A2756" w:rsidRPr="008E6046" w14:paraId="6F6FC3D2" w14:textId="77777777" w:rsidTr="004836B7">
        <w:trPr>
          <w:trHeight w:val="795"/>
        </w:trPr>
        <w:tc>
          <w:tcPr>
            <w:tcW w:w="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453B7C" w14:textId="77905BE9"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1</w:t>
            </w:r>
            <w:r w:rsidR="00911DE9" w:rsidRPr="000E66D4">
              <w:rPr>
                <w:rFonts w:ascii="Times New Roman" w:eastAsia="Times New Roman" w:hAnsi="Times New Roman" w:cs="Times New Roman"/>
                <w:b/>
                <w:bCs/>
                <w:color w:val="4C4747"/>
                <w:sz w:val="24"/>
                <w:szCs w:val="24"/>
                <w:lang w:val="es-DO"/>
              </w:rPr>
              <w:t>3</w:t>
            </w:r>
            <w:r w:rsidRPr="000E66D4">
              <w:rPr>
                <w:rFonts w:ascii="Times New Roman" w:eastAsia="Times New Roman" w:hAnsi="Times New Roman" w:cs="Times New Roman"/>
                <w:color w:val="4C4747"/>
                <w:sz w:val="24"/>
                <w:szCs w:val="24"/>
                <w:lang w:val="es-DO"/>
              </w:rPr>
              <w:t> </w:t>
            </w:r>
          </w:p>
        </w:tc>
        <w:tc>
          <w:tcPr>
            <w:tcW w:w="4410" w:type="dxa"/>
            <w:tcBorders>
              <w:top w:val="single" w:sz="6" w:space="0" w:color="auto"/>
              <w:left w:val="single" w:sz="6" w:space="0" w:color="auto"/>
              <w:bottom w:val="single" w:sz="6" w:space="0" w:color="auto"/>
              <w:right w:val="nil"/>
            </w:tcBorders>
            <w:shd w:val="clear" w:color="auto" w:fill="FFFFFF"/>
            <w:vAlign w:val="center"/>
            <w:hideMark/>
          </w:tcPr>
          <w:p w14:paraId="7507E021" w14:textId="7822EEAE" w:rsidR="008A2756" w:rsidRPr="000E66D4" w:rsidRDefault="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 xml:space="preserve">Contratos </w:t>
            </w:r>
            <w:r w:rsidR="00911DE9" w:rsidRPr="000E66D4">
              <w:rPr>
                <w:rFonts w:ascii="Times New Roman" w:eastAsia="Times New Roman" w:hAnsi="Times New Roman" w:cs="Times New Roman"/>
                <w:color w:val="4C4747"/>
                <w:sz w:val="24"/>
                <w:szCs w:val="24"/>
                <w:lang w:val="es-DO"/>
              </w:rPr>
              <w:t>remitidos a firma</w:t>
            </w:r>
          </w:p>
        </w:tc>
        <w:tc>
          <w:tcPr>
            <w:tcW w:w="31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2E5B42" w14:textId="78341AA9" w:rsidR="008A2756" w:rsidRPr="000E66D4" w:rsidRDefault="00911DE9"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15</w:t>
            </w:r>
            <w:r w:rsidR="008A2756" w:rsidRPr="000E66D4">
              <w:rPr>
                <w:rFonts w:ascii="Times New Roman" w:eastAsia="Times New Roman" w:hAnsi="Times New Roman" w:cs="Times New Roman"/>
                <w:color w:val="4C4747"/>
                <w:sz w:val="24"/>
                <w:szCs w:val="24"/>
                <w:lang w:val="es-DO"/>
              </w:rPr>
              <w:t> </w:t>
            </w:r>
          </w:p>
        </w:tc>
      </w:tr>
      <w:tr w:rsidR="008A2756" w:rsidRPr="008E6046" w14:paraId="71CA7BD3" w14:textId="77777777" w:rsidTr="004836B7">
        <w:trPr>
          <w:trHeight w:val="795"/>
        </w:trPr>
        <w:tc>
          <w:tcPr>
            <w:tcW w:w="352" w:type="dxa"/>
            <w:tcBorders>
              <w:top w:val="single" w:sz="6" w:space="0" w:color="auto"/>
              <w:left w:val="single" w:sz="6" w:space="0" w:color="auto"/>
              <w:bottom w:val="nil"/>
              <w:right w:val="single" w:sz="6" w:space="0" w:color="auto"/>
            </w:tcBorders>
            <w:shd w:val="clear" w:color="auto" w:fill="FFFFFF"/>
            <w:vAlign w:val="center"/>
            <w:hideMark/>
          </w:tcPr>
          <w:p w14:paraId="2DB84F1E" w14:textId="72B10B5C" w:rsidR="008A2756" w:rsidRPr="000E66D4" w:rsidRDefault="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b/>
                <w:bCs/>
                <w:color w:val="4C4747"/>
                <w:sz w:val="24"/>
                <w:szCs w:val="24"/>
                <w:lang w:val="es-DO"/>
              </w:rPr>
              <w:t>1</w:t>
            </w:r>
            <w:r w:rsidR="00911DE9" w:rsidRPr="000E66D4">
              <w:rPr>
                <w:rFonts w:ascii="Times New Roman" w:eastAsia="Times New Roman" w:hAnsi="Times New Roman" w:cs="Times New Roman"/>
                <w:b/>
                <w:bCs/>
                <w:color w:val="4C4747"/>
                <w:sz w:val="24"/>
                <w:szCs w:val="24"/>
                <w:lang w:val="es-DO"/>
              </w:rPr>
              <w:t>4</w:t>
            </w:r>
          </w:p>
        </w:tc>
        <w:tc>
          <w:tcPr>
            <w:tcW w:w="4410" w:type="dxa"/>
            <w:tcBorders>
              <w:top w:val="single" w:sz="6" w:space="0" w:color="auto"/>
              <w:left w:val="single" w:sz="6" w:space="0" w:color="auto"/>
              <w:bottom w:val="nil"/>
              <w:right w:val="nil"/>
            </w:tcBorders>
            <w:shd w:val="clear" w:color="auto" w:fill="FFFFFF"/>
            <w:vAlign w:val="center"/>
            <w:hideMark/>
          </w:tcPr>
          <w:p w14:paraId="12C0073F" w14:textId="77777777" w:rsidR="008A2756" w:rsidRPr="000E66D4" w:rsidRDefault="008A2756" w:rsidP="008A2756">
            <w:pPr>
              <w:spacing w:after="0" w:line="240" w:lineRule="auto"/>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Licencias adecuadas  </w:t>
            </w:r>
          </w:p>
        </w:tc>
        <w:tc>
          <w:tcPr>
            <w:tcW w:w="3142" w:type="dxa"/>
            <w:tcBorders>
              <w:top w:val="single" w:sz="6" w:space="0" w:color="auto"/>
              <w:left w:val="single" w:sz="6" w:space="0" w:color="auto"/>
              <w:bottom w:val="nil"/>
              <w:right w:val="single" w:sz="6" w:space="0" w:color="auto"/>
            </w:tcBorders>
            <w:shd w:val="clear" w:color="auto" w:fill="FFFFFF"/>
            <w:vAlign w:val="center"/>
            <w:hideMark/>
          </w:tcPr>
          <w:p w14:paraId="6BE2AB17" w14:textId="01EFB2CB" w:rsidR="008A2756" w:rsidRPr="000E66D4" w:rsidRDefault="008A2756" w:rsidP="008A2756">
            <w:pPr>
              <w:spacing w:after="0" w:line="240" w:lineRule="auto"/>
              <w:jc w:val="center"/>
              <w:textAlignment w:val="baseline"/>
              <w:rPr>
                <w:rFonts w:ascii="Times New Roman" w:eastAsia="Times New Roman" w:hAnsi="Times New Roman" w:cs="Times New Roman"/>
                <w:color w:val="4C4747"/>
                <w:sz w:val="24"/>
                <w:szCs w:val="24"/>
                <w:lang w:val="es-DO"/>
              </w:rPr>
            </w:pPr>
            <w:r w:rsidRPr="000E66D4">
              <w:rPr>
                <w:rFonts w:ascii="Times New Roman" w:eastAsia="Times New Roman" w:hAnsi="Times New Roman" w:cs="Times New Roman"/>
                <w:color w:val="4C4747"/>
                <w:sz w:val="24"/>
                <w:szCs w:val="24"/>
                <w:lang w:val="es-DO"/>
              </w:rPr>
              <w:t> </w:t>
            </w:r>
            <w:r w:rsidR="00911DE9" w:rsidRPr="000E66D4">
              <w:rPr>
                <w:rFonts w:ascii="Times New Roman" w:eastAsia="Times New Roman" w:hAnsi="Times New Roman" w:cs="Times New Roman"/>
                <w:color w:val="4C4747"/>
                <w:sz w:val="24"/>
                <w:szCs w:val="24"/>
                <w:lang w:val="es-DO"/>
              </w:rPr>
              <w:t>0</w:t>
            </w:r>
          </w:p>
        </w:tc>
      </w:tr>
      <w:tr w:rsidR="008A2756" w:rsidRPr="008E6046" w14:paraId="235335DE" w14:textId="77777777" w:rsidTr="004836B7">
        <w:trPr>
          <w:trHeight w:val="372"/>
        </w:trPr>
        <w:tc>
          <w:tcPr>
            <w:tcW w:w="4762" w:type="dxa"/>
            <w:gridSpan w:val="2"/>
            <w:tcBorders>
              <w:top w:val="single" w:sz="6" w:space="0" w:color="auto"/>
              <w:left w:val="single" w:sz="6" w:space="0" w:color="auto"/>
              <w:bottom w:val="single" w:sz="6" w:space="0" w:color="auto"/>
              <w:right w:val="nil"/>
            </w:tcBorders>
            <w:shd w:val="clear" w:color="auto" w:fill="002060"/>
            <w:vAlign w:val="center"/>
            <w:hideMark/>
          </w:tcPr>
          <w:p w14:paraId="2B5780FD" w14:textId="77777777" w:rsidR="008A2756" w:rsidRPr="00943FA5" w:rsidRDefault="008A2756" w:rsidP="008A2756">
            <w:pPr>
              <w:spacing w:after="0" w:line="240" w:lineRule="auto"/>
              <w:jc w:val="center"/>
              <w:textAlignment w:val="baseline"/>
              <w:rPr>
                <w:rFonts w:ascii="Times New Roman" w:eastAsia="Times New Roman" w:hAnsi="Times New Roman" w:cs="Times New Roman"/>
                <w:sz w:val="24"/>
                <w:szCs w:val="24"/>
                <w:lang w:val="es-DO"/>
              </w:rPr>
            </w:pPr>
            <w:r w:rsidRPr="00943FA5">
              <w:rPr>
                <w:rFonts w:ascii="Times New Roman" w:eastAsia="Times New Roman" w:hAnsi="Times New Roman" w:cs="Times New Roman"/>
                <w:b/>
                <w:bCs/>
                <w:color w:val="FFFFFF" w:themeColor="background1"/>
                <w:sz w:val="24"/>
                <w:szCs w:val="24"/>
                <w:lang w:val="es-DO"/>
              </w:rPr>
              <w:t>Total </w:t>
            </w:r>
            <w:r w:rsidRPr="00943FA5">
              <w:rPr>
                <w:rFonts w:ascii="Times New Roman" w:eastAsia="Times New Roman" w:hAnsi="Times New Roman" w:cs="Times New Roman"/>
                <w:color w:val="FFFFFF" w:themeColor="background1"/>
                <w:sz w:val="24"/>
                <w:szCs w:val="24"/>
                <w:lang w:val="es-DO"/>
              </w:rPr>
              <w:t> </w:t>
            </w:r>
          </w:p>
        </w:tc>
        <w:tc>
          <w:tcPr>
            <w:tcW w:w="3142"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56FC2CE5" w14:textId="77777777" w:rsidR="008A2756" w:rsidRPr="00943FA5" w:rsidRDefault="008A2756" w:rsidP="008A2756">
            <w:pPr>
              <w:spacing w:after="0" w:line="240" w:lineRule="auto"/>
              <w:jc w:val="center"/>
              <w:textAlignment w:val="baseline"/>
              <w:rPr>
                <w:rFonts w:ascii="Times New Roman" w:eastAsia="Times New Roman" w:hAnsi="Times New Roman" w:cs="Times New Roman"/>
                <w:sz w:val="24"/>
                <w:szCs w:val="24"/>
                <w:lang w:val="es-DO"/>
              </w:rPr>
            </w:pPr>
            <w:r w:rsidRPr="00943FA5">
              <w:rPr>
                <w:rFonts w:ascii="Times New Roman" w:eastAsia="Times New Roman" w:hAnsi="Times New Roman" w:cs="Times New Roman"/>
                <w:color w:val="767171"/>
                <w:sz w:val="24"/>
                <w:szCs w:val="24"/>
                <w:lang w:val="es-DO"/>
              </w:rPr>
              <w:t> </w:t>
            </w:r>
          </w:p>
        </w:tc>
      </w:tr>
    </w:tbl>
    <w:p w14:paraId="075D0083" w14:textId="23764F8A" w:rsidR="008A2756" w:rsidRPr="00C62BB6" w:rsidRDefault="008A2756" w:rsidP="004836B7">
      <w:pPr>
        <w:spacing w:before="240" w:after="0" w:line="240" w:lineRule="auto"/>
        <w:textAlignment w:val="baseline"/>
        <w:rPr>
          <w:rFonts w:ascii="Segoe UI" w:eastAsia="Times New Roman" w:hAnsi="Segoe UI" w:cs="Segoe UI"/>
          <w:color w:val="4C4747"/>
          <w:sz w:val="18"/>
          <w:szCs w:val="18"/>
          <w:lang w:val="es-DO"/>
        </w:rPr>
      </w:pPr>
      <w:r w:rsidRPr="00C62BB6">
        <w:rPr>
          <w:rFonts w:ascii="Times New Roman" w:eastAsia="Times New Roman" w:hAnsi="Times New Roman" w:cs="Times New Roman"/>
          <w:b/>
          <w:bCs/>
          <w:color w:val="4C4747"/>
          <w:sz w:val="18"/>
          <w:szCs w:val="18"/>
          <w:lang w:val="es-DO"/>
        </w:rPr>
        <w:t>Fuente</w:t>
      </w:r>
      <w:r w:rsidRPr="00C62BB6">
        <w:rPr>
          <w:rFonts w:ascii="Times New Roman" w:eastAsia="Times New Roman" w:hAnsi="Times New Roman" w:cs="Times New Roman"/>
          <w:color w:val="4C4747"/>
          <w:sz w:val="18"/>
          <w:szCs w:val="18"/>
          <w:lang w:val="es-DO"/>
        </w:rPr>
        <w:t>: Sistema de Gestión Interna (SGI) </w:t>
      </w:r>
    </w:p>
    <w:p w14:paraId="5B9FD161" w14:textId="77777777" w:rsidR="00BE6A84" w:rsidRDefault="00BE6A84" w:rsidP="008A2756">
      <w:pPr>
        <w:spacing w:line="360" w:lineRule="auto"/>
        <w:jc w:val="both"/>
        <w:rPr>
          <w:rFonts w:ascii="Times New Roman" w:eastAsia="Calibri" w:hAnsi="Times New Roman" w:cs="Times New Roman"/>
          <w:color w:val="FF0000"/>
          <w:spacing w:val="20"/>
          <w:sz w:val="24"/>
          <w:szCs w:val="24"/>
          <w:lang w:val="es-DO"/>
        </w:rPr>
      </w:pPr>
    </w:p>
    <w:p w14:paraId="1232AE69" w14:textId="77777777" w:rsidR="004836B7" w:rsidRDefault="004836B7" w:rsidP="008A2756">
      <w:pPr>
        <w:spacing w:line="360" w:lineRule="auto"/>
        <w:jc w:val="both"/>
        <w:rPr>
          <w:rFonts w:ascii="Times New Roman" w:eastAsia="Calibri" w:hAnsi="Times New Roman" w:cs="Times New Roman"/>
          <w:color w:val="FF0000"/>
          <w:spacing w:val="20"/>
          <w:sz w:val="24"/>
          <w:szCs w:val="24"/>
          <w:lang w:val="es-DO"/>
        </w:rPr>
      </w:pPr>
    </w:p>
    <w:p w14:paraId="3D59A818" w14:textId="77777777" w:rsidR="004836B7" w:rsidRDefault="004836B7" w:rsidP="008A2756">
      <w:pPr>
        <w:spacing w:line="360" w:lineRule="auto"/>
        <w:jc w:val="both"/>
        <w:rPr>
          <w:rFonts w:ascii="Times New Roman" w:eastAsia="Calibri" w:hAnsi="Times New Roman" w:cs="Times New Roman"/>
          <w:color w:val="FF0000"/>
          <w:spacing w:val="20"/>
          <w:sz w:val="24"/>
          <w:szCs w:val="24"/>
          <w:lang w:val="es-DO"/>
        </w:rPr>
      </w:pPr>
    </w:p>
    <w:p w14:paraId="3392722B" w14:textId="77777777" w:rsidR="004836B7" w:rsidRDefault="004836B7" w:rsidP="008A2756">
      <w:pPr>
        <w:spacing w:line="360" w:lineRule="auto"/>
        <w:jc w:val="both"/>
        <w:rPr>
          <w:rFonts w:ascii="Times New Roman" w:eastAsia="Calibri" w:hAnsi="Times New Roman" w:cs="Times New Roman"/>
          <w:color w:val="FF0000"/>
          <w:spacing w:val="20"/>
          <w:sz w:val="24"/>
          <w:szCs w:val="24"/>
          <w:lang w:val="es-DO"/>
        </w:rPr>
      </w:pPr>
    </w:p>
    <w:p w14:paraId="1432A01C" w14:textId="77777777" w:rsidR="004836B7" w:rsidRDefault="004836B7" w:rsidP="008A2756">
      <w:pPr>
        <w:spacing w:line="360" w:lineRule="auto"/>
        <w:jc w:val="both"/>
        <w:rPr>
          <w:rFonts w:ascii="Times New Roman" w:eastAsia="Calibri" w:hAnsi="Times New Roman" w:cs="Times New Roman"/>
          <w:color w:val="FF0000"/>
          <w:spacing w:val="20"/>
          <w:sz w:val="24"/>
          <w:szCs w:val="24"/>
          <w:lang w:val="es-DO"/>
        </w:rPr>
      </w:pPr>
    </w:p>
    <w:p w14:paraId="3ADDFAC6" w14:textId="70EA4269" w:rsidR="009A6D07" w:rsidRPr="007C16C5" w:rsidRDefault="009A6D07" w:rsidP="009A6D07">
      <w:pPr>
        <w:keepNext/>
        <w:spacing w:before="240" w:after="60" w:line="360" w:lineRule="auto"/>
        <w:contextualSpacing/>
        <w:jc w:val="both"/>
        <w:outlineLvl w:val="2"/>
        <w:rPr>
          <w:rFonts w:ascii="Times New Roman" w:eastAsia="Calibri" w:hAnsi="Times New Roman" w:cs="Times New Roman"/>
          <w:b/>
          <w:color w:val="4C4747"/>
          <w:spacing w:val="20"/>
          <w:sz w:val="24"/>
          <w:szCs w:val="24"/>
          <w:lang w:val="es-DO"/>
        </w:rPr>
      </w:pPr>
      <w:bookmarkStart w:id="16" w:name="_Toc122425238"/>
      <w:r w:rsidRPr="00C62BB6">
        <w:rPr>
          <w:rFonts w:ascii="Times New Roman" w:eastAsia="Calibri" w:hAnsi="Times New Roman" w:cs="Times New Roman"/>
          <w:b/>
          <w:color w:val="4C4747"/>
          <w:spacing w:val="20"/>
          <w:sz w:val="24"/>
          <w:szCs w:val="24"/>
          <w:lang w:val="es-DO"/>
        </w:rPr>
        <w:lastRenderedPageBreak/>
        <w:t xml:space="preserve">3.5 </w:t>
      </w:r>
      <w:r w:rsidR="0057321D" w:rsidRPr="007C16C5">
        <w:rPr>
          <w:rFonts w:ascii="Times New Roman" w:eastAsia="Calibri" w:hAnsi="Times New Roman" w:cs="Times New Roman"/>
          <w:b/>
          <w:color w:val="4C4747"/>
          <w:spacing w:val="20"/>
          <w:sz w:val="24"/>
          <w:szCs w:val="24"/>
          <w:lang w:val="es-DO"/>
        </w:rPr>
        <w:t>Dirección Unidad Ejecutoria BID</w:t>
      </w:r>
      <w:bookmarkEnd w:id="16"/>
    </w:p>
    <w:p w14:paraId="6602B718" w14:textId="77777777" w:rsidR="009A6D07" w:rsidRPr="007C16C5" w:rsidRDefault="009A6D07" w:rsidP="009A6D07">
      <w:pPr>
        <w:pStyle w:val="Sinespaciado"/>
        <w:rPr>
          <w:color w:val="4C4747"/>
          <w:lang w:val="es-DO"/>
        </w:rPr>
      </w:pPr>
    </w:p>
    <w:p w14:paraId="5EFAE065" w14:textId="657E5BCD" w:rsidR="00374E11" w:rsidRPr="007C16C5" w:rsidRDefault="00374E11" w:rsidP="00374E11">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El Gobierno </w:t>
      </w:r>
      <w:r w:rsidR="00747C96" w:rsidRPr="007C16C5">
        <w:rPr>
          <w:rFonts w:ascii="Times New Roman" w:eastAsia="Calibri" w:hAnsi="Times New Roman" w:cs="Times New Roman"/>
          <w:color w:val="4C4747"/>
          <w:spacing w:val="20"/>
          <w:sz w:val="24"/>
          <w:szCs w:val="24"/>
          <w:lang w:val="es-DO"/>
        </w:rPr>
        <w:t xml:space="preserve">Dominicano </w:t>
      </w:r>
      <w:r w:rsidRPr="007C16C5">
        <w:rPr>
          <w:rFonts w:ascii="Times New Roman" w:eastAsia="Calibri" w:hAnsi="Times New Roman" w:cs="Times New Roman"/>
          <w:color w:val="4C4747"/>
          <w:spacing w:val="20"/>
          <w:sz w:val="24"/>
          <w:szCs w:val="24"/>
          <w:lang w:val="es-DO"/>
        </w:rPr>
        <w:t xml:space="preserve">se embarcó en un préstamo con el Banco Interamericano de Desarrollo (BID), para la ejecución del “Programa para Mejorar la Conectividad para la Transformación Digital en la República Dominicana” (DR-L1147), su objetivo general es transformar digitalmente a la República Dominicana </w:t>
      </w:r>
      <w:r w:rsidR="00747C96" w:rsidRPr="007C16C5">
        <w:rPr>
          <w:rFonts w:ascii="Times New Roman" w:eastAsia="Calibri" w:hAnsi="Times New Roman" w:cs="Times New Roman"/>
          <w:color w:val="4C4747"/>
          <w:spacing w:val="20"/>
          <w:sz w:val="24"/>
          <w:szCs w:val="24"/>
          <w:lang w:val="es-DO"/>
        </w:rPr>
        <w:t xml:space="preserve">proveyéndola </w:t>
      </w:r>
      <w:r w:rsidRPr="007C16C5">
        <w:rPr>
          <w:rFonts w:ascii="Times New Roman" w:eastAsia="Calibri" w:hAnsi="Times New Roman" w:cs="Times New Roman"/>
          <w:color w:val="4C4747"/>
          <w:spacing w:val="20"/>
          <w:sz w:val="24"/>
          <w:szCs w:val="24"/>
          <w:lang w:val="es-DO"/>
        </w:rPr>
        <w:t>con un servicio de internet de calidad y asequible con una inversión de US$115</w:t>
      </w:r>
      <w:r w:rsidR="003C1326" w:rsidRPr="007C16C5">
        <w:rPr>
          <w:rFonts w:ascii="Times New Roman" w:eastAsia="Calibri" w:hAnsi="Times New Roman" w:cs="Times New Roman"/>
          <w:color w:val="4C4747"/>
          <w:spacing w:val="20"/>
          <w:sz w:val="24"/>
          <w:szCs w:val="24"/>
          <w:lang w:val="es-DO"/>
        </w:rPr>
        <w:t xml:space="preserve"> </w:t>
      </w:r>
      <w:r w:rsidRPr="007C16C5">
        <w:rPr>
          <w:rFonts w:ascii="Times New Roman" w:eastAsia="Calibri" w:hAnsi="Times New Roman" w:cs="Times New Roman"/>
          <w:color w:val="4C4747"/>
          <w:spacing w:val="20"/>
          <w:sz w:val="24"/>
          <w:szCs w:val="24"/>
          <w:lang w:val="es-DO"/>
        </w:rPr>
        <w:t xml:space="preserve">millones de dólares; para dichos fines </w:t>
      </w:r>
      <w:r w:rsidR="003C1326" w:rsidRPr="007C16C5">
        <w:rPr>
          <w:rFonts w:ascii="Times New Roman" w:eastAsia="Calibri" w:hAnsi="Times New Roman" w:cs="Times New Roman"/>
          <w:color w:val="4C4747"/>
          <w:spacing w:val="20"/>
          <w:sz w:val="24"/>
          <w:szCs w:val="24"/>
          <w:lang w:val="es-DO"/>
        </w:rPr>
        <w:t xml:space="preserve">se creó </w:t>
      </w:r>
      <w:r w:rsidRPr="007C16C5">
        <w:rPr>
          <w:rFonts w:ascii="Times New Roman" w:eastAsia="Calibri" w:hAnsi="Times New Roman" w:cs="Times New Roman"/>
          <w:color w:val="4C4747"/>
          <w:spacing w:val="20"/>
          <w:sz w:val="24"/>
          <w:szCs w:val="24"/>
          <w:lang w:val="es-DO"/>
        </w:rPr>
        <w:t>la Dirección de la Unidad Ejecutora del Proyecto BID, la cual es responsable de la ejecución del préstamo.</w:t>
      </w:r>
    </w:p>
    <w:p w14:paraId="597F679E" w14:textId="77777777" w:rsidR="00374E11" w:rsidRPr="007C16C5" w:rsidRDefault="00374E11" w:rsidP="00374E11">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Se planificaron tres áreas de ejecución, cada una es abordada por un componente específico. </w:t>
      </w:r>
    </w:p>
    <w:p w14:paraId="07B70BF1" w14:textId="356D2D56" w:rsidR="00374E11" w:rsidRPr="00A93998" w:rsidRDefault="00374E11" w:rsidP="00A02BDE">
      <w:pPr>
        <w:pStyle w:val="Prrafodelista"/>
        <w:numPr>
          <w:ilvl w:val="0"/>
          <w:numId w:val="52"/>
        </w:numPr>
        <w:spacing w:line="360" w:lineRule="auto"/>
        <w:jc w:val="both"/>
        <w:rPr>
          <w:rFonts w:ascii="Times New Roman" w:eastAsia="Calibri" w:hAnsi="Times New Roman" w:cs="Times New Roman"/>
          <w:color w:val="4C4747"/>
          <w:spacing w:val="20"/>
          <w:sz w:val="24"/>
          <w:szCs w:val="24"/>
          <w:lang w:val="es-DO"/>
        </w:rPr>
      </w:pPr>
      <w:r w:rsidRPr="00A93998">
        <w:rPr>
          <w:rFonts w:ascii="Times New Roman" w:eastAsia="Calibri" w:hAnsi="Times New Roman" w:cs="Times New Roman"/>
          <w:color w:val="4C4747"/>
          <w:spacing w:val="20"/>
          <w:sz w:val="24"/>
          <w:szCs w:val="24"/>
          <w:lang w:val="es-DO"/>
        </w:rPr>
        <w:t xml:space="preserve">Componente 1. Garantizar que la transición de </w:t>
      </w:r>
      <w:r w:rsidR="00747C96" w:rsidRPr="00A93998">
        <w:rPr>
          <w:rFonts w:ascii="Times New Roman" w:eastAsia="Calibri" w:hAnsi="Times New Roman" w:cs="Times New Roman"/>
          <w:color w:val="4C4747"/>
          <w:spacing w:val="20"/>
          <w:sz w:val="24"/>
          <w:szCs w:val="24"/>
          <w:lang w:val="es-DO"/>
        </w:rPr>
        <w:t xml:space="preserve">la </w:t>
      </w:r>
      <w:r w:rsidRPr="00A93998">
        <w:rPr>
          <w:rFonts w:ascii="Times New Roman" w:eastAsia="Calibri" w:hAnsi="Times New Roman" w:cs="Times New Roman"/>
          <w:color w:val="4C4747"/>
          <w:spacing w:val="20"/>
          <w:sz w:val="24"/>
          <w:szCs w:val="24"/>
          <w:lang w:val="es-DO"/>
        </w:rPr>
        <w:t xml:space="preserve">televisión análoga a digital tenga un carácter socialmente incluyente. </w:t>
      </w:r>
    </w:p>
    <w:p w14:paraId="1451D37A" w14:textId="3870FF9A" w:rsidR="00374E11" w:rsidRPr="00A93998" w:rsidRDefault="00374E11" w:rsidP="00A02BDE">
      <w:pPr>
        <w:pStyle w:val="Prrafodelista"/>
        <w:numPr>
          <w:ilvl w:val="0"/>
          <w:numId w:val="52"/>
        </w:numPr>
        <w:spacing w:line="360" w:lineRule="auto"/>
        <w:jc w:val="both"/>
        <w:rPr>
          <w:rFonts w:ascii="Times New Roman" w:eastAsia="Calibri" w:hAnsi="Times New Roman" w:cs="Times New Roman"/>
          <w:color w:val="4C4747"/>
          <w:spacing w:val="20"/>
          <w:sz w:val="24"/>
          <w:szCs w:val="24"/>
          <w:lang w:val="es-DO"/>
        </w:rPr>
      </w:pPr>
      <w:r w:rsidRPr="00A93998">
        <w:rPr>
          <w:rFonts w:ascii="Times New Roman" w:eastAsia="Calibri" w:hAnsi="Times New Roman" w:cs="Times New Roman"/>
          <w:color w:val="4C4747"/>
          <w:spacing w:val="20"/>
          <w:sz w:val="24"/>
          <w:szCs w:val="24"/>
          <w:lang w:val="es-DO"/>
        </w:rPr>
        <w:t xml:space="preserve">Componente 2. Ampliar las redes alámbricas de acceso a internet, expandir la Red Nacional de Fibra Óptica (RNFO) y garantizar la disponibilidad de conectividad internacional. </w:t>
      </w:r>
    </w:p>
    <w:p w14:paraId="222AA845" w14:textId="620A9C19" w:rsidR="00374E11" w:rsidRPr="00A93998" w:rsidRDefault="00374E11" w:rsidP="00A02BDE">
      <w:pPr>
        <w:pStyle w:val="Prrafodelista"/>
        <w:numPr>
          <w:ilvl w:val="0"/>
          <w:numId w:val="52"/>
        </w:numPr>
        <w:spacing w:line="360" w:lineRule="auto"/>
        <w:jc w:val="both"/>
        <w:rPr>
          <w:rFonts w:ascii="Times New Roman" w:eastAsia="Calibri" w:hAnsi="Times New Roman" w:cs="Times New Roman"/>
          <w:color w:val="4C4747"/>
          <w:spacing w:val="20"/>
          <w:sz w:val="24"/>
          <w:szCs w:val="24"/>
          <w:lang w:val="es-DO"/>
        </w:rPr>
      </w:pPr>
      <w:r w:rsidRPr="00A93998">
        <w:rPr>
          <w:rFonts w:ascii="Times New Roman" w:eastAsia="Calibri" w:hAnsi="Times New Roman" w:cs="Times New Roman"/>
          <w:color w:val="4C4747"/>
          <w:spacing w:val="20"/>
          <w:sz w:val="24"/>
          <w:szCs w:val="24"/>
          <w:lang w:val="es-DO"/>
        </w:rPr>
        <w:t>Componente 3. Capacitar a la ciudadanía en el uso productivo de las TIC.</w:t>
      </w:r>
    </w:p>
    <w:p w14:paraId="59861457" w14:textId="77777777" w:rsidR="00374E11" w:rsidRPr="007C16C5" w:rsidRDefault="00374E11" w:rsidP="00374E11">
      <w:pPr>
        <w:spacing w:line="360" w:lineRule="auto"/>
        <w:jc w:val="both"/>
        <w:rPr>
          <w:rFonts w:ascii="Times New Roman" w:eastAsia="Calibri" w:hAnsi="Times New Roman" w:cs="Times New Roman"/>
          <w:b/>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Detalles de acciones más relevantes</w:t>
      </w:r>
    </w:p>
    <w:p w14:paraId="07C72D11" w14:textId="77777777" w:rsidR="00374E11" w:rsidRPr="007C16C5" w:rsidRDefault="00374E11" w:rsidP="00374E11">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Componente 1. Transición de televisión análoga a digital. </w:t>
      </w:r>
    </w:p>
    <w:p w14:paraId="7F18A862" w14:textId="77777777" w:rsidR="00374E11" w:rsidRPr="007C16C5" w:rsidRDefault="00374E11" w:rsidP="00A02BDE">
      <w:pPr>
        <w:pStyle w:val="Prrafodelista"/>
        <w:numPr>
          <w:ilvl w:val="0"/>
          <w:numId w:val="13"/>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Se realizó una consulta preliminar al mercado para obtener retroalimentación del sector y posibles interesados en los aspectos claves del proyecto. </w:t>
      </w:r>
    </w:p>
    <w:p w14:paraId="7000B52E" w14:textId="03B28CA1" w:rsidR="00374E11" w:rsidRPr="007C16C5" w:rsidRDefault="00374E11" w:rsidP="00A02BDE">
      <w:pPr>
        <w:pStyle w:val="Prrafodelista"/>
        <w:numPr>
          <w:ilvl w:val="0"/>
          <w:numId w:val="13"/>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Se elaboraron los términos de referencia y documentos de solicitud de oferta, que fueron aprobados </w:t>
      </w:r>
      <w:r w:rsidR="00747C96" w:rsidRPr="007C16C5">
        <w:rPr>
          <w:rFonts w:ascii="Times New Roman" w:eastAsia="Calibri" w:hAnsi="Times New Roman" w:cs="Times New Roman"/>
          <w:color w:val="4C4747"/>
          <w:spacing w:val="20"/>
          <w:sz w:val="24"/>
          <w:szCs w:val="24"/>
          <w:lang w:val="es-DO"/>
        </w:rPr>
        <w:t xml:space="preserve">por el Banco Interamericano de Desarrollo (BID) y el Consejo Directivo del INDOTEL  </w:t>
      </w:r>
      <w:r w:rsidR="004203CF" w:rsidRPr="007C16C5">
        <w:rPr>
          <w:rFonts w:ascii="Times New Roman" w:eastAsia="Calibri" w:hAnsi="Times New Roman" w:cs="Times New Roman"/>
          <w:color w:val="4C4747"/>
          <w:spacing w:val="20"/>
          <w:sz w:val="24"/>
          <w:szCs w:val="24"/>
          <w:lang w:val="es-DO"/>
        </w:rPr>
        <w:t>mediante la Resolución número 042-2022</w:t>
      </w:r>
      <w:r w:rsidR="00747C96" w:rsidRPr="007C16C5">
        <w:rPr>
          <w:rFonts w:ascii="Times New Roman" w:eastAsia="Calibri" w:hAnsi="Times New Roman" w:cs="Times New Roman"/>
          <w:color w:val="4C4747"/>
          <w:spacing w:val="20"/>
          <w:sz w:val="24"/>
          <w:szCs w:val="24"/>
          <w:lang w:val="es-DO"/>
        </w:rPr>
        <w:t>.</w:t>
      </w:r>
    </w:p>
    <w:p w14:paraId="66339008" w14:textId="7B06DA34" w:rsidR="00374E11" w:rsidRPr="007C16C5" w:rsidRDefault="00374E11" w:rsidP="00A02BDE">
      <w:pPr>
        <w:pStyle w:val="Prrafodelista"/>
        <w:numPr>
          <w:ilvl w:val="0"/>
          <w:numId w:val="13"/>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lastRenderedPageBreak/>
        <w:t xml:space="preserve">Se publicó la licitación pública internacional INDOTEL-BID-LPI-001-2022 para la adquisición y entrega de cajas convertidoras de señal de televisión digital, a los hogares seleccionados, </w:t>
      </w:r>
      <w:r w:rsidR="009131DC" w:rsidRPr="007C16C5">
        <w:rPr>
          <w:rFonts w:ascii="Times New Roman" w:eastAsia="Calibri" w:hAnsi="Times New Roman" w:cs="Times New Roman"/>
          <w:color w:val="4C4747"/>
          <w:spacing w:val="20"/>
          <w:sz w:val="24"/>
          <w:szCs w:val="24"/>
          <w:lang w:val="es-DO"/>
        </w:rPr>
        <w:t>resultando</w:t>
      </w:r>
      <w:r w:rsidR="00747C96" w:rsidRPr="007C16C5">
        <w:rPr>
          <w:rFonts w:ascii="Times New Roman" w:eastAsia="Calibri" w:hAnsi="Times New Roman" w:cs="Times New Roman"/>
          <w:color w:val="4C4747"/>
          <w:spacing w:val="20"/>
          <w:sz w:val="24"/>
          <w:szCs w:val="24"/>
          <w:lang w:val="es-DO"/>
        </w:rPr>
        <w:t xml:space="preserve"> adjudicatario</w:t>
      </w:r>
      <w:r w:rsidRPr="007C16C5">
        <w:rPr>
          <w:rFonts w:ascii="Times New Roman" w:eastAsia="Calibri" w:hAnsi="Times New Roman" w:cs="Times New Roman"/>
          <w:color w:val="4C4747"/>
          <w:spacing w:val="20"/>
          <w:sz w:val="24"/>
          <w:szCs w:val="24"/>
          <w:lang w:val="es-DO"/>
        </w:rPr>
        <w:t xml:space="preserve"> el CONSORCIO DIGITAL TV CBOX con el que se firmó </w:t>
      </w:r>
      <w:r w:rsidR="008E0A32" w:rsidRPr="007C16C5">
        <w:rPr>
          <w:rFonts w:ascii="Times New Roman" w:eastAsia="Calibri" w:hAnsi="Times New Roman" w:cs="Times New Roman"/>
          <w:color w:val="4C4747"/>
          <w:spacing w:val="20"/>
          <w:sz w:val="24"/>
          <w:szCs w:val="24"/>
          <w:lang w:val="es-DO"/>
        </w:rPr>
        <w:t xml:space="preserve">un </w:t>
      </w:r>
      <w:r w:rsidRPr="007C16C5">
        <w:rPr>
          <w:rFonts w:ascii="Times New Roman" w:eastAsia="Calibri" w:hAnsi="Times New Roman" w:cs="Times New Roman"/>
          <w:color w:val="4C4747"/>
          <w:spacing w:val="20"/>
          <w:sz w:val="24"/>
          <w:szCs w:val="24"/>
          <w:lang w:val="es-DO"/>
        </w:rPr>
        <w:t>contrato para la distribución y entrega de 450,000 mil cajas convertidoras.</w:t>
      </w:r>
    </w:p>
    <w:p w14:paraId="63297984" w14:textId="53B5D883" w:rsidR="00374E11" w:rsidRPr="007C16C5" w:rsidRDefault="003C1326" w:rsidP="00A02BDE">
      <w:pPr>
        <w:pStyle w:val="Prrafodelista"/>
        <w:numPr>
          <w:ilvl w:val="0"/>
          <w:numId w:val="13"/>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 firmó un</w:t>
      </w:r>
      <w:r w:rsidR="00374E11" w:rsidRPr="007C16C5">
        <w:rPr>
          <w:rFonts w:ascii="Times New Roman" w:eastAsia="Calibri" w:hAnsi="Times New Roman" w:cs="Times New Roman"/>
          <w:color w:val="4C4747"/>
          <w:spacing w:val="20"/>
          <w:sz w:val="24"/>
          <w:szCs w:val="24"/>
          <w:lang w:val="es-DO"/>
        </w:rPr>
        <w:t xml:space="preserve"> convenio de cooperación entre INDOTEL y SUPERATE, para trabajar de manera conjunta en el levantamiento y supervisión del proceso de entrega de las cajas convertidoras. </w:t>
      </w:r>
    </w:p>
    <w:p w14:paraId="4927AB66" w14:textId="77777777" w:rsidR="00374E11" w:rsidRPr="007C16C5" w:rsidRDefault="00374E11" w:rsidP="00374E11">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Componente 2. Ampliar las redes alámbricas de acceso a internet. </w:t>
      </w:r>
    </w:p>
    <w:p w14:paraId="11E737DB" w14:textId="25060D3D" w:rsidR="00374E11" w:rsidRPr="007C16C5" w:rsidRDefault="003C1326" w:rsidP="00A02BDE">
      <w:pPr>
        <w:pStyle w:val="Prrafodelista"/>
        <w:numPr>
          <w:ilvl w:val="0"/>
          <w:numId w:val="14"/>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 hizo una c</w:t>
      </w:r>
      <w:r w:rsidR="00374E11" w:rsidRPr="007C16C5">
        <w:rPr>
          <w:rFonts w:ascii="Times New Roman" w:eastAsia="Calibri" w:hAnsi="Times New Roman" w:cs="Times New Roman"/>
          <w:color w:val="4C4747"/>
          <w:spacing w:val="20"/>
          <w:sz w:val="24"/>
          <w:szCs w:val="24"/>
          <w:lang w:val="es-DO"/>
        </w:rPr>
        <w:t xml:space="preserve">onsulta preliminar al mercado para obtener retroalimentación del sector y posibles interesados en los aspectos claves del proyecto. </w:t>
      </w:r>
    </w:p>
    <w:p w14:paraId="6E569131" w14:textId="77777777" w:rsidR="00374E11" w:rsidRPr="007C16C5" w:rsidRDefault="00374E11" w:rsidP="00A02BDE">
      <w:pPr>
        <w:pStyle w:val="Prrafodelista"/>
        <w:numPr>
          <w:ilvl w:val="0"/>
          <w:numId w:val="14"/>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Se solicitó información a 29 proveedores de servicios de internet relativo a sus servicios y áreas de coberturas. </w:t>
      </w:r>
    </w:p>
    <w:p w14:paraId="0A0CED54" w14:textId="762F8026" w:rsidR="00374E11" w:rsidRPr="007C16C5" w:rsidRDefault="003C1326" w:rsidP="00A02BDE">
      <w:pPr>
        <w:pStyle w:val="Prrafodelista"/>
        <w:numPr>
          <w:ilvl w:val="0"/>
          <w:numId w:val="14"/>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Se hizo un </w:t>
      </w:r>
      <w:r w:rsidR="00374E11" w:rsidRPr="007C16C5">
        <w:rPr>
          <w:rFonts w:ascii="Times New Roman" w:eastAsia="Calibri" w:hAnsi="Times New Roman" w:cs="Times New Roman"/>
          <w:color w:val="4C4747"/>
          <w:spacing w:val="20"/>
          <w:sz w:val="24"/>
          <w:szCs w:val="24"/>
          <w:lang w:val="es-DO"/>
        </w:rPr>
        <w:t>acercamiento con Edesur Dominicana para validar la cobertura de servicio energético en las comunidades del proyecto y viabilizar un acuerdo para estandarizar las tarifas y acuerdos comerciales de uso de los postes en dichas comunidades.</w:t>
      </w:r>
    </w:p>
    <w:p w14:paraId="2CF971FA" w14:textId="142C072F" w:rsidR="00374E11" w:rsidRPr="007C16C5" w:rsidRDefault="00374E11" w:rsidP="00A02BDE">
      <w:pPr>
        <w:pStyle w:val="Prrafodelista"/>
        <w:numPr>
          <w:ilvl w:val="0"/>
          <w:numId w:val="14"/>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Se </w:t>
      </w:r>
      <w:r w:rsidR="008E0A32" w:rsidRPr="007C16C5">
        <w:rPr>
          <w:rFonts w:ascii="Times New Roman" w:eastAsia="Calibri" w:hAnsi="Times New Roman" w:cs="Times New Roman"/>
          <w:color w:val="4C4747"/>
          <w:spacing w:val="20"/>
          <w:sz w:val="24"/>
          <w:szCs w:val="24"/>
          <w:lang w:val="es-DO"/>
        </w:rPr>
        <w:t xml:space="preserve">hizo </w:t>
      </w:r>
      <w:r w:rsidRPr="007C16C5">
        <w:rPr>
          <w:rFonts w:ascii="Times New Roman" w:eastAsia="Calibri" w:hAnsi="Times New Roman" w:cs="Times New Roman"/>
          <w:color w:val="4C4747"/>
          <w:spacing w:val="20"/>
          <w:sz w:val="24"/>
          <w:szCs w:val="24"/>
          <w:lang w:val="es-DO"/>
        </w:rPr>
        <w:t>un acercamiento con los alcaldes de los municipios identificados para ser beneficiados con el proyecto, incluyendo la elaboración por parte de los Ayuntamientos de ordenanzas para exonerar los pagos de los arbitrios correspondientes a los despliegues de infraestructura asociados con el proyecto.</w:t>
      </w:r>
    </w:p>
    <w:p w14:paraId="37E86287" w14:textId="77777777" w:rsidR="002A40D6" w:rsidRPr="007C16C5" w:rsidRDefault="00374E11" w:rsidP="00A02BDE">
      <w:pPr>
        <w:pStyle w:val="Prrafodelista"/>
        <w:numPr>
          <w:ilvl w:val="0"/>
          <w:numId w:val="14"/>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Se creó una comisión </w:t>
      </w:r>
      <w:r w:rsidR="008E0A32" w:rsidRPr="007C16C5">
        <w:rPr>
          <w:rFonts w:ascii="Times New Roman" w:eastAsia="Calibri" w:hAnsi="Times New Roman" w:cs="Times New Roman"/>
          <w:color w:val="4C4747"/>
          <w:spacing w:val="20"/>
          <w:sz w:val="24"/>
          <w:szCs w:val="24"/>
          <w:lang w:val="es-DO"/>
        </w:rPr>
        <w:t xml:space="preserve">con la finalidad de elaborar </w:t>
      </w:r>
      <w:r w:rsidRPr="007C16C5">
        <w:rPr>
          <w:rFonts w:ascii="Times New Roman" w:eastAsia="Calibri" w:hAnsi="Times New Roman" w:cs="Times New Roman"/>
          <w:color w:val="4C4747"/>
          <w:spacing w:val="20"/>
          <w:sz w:val="24"/>
          <w:szCs w:val="24"/>
          <w:lang w:val="es-DO"/>
        </w:rPr>
        <w:t xml:space="preserve">los términos </w:t>
      </w:r>
    </w:p>
    <w:p w14:paraId="78966214" w14:textId="69189B66" w:rsidR="00374E11" w:rsidRPr="007C16C5" w:rsidRDefault="00374E11" w:rsidP="002A40D6">
      <w:pPr>
        <w:spacing w:line="360" w:lineRule="auto"/>
        <w:ind w:left="720"/>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lastRenderedPageBreak/>
        <w:t xml:space="preserve">de referencia de </w:t>
      </w:r>
      <w:r w:rsidR="008E0A32" w:rsidRPr="007C16C5">
        <w:rPr>
          <w:rFonts w:ascii="Times New Roman" w:eastAsia="Calibri" w:hAnsi="Times New Roman" w:cs="Times New Roman"/>
          <w:color w:val="4C4747"/>
          <w:spacing w:val="20"/>
          <w:sz w:val="24"/>
          <w:szCs w:val="24"/>
          <w:lang w:val="es-DO"/>
        </w:rPr>
        <w:t xml:space="preserve">la </w:t>
      </w:r>
      <w:r w:rsidRPr="007C16C5">
        <w:rPr>
          <w:rFonts w:ascii="Times New Roman" w:eastAsia="Calibri" w:hAnsi="Times New Roman" w:cs="Times New Roman"/>
          <w:color w:val="4C4747"/>
          <w:spacing w:val="20"/>
          <w:sz w:val="24"/>
          <w:szCs w:val="24"/>
          <w:lang w:val="es-DO"/>
        </w:rPr>
        <w:t>licitación para la contratación de una empresa para llevar acceso a 23 municipios y 63 distritos municipales.</w:t>
      </w:r>
    </w:p>
    <w:p w14:paraId="3C3D8670" w14:textId="0AAE5ABF" w:rsidR="00374E11" w:rsidRPr="007C16C5" w:rsidRDefault="00374E11" w:rsidP="00A02BDE">
      <w:pPr>
        <w:pStyle w:val="Prrafodelista"/>
        <w:numPr>
          <w:ilvl w:val="0"/>
          <w:numId w:val="14"/>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Se realizaron reuniones bilaterales con </w:t>
      </w:r>
      <w:r w:rsidR="008E0A32" w:rsidRPr="007C16C5">
        <w:rPr>
          <w:rFonts w:ascii="Times New Roman" w:eastAsia="Calibri" w:hAnsi="Times New Roman" w:cs="Times New Roman"/>
          <w:color w:val="4C4747"/>
          <w:spacing w:val="20"/>
          <w:sz w:val="24"/>
          <w:szCs w:val="24"/>
          <w:lang w:val="es-DO"/>
        </w:rPr>
        <w:t xml:space="preserve">representantes de los </w:t>
      </w:r>
      <w:r w:rsidRPr="007C16C5">
        <w:rPr>
          <w:rFonts w:ascii="Times New Roman" w:eastAsia="Calibri" w:hAnsi="Times New Roman" w:cs="Times New Roman"/>
          <w:color w:val="4C4747"/>
          <w:spacing w:val="20"/>
          <w:sz w:val="24"/>
          <w:szCs w:val="24"/>
          <w:lang w:val="es-DO"/>
        </w:rPr>
        <w:t>gobiernos de España, Perú y México para conocer experiencias similares en despliegue de infraestructura digital.</w:t>
      </w:r>
    </w:p>
    <w:p w14:paraId="1F5B4331" w14:textId="5AEA5885" w:rsidR="00374E11" w:rsidRPr="007C16C5" w:rsidRDefault="00374E11" w:rsidP="00A02BDE">
      <w:pPr>
        <w:pStyle w:val="Prrafodelista"/>
        <w:numPr>
          <w:ilvl w:val="0"/>
          <w:numId w:val="14"/>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Se contrató </w:t>
      </w:r>
      <w:r w:rsidR="008E0A32" w:rsidRPr="007C16C5">
        <w:rPr>
          <w:rFonts w:ascii="Times New Roman" w:eastAsia="Calibri" w:hAnsi="Times New Roman" w:cs="Times New Roman"/>
          <w:color w:val="4C4747"/>
          <w:spacing w:val="20"/>
          <w:sz w:val="24"/>
          <w:szCs w:val="24"/>
          <w:lang w:val="es-DO"/>
        </w:rPr>
        <w:t xml:space="preserve">un </w:t>
      </w:r>
      <w:r w:rsidRPr="007C16C5">
        <w:rPr>
          <w:rFonts w:ascii="Times New Roman" w:eastAsia="Calibri" w:hAnsi="Times New Roman" w:cs="Times New Roman"/>
          <w:color w:val="4C4747"/>
          <w:spacing w:val="20"/>
          <w:sz w:val="24"/>
          <w:szCs w:val="24"/>
          <w:lang w:val="es-DO"/>
        </w:rPr>
        <w:t xml:space="preserve">consultor internacional para elaborar </w:t>
      </w:r>
      <w:r w:rsidR="008E0A32" w:rsidRPr="007C16C5">
        <w:rPr>
          <w:rFonts w:ascii="Times New Roman" w:eastAsia="Calibri" w:hAnsi="Times New Roman" w:cs="Times New Roman"/>
          <w:color w:val="4C4747"/>
          <w:spacing w:val="20"/>
          <w:sz w:val="24"/>
          <w:szCs w:val="24"/>
          <w:lang w:val="es-DO"/>
        </w:rPr>
        <w:t xml:space="preserve">un </w:t>
      </w:r>
      <w:r w:rsidRPr="007C16C5">
        <w:rPr>
          <w:rFonts w:ascii="Times New Roman" w:eastAsia="Calibri" w:hAnsi="Times New Roman" w:cs="Times New Roman"/>
          <w:color w:val="4C4747"/>
          <w:spacing w:val="20"/>
          <w:sz w:val="24"/>
          <w:szCs w:val="24"/>
          <w:lang w:val="es-DO"/>
        </w:rPr>
        <w:t>estudio de conectividad internacional en la República Dominicana, el cual fue concluido en Diciembre 2022.</w:t>
      </w:r>
    </w:p>
    <w:p w14:paraId="0B2D73BD" w14:textId="77777777" w:rsidR="00374E11" w:rsidRPr="007C16C5" w:rsidRDefault="00374E11" w:rsidP="00374E11">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Componente 3. Capacitar a la ciudadanía en el uso productivo de las TIC. </w:t>
      </w:r>
    </w:p>
    <w:p w14:paraId="69BDD154" w14:textId="6E7473FE" w:rsidR="00374E11" w:rsidRPr="007C16C5" w:rsidRDefault="003C1326" w:rsidP="00A02BDE">
      <w:pPr>
        <w:pStyle w:val="Prrafodelista"/>
        <w:numPr>
          <w:ilvl w:val="0"/>
          <w:numId w:val="15"/>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 realizó una c</w:t>
      </w:r>
      <w:r w:rsidR="00374E11" w:rsidRPr="007C16C5">
        <w:rPr>
          <w:rFonts w:ascii="Times New Roman" w:eastAsia="Calibri" w:hAnsi="Times New Roman" w:cs="Times New Roman"/>
          <w:color w:val="4C4747"/>
          <w:spacing w:val="20"/>
          <w:sz w:val="24"/>
          <w:szCs w:val="24"/>
          <w:lang w:val="es-DO"/>
        </w:rPr>
        <w:t xml:space="preserve">onsulta preliminar al mercado para obtener retroalimentación del sector académico y posibles interesados en los aspectos claves del proyecto. </w:t>
      </w:r>
    </w:p>
    <w:p w14:paraId="57D19E3B" w14:textId="5EFE884F" w:rsidR="00374E11" w:rsidRPr="007C16C5" w:rsidRDefault="00374E11" w:rsidP="00A02BDE">
      <w:pPr>
        <w:pStyle w:val="Prrafodelista"/>
        <w:numPr>
          <w:ilvl w:val="0"/>
          <w:numId w:val="15"/>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 realizaron reuniones con instituciones y organizaciones locales e internacionales,  tales como Cincinnatus, Salesforce, ISOC, LinkedIn y Corporación Ruta N Medellín, para conocer sus ofertas académicas y experiencias en proceso de formación.</w:t>
      </w:r>
    </w:p>
    <w:p w14:paraId="1FB020A4" w14:textId="27D0DA05" w:rsidR="00374E11" w:rsidRPr="007C16C5" w:rsidRDefault="00374E11" w:rsidP="008152C5">
      <w:pPr>
        <w:spacing w:before="240" w:line="360" w:lineRule="auto"/>
        <w:jc w:val="both"/>
        <w:rPr>
          <w:rFonts w:ascii="Times New Roman" w:eastAsia="Calibri" w:hAnsi="Times New Roman" w:cs="Times New Roman"/>
          <w:b/>
          <w:color w:val="4C4747"/>
          <w:spacing w:val="20"/>
          <w:sz w:val="24"/>
          <w:szCs w:val="24"/>
          <w:lang w:val="es-DO"/>
        </w:rPr>
      </w:pPr>
      <w:r w:rsidRPr="007C16C5">
        <w:rPr>
          <w:rFonts w:ascii="Times New Roman" w:eastAsia="Calibri" w:hAnsi="Times New Roman" w:cs="Times New Roman"/>
          <w:b/>
          <w:color w:val="4C4747"/>
          <w:spacing w:val="20"/>
          <w:sz w:val="24"/>
          <w:szCs w:val="24"/>
          <w:lang w:val="es-DO"/>
        </w:rPr>
        <w:t>A</w:t>
      </w:r>
      <w:r w:rsidR="006C3675" w:rsidRPr="007C16C5">
        <w:rPr>
          <w:rFonts w:ascii="Times New Roman" w:eastAsia="Calibri" w:hAnsi="Times New Roman" w:cs="Times New Roman"/>
          <w:b/>
          <w:color w:val="4C4747"/>
          <w:spacing w:val="20"/>
          <w:sz w:val="24"/>
          <w:szCs w:val="24"/>
          <w:lang w:val="es-DO"/>
        </w:rPr>
        <w:t>spectos financieros y a</w:t>
      </w:r>
      <w:r w:rsidRPr="007C16C5">
        <w:rPr>
          <w:rFonts w:ascii="Times New Roman" w:eastAsia="Calibri" w:hAnsi="Times New Roman" w:cs="Times New Roman"/>
          <w:b/>
          <w:color w:val="4C4747"/>
          <w:spacing w:val="20"/>
          <w:sz w:val="24"/>
          <w:szCs w:val="24"/>
          <w:lang w:val="es-DO"/>
        </w:rPr>
        <w:t xml:space="preserve">dministrativos </w:t>
      </w:r>
    </w:p>
    <w:p w14:paraId="42E0F9F0" w14:textId="77777777" w:rsidR="00374E11" w:rsidRPr="007C16C5" w:rsidRDefault="00374E11" w:rsidP="00374E11">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 realizaron todas las actividades para cumplir las condiciones previas al primer desembolso con el BID.</w:t>
      </w:r>
    </w:p>
    <w:p w14:paraId="4BE1352B" w14:textId="77777777" w:rsidR="00374E11" w:rsidRPr="007C16C5" w:rsidRDefault="00374E11" w:rsidP="00A02BDE">
      <w:pPr>
        <w:pStyle w:val="Prrafodelista"/>
        <w:numPr>
          <w:ilvl w:val="0"/>
          <w:numId w:val="16"/>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Emisión de Informe Jurídico sobre las Normas Generales del Contrato de Préstamo. </w:t>
      </w:r>
    </w:p>
    <w:p w14:paraId="19C18951" w14:textId="77777777" w:rsidR="00374E11" w:rsidRPr="007C16C5" w:rsidRDefault="00374E11" w:rsidP="00A02BDE">
      <w:pPr>
        <w:pStyle w:val="Prrafodelista"/>
        <w:numPr>
          <w:ilvl w:val="0"/>
          <w:numId w:val="16"/>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Creación de la Dirección del Programa y Designación de Personal Clave.  </w:t>
      </w:r>
    </w:p>
    <w:p w14:paraId="30BDA1F9" w14:textId="77777777" w:rsidR="00374E11" w:rsidRPr="007C16C5" w:rsidRDefault="00374E11" w:rsidP="00A02BDE">
      <w:pPr>
        <w:pStyle w:val="Prrafodelista"/>
        <w:numPr>
          <w:ilvl w:val="0"/>
          <w:numId w:val="16"/>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Aprobación del Reglamento Operativo del Programa. </w:t>
      </w:r>
    </w:p>
    <w:p w14:paraId="75FB941D" w14:textId="77777777" w:rsidR="00374E11" w:rsidRPr="007C16C5" w:rsidRDefault="00374E11" w:rsidP="00A02BDE">
      <w:pPr>
        <w:pStyle w:val="Prrafodelista"/>
        <w:numPr>
          <w:ilvl w:val="0"/>
          <w:numId w:val="16"/>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Designación de las Firmas Autorizadas.  </w:t>
      </w:r>
    </w:p>
    <w:p w14:paraId="4F6E0163" w14:textId="77777777" w:rsidR="00374E11" w:rsidRPr="007C16C5" w:rsidRDefault="00374E11" w:rsidP="00A02BDE">
      <w:pPr>
        <w:pStyle w:val="Prrafodelista"/>
        <w:numPr>
          <w:ilvl w:val="0"/>
          <w:numId w:val="16"/>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lastRenderedPageBreak/>
        <w:t xml:space="preserve">Suscripción del Convenio Subsidiario entre el INDOTEL y el Ministerio de Hacienda. </w:t>
      </w:r>
    </w:p>
    <w:p w14:paraId="4A381FAF" w14:textId="77777777" w:rsidR="00374E11" w:rsidRPr="007C16C5" w:rsidRDefault="00374E11" w:rsidP="00A02BDE">
      <w:pPr>
        <w:pStyle w:val="Prrafodelista"/>
        <w:numPr>
          <w:ilvl w:val="0"/>
          <w:numId w:val="16"/>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Apertura de cuenta bancaria para los desembolsos.  </w:t>
      </w:r>
    </w:p>
    <w:p w14:paraId="66246BEA" w14:textId="77777777" w:rsidR="00374E11" w:rsidRPr="007C16C5" w:rsidRDefault="00374E11" w:rsidP="00A02BDE">
      <w:pPr>
        <w:pStyle w:val="Prrafodelista"/>
        <w:numPr>
          <w:ilvl w:val="0"/>
          <w:numId w:val="16"/>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Habilitación del Sistema de Información Financiera y Estructura de Control Interno.</w:t>
      </w:r>
    </w:p>
    <w:p w14:paraId="1E4CED11" w14:textId="144EC94F" w:rsidR="00374E11" w:rsidRPr="007C16C5" w:rsidRDefault="00374E11" w:rsidP="006C3675">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 realizaron todas las actividades para op</w:t>
      </w:r>
      <w:r w:rsidR="00FE3633" w:rsidRPr="007C16C5">
        <w:rPr>
          <w:rFonts w:ascii="Times New Roman" w:eastAsia="Calibri" w:hAnsi="Times New Roman" w:cs="Times New Roman"/>
          <w:color w:val="4C4747"/>
          <w:spacing w:val="20"/>
          <w:sz w:val="24"/>
          <w:szCs w:val="24"/>
          <w:lang w:val="es-DO"/>
        </w:rPr>
        <w:t>eratividad de la recién creada d</w:t>
      </w:r>
      <w:r w:rsidRPr="007C16C5">
        <w:rPr>
          <w:rFonts w:ascii="Times New Roman" w:eastAsia="Calibri" w:hAnsi="Times New Roman" w:cs="Times New Roman"/>
          <w:color w:val="4C4747"/>
          <w:spacing w:val="20"/>
          <w:sz w:val="24"/>
          <w:szCs w:val="24"/>
          <w:lang w:val="es-DO"/>
        </w:rPr>
        <w:t xml:space="preserve">irección ante las distintas </w:t>
      </w:r>
      <w:r w:rsidR="002677EC" w:rsidRPr="007C16C5">
        <w:rPr>
          <w:rFonts w:ascii="Times New Roman" w:eastAsia="Calibri" w:hAnsi="Times New Roman" w:cs="Times New Roman"/>
          <w:color w:val="4C4747"/>
          <w:spacing w:val="20"/>
          <w:sz w:val="24"/>
          <w:szCs w:val="24"/>
          <w:lang w:val="es-DO"/>
        </w:rPr>
        <w:t>i</w:t>
      </w:r>
      <w:r w:rsidRPr="007C16C5">
        <w:rPr>
          <w:rFonts w:ascii="Times New Roman" w:eastAsia="Calibri" w:hAnsi="Times New Roman" w:cs="Times New Roman"/>
          <w:color w:val="4C4747"/>
          <w:spacing w:val="20"/>
          <w:sz w:val="24"/>
          <w:szCs w:val="24"/>
          <w:lang w:val="es-DO"/>
        </w:rPr>
        <w:t xml:space="preserve">nstituciones </w:t>
      </w:r>
      <w:r w:rsidR="002677EC" w:rsidRPr="007C16C5">
        <w:rPr>
          <w:rFonts w:ascii="Times New Roman" w:eastAsia="Calibri" w:hAnsi="Times New Roman" w:cs="Times New Roman"/>
          <w:color w:val="4C4747"/>
          <w:spacing w:val="20"/>
          <w:sz w:val="24"/>
          <w:szCs w:val="24"/>
          <w:lang w:val="es-DO"/>
        </w:rPr>
        <w:t>p</w:t>
      </w:r>
      <w:r w:rsidRPr="007C16C5">
        <w:rPr>
          <w:rFonts w:ascii="Times New Roman" w:eastAsia="Calibri" w:hAnsi="Times New Roman" w:cs="Times New Roman"/>
          <w:color w:val="4C4747"/>
          <w:spacing w:val="20"/>
          <w:sz w:val="24"/>
          <w:szCs w:val="24"/>
          <w:lang w:val="es-DO"/>
        </w:rPr>
        <w:t xml:space="preserve">úblicas, como son el Ministerio de Economía, Planificación y Desarrollo, Ministerio de Hacienda, Tesorería  Nacional, Dirección General de Presupuesto y el Banco Central. Entre las actividades más relevantes están: </w:t>
      </w:r>
    </w:p>
    <w:p w14:paraId="082F5EB9" w14:textId="1C917980" w:rsidR="00374E11" w:rsidRPr="007C16C5"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Firma del acuerdo subsidiario entre el Ministerio de Hacienda y </w:t>
      </w:r>
      <w:r w:rsidR="00FE3633" w:rsidRPr="007C16C5">
        <w:rPr>
          <w:rFonts w:ascii="Times New Roman" w:eastAsia="Calibri" w:hAnsi="Times New Roman" w:cs="Times New Roman"/>
          <w:color w:val="4C4747"/>
          <w:spacing w:val="20"/>
          <w:sz w:val="24"/>
          <w:szCs w:val="24"/>
          <w:lang w:val="es-DO"/>
        </w:rPr>
        <w:t>el INDOTEL</w:t>
      </w:r>
      <w:r w:rsidRPr="007C16C5">
        <w:rPr>
          <w:rFonts w:ascii="Times New Roman" w:eastAsia="Calibri" w:hAnsi="Times New Roman" w:cs="Times New Roman"/>
          <w:color w:val="4C4747"/>
          <w:spacing w:val="20"/>
          <w:sz w:val="24"/>
          <w:szCs w:val="24"/>
          <w:lang w:val="es-DO"/>
        </w:rPr>
        <w:t xml:space="preserve">. </w:t>
      </w:r>
    </w:p>
    <w:p w14:paraId="1C51A5DE" w14:textId="74171F1B" w:rsidR="00374E11" w:rsidRPr="007C16C5"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Firma de convenio para la gestión de los recursos d</w:t>
      </w:r>
      <w:r w:rsidR="00FE3633" w:rsidRPr="007C16C5">
        <w:rPr>
          <w:rFonts w:ascii="Times New Roman" w:eastAsia="Calibri" w:hAnsi="Times New Roman" w:cs="Times New Roman"/>
          <w:color w:val="4C4747"/>
          <w:spacing w:val="20"/>
          <w:sz w:val="24"/>
          <w:szCs w:val="24"/>
          <w:lang w:val="es-DO"/>
        </w:rPr>
        <w:t>el préstamo 5297/OC-DR en Cuenta</w:t>
      </w:r>
      <w:r w:rsidRPr="007C16C5">
        <w:rPr>
          <w:rFonts w:ascii="Times New Roman" w:eastAsia="Calibri" w:hAnsi="Times New Roman" w:cs="Times New Roman"/>
          <w:color w:val="4C4747"/>
          <w:spacing w:val="20"/>
          <w:sz w:val="24"/>
          <w:szCs w:val="24"/>
          <w:lang w:val="es-DO"/>
        </w:rPr>
        <w:t xml:space="preserve"> Única del Tesoro (CUT) entre la Tesorería Nacional y </w:t>
      </w:r>
      <w:r w:rsidR="00FE3633" w:rsidRPr="007C16C5">
        <w:rPr>
          <w:rFonts w:ascii="Times New Roman" w:eastAsia="Calibri" w:hAnsi="Times New Roman" w:cs="Times New Roman"/>
          <w:color w:val="4C4747"/>
          <w:spacing w:val="20"/>
          <w:sz w:val="24"/>
          <w:szCs w:val="24"/>
          <w:lang w:val="es-DO"/>
        </w:rPr>
        <w:t>INDOTEL</w:t>
      </w:r>
      <w:r w:rsidRPr="007C16C5">
        <w:rPr>
          <w:rFonts w:ascii="Times New Roman" w:eastAsia="Calibri" w:hAnsi="Times New Roman" w:cs="Times New Roman"/>
          <w:color w:val="4C4747"/>
          <w:spacing w:val="20"/>
          <w:sz w:val="24"/>
          <w:szCs w:val="24"/>
          <w:lang w:val="es-DO"/>
        </w:rPr>
        <w:t xml:space="preserve">. </w:t>
      </w:r>
    </w:p>
    <w:p w14:paraId="0354F425" w14:textId="257F5399" w:rsidR="00374E11" w:rsidRPr="007C16C5" w:rsidRDefault="00FE3633"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 realizaron dos revisiones de c</w:t>
      </w:r>
      <w:r w:rsidR="00374E11" w:rsidRPr="007C16C5">
        <w:rPr>
          <w:rFonts w:ascii="Times New Roman" w:eastAsia="Calibri" w:hAnsi="Times New Roman" w:cs="Times New Roman"/>
          <w:color w:val="4C4747"/>
          <w:spacing w:val="20"/>
          <w:sz w:val="24"/>
          <w:szCs w:val="24"/>
          <w:lang w:val="es-DO"/>
        </w:rPr>
        <w:t>artera con Ministerio de Hacienda y BID, correspondientes al 1er y 2do semestre del año 2022.</w:t>
      </w:r>
    </w:p>
    <w:p w14:paraId="6D26CF49" w14:textId="1FB85287" w:rsidR="00374E11" w:rsidRPr="007C16C5"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El personal de la </w:t>
      </w:r>
      <w:r w:rsidR="00FE3633" w:rsidRPr="007C16C5">
        <w:rPr>
          <w:rFonts w:ascii="Times New Roman" w:eastAsia="Calibri" w:hAnsi="Times New Roman" w:cs="Times New Roman"/>
          <w:color w:val="4C4747"/>
          <w:spacing w:val="20"/>
          <w:sz w:val="24"/>
          <w:szCs w:val="24"/>
          <w:lang w:val="es-DO"/>
        </w:rPr>
        <w:t>unidad ejecutora de proyectos</w:t>
      </w:r>
      <w:r w:rsidRPr="007C16C5">
        <w:rPr>
          <w:rFonts w:ascii="Times New Roman" w:eastAsia="Calibri" w:hAnsi="Times New Roman" w:cs="Times New Roman"/>
          <w:color w:val="4C4747"/>
          <w:spacing w:val="20"/>
          <w:sz w:val="24"/>
          <w:szCs w:val="24"/>
          <w:lang w:val="es-DO"/>
        </w:rPr>
        <w:t xml:space="preserve"> recibió entrenamiento en el  subsistema de Unidades Ejecutoras de Proyectos con Financiamiento Externo,  UEPEX.</w:t>
      </w:r>
    </w:p>
    <w:p w14:paraId="04EB04EF" w14:textId="5696FAEB" w:rsidR="00374E11" w:rsidRPr="007C16C5" w:rsidRDefault="00FE3633"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El personal también</w:t>
      </w:r>
      <w:r w:rsidR="00374E11" w:rsidRPr="007C16C5">
        <w:rPr>
          <w:rFonts w:ascii="Times New Roman" w:eastAsia="Calibri" w:hAnsi="Times New Roman" w:cs="Times New Roman"/>
          <w:color w:val="4C4747"/>
          <w:spacing w:val="20"/>
          <w:sz w:val="24"/>
          <w:szCs w:val="24"/>
          <w:lang w:val="es-DO"/>
        </w:rPr>
        <w:t xml:space="preserve"> recibió entrenamiento en el sistema WEB Online Disbursement del Banco Interamericano de Desarrollo (BID</w:t>
      </w:r>
      <w:r w:rsidRPr="007C16C5">
        <w:rPr>
          <w:rFonts w:ascii="Times New Roman" w:eastAsia="Calibri" w:hAnsi="Times New Roman" w:cs="Times New Roman"/>
          <w:color w:val="4C4747"/>
          <w:spacing w:val="20"/>
          <w:sz w:val="24"/>
          <w:szCs w:val="24"/>
          <w:lang w:val="es-DO"/>
        </w:rPr>
        <w:t>)</w:t>
      </w:r>
      <w:r w:rsidR="00374E11" w:rsidRPr="007C16C5">
        <w:rPr>
          <w:rFonts w:ascii="Times New Roman" w:eastAsia="Calibri" w:hAnsi="Times New Roman" w:cs="Times New Roman"/>
          <w:color w:val="4C4747"/>
          <w:spacing w:val="20"/>
          <w:sz w:val="24"/>
          <w:szCs w:val="24"/>
          <w:lang w:val="es-DO"/>
        </w:rPr>
        <w:t>.</w:t>
      </w:r>
    </w:p>
    <w:p w14:paraId="4728EE1C" w14:textId="77777777" w:rsidR="00374E11" w:rsidRPr="007C16C5"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Se solicitó y se recibió  el  primer desembolso del préstamos con el BID, por un monto de US$8,500,000.00.</w:t>
      </w:r>
    </w:p>
    <w:p w14:paraId="0843853D" w14:textId="163BEB28" w:rsidR="00374E11" w:rsidRPr="007C16C5"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Elaboración y envío a la Tesorería</w:t>
      </w:r>
      <w:r w:rsidR="00FE3633" w:rsidRPr="007C16C5">
        <w:rPr>
          <w:rFonts w:ascii="Times New Roman" w:eastAsia="Calibri" w:hAnsi="Times New Roman" w:cs="Times New Roman"/>
          <w:color w:val="4C4747"/>
          <w:spacing w:val="20"/>
          <w:sz w:val="24"/>
          <w:szCs w:val="24"/>
          <w:lang w:val="es-DO"/>
        </w:rPr>
        <w:t xml:space="preserve"> de las p</w:t>
      </w:r>
      <w:r w:rsidRPr="007C16C5">
        <w:rPr>
          <w:rFonts w:ascii="Times New Roman" w:eastAsia="Calibri" w:hAnsi="Times New Roman" w:cs="Times New Roman"/>
          <w:color w:val="4C4747"/>
          <w:spacing w:val="20"/>
          <w:sz w:val="24"/>
          <w:szCs w:val="24"/>
          <w:lang w:val="es-DO"/>
        </w:rPr>
        <w:t xml:space="preserve">rogramaciones mensuales y trimestrales del año 2022.  </w:t>
      </w:r>
    </w:p>
    <w:p w14:paraId="215B1934" w14:textId="77777777" w:rsidR="00374E11" w:rsidRPr="00C62BB6"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lastRenderedPageBreak/>
        <w:t>Elaboración y envío del presupuesto 2023 a Crédito Público y Dirección General de Presupuesto.</w:t>
      </w:r>
    </w:p>
    <w:p w14:paraId="3EE2A187" w14:textId="051CA244" w:rsidR="00374E11" w:rsidRPr="00C62BB6"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Actualización de la programación presupuestaria del  3er y 4to trimestre en el Sistem</w:t>
      </w:r>
      <w:r w:rsidR="00FE3633" w:rsidRPr="00C62BB6">
        <w:rPr>
          <w:rFonts w:ascii="Times New Roman" w:eastAsia="Calibri" w:hAnsi="Times New Roman" w:cs="Times New Roman"/>
          <w:color w:val="4C4747"/>
          <w:spacing w:val="20"/>
          <w:sz w:val="24"/>
          <w:szCs w:val="24"/>
          <w:lang w:val="es-DO"/>
        </w:rPr>
        <w:t xml:space="preserve">a Nacional de Inversión Pública, </w:t>
      </w:r>
      <w:r w:rsidRPr="00C62BB6">
        <w:rPr>
          <w:rFonts w:ascii="Times New Roman" w:eastAsia="Calibri" w:hAnsi="Times New Roman" w:cs="Times New Roman"/>
          <w:color w:val="4C4747"/>
          <w:spacing w:val="20"/>
          <w:sz w:val="24"/>
          <w:szCs w:val="24"/>
          <w:lang w:val="es-DO"/>
        </w:rPr>
        <w:t>SNIP.</w:t>
      </w:r>
    </w:p>
    <w:p w14:paraId="175B9661" w14:textId="77777777" w:rsidR="00374E11" w:rsidRPr="00C62BB6"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Autorización  al Banco Central a transferir desembolso por valor de US$8, 500,000.00  a la Cuenta Única del Tesoro (CUT).</w:t>
      </w:r>
    </w:p>
    <w:p w14:paraId="2FA4D504" w14:textId="77777777" w:rsidR="00374E11" w:rsidRPr="00C62BB6"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Elaboración de los TDR  para contratación  de la auditoria del proyecto.</w:t>
      </w:r>
    </w:p>
    <w:p w14:paraId="618CC2C2" w14:textId="77777777" w:rsidR="00374E11" w:rsidRPr="00C62BB6" w:rsidRDefault="00374E11" w:rsidP="00A02BDE">
      <w:pPr>
        <w:pStyle w:val="Prrafodelista"/>
        <w:numPr>
          <w:ilvl w:val="0"/>
          <w:numId w:val="17"/>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Elaboración del informe semestral correspondiente al periodo enero-junio 2022, según política de supervisión del BID.</w:t>
      </w:r>
    </w:p>
    <w:p w14:paraId="43CD3118" w14:textId="77777777" w:rsidR="00E60DA4" w:rsidRPr="00C62BB6" w:rsidRDefault="00E60DA4" w:rsidP="00943FA5">
      <w:pPr>
        <w:spacing w:line="360" w:lineRule="auto"/>
        <w:jc w:val="both"/>
        <w:rPr>
          <w:rFonts w:ascii="Times New Roman" w:eastAsia="Calibri" w:hAnsi="Times New Roman" w:cs="Times New Roman"/>
          <w:color w:val="4C4747"/>
          <w:spacing w:val="20"/>
          <w:sz w:val="24"/>
          <w:szCs w:val="24"/>
          <w:lang w:val="es-DO"/>
        </w:rPr>
      </w:pPr>
    </w:p>
    <w:p w14:paraId="0BECC0B4"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14A97410"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43D645E8"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0E44A2AF"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7A21DF66"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0084455E"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6D65DD9E"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77F3F89F"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3689BA49" w14:textId="77777777" w:rsidR="00FE3633" w:rsidRPr="00C62BB6" w:rsidRDefault="00FE3633" w:rsidP="00943FA5">
      <w:pPr>
        <w:spacing w:line="360" w:lineRule="auto"/>
        <w:jc w:val="both"/>
        <w:rPr>
          <w:rFonts w:ascii="Times New Roman" w:eastAsia="Calibri" w:hAnsi="Times New Roman" w:cs="Times New Roman"/>
          <w:color w:val="4C4747"/>
          <w:spacing w:val="20"/>
          <w:sz w:val="24"/>
          <w:szCs w:val="24"/>
          <w:lang w:val="es-DO"/>
        </w:rPr>
      </w:pPr>
    </w:p>
    <w:p w14:paraId="5CBC431B" w14:textId="77777777" w:rsidR="00FE3633" w:rsidRPr="00C62BB6" w:rsidRDefault="00FE3633" w:rsidP="00943FA5">
      <w:pPr>
        <w:spacing w:line="360" w:lineRule="auto"/>
        <w:jc w:val="both"/>
        <w:rPr>
          <w:rFonts w:ascii="Times New Roman" w:eastAsia="Calibri" w:hAnsi="Times New Roman" w:cs="Times New Roman"/>
          <w:color w:val="4C4747"/>
          <w:spacing w:val="20"/>
          <w:sz w:val="24"/>
          <w:szCs w:val="24"/>
          <w:lang w:val="es-DO"/>
        </w:rPr>
      </w:pPr>
    </w:p>
    <w:p w14:paraId="3D6752AD" w14:textId="77777777" w:rsidR="00FE3633" w:rsidRPr="00C62BB6" w:rsidRDefault="00FE3633" w:rsidP="00943FA5">
      <w:pPr>
        <w:spacing w:line="360" w:lineRule="auto"/>
        <w:jc w:val="both"/>
        <w:rPr>
          <w:rFonts w:ascii="Times New Roman" w:eastAsia="Calibri" w:hAnsi="Times New Roman" w:cs="Times New Roman"/>
          <w:color w:val="4C4747"/>
          <w:spacing w:val="20"/>
          <w:sz w:val="24"/>
          <w:szCs w:val="24"/>
          <w:lang w:val="es-DO"/>
        </w:rPr>
      </w:pPr>
    </w:p>
    <w:p w14:paraId="6EF2651D"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641DF881" w14:textId="77777777" w:rsidR="00BE6A84" w:rsidRPr="00C62BB6" w:rsidRDefault="00BE6A84" w:rsidP="00943FA5">
      <w:pPr>
        <w:spacing w:line="360" w:lineRule="auto"/>
        <w:jc w:val="both"/>
        <w:rPr>
          <w:rFonts w:ascii="Times New Roman" w:eastAsia="Calibri" w:hAnsi="Times New Roman" w:cs="Times New Roman"/>
          <w:color w:val="4C4747"/>
          <w:spacing w:val="20"/>
          <w:sz w:val="24"/>
          <w:szCs w:val="24"/>
          <w:lang w:val="es-DO"/>
        </w:rPr>
      </w:pPr>
    </w:p>
    <w:p w14:paraId="6D5DEF03" w14:textId="151DB641" w:rsidR="00650DCD" w:rsidRPr="007C16C5" w:rsidRDefault="009A6D07" w:rsidP="00943FA5">
      <w:pPr>
        <w:keepNext/>
        <w:spacing w:before="240" w:after="60" w:line="360" w:lineRule="auto"/>
        <w:contextualSpacing/>
        <w:jc w:val="both"/>
        <w:outlineLvl w:val="2"/>
        <w:rPr>
          <w:rFonts w:ascii="Times New Roman" w:hAnsi="Times New Roman" w:cs="Times New Roman"/>
          <w:color w:val="4C4747"/>
          <w:lang w:val="es-DO" w:eastAsia="es-DO"/>
        </w:rPr>
      </w:pPr>
      <w:bookmarkStart w:id="17" w:name="_Toc122425239"/>
      <w:r w:rsidRPr="007C16C5">
        <w:rPr>
          <w:rFonts w:ascii="Times New Roman" w:eastAsia="Times New Roman" w:hAnsi="Times New Roman" w:cs="Times New Roman"/>
          <w:b/>
          <w:bCs/>
          <w:color w:val="4C4747"/>
          <w:sz w:val="24"/>
          <w:szCs w:val="26"/>
          <w:lang w:val="es-DO" w:eastAsia="es-DO"/>
        </w:rPr>
        <w:lastRenderedPageBreak/>
        <w:t>3.6</w:t>
      </w:r>
      <w:r w:rsidR="006D62FE" w:rsidRPr="007C16C5">
        <w:rPr>
          <w:rFonts w:ascii="Times New Roman" w:eastAsia="Times New Roman" w:hAnsi="Times New Roman" w:cs="Times New Roman"/>
          <w:b/>
          <w:bCs/>
          <w:color w:val="4C4747"/>
          <w:sz w:val="24"/>
          <w:szCs w:val="26"/>
          <w:lang w:val="es-DO" w:eastAsia="es-DO"/>
        </w:rPr>
        <w:t xml:space="preserve"> </w:t>
      </w:r>
      <w:r w:rsidR="00650DCD" w:rsidRPr="007C16C5">
        <w:rPr>
          <w:rFonts w:ascii="Times New Roman" w:eastAsia="Times New Roman" w:hAnsi="Times New Roman" w:cs="Times New Roman"/>
          <w:b/>
          <w:bCs/>
          <w:color w:val="4C4747"/>
          <w:sz w:val="24"/>
          <w:szCs w:val="26"/>
          <w:lang w:val="es-DO" w:eastAsia="es-DO"/>
        </w:rPr>
        <w:t>Protección al Usuario</w:t>
      </w:r>
      <w:bookmarkEnd w:id="17"/>
    </w:p>
    <w:p w14:paraId="3FD36A4B" w14:textId="77777777" w:rsidR="00731A43" w:rsidRPr="007C16C5" w:rsidRDefault="00731A43" w:rsidP="00731A43">
      <w:pPr>
        <w:spacing w:before="240"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Desde el INDOTEL se emiten normas y acciones regulatorias tendentes a garantizar el respeto a los derechos de los usuarios finales de los servicios públicos de telecomunicaciones; así como también se ofrece al público orientación y asistencia sobre los derechos, obligaciones y reclamaciones vinculadas a los servicios públicos de telecomunicaciones.</w:t>
      </w:r>
    </w:p>
    <w:p w14:paraId="2CA19FAE" w14:textId="0C7BC1DF" w:rsidR="00731A43" w:rsidRPr="007C16C5" w:rsidRDefault="00731A43" w:rsidP="00731A43">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Asimismo, el INDOTEL funge como mediador en las controversias que se presentan entre usuarios y prestadoras de servicios públicos de telecomunicaciones y lleva a cabo </w:t>
      </w:r>
      <w:r w:rsidR="008E0A32" w:rsidRPr="007C16C5">
        <w:rPr>
          <w:rFonts w:ascii="Times New Roman" w:eastAsia="Calibri" w:hAnsi="Times New Roman" w:cs="Times New Roman"/>
          <w:color w:val="4C4747"/>
          <w:spacing w:val="20"/>
          <w:sz w:val="24"/>
          <w:szCs w:val="24"/>
          <w:lang w:val="es-DO"/>
        </w:rPr>
        <w:t xml:space="preserve">un </w:t>
      </w:r>
      <w:r w:rsidRPr="007C16C5">
        <w:rPr>
          <w:rFonts w:ascii="Times New Roman" w:eastAsia="Calibri" w:hAnsi="Times New Roman" w:cs="Times New Roman"/>
          <w:color w:val="4C4747"/>
          <w:spacing w:val="20"/>
          <w:sz w:val="24"/>
          <w:szCs w:val="24"/>
          <w:lang w:val="es-DO"/>
        </w:rPr>
        <w:t xml:space="preserve">proceso de negociación con el objetivo de que ambas partes lleguen a un acuerdo.               </w:t>
      </w:r>
    </w:p>
    <w:p w14:paraId="4F77A748" w14:textId="205E546C" w:rsidR="00731A43" w:rsidRPr="007C16C5" w:rsidRDefault="00F96777" w:rsidP="00731A43">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En </w:t>
      </w:r>
      <w:r w:rsidR="00731A43" w:rsidRPr="007C16C5">
        <w:rPr>
          <w:rFonts w:ascii="Times New Roman" w:eastAsia="Calibri" w:hAnsi="Times New Roman" w:cs="Times New Roman"/>
          <w:color w:val="4C4747"/>
          <w:spacing w:val="20"/>
          <w:sz w:val="24"/>
          <w:szCs w:val="24"/>
          <w:lang w:val="es-DO"/>
        </w:rPr>
        <w:t>INDOTEL se</w:t>
      </w:r>
      <w:r w:rsidR="003C1326" w:rsidRPr="007C16C5">
        <w:rPr>
          <w:rFonts w:ascii="Times New Roman" w:eastAsia="Calibri" w:hAnsi="Times New Roman" w:cs="Times New Roman"/>
          <w:color w:val="4C4747"/>
          <w:spacing w:val="20"/>
          <w:sz w:val="24"/>
          <w:szCs w:val="24"/>
          <w:lang w:val="es-DO"/>
        </w:rPr>
        <w:t xml:space="preserve"> reciben, registran y dan curso a </w:t>
      </w:r>
      <w:r w:rsidR="00731A43" w:rsidRPr="007C16C5">
        <w:rPr>
          <w:rFonts w:ascii="Times New Roman" w:eastAsia="Calibri" w:hAnsi="Times New Roman" w:cs="Times New Roman"/>
          <w:color w:val="4C4747"/>
          <w:spacing w:val="20"/>
          <w:sz w:val="24"/>
          <w:szCs w:val="24"/>
          <w:lang w:val="es-DO"/>
        </w:rPr>
        <w:t xml:space="preserve">las reclamaciones de los usuarios a través de diferentes vías, tales como: telefónica, presencial, correo electrónico, formulario web, chat en línea, correspondencia y redes sociales. </w:t>
      </w:r>
    </w:p>
    <w:p w14:paraId="6321B9B6" w14:textId="24BAC0A2" w:rsidR="008E447D" w:rsidRPr="007C16C5" w:rsidRDefault="00731A43" w:rsidP="00F96777">
      <w:pPr>
        <w:spacing w:line="360" w:lineRule="auto"/>
        <w:jc w:val="both"/>
        <w:rPr>
          <w:rFonts w:ascii="Times New Roman" w:eastAsia="Calibri" w:hAnsi="Times New Roman" w:cs="Times New Roman"/>
          <w:color w:val="4C4747"/>
          <w:spacing w:val="20"/>
          <w:sz w:val="24"/>
          <w:szCs w:val="24"/>
          <w:lang w:val="es-DO"/>
        </w:rPr>
      </w:pPr>
      <w:r w:rsidRPr="007C16C5">
        <w:rPr>
          <w:rFonts w:ascii="Times New Roman" w:eastAsia="Calibri" w:hAnsi="Times New Roman" w:cs="Times New Roman"/>
          <w:color w:val="4C4747"/>
          <w:spacing w:val="20"/>
          <w:sz w:val="24"/>
          <w:szCs w:val="24"/>
          <w:lang w:val="es-DO"/>
        </w:rPr>
        <w:t xml:space="preserve">Desde el mes de enero </w:t>
      </w:r>
      <w:r w:rsidR="008E0A32" w:rsidRPr="007C16C5">
        <w:rPr>
          <w:rFonts w:ascii="Times New Roman" w:eastAsia="Calibri" w:hAnsi="Times New Roman" w:cs="Times New Roman"/>
          <w:color w:val="4C4747"/>
          <w:spacing w:val="20"/>
          <w:sz w:val="24"/>
          <w:szCs w:val="24"/>
          <w:lang w:val="es-DO"/>
        </w:rPr>
        <w:t>a</w:t>
      </w:r>
      <w:r w:rsidRPr="007C16C5">
        <w:rPr>
          <w:rFonts w:ascii="Times New Roman" w:eastAsia="Calibri" w:hAnsi="Times New Roman" w:cs="Times New Roman"/>
          <w:color w:val="4C4747"/>
          <w:spacing w:val="20"/>
          <w:sz w:val="24"/>
          <w:szCs w:val="24"/>
          <w:lang w:val="es-DO"/>
        </w:rPr>
        <w:t xml:space="preserve"> </w:t>
      </w:r>
      <w:r w:rsidR="008E0A32" w:rsidRPr="007C16C5">
        <w:rPr>
          <w:rFonts w:ascii="Times New Roman" w:eastAsia="Calibri" w:hAnsi="Times New Roman" w:cs="Times New Roman"/>
          <w:color w:val="4C4747"/>
          <w:spacing w:val="20"/>
          <w:sz w:val="24"/>
          <w:szCs w:val="24"/>
          <w:lang w:val="es-DO"/>
        </w:rPr>
        <w:t>noviembre</w:t>
      </w:r>
      <w:r w:rsidRPr="007C16C5">
        <w:rPr>
          <w:rFonts w:ascii="Times New Roman" w:eastAsia="Calibri" w:hAnsi="Times New Roman" w:cs="Times New Roman"/>
          <w:color w:val="4C4747"/>
          <w:spacing w:val="20"/>
          <w:sz w:val="24"/>
          <w:szCs w:val="24"/>
          <w:lang w:val="es-DO"/>
        </w:rPr>
        <w:t xml:space="preserve">, </w:t>
      </w:r>
      <w:r w:rsidR="003C1326" w:rsidRPr="007C16C5">
        <w:rPr>
          <w:rFonts w:ascii="Times New Roman" w:eastAsia="Calibri" w:hAnsi="Times New Roman" w:cs="Times New Roman"/>
          <w:color w:val="4C4747"/>
          <w:spacing w:val="20"/>
          <w:sz w:val="24"/>
          <w:szCs w:val="24"/>
          <w:lang w:val="es-DO"/>
        </w:rPr>
        <w:t xml:space="preserve">se recibieron </w:t>
      </w:r>
      <w:r w:rsidRPr="007C16C5">
        <w:rPr>
          <w:rFonts w:ascii="Times New Roman" w:eastAsia="Calibri" w:hAnsi="Times New Roman" w:cs="Times New Roman"/>
          <w:color w:val="4C4747"/>
          <w:spacing w:val="20"/>
          <w:sz w:val="24"/>
          <w:szCs w:val="24"/>
          <w:lang w:val="es-DO"/>
        </w:rPr>
        <w:t xml:space="preserve">un total de </w:t>
      </w:r>
      <w:r w:rsidR="008E447D" w:rsidRPr="007C16C5">
        <w:rPr>
          <w:rFonts w:ascii="Times New Roman" w:eastAsia="Calibri" w:hAnsi="Times New Roman" w:cs="Times New Roman"/>
          <w:color w:val="4C4747"/>
          <w:spacing w:val="20"/>
          <w:sz w:val="24"/>
          <w:szCs w:val="24"/>
          <w:lang w:val="es-DO"/>
        </w:rPr>
        <w:t>6,628</w:t>
      </w:r>
      <w:r w:rsidRPr="007C16C5">
        <w:rPr>
          <w:rFonts w:ascii="Times New Roman" w:eastAsia="Calibri" w:hAnsi="Times New Roman" w:cs="Times New Roman"/>
          <w:color w:val="4C4747"/>
          <w:spacing w:val="20"/>
          <w:sz w:val="24"/>
          <w:szCs w:val="24"/>
          <w:lang w:val="es-DO"/>
        </w:rPr>
        <w:t xml:space="preserve"> reclamaciones, para un promedio mensual de </w:t>
      </w:r>
      <w:r w:rsidR="008E447D" w:rsidRPr="007C16C5">
        <w:rPr>
          <w:rFonts w:ascii="Times New Roman" w:eastAsia="Calibri" w:hAnsi="Times New Roman" w:cs="Times New Roman"/>
          <w:color w:val="4C4747"/>
          <w:spacing w:val="20"/>
          <w:sz w:val="24"/>
          <w:szCs w:val="24"/>
          <w:lang w:val="es-DO"/>
        </w:rPr>
        <w:t>603</w:t>
      </w:r>
      <w:r w:rsidRPr="007C16C5">
        <w:rPr>
          <w:rFonts w:ascii="Times New Roman" w:eastAsia="Calibri" w:hAnsi="Times New Roman" w:cs="Times New Roman"/>
          <w:color w:val="4C4747"/>
          <w:spacing w:val="20"/>
          <w:sz w:val="24"/>
          <w:szCs w:val="24"/>
          <w:lang w:val="es-DO"/>
        </w:rPr>
        <w:t>, las cuales se clasifican según las normativas y procesos establecidos en los diferentes tipos de casos, detallados en la siguiente tabla:</w:t>
      </w:r>
    </w:p>
    <w:p w14:paraId="4C9A9831" w14:textId="412BC1E5" w:rsidR="00DD5A1B" w:rsidRPr="00C62BB6" w:rsidRDefault="008E447D" w:rsidP="00F96777">
      <w:pPr>
        <w:spacing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hAnsi="Times New Roman" w:cs="Times New Roman"/>
          <w:noProof/>
          <w:color w:val="4C4747"/>
        </w:rPr>
        <w:drawing>
          <wp:inline distT="0" distB="0" distL="0" distR="0" wp14:anchorId="5C22474E" wp14:editId="1CD14E6F">
            <wp:extent cx="5029200" cy="2221767"/>
            <wp:effectExtent l="0" t="0" r="0" b="762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D5A1B" w:rsidRPr="00C62BB6">
        <w:rPr>
          <w:rFonts w:ascii="Times New Roman" w:eastAsia="Calibri" w:hAnsi="Times New Roman" w:cs="Times New Roman"/>
          <w:b/>
          <w:color w:val="4C4747"/>
          <w:spacing w:val="20"/>
          <w:sz w:val="18"/>
          <w:szCs w:val="24"/>
          <w:lang w:val="es-DO"/>
        </w:rPr>
        <w:t>Fuente</w:t>
      </w:r>
      <w:r w:rsidR="00DD5A1B" w:rsidRPr="00C62BB6">
        <w:rPr>
          <w:rFonts w:ascii="Times New Roman" w:eastAsia="Calibri" w:hAnsi="Times New Roman" w:cs="Times New Roman"/>
          <w:color w:val="4C4747"/>
          <w:spacing w:val="20"/>
          <w:sz w:val="18"/>
          <w:szCs w:val="24"/>
          <w:lang w:val="es-DO"/>
        </w:rPr>
        <w:t>: Sistema de Gestión (WebDau)</w:t>
      </w:r>
    </w:p>
    <w:p w14:paraId="61CD7A32" w14:textId="4D36BC21" w:rsidR="00DD5A1B" w:rsidRPr="00C62BB6"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lastRenderedPageBreak/>
        <w:t>Del total de reclamaciones recibidas en el DAU, podemos identificar las diferentes vías de solicitud por las cuales han acudido los usuario</w:t>
      </w:r>
      <w:r w:rsidR="00F537C4" w:rsidRPr="00C62BB6">
        <w:rPr>
          <w:rFonts w:ascii="Times New Roman" w:eastAsia="Calibri" w:hAnsi="Times New Roman" w:cs="Times New Roman"/>
          <w:color w:val="4C4747"/>
          <w:spacing w:val="20"/>
          <w:sz w:val="24"/>
          <w:szCs w:val="24"/>
          <w:lang w:val="es-DO"/>
        </w:rPr>
        <w:t>s. A continuación, la gráfica:</w:t>
      </w:r>
    </w:p>
    <w:p w14:paraId="54C5A89D" w14:textId="7BD1B865" w:rsidR="00DD5A1B" w:rsidRPr="00C62BB6" w:rsidRDefault="008E447D" w:rsidP="00F96777">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hAnsi="Times New Roman" w:cs="Times New Roman"/>
          <w:noProof/>
          <w:color w:val="4C4747"/>
        </w:rPr>
        <w:drawing>
          <wp:inline distT="0" distB="0" distL="0" distR="0" wp14:anchorId="6CA90DB2" wp14:editId="2BEFFF24">
            <wp:extent cx="5029200" cy="2419350"/>
            <wp:effectExtent l="0" t="0" r="0" b="0"/>
            <wp:docPr id="2062" name="Gráfico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D5A1B" w:rsidRPr="00C62BB6">
        <w:rPr>
          <w:rFonts w:ascii="Times New Roman" w:eastAsia="Calibri" w:hAnsi="Times New Roman" w:cs="Times New Roman"/>
          <w:b/>
          <w:color w:val="4C4747"/>
          <w:spacing w:val="20"/>
          <w:sz w:val="18"/>
          <w:szCs w:val="24"/>
          <w:lang w:val="es-DO"/>
        </w:rPr>
        <w:t>Fuente</w:t>
      </w:r>
      <w:r w:rsidR="00DD5A1B" w:rsidRPr="00C62BB6">
        <w:rPr>
          <w:rFonts w:ascii="Times New Roman" w:eastAsia="Calibri" w:hAnsi="Times New Roman" w:cs="Times New Roman"/>
          <w:color w:val="4C4747"/>
          <w:spacing w:val="20"/>
          <w:sz w:val="18"/>
          <w:szCs w:val="24"/>
          <w:lang w:val="es-DO"/>
        </w:rPr>
        <w:t>: Sistema de Gestión (WebDau)</w:t>
      </w:r>
    </w:p>
    <w:p w14:paraId="3DE27636" w14:textId="77777777" w:rsidR="00DD5A1B" w:rsidRPr="00C62BB6" w:rsidRDefault="00DD5A1B" w:rsidP="00F96777">
      <w:pPr>
        <w:spacing w:before="240"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Acorde con nuestras estadísticas, podemos mencionar que los principales motivos de reclamos presentados por los usuarios durante el presente año son: </w:t>
      </w:r>
    </w:p>
    <w:p w14:paraId="33DDD407" w14:textId="6C2BF9BF" w:rsidR="00DD5A1B" w:rsidRPr="00C62BB6" w:rsidRDefault="00F729D3" w:rsidP="00A02BDE">
      <w:pPr>
        <w:numPr>
          <w:ilvl w:val="0"/>
          <w:numId w:val="5"/>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Facturación. Un promedio de </w:t>
      </w:r>
      <w:r w:rsidR="00DD5A1B" w:rsidRPr="00C62BB6">
        <w:rPr>
          <w:rFonts w:ascii="Times New Roman" w:eastAsia="Calibri" w:hAnsi="Times New Roman" w:cs="Times New Roman"/>
          <w:color w:val="4C4747"/>
          <w:spacing w:val="20"/>
          <w:sz w:val="24"/>
          <w:szCs w:val="24"/>
          <w:lang w:val="es-DO"/>
        </w:rPr>
        <w:t>17 casos mensuales de inconvenientes con la factura.</w:t>
      </w:r>
    </w:p>
    <w:p w14:paraId="601BE549" w14:textId="1DD2FCB3" w:rsidR="00DD5A1B" w:rsidRPr="00C62BB6" w:rsidRDefault="00F729D3" w:rsidP="00A02BDE">
      <w:pPr>
        <w:numPr>
          <w:ilvl w:val="0"/>
          <w:numId w:val="5"/>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Cargos de penalidad.</w:t>
      </w:r>
      <w:r w:rsidR="00DD5A1B" w:rsidRPr="00C62BB6">
        <w:rPr>
          <w:rFonts w:ascii="Times New Roman" w:eastAsia="Calibri" w:hAnsi="Times New Roman" w:cs="Times New Roman"/>
          <w:color w:val="4C4747"/>
          <w:spacing w:val="20"/>
          <w:sz w:val="24"/>
          <w:szCs w:val="24"/>
          <w:lang w:val="es-DO"/>
        </w:rPr>
        <w:t xml:space="preserve"> </w:t>
      </w:r>
      <w:r w:rsidRPr="00C62BB6">
        <w:rPr>
          <w:rFonts w:ascii="Times New Roman" w:eastAsia="Calibri" w:hAnsi="Times New Roman" w:cs="Times New Roman"/>
          <w:color w:val="4C4747"/>
          <w:spacing w:val="20"/>
          <w:sz w:val="24"/>
          <w:szCs w:val="24"/>
          <w:lang w:val="es-DO"/>
        </w:rPr>
        <w:t>Un</w:t>
      </w:r>
      <w:r w:rsidR="00DD5A1B" w:rsidRPr="00C62BB6">
        <w:rPr>
          <w:rFonts w:ascii="Times New Roman" w:eastAsia="Calibri" w:hAnsi="Times New Roman" w:cs="Times New Roman"/>
          <w:color w:val="4C4747"/>
          <w:spacing w:val="20"/>
          <w:sz w:val="24"/>
          <w:szCs w:val="24"/>
          <w:lang w:val="es-DO"/>
        </w:rPr>
        <w:t xml:space="preserve"> promedio mensual aproximado de 55 casos.</w:t>
      </w:r>
    </w:p>
    <w:p w14:paraId="29380C12" w14:textId="1938629C" w:rsidR="00DD5A1B" w:rsidRPr="00C62BB6" w:rsidRDefault="00F729D3" w:rsidP="00A02BDE">
      <w:pPr>
        <w:numPr>
          <w:ilvl w:val="0"/>
          <w:numId w:val="5"/>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Calidad en el servicio.</w:t>
      </w:r>
      <w:r w:rsidR="00DD5A1B" w:rsidRPr="00C62BB6">
        <w:rPr>
          <w:rFonts w:ascii="Times New Roman" w:eastAsia="Calibri" w:hAnsi="Times New Roman" w:cs="Times New Roman"/>
          <w:color w:val="4C4747"/>
          <w:spacing w:val="20"/>
          <w:sz w:val="24"/>
          <w:szCs w:val="24"/>
          <w:lang w:val="es-DO"/>
        </w:rPr>
        <w:t xml:space="preserve"> </w:t>
      </w:r>
      <w:r w:rsidRPr="00C62BB6">
        <w:rPr>
          <w:rFonts w:ascii="Times New Roman" w:eastAsia="Calibri" w:hAnsi="Times New Roman" w:cs="Times New Roman"/>
          <w:color w:val="4C4747"/>
          <w:spacing w:val="20"/>
          <w:sz w:val="24"/>
          <w:szCs w:val="24"/>
          <w:lang w:val="es-DO"/>
        </w:rPr>
        <w:t>Un</w:t>
      </w:r>
      <w:r w:rsidR="00DD5A1B" w:rsidRPr="00C62BB6">
        <w:rPr>
          <w:rFonts w:ascii="Times New Roman" w:eastAsia="Calibri" w:hAnsi="Times New Roman" w:cs="Times New Roman"/>
          <w:color w:val="4C4747"/>
          <w:spacing w:val="20"/>
          <w:sz w:val="24"/>
          <w:szCs w:val="24"/>
          <w:lang w:val="es-DO"/>
        </w:rPr>
        <w:t xml:space="preserve"> promedio de 22 casos por mes. </w:t>
      </w:r>
    </w:p>
    <w:p w14:paraId="6633CD41" w14:textId="193CC337" w:rsidR="00DD5A1B" w:rsidRPr="00C62BB6" w:rsidRDefault="00F729D3" w:rsidP="00A02BDE">
      <w:pPr>
        <w:numPr>
          <w:ilvl w:val="0"/>
          <w:numId w:val="5"/>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Avería.</w:t>
      </w:r>
      <w:r w:rsidR="00DD5A1B" w:rsidRPr="00C62BB6">
        <w:rPr>
          <w:rFonts w:ascii="Times New Roman" w:eastAsia="Calibri" w:hAnsi="Times New Roman" w:cs="Times New Roman"/>
          <w:color w:val="4C4747"/>
          <w:spacing w:val="20"/>
          <w:sz w:val="24"/>
          <w:szCs w:val="24"/>
          <w:lang w:val="es-DO"/>
        </w:rPr>
        <w:t xml:space="preserve"> </w:t>
      </w:r>
      <w:r w:rsidRPr="00C62BB6">
        <w:rPr>
          <w:rFonts w:ascii="Times New Roman" w:eastAsia="Calibri" w:hAnsi="Times New Roman" w:cs="Times New Roman"/>
          <w:color w:val="4C4747"/>
          <w:spacing w:val="20"/>
          <w:sz w:val="24"/>
          <w:szCs w:val="24"/>
          <w:lang w:val="es-DO"/>
        </w:rPr>
        <w:t>Un</w:t>
      </w:r>
      <w:r w:rsidR="00DD5A1B" w:rsidRPr="00C62BB6">
        <w:rPr>
          <w:rFonts w:ascii="Times New Roman" w:eastAsia="Calibri" w:hAnsi="Times New Roman" w:cs="Times New Roman"/>
          <w:color w:val="4C4747"/>
          <w:spacing w:val="20"/>
          <w:sz w:val="24"/>
          <w:szCs w:val="24"/>
          <w:lang w:val="es-DO"/>
        </w:rPr>
        <w:t xml:space="preserve"> promedio de 30 casos por mes.</w:t>
      </w:r>
    </w:p>
    <w:p w14:paraId="6C5611B9" w14:textId="77777777" w:rsidR="00DD5A1B" w:rsidRPr="00C62BB6"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Más abajo se detalla la gráfica con los principales motivos de reclamos:</w:t>
      </w:r>
    </w:p>
    <w:p w14:paraId="68020066" w14:textId="137E6A7A" w:rsidR="001300D0" w:rsidRPr="00C62BB6" w:rsidRDefault="009B1422" w:rsidP="009B1422">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hAnsi="Times New Roman" w:cs="Times New Roman"/>
          <w:noProof/>
          <w:color w:val="4C4747"/>
        </w:rPr>
        <w:lastRenderedPageBreak/>
        <w:drawing>
          <wp:inline distT="0" distB="0" distL="0" distR="0" wp14:anchorId="2EDFBFEA" wp14:editId="278A74CE">
            <wp:extent cx="5029200" cy="2713990"/>
            <wp:effectExtent l="0" t="0" r="0" b="1016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D5A1B" w:rsidRPr="00C62BB6">
        <w:rPr>
          <w:rFonts w:ascii="Times New Roman" w:eastAsia="Calibri" w:hAnsi="Times New Roman" w:cs="Times New Roman"/>
          <w:b/>
          <w:color w:val="4C4747"/>
          <w:spacing w:val="20"/>
          <w:sz w:val="18"/>
          <w:szCs w:val="24"/>
          <w:lang w:val="es-DO"/>
        </w:rPr>
        <w:t>Fuente:</w:t>
      </w:r>
      <w:r w:rsidR="00DD5A1B" w:rsidRPr="00C62BB6">
        <w:rPr>
          <w:rFonts w:ascii="Times New Roman" w:eastAsia="Calibri" w:hAnsi="Times New Roman" w:cs="Times New Roman"/>
          <w:color w:val="4C4747"/>
          <w:spacing w:val="20"/>
          <w:sz w:val="18"/>
          <w:szCs w:val="24"/>
          <w:lang w:val="es-DO"/>
        </w:rPr>
        <w:t xml:space="preserve"> Sistema de Gestión (WebDau)</w:t>
      </w:r>
    </w:p>
    <w:p w14:paraId="3AAB2091" w14:textId="475FCAB6" w:rsidR="00DD5A1B" w:rsidRPr="008C2B22" w:rsidRDefault="009B1422" w:rsidP="009B1422">
      <w:pPr>
        <w:spacing w:before="240"/>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Asistencia al u</w:t>
      </w:r>
      <w:r w:rsidR="00DD5A1B" w:rsidRPr="008C2B22">
        <w:rPr>
          <w:rFonts w:ascii="Times New Roman" w:eastAsia="Calibri" w:hAnsi="Times New Roman" w:cs="Times New Roman"/>
          <w:b/>
          <w:color w:val="4C4747"/>
          <w:spacing w:val="20"/>
          <w:sz w:val="24"/>
          <w:szCs w:val="24"/>
          <w:lang w:val="es-DO"/>
        </w:rPr>
        <w:t xml:space="preserve">suario </w:t>
      </w:r>
    </w:p>
    <w:p w14:paraId="520D2202" w14:textId="5792D7A3" w:rsidR="00DD5A1B" w:rsidRPr="008C2B22"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Podemos resaltar el acercamiento que se ha realizado con las diferentes prestadoras logrando crear lazos de cooperación, lo</w:t>
      </w:r>
      <w:r w:rsidR="000D5B00" w:rsidRPr="008C2B22">
        <w:rPr>
          <w:rFonts w:ascii="Times New Roman" w:eastAsia="Calibri" w:hAnsi="Times New Roman" w:cs="Times New Roman"/>
          <w:color w:val="4C4747"/>
          <w:spacing w:val="20"/>
          <w:sz w:val="24"/>
          <w:szCs w:val="24"/>
          <w:lang w:val="es-DO"/>
        </w:rPr>
        <w:t xml:space="preserve"> que ha </w:t>
      </w:r>
      <w:r w:rsidRPr="008C2B22">
        <w:rPr>
          <w:rFonts w:ascii="Times New Roman" w:eastAsia="Calibri" w:hAnsi="Times New Roman" w:cs="Times New Roman"/>
          <w:color w:val="4C4747"/>
          <w:spacing w:val="20"/>
          <w:sz w:val="24"/>
          <w:szCs w:val="24"/>
          <w:lang w:val="es-DO"/>
        </w:rPr>
        <w:t xml:space="preserve">ayudado a tener una mejor comunicación con los soportes </w:t>
      </w:r>
      <w:r w:rsidR="000D5B00" w:rsidRPr="008C2B22">
        <w:rPr>
          <w:rFonts w:ascii="Times New Roman" w:eastAsia="Calibri" w:hAnsi="Times New Roman" w:cs="Times New Roman"/>
          <w:color w:val="4C4747"/>
          <w:spacing w:val="20"/>
          <w:sz w:val="24"/>
          <w:szCs w:val="24"/>
          <w:lang w:val="es-DO"/>
        </w:rPr>
        <w:t>de las prestadoras de servicios</w:t>
      </w:r>
      <w:r w:rsidRPr="008C2B22">
        <w:rPr>
          <w:rFonts w:ascii="Times New Roman" w:eastAsia="Calibri" w:hAnsi="Times New Roman" w:cs="Times New Roman"/>
          <w:color w:val="4C4747"/>
          <w:spacing w:val="20"/>
          <w:sz w:val="24"/>
          <w:szCs w:val="24"/>
          <w:lang w:val="es-DO"/>
        </w:rPr>
        <w:t xml:space="preserve"> </w:t>
      </w:r>
      <w:r w:rsidR="003C1326" w:rsidRPr="008C2B22">
        <w:rPr>
          <w:rFonts w:ascii="Times New Roman" w:eastAsia="Calibri" w:hAnsi="Times New Roman" w:cs="Times New Roman"/>
          <w:color w:val="4C4747"/>
          <w:spacing w:val="20"/>
          <w:sz w:val="24"/>
          <w:szCs w:val="24"/>
          <w:lang w:val="es-DO"/>
        </w:rPr>
        <w:t xml:space="preserve">lo que </w:t>
      </w:r>
      <w:r w:rsidRPr="008C2B22">
        <w:rPr>
          <w:rFonts w:ascii="Times New Roman" w:eastAsia="Calibri" w:hAnsi="Times New Roman" w:cs="Times New Roman"/>
          <w:color w:val="4C4747"/>
          <w:spacing w:val="20"/>
          <w:sz w:val="24"/>
          <w:szCs w:val="24"/>
          <w:lang w:val="es-DO"/>
        </w:rPr>
        <w:t xml:space="preserve">se ha traducido en respuestas más efectivas y oportunas para tratar los casos que son presentados por los usuarios. Con estas medidas </w:t>
      </w:r>
      <w:r w:rsidR="00FA36CC" w:rsidRPr="008C2B22">
        <w:rPr>
          <w:rFonts w:ascii="Times New Roman" w:eastAsia="Calibri" w:hAnsi="Times New Roman" w:cs="Times New Roman"/>
          <w:color w:val="4C4747"/>
          <w:spacing w:val="20"/>
          <w:sz w:val="24"/>
          <w:szCs w:val="24"/>
          <w:lang w:val="es-DO"/>
        </w:rPr>
        <w:t>se ha</w:t>
      </w:r>
      <w:r w:rsidRPr="008C2B22">
        <w:rPr>
          <w:rFonts w:ascii="Times New Roman" w:eastAsia="Calibri" w:hAnsi="Times New Roman" w:cs="Times New Roman"/>
          <w:color w:val="4C4747"/>
          <w:spacing w:val="20"/>
          <w:sz w:val="24"/>
          <w:szCs w:val="24"/>
          <w:lang w:val="es-DO"/>
        </w:rPr>
        <w:t xml:space="preserve"> logrado </w:t>
      </w:r>
      <w:r w:rsidR="0062386F" w:rsidRPr="008C2B22">
        <w:rPr>
          <w:rFonts w:ascii="Times New Roman" w:eastAsia="Calibri" w:hAnsi="Times New Roman" w:cs="Times New Roman"/>
          <w:color w:val="4C4747"/>
          <w:spacing w:val="20"/>
          <w:sz w:val="24"/>
          <w:szCs w:val="24"/>
          <w:lang w:val="es-DO"/>
        </w:rPr>
        <w:t>finalizar casos</w:t>
      </w:r>
      <w:r w:rsidR="00A161D3" w:rsidRPr="008C2B22">
        <w:rPr>
          <w:rFonts w:ascii="Times New Roman" w:eastAsia="Calibri" w:hAnsi="Times New Roman" w:cs="Times New Roman"/>
          <w:color w:val="4C4747"/>
          <w:spacing w:val="20"/>
          <w:sz w:val="24"/>
          <w:szCs w:val="24"/>
          <w:lang w:val="es-DO"/>
        </w:rPr>
        <w:t xml:space="preserve"> de manera más eficiente</w:t>
      </w:r>
      <w:r w:rsidR="0062386F"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est</w:t>
      </w:r>
      <w:r w:rsidR="0062386F" w:rsidRPr="008C2B22">
        <w:rPr>
          <w:rFonts w:ascii="Times New Roman" w:eastAsia="Calibri" w:hAnsi="Times New Roman" w:cs="Times New Roman"/>
          <w:color w:val="4C4747"/>
          <w:spacing w:val="20"/>
          <w:sz w:val="24"/>
          <w:szCs w:val="24"/>
          <w:lang w:val="es-DO"/>
        </w:rPr>
        <w:t>o se traduce en menos casos de Recursos de Q</w:t>
      </w:r>
      <w:r w:rsidRPr="008C2B22">
        <w:rPr>
          <w:rFonts w:ascii="Times New Roman" w:eastAsia="Calibri" w:hAnsi="Times New Roman" w:cs="Times New Roman"/>
          <w:color w:val="4C4747"/>
          <w:spacing w:val="20"/>
          <w:sz w:val="24"/>
          <w:szCs w:val="24"/>
          <w:lang w:val="es-DO"/>
        </w:rPr>
        <w:t>uejas (RDQ) y a su vez en menos casos a ser apoderados a los cuerpos colegiados</w:t>
      </w:r>
      <w:r w:rsidR="0062386F" w:rsidRPr="008C2B22">
        <w:rPr>
          <w:rFonts w:ascii="Times New Roman" w:eastAsia="Calibri" w:hAnsi="Times New Roman" w:cs="Times New Roman"/>
          <w:color w:val="4C4747"/>
          <w:spacing w:val="20"/>
          <w:sz w:val="24"/>
          <w:szCs w:val="24"/>
          <w:lang w:val="es-DO"/>
        </w:rPr>
        <w:t>,</w:t>
      </w:r>
      <w:r w:rsidR="00FA36CC" w:rsidRPr="008C2B22">
        <w:rPr>
          <w:rFonts w:ascii="Times New Roman" w:eastAsia="Calibri" w:hAnsi="Times New Roman" w:cs="Times New Roman"/>
          <w:color w:val="4C4747"/>
          <w:spacing w:val="20"/>
          <w:sz w:val="24"/>
          <w:szCs w:val="24"/>
          <w:lang w:val="es-DO"/>
        </w:rPr>
        <w:t xml:space="preserve"> por los resultados que se han logra</w:t>
      </w:r>
      <w:r w:rsidRPr="008C2B22">
        <w:rPr>
          <w:rFonts w:ascii="Times New Roman" w:eastAsia="Calibri" w:hAnsi="Times New Roman" w:cs="Times New Roman"/>
          <w:color w:val="4C4747"/>
          <w:spacing w:val="20"/>
          <w:sz w:val="24"/>
          <w:szCs w:val="24"/>
          <w:lang w:val="es-DO"/>
        </w:rPr>
        <w:t xml:space="preserve">do. </w:t>
      </w:r>
    </w:p>
    <w:p w14:paraId="5CDE7D91" w14:textId="147A0124" w:rsidR="00DD5A1B" w:rsidRPr="008C2B22" w:rsidRDefault="0062386F"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En el siguiente gráfico</w:t>
      </w:r>
      <w:r w:rsidR="00A161D3" w:rsidRPr="008C2B22">
        <w:rPr>
          <w:rFonts w:ascii="Times New Roman" w:eastAsia="Calibri" w:hAnsi="Times New Roman" w:cs="Times New Roman"/>
          <w:color w:val="4C4747"/>
          <w:spacing w:val="20"/>
          <w:sz w:val="24"/>
          <w:szCs w:val="24"/>
          <w:lang w:val="es-DO"/>
        </w:rPr>
        <w:t xml:space="preserve"> </w:t>
      </w:r>
      <w:r w:rsidR="00FA36CC" w:rsidRPr="008C2B22">
        <w:rPr>
          <w:rFonts w:ascii="Times New Roman" w:eastAsia="Calibri" w:hAnsi="Times New Roman" w:cs="Times New Roman"/>
          <w:color w:val="4C4747"/>
          <w:spacing w:val="20"/>
          <w:sz w:val="24"/>
          <w:szCs w:val="24"/>
          <w:lang w:val="es-DO"/>
        </w:rPr>
        <w:t>se muestra</w:t>
      </w:r>
      <w:r w:rsidR="00A161D3" w:rsidRPr="008C2B22">
        <w:rPr>
          <w:rFonts w:ascii="Times New Roman" w:eastAsia="Calibri" w:hAnsi="Times New Roman" w:cs="Times New Roman"/>
          <w:color w:val="4C4747"/>
          <w:spacing w:val="20"/>
          <w:sz w:val="24"/>
          <w:szCs w:val="24"/>
          <w:lang w:val="es-DO"/>
        </w:rPr>
        <w:t xml:space="preserve"> los casos de P</w:t>
      </w:r>
      <w:r w:rsidR="003C1326" w:rsidRPr="008C2B22">
        <w:rPr>
          <w:rFonts w:ascii="Times New Roman" w:eastAsia="Calibri" w:hAnsi="Times New Roman" w:cs="Times New Roman"/>
          <w:color w:val="4C4747"/>
          <w:spacing w:val="20"/>
          <w:sz w:val="24"/>
          <w:szCs w:val="24"/>
          <w:lang w:val="es-DO"/>
        </w:rPr>
        <w:t>re-F</w:t>
      </w:r>
      <w:r w:rsidR="00DD5A1B" w:rsidRPr="008C2B22">
        <w:rPr>
          <w:rFonts w:ascii="Times New Roman" w:eastAsia="Calibri" w:hAnsi="Times New Roman" w:cs="Times New Roman"/>
          <w:color w:val="4C4747"/>
          <w:spacing w:val="20"/>
          <w:sz w:val="24"/>
          <w:szCs w:val="24"/>
          <w:lang w:val="es-DO"/>
        </w:rPr>
        <w:t xml:space="preserve">ormalización que fueron trabajados en los meses de enero – </w:t>
      </w:r>
      <w:r w:rsidR="00C941A5" w:rsidRPr="008C2B22">
        <w:rPr>
          <w:rFonts w:ascii="Times New Roman" w:eastAsia="Calibri" w:hAnsi="Times New Roman" w:cs="Times New Roman"/>
          <w:color w:val="4C4747"/>
          <w:spacing w:val="20"/>
          <w:sz w:val="24"/>
          <w:szCs w:val="24"/>
          <w:lang w:val="es-DO"/>
        </w:rPr>
        <w:t xml:space="preserve">noviembre </w:t>
      </w:r>
      <w:r w:rsidR="00DD5A1B" w:rsidRPr="008C2B22">
        <w:rPr>
          <w:rFonts w:ascii="Times New Roman" w:eastAsia="Calibri" w:hAnsi="Times New Roman" w:cs="Times New Roman"/>
          <w:color w:val="4C4747"/>
          <w:spacing w:val="20"/>
          <w:sz w:val="24"/>
          <w:szCs w:val="24"/>
          <w:lang w:val="es-DO"/>
        </w:rPr>
        <w:t>2022</w:t>
      </w:r>
      <w:r w:rsidR="00C941A5" w:rsidRPr="008C2B22">
        <w:rPr>
          <w:rFonts w:ascii="Times New Roman" w:eastAsia="Calibri" w:hAnsi="Times New Roman" w:cs="Times New Roman"/>
          <w:color w:val="4C4747"/>
          <w:spacing w:val="20"/>
          <w:sz w:val="24"/>
          <w:szCs w:val="24"/>
          <w:lang w:val="es-DO"/>
        </w:rPr>
        <w:t>.</w:t>
      </w:r>
    </w:p>
    <w:p w14:paraId="5E841185" w14:textId="77777777" w:rsidR="00DD5A1B" w:rsidRPr="00C62BB6" w:rsidRDefault="00DD5A1B" w:rsidP="00DD5A1B">
      <w:pPr>
        <w:spacing w:before="100" w:beforeAutospacing="1"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noProof/>
          <w:color w:val="4C4747"/>
          <w:spacing w:val="20"/>
          <w:sz w:val="24"/>
          <w:szCs w:val="24"/>
        </w:rPr>
        <w:lastRenderedPageBreak/>
        <w:drawing>
          <wp:inline distT="0" distB="0" distL="0" distR="0" wp14:anchorId="38165A5C" wp14:editId="6D7F56A2">
            <wp:extent cx="5038725" cy="3162300"/>
            <wp:effectExtent l="0" t="0" r="9525"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A10019" w14:textId="77777777" w:rsidR="00DD5A1B" w:rsidRPr="00C62BB6" w:rsidRDefault="00DD5A1B" w:rsidP="00DD5A1B">
      <w:pPr>
        <w:spacing w:after="0" w:line="24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Sistema de Gestión Interna (SGI)</w:t>
      </w:r>
    </w:p>
    <w:p w14:paraId="215702FD" w14:textId="77777777" w:rsidR="00DD5A1B" w:rsidRPr="00C62BB6" w:rsidRDefault="00DD5A1B" w:rsidP="00DD5A1B">
      <w:pPr>
        <w:jc w:val="both"/>
        <w:rPr>
          <w:rFonts w:ascii="Times New Roman" w:eastAsia="Calibri" w:hAnsi="Times New Roman" w:cs="Times New Roman"/>
          <w:color w:val="4C4747"/>
          <w:spacing w:val="20"/>
          <w:sz w:val="24"/>
          <w:szCs w:val="24"/>
          <w:lang w:val="es-DO"/>
        </w:rPr>
      </w:pPr>
    </w:p>
    <w:p w14:paraId="221A603B" w14:textId="7269A584" w:rsidR="00DD5A1B" w:rsidRPr="008C2B22" w:rsidRDefault="001300D0" w:rsidP="00DD5A1B">
      <w:pPr>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Tramitación de denuncias y c</w:t>
      </w:r>
      <w:r w:rsidR="00DD5A1B" w:rsidRPr="008C2B22">
        <w:rPr>
          <w:rFonts w:ascii="Times New Roman" w:eastAsia="Calibri" w:hAnsi="Times New Roman" w:cs="Times New Roman"/>
          <w:b/>
          <w:color w:val="4C4747"/>
          <w:spacing w:val="20"/>
          <w:sz w:val="24"/>
          <w:szCs w:val="24"/>
          <w:lang w:val="es-DO"/>
        </w:rPr>
        <w:t>onciliación</w:t>
      </w:r>
    </w:p>
    <w:p w14:paraId="05590FB5" w14:textId="15EA4E7C" w:rsidR="00DD5A1B" w:rsidRPr="008C2B22" w:rsidRDefault="00DD5A1B" w:rsidP="00DD5A1B">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Los tipos de casos que se trabajan desde el INDOTEL para conciliación de los mismos</w:t>
      </w:r>
      <w:r w:rsidR="0062386F"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son Casos de Denuncia (CD)</w:t>
      </w:r>
      <w:r w:rsidR="003C1326" w:rsidRPr="008C2B22">
        <w:rPr>
          <w:rFonts w:ascii="Times New Roman" w:eastAsia="Calibri" w:hAnsi="Times New Roman" w:cs="Times New Roman"/>
          <w:color w:val="4C4747"/>
          <w:spacing w:val="20"/>
          <w:sz w:val="24"/>
          <w:szCs w:val="24"/>
          <w:lang w:val="es-DO"/>
        </w:rPr>
        <w:t>, Casos de Quejas (CQ)</w:t>
      </w:r>
      <w:r w:rsidRPr="008C2B22">
        <w:rPr>
          <w:rFonts w:ascii="Times New Roman" w:eastAsia="Calibri" w:hAnsi="Times New Roman" w:cs="Times New Roman"/>
          <w:color w:val="4C4747"/>
          <w:spacing w:val="20"/>
          <w:sz w:val="24"/>
          <w:szCs w:val="24"/>
          <w:lang w:val="es-DO"/>
        </w:rPr>
        <w:t xml:space="preserve"> y Recursos de Quejas (RDQ).</w:t>
      </w:r>
    </w:p>
    <w:p w14:paraId="44BC4076" w14:textId="6E639FE7" w:rsidR="00DD5A1B" w:rsidRPr="008C2B22" w:rsidRDefault="00DD5A1B" w:rsidP="00DD5A1B">
      <w:pPr>
        <w:spacing w:before="24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Los Casos de Denuncia (CD)</w:t>
      </w:r>
      <w:r w:rsidR="006C48A5"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son los requerimientos interpuestos por el usuario titular o su representante autorizado por ante el Departamento de Asistencia al Usuario (DAU), por alegada violación a una disposición establecida en la Ley General de </w:t>
      </w:r>
      <w:r w:rsidR="006C48A5" w:rsidRPr="008C2B22">
        <w:rPr>
          <w:rFonts w:ascii="Times New Roman" w:eastAsia="Calibri" w:hAnsi="Times New Roman" w:cs="Times New Roman"/>
          <w:color w:val="4C4747"/>
          <w:spacing w:val="20"/>
          <w:sz w:val="24"/>
          <w:szCs w:val="24"/>
          <w:lang w:val="es-DO"/>
        </w:rPr>
        <w:t xml:space="preserve">Telecomunicaciones número 153-98, </w:t>
      </w:r>
      <w:r w:rsidRPr="008C2B22">
        <w:rPr>
          <w:rFonts w:ascii="Times New Roman" w:eastAsia="Calibri" w:hAnsi="Times New Roman" w:cs="Times New Roman"/>
          <w:color w:val="4C4747"/>
          <w:spacing w:val="20"/>
          <w:sz w:val="24"/>
          <w:szCs w:val="24"/>
          <w:lang w:val="es-DO"/>
        </w:rPr>
        <w:t>reglamentos, resoluciones o disposiciones emitidas por el INDOTEL, así como también las reclamaciones no solucionadas en Casos de Pre-Formalización (CPF)</w:t>
      </w:r>
      <w:r w:rsidR="006C48A5"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por motivos de avería y calidad en el servicio.</w:t>
      </w:r>
    </w:p>
    <w:p w14:paraId="0501C111" w14:textId="500A2D3B" w:rsidR="00DD5A1B" w:rsidRPr="008C2B22" w:rsidRDefault="00DD5A1B" w:rsidP="00DD5A1B">
      <w:pPr>
        <w:spacing w:before="24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el período enero – </w:t>
      </w:r>
      <w:r w:rsidR="00C941A5" w:rsidRPr="008C2B22">
        <w:rPr>
          <w:rFonts w:ascii="Times New Roman" w:eastAsia="Calibri" w:hAnsi="Times New Roman" w:cs="Times New Roman"/>
          <w:color w:val="4C4747"/>
          <w:spacing w:val="20"/>
          <w:sz w:val="24"/>
          <w:szCs w:val="24"/>
          <w:lang w:val="es-DO"/>
        </w:rPr>
        <w:t>noviembre</w:t>
      </w:r>
      <w:r w:rsidRPr="008C2B22">
        <w:rPr>
          <w:rFonts w:ascii="Times New Roman" w:eastAsia="Calibri" w:hAnsi="Times New Roman" w:cs="Times New Roman"/>
          <w:color w:val="4C4747"/>
          <w:spacing w:val="20"/>
          <w:sz w:val="24"/>
          <w:szCs w:val="24"/>
          <w:lang w:val="es-DO"/>
        </w:rPr>
        <w:t xml:space="preserve"> de 2022 se recibieron un total de 169 Casos de Denuncia (CD), cuyos principales motivos fueron cobro de deuda, avería, calidad en el servicio, serie bloqueada, portabilidad </w:t>
      </w:r>
      <w:r w:rsidRPr="008C2B22">
        <w:rPr>
          <w:rFonts w:ascii="Times New Roman" w:eastAsia="Calibri" w:hAnsi="Times New Roman" w:cs="Times New Roman"/>
          <w:color w:val="4C4747"/>
          <w:spacing w:val="20"/>
          <w:sz w:val="24"/>
          <w:szCs w:val="24"/>
          <w:lang w:val="es-DO"/>
        </w:rPr>
        <w:lastRenderedPageBreak/>
        <w:t>numérica y código de subsidio.</w:t>
      </w:r>
    </w:p>
    <w:p w14:paraId="2F58669E" w14:textId="2A770DCE" w:rsidR="00DD5A1B" w:rsidRPr="008C2B22" w:rsidRDefault="006C48A5" w:rsidP="00DD5A1B">
      <w:pPr>
        <w:spacing w:before="24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A la fecha </w:t>
      </w:r>
      <w:r w:rsidR="00C941A5" w:rsidRPr="008C2B22">
        <w:rPr>
          <w:rFonts w:ascii="Times New Roman" w:eastAsia="Calibri" w:hAnsi="Times New Roman" w:cs="Times New Roman"/>
          <w:color w:val="4C4747"/>
          <w:spacing w:val="20"/>
          <w:sz w:val="24"/>
          <w:szCs w:val="24"/>
          <w:lang w:val="es-DO"/>
        </w:rPr>
        <w:t>189</w:t>
      </w:r>
      <w:r w:rsidRPr="008C2B22">
        <w:rPr>
          <w:rFonts w:ascii="Times New Roman" w:eastAsia="Calibri" w:hAnsi="Times New Roman" w:cs="Times New Roman"/>
          <w:color w:val="4C4747"/>
          <w:spacing w:val="20"/>
          <w:sz w:val="24"/>
          <w:szCs w:val="24"/>
          <w:lang w:val="es-DO"/>
        </w:rPr>
        <w:t xml:space="preserve"> </w:t>
      </w:r>
      <w:r w:rsidR="00DD5A1B" w:rsidRPr="008C2B22">
        <w:rPr>
          <w:rFonts w:ascii="Times New Roman" w:eastAsia="Calibri" w:hAnsi="Times New Roman" w:cs="Times New Roman"/>
          <w:color w:val="4C4747"/>
          <w:spacing w:val="20"/>
          <w:sz w:val="24"/>
          <w:szCs w:val="24"/>
          <w:lang w:val="es-DO"/>
        </w:rPr>
        <w:t>se encuentran debidamente concluidos</w:t>
      </w:r>
      <w:r w:rsidRPr="008C2B22">
        <w:rPr>
          <w:rFonts w:ascii="Times New Roman" w:eastAsia="Calibri" w:hAnsi="Times New Roman" w:cs="Times New Roman"/>
          <w:color w:val="4C4747"/>
          <w:spacing w:val="20"/>
          <w:sz w:val="24"/>
          <w:szCs w:val="24"/>
          <w:lang w:val="es-DO"/>
        </w:rPr>
        <w:t>,</w:t>
      </w:r>
      <w:r w:rsidR="00DD5A1B" w:rsidRPr="008C2B22">
        <w:rPr>
          <w:rFonts w:ascii="Times New Roman" w:eastAsia="Calibri" w:hAnsi="Times New Roman" w:cs="Times New Roman"/>
          <w:color w:val="4C4747"/>
          <w:spacing w:val="20"/>
          <w:sz w:val="24"/>
          <w:szCs w:val="24"/>
          <w:lang w:val="es-DO"/>
        </w:rPr>
        <w:t xml:space="preserve"> esto incluye casos finalizados que pasan de un mes a otro y </w:t>
      </w:r>
      <w:r w:rsidR="003D6DB6" w:rsidRPr="008C2B22">
        <w:rPr>
          <w:rFonts w:ascii="Times New Roman" w:eastAsia="Calibri" w:hAnsi="Times New Roman" w:cs="Times New Roman"/>
          <w:color w:val="4C4747"/>
          <w:spacing w:val="20"/>
          <w:sz w:val="24"/>
          <w:szCs w:val="24"/>
          <w:lang w:val="es-DO"/>
        </w:rPr>
        <w:t>8</w:t>
      </w:r>
      <w:r w:rsidRPr="008C2B22">
        <w:rPr>
          <w:rFonts w:ascii="Times New Roman" w:eastAsia="Calibri" w:hAnsi="Times New Roman" w:cs="Times New Roman"/>
          <w:color w:val="4C4747"/>
          <w:spacing w:val="20"/>
          <w:sz w:val="24"/>
          <w:szCs w:val="24"/>
          <w:lang w:val="es-DO"/>
        </w:rPr>
        <w:t xml:space="preserve"> casos </w:t>
      </w:r>
      <w:r w:rsidR="00DD5A1B" w:rsidRPr="008C2B22">
        <w:rPr>
          <w:rFonts w:ascii="Times New Roman" w:eastAsia="Calibri" w:hAnsi="Times New Roman" w:cs="Times New Roman"/>
          <w:color w:val="4C4747"/>
          <w:spacing w:val="20"/>
          <w:sz w:val="24"/>
          <w:szCs w:val="24"/>
          <w:lang w:val="es-DO"/>
        </w:rPr>
        <w:t>en proceso.</w:t>
      </w:r>
    </w:p>
    <w:p w14:paraId="6D659323" w14:textId="77777777" w:rsidR="00DD5A1B" w:rsidRPr="00C62BB6" w:rsidRDefault="00DD5A1B" w:rsidP="00DD5A1B">
      <w:pPr>
        <w:spacing w:before="240" w:after="0" w:line="24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noProof/>
          <w:color w:val="4C4747"/>
          <w:spacing w:val="20"/>
          <w:sz w:val="24"/>
          <w:szCs w:val="24"/>
        </w:rPr>
        <w:drawing>
          <wp:inline distT="0" distB="0" distL="0" distR="0" wp14:anchorId="152EBCF5" wp14:editId="255A1EBC">
            <wp:extent cx="4981575" cy="2314575"/>
            <wp:effectExtent l="0" t="0" r="9525"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649505" w14:textId="77777777" w:rsidR="00BE6A84" w:rsidRPr="00C62BB6" w:rsidRDefault="00BE6A84" w:rsidP="00DD5A1B">
      <w:pPr>
        <w:spacing w:after="0" w:line="240" w:lineRule="auto"/>
        <w:rPr>
          <w:rFonts w:ascii="Times New Roman" w:eastAsia="Calibri" w:hAnsi="Times New Roman" w:cs="Times New Roman"/>
          <w:b/>
          <w:color w:val="4C4747"/>
          <w:spacing w:val="20"/>
          <w:sz w:val="18"/>
          <w:szCs w:val="24"/>
          <w:lang w:val="es-DO"/>
        </w:rPr>
      </w:pPr>
    </w:p>
    <w:p w14:paraId="6CCA9A73" w14:textId="77777777" w:rsidR="00DD5A1B" w:rsidRPr="00C62BB6" w:rsidRDefault="00DD5A1B" w:rsidP="00DD5A1B">
      <w:pPr>
        <w:spacing w:after="0" w:line="24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Sistema de Gestión Interna (SGI)</w:t>
      </w:r>
    </w:p>
    <w:p w14:paraId="33942DFB" w14:textId="77777777" w:rsidR="00DD5A1B" w:rsidRPr="00C62BB6" w:rsidRDefault="00DD5A1B" w:rsidP="00DD5A1B">
      <w:pPr>
        <w:spacing w:line="360" w:lineRule="auto"/>
        <w:jc w:val="both"/>
        <w:rPr>
          <w:rFonts w:ascii="Times New Roman" w:eastAsia="Calibri" w:hAnsi="Times New Roman" w:cs="Times New Roman"/>
          <w:color w:val="4C4747"/>
          <w:spacing w:val="20"/>
          <w:sz w:val="18"/>
          <w:szCs w:val="24"/>
          <w:lang w:val="es-DO"/>
        </w:rPr>
      </w:pPr>
    </w:p>
    <w:p w14:paraId="56B4C7EE" w14:textId="3FB137A4" w:rsidR="00DD5A1B" w:rsidRPr="00C62BB6" w:rsidRDefault="009E6779" w:rsidP="00DD5A1B">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En el perí</w:t>
      </w:r>
      <w:r w:rsidR="00DD5A1B" w:rsidRPr="00C62BB6">
        <w:rPr>
          <w:rFonts w:ascii="Times New Roman" w:eastAsia="Calibri" w:hAnsi="Times New Roman" w:cs="Times New Roman"/>
          <w:color w:val="4C4747"/>
          <w:spacing w:val="20"/>
          <w:sz w:val="24"/>
          <w:szCs w:val="24"/>
          <w:lang w:val="es-DO"/>
        </w:rPr>
        <w:t xml:space="preserve">odo enero – </w:t>
      </w:r>
      <w:r w:rsidR="003D6DB6" w:rsidRPr="00C62BB6">
        <w:rPr>
          <w:rFonts w:ascii="Times New Roman" w:eastAsia="Calibri" w:hAnsi="Times New Roman" w:cs="Times New Roman"/>
          <w:color w:val="4C4747"/>
          <w:spacing w:val="20"/>
          <w:sz w:val="24"/>
          <w:szCs w:val="24"/>
          <w:lang w:val="es-DO"/>
        </w:rPr>
        <w:t>noviembre</w:t>
      </w:r>
      <w:r w:rsidR="00DD5A1B" w:rsidRPr="00C62BB6">
        <w:rPr>
          <w:rFonts w:ascii="Times New Roman" w:eastAsia="Calibri" w:hAnsi="Times New Roman" w:cs="Times New Roman"/>
          <w:color w:val="4C4747"/>
          <w:spacing w:val="20"/>
          <w:sz w:val="24"/>
          <w:szCs w:val="24"/>
          <w:lang w:val="es-DO"/>
        </w:rPr>
        <w:t xml:space="preserve"> </w:t>
      </w:r>
      <w:r w:rsidR="004628C3" w:rsidRPr="00C62BB6">
        <w:rPr>
          <w:rFonts w:ascii="Times New Roman" w:eastAsia="Calibri" w:hAnsi="Times New Roman" w:cs="Times New Roman"/>
          <w:color w:val="4C4747"/>
          <w:spacing w:val="20"/>
          <w:sz w:val="24"/>
          <w:szCs w:val="24"/>
          <w:lang w:val="es-DO"/>
        </w:rPr>
        <w:t>se ha</w:t>
      </w:r>
      <w:r w:rsidR="003D6DB6" w:rsidRPr="00C62BB6">
        <w:rPr>
          <w:rFonts w:ascii="Times New Roman" w:eastAsia="Calibri" w:hAnsi="Times New Roman" w:cs="Times New Roman"/>
          <w:color w:val="4C4747"/>
          <w:spacing w:val="20"/>
          <w:sz w:val="24"/>
          <w:szCs w:val="24"/>
          <w:lang w:val="es-DO"/>
        </w:rPr>
        <w:t xml:space="preserve"> recibido 11</w:t>
      </w:r>
      <w:r w:rsidR="00A161D3" w:rsidRPr="00C62BB6">
        <w:rPr>
          <w:rFonts w:ascii="Times New Roman" w:eastAsia="Calibri" w:hAnsi="Times New Roman" w:cs="Times New Roman"/>
          <w:color w:val="4C4747"/>
          <w:spacing w:val="20"/>
          <w:sz w:val="24"/>
          <w:szCs w:val="24"/>
          <w:lang w:val="es-DO"/>
        </w:rPr>
        <w:t xml:space="preserve"> Casos de Q</w:t>
      </w:r>
      <w:r w:rsidR="00DD5A1B" w:rsidRPr="00C62BB6">
        <w:rPr>
          <w:rFonts w:ascii="Times New Roman" w:eastAsia="Calibri" w:hAnsi="Times New Roman" w:cs="Times New Roman"/>
          <w:color w:val="4C4747"/>
          <w:spacing w:val="20"/>
          <w:sz w:val="24"/>
          <w:szCs w:val="24"/>
          <w:lang w:val="es-DO"/>
        </w:rPr>
        <w:t>uejas</w:t>
      </w:r>
      <w:r w:rsidR="00A161D3" w:rsidRPr="00C62BB6">
        <w:rPr>
          <w:rFonts w:ascii="Times New Roman" w:eastAsia="Calibri" w:hAnsi="Times New Roman" w:cs="Times New Roman"/>
          <w:color w:val="4C4747"/>
          <w:spacing w:val="20"/>
          <w:sz w:val="24"/>
          <w:szCs w:val="24"/>
          <w:lang w:val="es-DO"/>
        </w:rPr>
        <w:t xml:space="preserve"> (CQ)</w:t>
      </w:r>
      <w:r w:rsidRPr="00C62BB6">
        <w:rPr>
          <w:rFonts w:ascii="Times New Roman" w:eastAsia="Calibri" w:hAnsi="Times New Roman" w:cs="Times New Roman"/>
          <w:color w:val="4C4747"/>
          <w:spacing w:val="20"/>
          <w:sz w:val="24"/>
          <w:szCs w:val="24"/>
          <w:lang w:val="es-DO"/>
        </w:rPr>
        <w:t xml:space="preserve"> y </w:t>
      </w:r>
      <w:r w:rsidR="00DD5A1B" w:rsidRPr="00C62BB6">
        <w:rPr>
          <w:rFonts w:ascii="Times New Roman" w:eastAsia="Calibri" w:hAnsi="Times New Roman" w:cs="Times New Roman"/>
          <w:color w:val="4C4747"/>
          <w:spacing w:val="20"/>
          <w:sz w:val="24"/>
          <w:szCs w:val="24"/>
          <w:lang w:val="es-DO"/>
        </w:rPr>
        <w:t>fueron concluidos en su total</w:t>
      </w:r>
      <w:r w:rsidRPr="00C62BB6">
        <w:rPr>
          <w:rFonts w:ascii="Times New Roman" w:eastAsia="Calibri" w:hAnsi="Times New Roman" w:cs="Times New Roman"/>
          <w:color w:val="4C4747"/>
          <w:spacing w:val="20"/>
          <w:sz w:val="24"/>
          <w:szCs w:val="24"/>
          <w:lang w:val="es-DO"/>
        </w:rPr>
        <w:t>idad en los plazos establecidos;</w:t>
      </w:r>
      <w:r w:rsidR="00DD5A1B" w:rsidRPr="00C62BB6">
        <w:rPr>
          <w:rFonts w:ascii="Times New Roman" w:eastAsia="Calibri" w:hAnsi="Times New Roman" w:cs="Times New Roman"/>
          <w:color w:val="4C4747"/>
          <w:spacing w:val="20"/>
          <w:sz w:val="24"/>
          <w:szCs w:val="24"/>
          <w:lang w:val="es-DO"/>
        </w:rPr>
        <w:t xml:space="preserve"> los mismos se detallan en el gráfico de más abajo:</w:t>
      </w:r>
    </w:p>
    <w:p w14:paraId="7066D5D1" w14:textId="77777777" w:rsidR="00DD5A1B" w:rsidRPr="00C62BB6" w:rsidRDefault="00DD5A1B" w:rsidP="00DD5A1B">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noProof/>
          <w:color w:val="4C4747"/>
          <w:spacing w:val="20"/>
          <w:sz w:val="24"/>
          <w:szCs w:val="24"/>
        </w:rPr>
        <w:lastRenderedPageBreak/>
        <w:drawing>
          <wp:inline distT="0" distB="0" distL="0" distR="0" wp14:anchorId="3B4BDBD3" wp14:editId="23F3FFDE">
            <wp:extent cx="5114925" cy="3362325"/>
            <wp:effectExtent l="0" t="0" r="9525" b="952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25A365" w14:textId="77777777" w:rsidR="00DD5A1B" w:rsidRPr="00C62BB6" w:rsidRDefault="00DD5A1B" w:rsidP="00DD5A1B">
      <w:pPr>
        <w:spacing w:after="0" w:line="24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Sistema de Gestión Interna (SGI)</w:t>
      </w:r>
    </w:p>
    <w:p w14:paraId="718C919D" w14:textId="7CCE953C" w:rsidR="00DD5A1B" w:rsidRPr="008C2B22" w:rsidRDefault="00A342CB" w:rsidP="004628C3">
      <w:pPr>
        <w:spacing w:before="24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Asimismo</w:t>
      </w:r>
      <w:r w:rsidR="00DD5A1B" w:rsidRPr="008C2B22">
        <w:rPr>
          <w:rFonts w:ascii="Times New Roman" w:eastAsia="Calibri" w:hAnsi="Times New Roman" w:cs="Times New Roman"/>
          <w:color w:val="4C4747"/>
          <w:spacing w:val="20"/>
          <w:sz w:val="24"/>
          <w:szCs w:val="24"/>
          <w:lang w:val="es-DO"/>
        </w:rPr>
        <w:t xml:space="preserve">, en el periodo enero – </w:t>
      </w:r>
      <w:r w:rsidR="003D6DB6" w:rsidRPr="008C2B22">
        <w:rPr>
          <w:rFonts w:ascii="Times New Roman" w:eastAsia="Calibri" w:hAnsi="Times New Roman" w:cs="Times New Roman"/>
          <w:color w:val="4C4747"/>
          <w:spacing w:val="20"/>
          <w:sz w:val="24"/>
          <w:szCs w:val="24"/>
          <w:lang w:val="es-DO"/>
        </w:rPr>
        <w:t>noviembre</w:t>
      </w:r>
      <w:r w:rsidR="00DD5A1B" w:rsidRPr="008C2B22">
        <w:rPr>
          <w:rFonts w:ascii="Times New Roman" w:eastAsia="Calibri" w:hAnsi="Times New Roman" w:cs="Times New Roman"/>
          <w:color w:val="4C4747"/>
          <w:spacing w:val="20"/>
          <w:sz w:val="24"/>
          <w:szCs w:val="24"/>
          <w:lang w:val="es-DO"/>
        </w:rPr>
        <w:t xml:space="preserve"> de 2022 </w:t>
      </w:r>
      <w:r w:rsidR="00A161D3" w:rsidRPr="008C2B22">
        <w:rPr>
          <w:rFonts w:ascii="Times New Roman" w:eastAsia="Calibri" w:hAnsi="Times New Roman" w:cs="Times New Roman"/>
          <w:color w:val="4C4747"/>
          <w:spacing w:val="20"/>
          <w:sz w:val="24"/>
          <w:szCs w:val="24"/>
          <w:lang w:val="es-DO"/>
        </w:rPr>
        <w:t>se recibieron</w:t>
      </w:r>
      <w:r w:rsidR="00DD5A1B" w:rsidRPr="008C2B22">
        <w:rPr>
          <w:rFonts w:ascii="Times New Roman" w:eastAsia="Calibri" w:hAnsi="Times New Roman" w:cs="Times New Roman"/>
          <w:color w:val="4C4747"/>
          <w:spacing w:val="20"/>
          <w:sz w:val="24"/>
          <w:szCs w:val="24"/>
          <w:lang w:val="es-DO"/>
        </w:rPr>
        <w:t xml:space="preserve"> un total de 8</w:t>
      </w:r>
      <w:r w:rsidR="004A0947" w:rsidRPr="008C2B22">
        <w:rPr>
          <w:rFonts w:ascii="Times New Roman" w:eastAsia="Calibri" w:hAnsi="Times New Roman" w:cs="Times New Roman"/>
          <w:color w:val="4C4747"/>
          <w:spacing w:val="20"/>
          <w:sz w:val="24"/>
          <w:szCs w:val="24"/>
          <w:lang w:val="es-DO"/>
        </w:rPr>
        <w:t xml:space="preserve"> Recursos de Quejas (RDQ);</w:t>
      </w:r>
      <w:r w:rsidR="00DD5A1B" w:rsidRPr="008C2B22">
        <w:rPr>
          <w:rFonts w:ascii="Times New Roman" w:eastAsia="Calibri" w:hAnsi="Times New Roman" w:cs="Times New Roman"/>
          <w:color w:val="4C4747"/>
          <w:spacing w:val="20"/>
          <w:sz w:val="24"/>
          <w:szCs w:val="24"/>
          <w:lang w:val="es-DO"/>
        </w:rPr>
        <w:t xml:space="preserve"> 0 se encuentran en proceso de conciliación; 10 fueron concluidos; estos incluyen casos que pasaron de un mes a otro y 1 fue remitido a los Cuerpos Colegiados, detallados en la siguiente tabla:</w:t>
      </w:r>
    </w:p>
    <w:p w14:paraId="38BB228E" w14:textId="77777777" w:rsidR="00DD5A1B" w:rsidRPr="00C62BB6" w:rsidRDefault="00DD5A1B" w:rsidP="00DD5A1B">
      <w:pPr>
        <w:spacing w:after="0" w:line="24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noProof/>
          <w:color w:val="4C4747"/>
          <w:spacing w:val="20"/>
          <w:sz w:val="24"/>
          <w:szCs w:val="24"/>
        </w:rPr>
        <w:drawing>
          <wp:inline distT="0" distB="0" distL="0" distR="0" wp14:anchorId="0A188A25" wp14:editId="09A5A73B">
            <wp:extent cx="5086350" cy="2409825"/>
            <wp:effectExtent l="0" t="0" r="0" b="9525"/>
            <wp:docPr id="2048" name="Gráfico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9DC855" w14:textId="77777777" w:rsidR="002A40D6" w:rsidRPr="00C62BB6" w:rsidRDefault="002A40D6" w:rsidP="00DD5A1B">
      <w:pPr>
        <w:spacing w:after="0" w:line="240" w:lineRule="auto"/>
        <w:rPr>
          <w:rFonts w:ascii="Times New Roman" w:eastAsia="Calibri" w:hAnsi="Times New Roman" w:cs="Times New Roman"/>
          <w:b/>
          <w:color w:val="4C4747"/>
          <w:spacing w:val="20"/>
          <w:sz w:val="18"/>
          <w:szCs w:val="24"/>
          <w:lang w:val="es-DO"/>
        </w:rPr>
      </w:pPr>
    </w:p>
    <w:p w14:paraId="7E29786D" w14:textId="77777777" w:rsidR="00DD5A1B" w:rsidRPr="00C62BB6" w:rsidRDefault="00DD5A1B" w:rsidP="00DD5A1B">
      <w:pPr>
        <w:spacing w:after="0" w:line="24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Sistema de Gestión Interna (SGI)</w:t>
      </w:r>
    </w:p>
    <w:p w14:paraId="443952C4" w14:textId="77777777" w:rsidR="00BE6A84" w:rsidRPr="00C62BB6" w:rsidRDefault="00BE6A84" w:rsidP="00DD5A1B">
      <w:pPr>
        <w:spacing w:after="0" w:line="360" w:lineRule="auto"/>
        <w:jc w:val="both"/>
        <w:rPr>
          <w:rFonts w:ascii="Times New Roman" w:eastAsia="Calibri" w:hAnsi="Times New Roman" w:cs="Times New Roman"/>
          <w:color w:val="4C4747"/>
          <w:spacing w:val="20"/>
          <w:sz w:val="24"/>
          <w:szCs w:val="24"/>
          <w:lang w:val="es-DO"/>
        </w:rPr>
      </w:pPr>
    </w:p>
    <w:p w14:paraId="00D862FC" w14:textId="4D98E006" w:rsidR="00DD5A1B" w:rsidRPr="00C62BB6" w:rsidRDefault="00DD5A1B" w:rsidP="00DD5A1B">
      <w:pPr>
        <w:spacing w:line="360" w:lineRule="auto"/>
        <w:jc w:val="both"/>
        <w:rPr>
          <w:rFonts w:ascii="Times New Roman" w:eastAsia="Calibri" w:hAnsi="Times New Roman" w:cs="Times New Roman"/>
          <w:strike/>
          <w:color w:val="4C4747"/>
          <w:spacing w:val="20"/>
          <w:sz w:val="24"/>
          <w:szCs w:val="24"/>
          <w:lang w:val="es-DO"/>
        </w:rPr>
      </w:pPr>
      <w:r w:rsidRPr="00C62BB6">
        <w:rPr>
          <w:rFonts w:ascii="Times New Roman" w:eastAsia="Calibri" w:hAnsi="Times New Roman" w:cs="Times New Roman"/>
          <w:color w:val="4C4747"/>
          <w:spacing w:val="20"/>
          <w:sz w:val="24"/>
          <w:szCs w:val="24"/>
          <w:lang w:val="es-DO"/>
        </w:rPr>
        <w:lastRenderedPageBreak/>
        <w:t>La mayoría de los Re</w:t>
      </w:r>
      <w:r w:rsidR="006E4F40" w:rsidRPr="00C62BB6">
        <w:rPr>
          <w:rFonts w:ascii="Times New Roman" w:eastAsia="Calibri" w:hAnsi="Times New Roman" w:cs="Times New Roman"/>
          <w:color w:val="4C4747"/>
          <w:spacing w:val="20"/>
          <w:sz w:val="24"/>
          <w:szCs w:val="24"/>
          <w:lang w:val="es-DO"/>
        </w:rPr>
        <w:t>cursos de Quejas (RDQ) recibidos,</w:t>
      </w:r>
      <w:r w:rsidRPr="00C62BB6">
        <w:rPr>
          <w:rFonts w:ascii="Times New Roman" w:eastAsia="Calibri" w:hAnsi="Times New Roman" w:cs="Times New Roman"/>
          <w:color w:val="4C4747"/>
          <w:spacing w:val="20"/>
          <w:sz w:val="24"/>
          <w:szCs w:val="24"/>
          <w:lang w:val="es-DO"/>
        </w:rPr>
        <w:t xml:space="preserve"> corresponden a temas relacionados con la facturación en el servicio. En la gráfica siguiente se muestra una comparación del total monetario reclamado versus el total monetario acreditad</w:t>
      </w:r>
      <w:r w:rsidR="00A161D3" w:rsidRPr="00C62BB6">
        <w:rPr>
          <w:rFonts w:ascii="Times New Roman" w:eastAsia="Calibri" w:hAnsi="Times New Roman" w:cs="Times New Roman"/>
          <w:color w:val="4C4747"/>
          <w:spacing w:val="20"/>
          <w:sz w:val="24"/>
          <w:szCs w:val="24"/>
          <w:lang w:val="es-DO"/>
        </w:rPr>
        <w:t>o a los usuarios, tanto de los Recursos de Quejas como  de los casos de Pre-F</w:t>
      </w:r>
      <w:r w:rsidRPr="00C62BB6">
        <w:rPr>
          <w:rFonts w:ascii="Times New Roman" w:eastAsia="Calibri" w:hAnsi="Times New Roman" w:cs="Times New Roman"/>
          <w:color w:val="4C4747"/>
          <w:spacing w:val="20"/>
          <w:sz w:val="24"/>
          <w:szCs w:val="24"/>
          <w:lang w:val="es-DO"/>
        </w:rPr>
        <w:t>ormalización</w:t>
      </w:r>
      <w:r w:rsidR="006E4F40" w:rsidRPr="00C62BB6">
        <w:rPr>
          <w:rFonts w:ascii="Times New Roman" w:eastAsia="Calibri" w:hAnsi="Times New Roman" w:cs="Times New Roman"/>
          <w:color w:val="4C4747"/>
          <w:spacing w:val="20"/>
          <w:sz w:val="24"/>
          <w:szCs w:val="24"/>
          <w:lang w:val="es-DO"/>
        </w:rPr>
        <w:t>,</w:t>
      </w:r>
      <w:r w:rsidRPr="00C62BB6">
        <w:rPr>
          <w:rFonts w:ascii="Times New Roman" w:eastAsia="Calibri" w:hAnsi="Times New Roman" w:cs="Times New Roman"/>
          <w:color w:val="4C4747"/>
          <w:spacing w:val="20"/>
          <w:sz w:val="24"/>
          <w:szCs w:val="24"/>
          <w:lang w:val="es-DO"/>
        </w:rPr>
        <w:t xml:space="preserve"> luego de haber terminado el proceso de concilia</w:t>
      </w:r>
      <w:r w:rsidR="006E4F40" w:rsidRPr="00C62BB6">
        <w:rPr>
          <w:rFonts w:ascii="Times New Roman" w:eastAsia="Calibri" w:hAnsi="Times New Roman" w:cs="Times New Roman"/>
          <w:color w:val="4C4747"/>
          <w:spacing w:val="20"/>
          <w:sz w:val="24"/>
          <w:szCs w:val="24"/>
          <w:lang w:val="es-DO"/>
        </w:rPr>
        <w:t>ción</w:t>
      </w:r>
      <w:r w:rsidR="00A161D3" w:rsidRPr="00C62BB6">
        <w:rPr>
          <w:rFonts w:ascii="Times New Roman" w:eastAsia="Calibri" w:hAnsi="Times New Roman" w:cs="Times New Roman"/>
          <w:color w:val="4C4747"/>
          <w:spacing w:val="20"/>
          <w:sz w:val="24"/>
          <w:szCs w:val="24"/>
          <w:lang w:val="es-DO"/>
        </w:rPr>
        <w:t>.</w:t>
      </w:r>
      <w:r w:rsidR="006E4F40" w:rsidRPr="00C62BB6">
        <w:rPr>
          <w:rFonts w:ascii="Times New Roman" w:eastAsia="Calibri" w:hAnsi="Times New Roman" w:cs="Times New Roman"/>
          <w:color w:val="4C4747"/>
          <w:spacing w:val="20"/>
          <w:sz w:val="24"/>
          <w:szCs w:val="24"/>
          <w:lang w:val="es-DO"/>
        </w:rPr>
        <w:t xml:space="preserve"> </w:t>
      </w:r>
    </w:p>
    <w:p w14:paraId="085A045D" w14:textId="77777777" w:rsidR="00DD5A1B" w:rsidRPr="00C62BB6" w:rsidRDefault="00DD5A1B" w:rsidP="00DD5A1B">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noProof/>
          <w:color w:val="4C4747"/>
          <w:spacing w:val="20"/>
          <w:sz w:val="24"/>
          <w:szCs w:val="24"/>
        </w:rPr>
        <w:drawing>
          <wp:inline distT="0" distB="0" distL="0" distR="0" wp14:anchorId="27E000E6" wp14:editId="73DA2BBD">
            <wp:extent cx="4991100" cy="1933575"/>
            <wp:effectExtent l="0" t="0" r="0" b="9525"/>
            <wp:docPr id="2049" name="Gráfico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661AB7" w14:textId="77777777" w:rsidR="00DD5A1B" w:rsidRPr="00C62BB6" w:rsidRDefault="00DD5A1B" w:rsidP="00DD5A1B">
      <w:pPr>
        <w:spacing w:after="0" w:line="24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Sistema de Gestión Interna (SGI)</w:t>
      </w:r>
    </w:p>
    <w:p w14:paraId="681B7C90" w14:textId="77777777" w:rsidR="00DD5A1B" w:rsidRPr="00C62BB6" w:rsidRDefault="00DD5A1B" w:rsidP="00DD5A1B">
      <w:pPr>
        <w:spacing w:after="0" w:line="240" w:lineRule="auto"/>
        <w:rPr>
          <w:rFonts w:ascii="Times New Roman" w:eastAsia="Calibri" w:hAnsi="Times New Roman" w:cs="Times New Roman"/>
          <w:color w:val="4C4747"/>
          <w:spacing w:val="20"/>
          <w:sz w:val="18"/>
          <w:szCs w:val="24"/>
          <w:lang w:val="es-DO"/>
        </w:rPr>
      </w:pPr>
    </w:p>
    <w:p w14:paraId="7CD71EBE" w14:textId="77777777" w:rsidR="003C1326" w:rsidRPr="00C62BB6" w:rsidRDefault="003C1326" w:rsidP="00DD5A1B">
      <w:pPr>
        <w:spacing w:after="0" w:line="360" w:lineRule="auto"/>
        <w:jc w:val="both"/>
        <w:rPr>
          <w:rFonts w:ascii="Times New Roman" w:eastAsia="Calibri" w:hAnsi="Times New Roman" w:cs="Times New Roman"/>
          <w:color w:val="4C4747"/>
          <w:spacing w:val="20"/>
          <w:sz w:val="24"/>
          <w:szCs w:val="24"/>
          <w:lang w:val="es-DO"/>
        </w:rPr>
      </w:pPr>
    </w:p>
    <w:p w14:paraId="217FFDCE" w14:textId="6483D381" w:rsidR="00DD5A1B" w:rsidRPr="00C62BB6" w:rsidRDefault="00DD5A1B" w:rsidP="00C163DA">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El balance detallado en este gráfico como acreditado, se refiere al monto que las prestadoras reconocieron a favor del usuario en la etapa de conciliación del procedimiento de solución de controversias. Es válido resaltar, que la diferencia entre ambos montos corresponde a la gestión realizada en el Departamento de Tramitación de Denuncia y Conciliación; logrando en ocasiones conseguir más crédito</w:t>
      </w:r>
      <w:r w:rsidR="00C163DA" w:rsidRPr="00C62BB6">
        <w:rPr>
          <w:rFonts w:ascii="Times New Roman" w:eastAsia="Calibri" w:hAnsi="Times New Roman" w:cs="Times New Roman"/>
          <w:color w:val="4C4747"/>
          <w:spacing w:val="20"/>
          <w:sz w:val="24"/>
          <w:szCs w:val="24"/>
          <w:lang w:val="es-DO"/>
        </w:rPr>
        <w:t xml:space="preserve"> del solicitado por el usuario.</w:t>
      </w:r>
    </w:p>
    <w:p w14:paraId="463882BB" w14:textId="77777777" w:rsidR="00DD5A1B" w:rsidRPr="008C2B22" w:rsidRDefault="00DD5A1B" w:rsidP="00C163DA">
      <w:pPr>
        <w:spacing w:before="240"/>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Cuerpos Colegiados</w:t>
      </w:r>
    </w:p>
    <w:p w14:paraId="040FF594" w14:textId="77777777" w:rsidR="00C163DA" w:rsidRPr="008C2B22"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En virtud del artículo 79 de la Le</w:t>
      </w:r>
      <w:r w:rsidR="000B3B41" w:rsidRPr="008C2B22">
        <w:rPr>
          <w:rFonts w:ascii="Times New Roman" w:eastAsia="Calibri" w:hAnsi="Times New Roman" w:cs="Times New Roman"/>
          <w:color w:val="4C4747"/>
          <w:spacing w:val="20"/>
          <w:sz w:val="24"/>
          <w:szCs w:val="24"/>
          <w:lang w:val="es-DO"/>
        </w:rPr>
        <w:t>y General de Telecomunicaciones</w:t>
      </w:r>
      <w:r w:rsidRPr="008C2B22">
        <w:rPr>
          <w:rFonts w:ascii="Times New Roman" w:eastAsia="Calibri" w:hAnsi="Times New Roman" w:cs="Times New Roman"/>
          <w:color w:val="4C4747"/>
          <w:spacing w:val="20"/>
          <w:sz w:val="24"/>
          <w:szCs w:val="24"/>
          <w:lang w:val="es-DO"/>
        </w:rPr>
        <w:t xml:space="preserve"> </w:t>
      </w:r>
      <w:r w:rsidR="000B3B41" w:rsidRPr="008C2B22">
        <w:rPr>
          <w:rFonts w:ascii="Times New Roman" w:eastAsia="Calibri" w:hAnsi="Times New Roman" w:cs="Times New Roman"/>
          <w:color w:val="4C4747"/>
          <w:spacing w:val="20"/>
          <w:sz w:val="24"/>
          <w:szCs w:val="24"/>
          <w:lang w:val="es-DO"/>
        </w:rPr>
        <w:t>número</w:t>
      </w:r>
      <w:r w:rsidRPr="008C2B22">
        <w:rPr>
          <w:rFonts w:ascii="Times New Roman" w:eastAsia="Calibri" w:hAnsi="Times New Roman" w:cs="Times New Roman"/>
          <w:color w:val="4C4747"/>
          <w:spacing w:val="20"/>
          <w:sz w:val="24"/>
          <w:szCs w:val="24"/>
          <w:lang w:val="es-DO"/>
        </w:rPr>
        <w:t xml:space="preserve"> 153-98 y de las disposiciones contenidas en el Reglamento para la Solución de Controversias entre Usuarios y las Prestadoras de Servicios Públicos de Telecomunicaciones, los Cuerpos Colegiados son los facultados para conocer y resolver los Recursos de Queja </w:t>
      </w:r>
    </w:p>
    <w:p w14:paraId="00FC1C70" w14:textId="734CE037" w:rsidR="00DD5A1B" w:rsidRPr="008C2B22"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(RDQ) que sean sometidos por los usuarios de los servicios públicos de telecomunicaciones, en contra de las prestadoras y que no hayan logrado un acuerdo previo en la fase de conciliación.</w:t>
      </w:r>
    </w:p>
    <w:p w14:paraId="62DB9E0C" w14:textId="77777777" w:rsidR="00DD5A1B" w:rsidRPr="008C2B22" w:rsidRDefault="00DD5A1B" w:rsidP="00DD5A1B">
      <w:pPr>
        <w:spacing w:after="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A continuación, se muestran los casos que devinieron en decisiones favorables para el usuario y aquellos casos que fueron fallados a favor de la prestadora.</w:t>
      </w:r>
    </w:p>
    <w:p w14:paraId="1E4B1664" w14:textId="010ECA96" w:rsidR="00DD5A1B" w:rsidRPr="00C62BB6" w:rsidRDefault="00D74FA9" w:rsidP="00C163DA">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hAnsi="Times New Roman" w:cs="Times New Roman"/>
          <w:noProof/>
          <w:color w:val="4C4747"/>
        </w:rPr>
        <w:drawing>
          <wp:inline distT="0" distB="0" distL="0" distR="0" wp14:anchorId="0C5EA46B" wp14:editId="674299AF">
            <wp:extent cx="5029200" cy="2400300"/>
            <wp:effectExtent l="0" t="0" r="0" b="0"/>
            <wp:docPr id="2065" name="Gráfico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9320E5" w14:textId="232FA83F" w:rsidR="00244AE2" w:rsidRPr="00C62BB6" w:rsidRDefault="00DD5A1B" w:rsidP="00C163DA">
      <w:pPr>
        <w:spacing w:line="24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S</w:t>
      </w:r>
      <w:r w:rsidR="00C163DA" w:rsidRPr="00C62BB6">
        <w:rPr>
          <w:rFonts w:ascii="Times New Roman" w:eastAsia="Calibri" w:hAnsi="Times New Roman" w:cs="Times New Roman"/>
          <w:color w:val="4C4747"/>
          <w:spacing w:val="20"/>
          <w:sz w:val="18"/>
          <w:szCs w:val="24"/>
          <w:lang w:val="es-DO"/>
        </w:rPr>
        <w:t>istema de Gestión Interna (SGI)</w:t>
      </w:r>
    </w:p>
    <w:p w14:paraId="36EFD543" w14:textId="327E9910" w:rsidR="00DD5A1B" w:rsidRPr="00C62BB6"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El balance detallado en este gráfico fallado a favor del usuario, se refiere al monto que la prestadora acreditó en beneficio de los mismos, a propósito de una decisión de los Cuerpos Colegiados del INDOTEL.</w:t>
      </w:r>
    </w:p>
    <w:p w14:paraId="4A61F5F7" w14:textId="22B70C89" w:rsidR="00244AE2" w:rsidRPr="00C62BB6" w:rsidRDefault="00D74FA9" w:rsidP="00C163DA">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C62BB6">
        <w:rPr>
          <w:rFonts w:ascii="Times New Roman" w:hAnsi="Times New Roman" w:cs="Times New Roman"/>
          <w:noProof/>
          <w:color w:val="4C4747"/>
        </w:rPr>
        <w:lastRenderedPageBreak/>
        <w:drawing>
          <wp:inline distT="0" distB="0" distL="0" distR="0" wp14:anchorId="23EA5642" wp14:editId="052A7F48">
            <wp:extent cx="5029200" cy="2609215"/>
            <wp:effectExtent l="0" t="0" r="0" b="635"/>
            <wp:docPr id="2066" name="Gráfico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DD5A1B" w:rsidRPr="00C62BB6">
        <w:rPr>
          <w:rFonts w:ascii="Times New Roman" w:eastAsia="Calibri" w:hAnsi="Times New Roman" w:cs="Times New Roman"/>
          <w:b/>
          <w:color w:val="4C4747"/>
          <w:spacing w:val="20"/>
          <w:sz w:val="18"/>
          <w:szCs w:val="24"/>
          <w:lang w:val="es-DO"/>
        </w:rPr>
        <w:t>Fuente:</w:t>
      </w:r>
      <w:r w:rsidR="00DD5A1B" w:rsidRPr="00C62BB6">
        <w:rPr>
          <w:rFonts w:ascii="Times New Roman" w:eastAsia="Calibri" w:hAnsi="Times New Roman" w:cs="Times New Roman"/>
          <w:color w:val="4C4747"/>
          <w:spacing w:val="20"/>
          <w:sz w:val="18"/>
          <w:szCs w:val="24"/>
          <w:lang w:val="es-DO"/>
        </w:rPr>
        <w:t xml:space="preserve"> S</w:t>
      </w:r>
      <w:r w:rsidR="00C163DA" w:rsidRPr="00C62BB6">
        <w:rPr>
          <w:rFonts w:ascii="Times New Roman" w:eastAsia="Calibri" w:hAnsi="Times New Roman" w:cs="Times New Roman"/>
          <w:color w:val="4C4747"/>
          <w:spacing w:val="20"/>
          <w:sz w:val="18"/>
          <w:szCs w:val="24"/>
          <w:lang w:val="es-DO"/>
        </w:rPr>
        <w:t>istema de Gestión Interna (SGI)</w:t>
      </w:r>
    </w:p>
    <w:p w14:paraId="2FE9F6F4" w14:textId="5864B755" w:rsidR="00DD5A1B" w:rsidRPr="008C2B22"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Es bueno resaltar que en la unidad de Cuerpos Colegiados </w:t>
      </w:r>
      <w:r w:rsidR="006D33E6" w:rsidRPr="008C2B22">
        <w:rPr>
          <w:rFonts w:ascii="Times New Roman" w:eastAsia="Calibri" w:hAnsi="Times New Roman" w:cs="Times New Roman"/>
          <w:color w:val="4C4747"/>
          <w:spacing w:val="20"/>
          <w:sz w:val="24"/>
          <w:szCs w:val="24"/>
          <w:lang w:val="es-DO"/>
        </w:rPr>
        <w:t>se ha</w:t>
      </w:r>
      <w:r w:rsidRPr="008C2B22">
        <w:rPr>
          <w:rFonts w:ascii="Times New Roman" w:eastAsia="Calibri" w:hAnsi="Times New Roman" w:cs="Times New Roman"/>
          <w:color w:val="4C4747"/>
          <w:spacing w:val="20"/>
          <w:sz w:val="24"/>
          <w:szCs w:val="24"/>
          <w:lang w:val="es-DO"/>
        </w:rPr>
        <w:t xml:space="preserve"> logrado</w:t>
      </w:r>
      <w:r w:rsidR="006D33E6" w:rsidRPr="008C2B22">
        <w:rPr>
          <w:rFonts w:ascii="Times New Roman" w:eastAsia="Calibri" w:hAnsi="Times New Roman" w:cs="Times New Roman"/>
          <w:color w:val="4C4747"/>
          <w:spacing w:val="20"/>
          <w:sz w:val="24"/>
          <w:szCs w:val="24"/>
          <w:lang w:val="es-DO"/>
        </w:rPr>
        <w:t xml:space="preserve"> ahorros en el presupuesto destinado</w:t>
      </w:r>
      <w:r w:rsidRPr="008C2B22">
        <w:rPr>
          <w:rFonts w:ascii="Times New Roman" w:eastAsia="Calibri" w:hAnsi="Times New Roman" w:cs="Times New Roman"/>
          <w:color w:val="4C4747"/>
          <w:spacing w:val="20"/>
          <w:sz w:val="24"/>
          <w:szCs w:val="24"/>
          <w:lang w:val="es-DO"/>
        </w:rPr>
        <w:t xml:space="preserve"> para la atención de casos que llegan a esta unidad</w:t>
      </w:r>
      <w:r w:rsidR="006D33E6"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por un monto de un millón setenta y ocho mil pesos dominicanos con 00/100 (RD$1,788,000.00). Esto gracias a los cambios realizados en el procedimiento para el manejo de las reclamaciones de los usuarios.</w:t>
      </w:r>
    </w:p>
    <w:p w14:paraId="636897D8" w14:textId="77777777" w:rsidR="00C163DA" w:rsidRPr="008C2B22"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El INDOTEL en materia de asistencia al usuario, ha hecho mejoras que </w:t>
      </w:r>
      <w:r w:rsidR="006A60A6" w:rsidRPr="008C2B22">
        <w:rPr>
          <w:rFonts w:ascii="Times New Roman" w:eastAsia="Calibri" w:hAnsi="Times New Roman" w:cs="Times New Roman"/>
          <w:color w:val="4C4747"/>
          <w:spacing w:val="20"/>
          <w:sz w:val="24"/>
          <w:szCs w:val="24"/>
          <w:lang w:val="es-DO"/>
        </w:rPr>
        <w:t>ayuda</w:t>
      </w:r>
      <w:r w:rsidR="00633C9F" w:rsidRPr="008C2B22">
        <w:rPr>
          <w:rFonts w:ascii="Times New Roman" w:eastAsia="Calibri" w:hAnsi="Times New Roman" w:cs="Times New Roman"/>
          <w:color w:val="4C4747"/>
          <w:spacing w:val="20"/>
          <w:sz w:val="24"/>
          <w:szCs w:val="24"/>
          <w:lang w:val="es-DO"/>
        </w:rPr>
        <w:t>n</w:t>
      </w:r>
      <w:r w:rsidR="006A60A6" w:rsidRPr="008C2B22">
        <w:rPr>
          <w:rFonts w:ascii="Times New Roman" w:eastAsia="Calibri" w:hAnsi="Times New Roman" w:cs="Times New Roman"/>
          <w:color w:val="4C4747"/>
          <w:spacing w:val="20"/>
          <w:sz w:val="24"/>
          <w:szCs w:val="24"/>
          <w:lang w:val="es-DO"/>
        </w:rPr>
        <w:t xml:space="preserve"> </w:t>
      </w:r>
      <w:r w:rsidR="006D33E6" w:rsidRPr="008C2B22">
        <w:rPr>
          <w:rFonts w:ascii="Times New Roman" w:eastAsia="Calibri" w:hAnsi="Times New Roman" w:cs="Times New Roman"/>
          <w:color w:val="4C4747"/>
          <w:spacing w:val="20"/>
          <w:sz w:val="24"/>
          <w:szCs w:val="24"/>
          <w:lang w:val="es-DO"/>
        </w:rPr>
        <w:t xml:space="preserve">a </w:t>
      </w:r>
      <w:r w:rsidRPr="008C2B22">
        <w:rPr>
          <w:rFonts w:ascii="Times New Roman" w:eastAsia="Calibri" w:hAnsi="Times New Roman" w:cs="Times New Roman"/>
          <w:color w:val="4C4747"/>
          <w:spacing w:val="20"/>
          <w:sz w:val="24"/>
          <w:szCs w:val="24"/>
          <w:lang w:val="es-DO"/>
        </w:rPr>
        <w:t>abordar a las prestadoras de servicios públicos de telecomunicaciones desde el primer contacto</w:t>
      </w:r>
      <w:r w:rsidR="006D33E6"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haciendo el planteamiento del caso expuesto por el usuario a los soportes para el análisis del caso y tratar de tener una respuesta en ese primer acercamiento.</w:t>
      </w:r>
      <w:r w:rsidR="00F91343" w:rsidRPr="008C2B22">
        <w:rPr>
          <w:rFonts w:ascii="Times New Roman" w:eastAsia="Calibri" w:hAnsi="Times New Roman" w:cs="Times New Roman"/>
          <w:color w:val="4C4747"/>
          <w:spacing w:val="20"/>
          <w:sz w:val="24"/>
          <w:szCs w:val="24"/>
          <w:lang w:val="es-DO"/>
        </w:rPr>
        <w:t xml:space="preserve"> </w:t>
      </w:r>
    </w:p>
    <w:p w14:paraId="3DB3BAFE" w14:textId="34B0E974" w:rsidR="00DD5A1B" w:rsidRPr="008C2B22"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Así como también dando respuestas correctas y educando a los usuarios cuando </w:t>
      </w:r>
      <w:r w:rsidR="00F91343" w:rsidRPr="008C2B22">
        <w:rPr>
          <w:rFonts w:ascii="Times New Roman" w:eastAsia="Calibri" w:hAnsi="Times New Roman" w:cs="Times New Roman"/>
          <w:color w:val="4C4747"/>
          <w:spacing w:val="20"/>
          <w:sz w:val="24"/>
          <w:szCs w:val="24"/>
          <w:lang w:val="es-DO"/>
        </w:rPr>
        <w:t>se</w:t>
      </w:r>
      <w:r w:rsidRPr="008C2B22">
        <w:rPr>
          <w:rFonts w:ascii="Times New Roman" w:eastAsia="Calibri" w:hAnsi="Times New Roman" w:cs="Times New Roman"/>
          <w:color w:val="4C4747"/>
          <w:spacing w:val="20"/>
          <w:sz w:val="24"/>
          <w:szCs w:val="24"/>
          <w:lang w:val="es-DO"/>
        </w:rPr>
        <w:t xml:space="preserve"> presentan casos que ya están regulados en</w:t>
      </w:r>
      <w:r w:rsidR="006D33E6" w:rsidRPr="008C2B22">
        <w:rPr>
          <w:rFonts w:ascii="Times New Roman" w:eastAsia="Calibri" w:hAnsi="Times New Roman" w:cs="Times New Roman"/>
          <w:color w:val="4C4747"/>
          <w:spacing w:val="20"/>
          <w:sz w:val="24"/>
          <w:szCs w:val="24"/>
          <w:lang w:val="es-DO"/>
        </w:rPr>
        <w:t xml:space="preserve"> algunas de</w:t>
      </w:r>
      <w:r w:rsidR="00C163DA" w:rsidRPr="008C2B22">
        <w:rPr>
          <w:rFonts w:ascii="Times New Roman" w:eastAsia="Calibri" w:hAnsi="Times New Roman" w:cs="Times New Roman"/>
          <w:color w:val="4C4747"/>
          <w:spacing w:val="20"/>
          <w:sz w:val="24"/>
          <w:szCs w:val="24"/>
          <w:lang w:val="es-DO"/>
        </w:rPr>
        <w:t xml:space="preserve"> las</w:t>
      </w:r>
      <w:r w:rsidR="006D33E6" w:rsidRPr="008C2B22">
        <w:rPr>
          <w:rFonts w:ascii="Times New Roman" w:eastAsia="Calibri" w:hAnsi="Times New Roman" w:cs="Times New Roman"/>
          <w:color w:val="4C4747"/>
          <w:spacing w:val="20"/>
          <w:sz w:val="24"/>
          <w:szCs w:val="24"/>
          <w:lang w:val="es-DO"/>
        </w:rPr>
        <w:t xml:space="preserve"> normativas;</w:t>
      </w:r>
      <w:r w:rsidRPr="008C2B22">
        <w:rPr>
          <w:rFonts w:ascii="Times New Roman" w:eastAsia="Calibri" w:hAnsi="Times New Roman" w:cs="Times New Roman"/>
          <w:color w:val="4C4747"/>
          <w:spacing w:val="20"/>
          <w:sz w:val="24"/>
          <w:szCs w:val="24"/>
          <w:lang w:val="es-DO"/>
        </w:rPr>
        <w:t xml:space="preserve"> estos cambios se han visto reflejados en la cantidad de casos recibidos, logrando que los casos que se fo</w:t>
      </w:r>
      <w:r w:rsidR="00633C9F" w:rsidRPr="008C2B22">
        <w:rPr>
          <w:rFonts w:ascii="Times New Roman" w:eastAsia="Calibri" w:hAnsi="Times New Roman" w:cs="Times New Roman"/>
          <w:color w:val="4C4747"/>
          <w:spacing w:val="20"/>
          <w:sz w:val="24"/>
          <w:szCs w:val="24"/>
          <w:lang w:val="es-DO"/>
        </w:rPr>
        <w:t xml:space="preserve">rmalizan se reduzcan en más de </w:t>
      </w:r>
      <w:r w:rsidRPr="008C2B22">
        <w:rPr>
          <w:rFonts w:ascii="Times New Roman" w:eastAsia="Calibri" w:hAnsi="Times New Roman" w:cs="Times New Roman"/>
          <w:color w:val="4C4747"/>
          <w:spacing w:val="20"/>
          <w:sz w:val="24"/>
          <w:szCs w:val="24"/>
          <w:lang w:val="es-DO"/>
        </w:rPr>
        <w:t xml:space="preserve">un 70%. </w:t>
      </w:r>
    </w:p>
    <w:p w14:paraId="1E63A37E" w14:textId="77777777" w:rsidR="006D33E6" w:rsidRPr="008C2B22" w:rsidRDefault="006D33E6"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C</w:t>
      </w:r>
      <w:r w:rsidR="00DD5A1B" w:rsidRPr="008C2B22">
        <w:rPr>
          <w:rFonts w:ascii="Times New Roman" w:eastAsia="Calibri" w:hAnsi="Times New Roman" w:cs="Times New Roman"/>
          <w:color w:val="4C4747"/>
          <w:spacing w:val="20"/>
          <w:sz w:val="24"/>
          <w:szCs w:val="24"/>
          <w:lang w:val="es-DO"/>
        </w:rPr>
        <w:t xml:space="preserve">omo parte de la labor de </w:t>
      </w:r>
      <w:r w:rsidRPr="008C2B22">
        <w:rPr>
          <w:rFonts w:ascii="Times New Roman" w:eastAsia="Calibri" w:hAnsi="Times New Roman" w:cs="Times New Roman"/>
          <w:color w:val="4C4747"/>
          <w:spacing w:val="20"/>
          <w:sz w:val="24"/>
          <w:szCs w:val="24"/>
          <w:lang w:val="es-DO"/>
        </w:rPr>
        <w:t xml:space="preserve">la </w:t>
      </w:r>
      <w:r w:rsidR="00DD5A1B" w:rsidRPr="008C2B22">
        <w:rPr>
          <w:rFonts w:ascii="Times New Roman" w:eastAsia="Calibri" w:hAnsi="Times New Roman" w:cs="Times New Roman"/>
          <w:color w:val="4C4747"/>
          <w:spacing w:val="20"/>
          <w:sz w:val="24"/>
          <w:szCs w:val="24"/>
          <w:lang w:val="es-DO"/>
        </w:rPr>
        <w:t xml:space="preserve">protección a los usuarios se realizan </w:t>
      </w:r>
      <w:r w:rsidRPr="008C2B22">
        <w:rPr>
          <w:rFonts w:ascii="Times New Roman" w:eastAsia="Calibri" w:hAnsi="Times New Roman" w:cs="Times New Roman"/>
          <w:color w:val="4C4747"/>
          <w:spacing w:val="20"/>
          <w:sz w:val="24"/>
          <w:szCs w:val="24"/>
          <w:lang w:val="es-DO"/>
        </w:rPr>
        <w:t xml:space="preserve">además, </w:t>
      </w:r>
      <w:r w:rsidR="00DD5A1B" w:rsidRPr="008C2B22">
        <w:rPr>
          <w:rFonts w:ascii="Times New Roman" w:eastAsia="Calibri" w:hAnsi="Times New Roman" w:cs="Times New Roman"/>
          <w:color w:val="4C4747"/>
          <w:spacing w:val="20"/>
          <w:sz w:val="24"/>
          <w:szCs w:val="24"/>
          <w:lang w:val="es-DO"/>
        </w:rPr>
        <w:t xml:space="preserve">fiscalizaciones todo el año a los dealers y tiendas de las prestadoras para velar por el cumplimiento de las diferentes normas establecidas. </w:t>
      </w:r>
    </w:p>
    <w:p w14:paraId="33197FA3" w14:textId="756815CF" w:rsidR="00DD5A1B" w:rsidRPr="008C2B22" w:rsidRDefault="006D33E6"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En el perí</w:t>
      </w:r>
      <w:r w:rsidR="00DD5A1B" w:rsidRPr="008C2B22">
        <w:rPr>
          <w:rFonts w:ascii="Times New Roman" w:eastAsia="Calibri" w:hAnsi="Times New Roman" w:cs="Times New Roman"/>
          <w:color w:val="4C4747"/>
          <w:spacing w:val="20"/>
          <w:sz w:val="24"/>
          <w:szCs w:val="24"/>
          <w:lang w:val="es-DO"/>
        </w:rPr>
        <w:t xml:space="preserve">odo enero – </w:t>
      </w:r>
      <w:r w:rsidR="007D0AAE" w:rsidRPr="008C2B22">
        <w:rPr>
          <w:rFonts w:ascii="Times New Roman" w:eastAsia="Calibri" w:hAnsi="Times New Roman" w:cs="Times New Roman"/>
          <w:color w:val="4C4747"/>
          <w:spacing w:val="20"/>
          <w:sz w:val="24"/>
          <w:szCs w:val="24"/>
          <w:lang w:val="es-DO"/>
        </w:rPr>
        <w:t>noviembre</w:t>
      </w:r>
      <w:r w:rsidR="00DD5A1B" w:rsidRPr="008C2B22">
        <w:rPr>
          <w:rFonts w:ascii="Times New Roman" w:eastAsia="Calibri" w:hAnsi="Times New Roman" w:cs="Times New Roman"/>
          <w:color w:val="4C4747"/>
          <w:spacing w:val="20"/>
          <w:sz w:val="24"/>
          <w:szCs w:val="24"/>
          <w:lang w:val="es-DO"/>
        </w:rPr>
        <w:t xml:space="preserve"> de 2022, se han realizado 111 inspecciones en diferentes puntos del país, donde </w:t>
      </w:r>
      <w:r w:rsidR="005F7DD0" w:rsidRPr="008C2B22">
        <w:rPr>
          <w:rFonts w:ascii="Times New Roman" w:eastAsia="Calibri" w:hAnsi="Times New Roman" w:cs="Times New Roman"/>
          <w:color w:val="4C4747"/>
          <w:spacing w:val="20"/>
          <w:sz w:val="24"/>
          <w:szCs w:val="24"/>
          <w:lang w:val="es-DO"/>
        </w:rPr>
        <w:t xml:space="preserve">se identificaron </w:t>
      </w:r>
      <w:r w:rsidR="00DD5A1B" w:rsidRPr="008C2B22">
        <w:rPr>
          <w:rFonts w:ascii="Times New Roman" w:eastAsia="Calibri" w:hAnsi="Times New Roman" w:cs="Times New Roman"/>
          <w:color w:val="4C4747"/>
          <w:spacing w:val="20"/>
          <w:sz w:val="24"/>
          <w:szCs w:val="24"/>
          <w:lang w:val="es-DO"/>
        </w:rPr>
        <w:t xml:space="preserve">debilidades tomadas </w:t>
      </w:r>
      <w:r w:rsidR="00F91343" w:rsidRPr="008C2B22">
        <w:rPr>
          <w:rFonts w:ascii="Times New Roman" w:eastAsia="Calibri" w:hAnsi="Times New Roman" w:cs="Times New Roman"/>
          <w:color w:val="4C4747"/>
          <w:spacing w:val="20"/>
          <w:sz w:val="24"/>
          <w:szCs w:val="24"/>
          <w:lang w:val="es-DO"/>
        </w:rPr>
        <w:t>en c</w:t>
      </w:r>
      <w:r w:rsidR="005F7DD0" w:rsidRPr="008C2B22">
        <w:rPr>
          <w:rFonts w:ascii="Times New Roman" w:eastAsia="Calibri" w:hAnsi="Times New Roman" w:cs="Times New Roman"/>
          <w:color w:val="4C4747"/>
          <w:spacing w:val="20"/>
          <w:sz w:val="24"/>
          <w:szCs w:val="24"/>
          <w:lang w:val="es-DO"/>
        </w:rPr>
        <w:t>onsideración</w:t>
      </w:r>
      <w:r w:rsidR="00F91343" w:rsidRPr="008C2B22">
        <w:rPr>
          <w:rFonts w:ascii="Times New Roman" w:eastAsia="Calibri" w:hAnsi="Times New Roman" w:cs="Times New Roman"/>
          <w:color w:val="4C4747"/>
          <w:spacing w:val="20"/>
          <w:sz w:val="24"/>
          <w:szCs w:val="24"/>
          <w:lang w:val="es-DO"/>
        </w:rPr>
        <w:t xml:space="preserve"> </w:t>
      </w:r>
      <w:r w:rsidR="00DD5A1B" w:rsidRPr="008C2B22">
        <w:rPr>
          <w:rFonts w:ascii="Times New Roman" w:eastAsia="Calibri" w:hAnsi="Times New Roman" w:cs="Times New Roman"/>
          <w:color w:val="4C4747"/>
          <w:spacing w:val="20"/>
          <w:sz w:val="24"/>
          <w:szCs w:val="24"/>
          <w:lang w:val="es-DO"/>
        </w:rPr>
        <w:t xml:space="preserve">para la creación de campañas educativas a favor de los usuarios, así como también se </w:t>
      </w:r>
      <w:r w:rsidR="005F7DD0" w:rsidRPr="008C2B22">
        <w:rPr>
          <w:rFonts w:ascii="Times New Roman" w:eastAsia="Calibri" w:hAnsi="Times New Roman" w:cs="Times New Roman"/>
          <w:color w:val="4C4747"/>
          <w:spacing w:val="20"/>
          <w:sz w:val="24"/>
          <w:szCs w:val="24"/>
          <w:lang w:val="es-DO"/>
        </w:rPr>
        <w:t>realizaron</w:t>
      </w:r>
      <w:r w:rsidR="00DD5A1B" w:rsidRPr="008C2B22">
        <w:rPr>
          <w:rFonts w:ascii="Times New Roman" w:eastAsia="Calibri" w:hAnsi="Times New Roman" w:cs="Times New Roman"/>
          <w:color w:val="4C4747"/>
          <w:spacing w:val="20"/>
          <w:sz w:val="24"/>
          <w:szCs w:val="24"/>
          <w:lang w:val="es-DO"/>
        </w:rPr>
        <w:t xml:space="preserve"> fiscalizaciones a las prestadoras para hacer cumplir con la obligación de cancelar el servicio en las tiendas en las que realizan activaciones.</w:t>
      </w:r>
    </w:p>
    <w:p w14:paraId="74425020" w14:textId="01F8DD16" w:rsidR="00DD5A1B" w:rsidRPr="008C2B22"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Por la cantidad de fi</w:t>
      </w:r>
      <w:r w:rsidR="008A02DD" w:rsidRPr="008C2B22">
        <w:rPr>
          <w:rFonts w:ascii="Times New Roman" w:eastAsia="Calibri" w:hAnsi="Times New Roman" w:cs="Times New Roman"/>
          <w:color w:val="4C4747"/>
          <w:spacing w:val="20"/>
          <w:sz w:val="24"/>
          <w:szCs w:val="24"/>
          <w:lang w:val="es-DO"/>
        </w:rPr>
        <w:t xml:space="preserve">scalizaciones </w:t>
      </w:r>
      <w:r w:rsidR="00F027E9" w:rsidRPr="008C2B22">
        <w:rPr>
          <w:rFonts w:ascii="Times New Roman" w:eastAsia="Calibri" w:hAnsi="Times New Roman" w:cs="Times New Roman"/>
          <w:color w:val="4C4747"/>
          <w:spacing w:val="20"/>
          <w:sz w:val="24"/>
          <w:szCs w:val="24"/>
          <w:lang w:val="es-DO"/>
        </w:rPr>
        <w:t>logradas</w:t>
      </w:r>
      <w:r w:rsidR="008A02DD" w:rsidRPr="008C2B22">
        <w:rPr>
          <w:rFonts w:ascii="Times New Roman" w:eastAsia="Calibri" w:hAnsi="Times New Roman" w:cs="Times New Roman"/>
          <w:color w:val="4C4747"/>
          <w:spacing w:val="20"/>
          <w:sz w:val="24"/>
          <w:szCs w:val="24"/>
          <w:lang w:val="es-DO"/>
        </w:rPr>
        <w:t xml:space="preserve"> </w:t>
      </w:r>
      <w:r w:rsidRPr="008C2B22">
        <w:rPr>
          <w:rFonts w:ascii="Times New Roman" w:eastAsia="Calibri" w:hAnsi="Times New Roman" w:cs="Times New Roman"/>
          <w:color w:val="4C4747"/>
          <w:spacing w:val="20"/>
          <w:sz w:val="24"/>
          <w:szCs w:val="24"/>
          <w:lang w:val="es-DO"/>
        </w:rPr>
        <w:t xml:space="preserve">este año, se </w:t>
      </w:r>
      <w:r w:rsidR="00F027E9" w:rsidRPr="008C2B22">
        <w:rPr>
          <w:rFonts w:ascii="Times New Roman" w:eastAsia="Calibri" w:hAnsi="Times New Roman" w:cs="Times New Roman"/>
          <w:color w:val="4C4747"/>
          <w:spacing w:val="20"/>
          <w:sz w:val="24"/>
          <w:szCs w:val="24"/>
          <w:lang w:val="es-DO"/>
        </w:rPr>
        <w:t>realizaron</w:t>
      </w:r>
      <w:r w:rsidR="008A02DD" w:rsidRPr="008C2B22">
        <w:rPr>
          <w:rFonts w:ascii="Times New Roman" w:eastAsia="Calibri" w:hAnsi="Times New Roman" w:cs="Times New Roman"/>
          <w:color w:val="4C4747"/>
          <w:spacing w:val="20"/>
          <w:sz w:val="24"/>
          <w:szCs w:val="24"/>
          <w:lang w:val="es-DO"/>
        </w:rPr>
        <w:t xml:space="preserve"> </w:t>
      </w:r>
      <w:r w:rsidRPr="008C2B22">
        <w:rPr>
          <w:rFonts w:ascii="Times New Roman" w:eastAsia="Calibri" w:hAnsi="Times New Roman" w:cs="Times New Roman"/>
          <w:color w:val="4C4747"/>
          <w:spacing w:val="20"/>
          <w:sz w:val="24"/>
          <w:szCs w:val="24"/>
          <w:lang w:val="es-DO"/>
        </w:rPr>
        <w:t>más visitas a las prestadoras</w:t>
      </w:r>
      <w:r w:rsidR="00F027E9"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de lo que se había programado en el POA 2022, gracias a la </w:t>
      </w:r>
      <w:r w:rsidR="00F027E9" w:rsidRPr="008C2B22">
        <w:rPr>
          <w:rFonts w:ascii="Times New Roman" w:eastAsia="Calibri" w:hAnsi="Times New Roman" w:cs="Times New Roman"/>
          <w:color w:val="4C4747"/>
          <w:spacing w:val="20"/>
          <w:sz w:val="24"/>
          <w:szCs w:val="24"/>
          <w:lang w:val="es-DO"/>
        </w:rPr>
        <w:t>eficientizació</w:t>
      </w:r>
      <w:r w:rsidRPr="008C2B22">
        <w:rPr>
          <w:rFonts w:ascii="Times New Roman" w:eastAsia="Calibri" w:hAnsi="Times New Roman" w:cs="Times New Roman"/>
          <w:color w:val="4C4747"/>
          <w:spacing w:val="20"/>
          <w:sz w:val="24"/>
          <w:szCs w:val="24"/>
          <w:lang w:val="es-DO"/>
        </w:rPr>
        <w:t xml:space="preserve">n en las programaciones de las </w:t>
      </w:r>
      <w:r w:rsidR="008A02DD" w:rsidRPr="008C2B22">
        <w:rPr>
          <w:rFonts w:ascii="Times New Roman" w:eastAsia="Calibri" w:hAnsi="Times New Roman" w:cs="Times New Roman"/>
          <w:color w:val="4C4747"/>
          <w:spacing w:val="20"/>
          <w:sz w:val="24"/>
          <w:szCs w:val="24"/>
          <w:lang w:val="es-DO"/>
        </w:rPr>
        <w:t xml:space="preserve">mismas </w:t>
      </w:r>
      <w:r w:rsidRPr="008C2B22">
        <w:rPr>
          <w:rFonts w:ascii="Times New Roman" w:eastAsia="Calibri" w:hAnsi="Times New Roman" w:cs="Times New Roman"/>
          <w:color w:val="4C4747"/>
          <w:spacing w:val="20"/>
          <w:sz w:val="24"/>
          <w:szCs w:val="24"/>
          <w:lang w:val="es-DO"/>
        </w:rPr>
        <w:t xml:space="preserve">desde </w:t>
      </w:r>
      <w:r w:rsidR="008A02DD" w:rsidRPr="008C2B22">
        <w:rPr>
          <w:rFonts w:ascii="Times New Roman" w:eastAsia="Calibri" w:hAnsi="Times New Roman" w:cs="Times New Roman"/>
          <w:color w:val="4C4747"/>
          <w:spacing w:val="20"/>
          <w:sz w:val="24"/>
          <w:szCs w:val="24"/>
          <w:lang w:val="es-DO"/>
        </w:rPr>
        <w:t>la</w:t>
      </w:r>
      <w:r w:rsidRPr="008C2B22">
        <w:rPr>
          <w:rFonts w:ascii="Times New Roman" w:eastAsia="Calibri" w:hAnsi="Times New Roman" w:cs="Times New Roman"/>
          <w:color w:val="4C4747"/>
          <w:spacing w:val="20"/>
          <w:sz w:val="24"/>
          <w:szCs w:val="24"/>
          <w:lang w:val="es-DO"/>
        </w:rPr>
        <w:t xml:space="preserve"> unidad de calidad. </w:t>
      </w:r>
    </w:p>
    <w:p w14:paraId="2F08D982" w14:textId="54A26F65" w:rsidR="00DD5A1B" w:rsidRPr="008C2B22" w:rsidRDefault="00B41B8D" w:rsidP="00DD5A1B">
      <w:pPr>
        <w:spacing w:before="100" w:beforeAutospacing="1" w:after="100" w:afterAutospacing="1"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 xml:space="preserve">Proyecto de comunicación a los usuarios y usuarias </w:t>
      </w:r>
    </w:p>
    <w:p w14:paraId="018D09B3" w14:textId="2B924AF2" w:rsidR="00DD5A1B" w:rsidRPr="008C2B22" w:rsidRDefault="008A02DD"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Este</w:t>
      </w:r>
      <w:r w:rsidR="00DD5A1B" w:rsidRPr="008C2B22">
        <w:rPr>
          <w:rFonts w:ascii="Times New Roman" w:eastAsia="Calibri" w:hAnsi="Times New Roman" w:cs="Times New Roman"/>
          <w:color w:val="4C4747"/>
          <w:spacing w:val="20"/>
          <w:sz w:val="24"/>
          <w:szCs w:val="24"/>
          <w:lang w:val="es-DO"/>
        </w:rPr>
        <w:t xml:space="preserve"> año </w:t>
      </w:r>
      <w:r w:rsidRPr="008C2B22">
        <w:rPr>
          <w:rFonts w:ascii="Times New Roman" w:eastAsia="Calibri" w:hAnsi="Times New Roman" w:cs="Times New Roman"/>
          <w:color w:val="4C4747"/>
          <w:spacing w:val="20"/>
          <w:sz w:val="24"/>
          <w:szCs w:val="24"/>
          <w:lang w:val="es-DO"/>
        </w:rPr>
        <w:t>se realizó el</w:t>
      </w:r>
      <w:r w:rsidR="00DD5A1B" w:rsidRPr="008C2B22">
        <w:rPr>
          <w:rFonts w:ascii="Times New Roman" w:eastAsia="Calibri" w:hAnsi="Times New Roman" w:cs="Times New Roman"/>
          <w:color w:val="4C4747"/>
          <w:spacing w:val="20"/>
          <w:sz w:val="24"/>
          <w:szCs w:val="24"/>
          <w:lang w:val="es-DO"/>
        </w:rPr>
        <w:t xml:space="preserve"> lanzamiento del proyecto INDOTEL TE INCLUYE</w:t>
      </w:r>
      <w:r w:rsidR="008D7EF9" w:rsidRPr="008C2B22">
        <w:rPr>
          <w:rFonts w:ascii="Times New Roman" w:eastAsia="Calibri" w:hAnsi="Times New Roman" w:cs="Times New Roman"/>
          <w:color w:val="4C4747"/>
          <w:spacing w:val="20"/>
          <w:sz w:val="24"/>
          <w:szCs w:val="24"/>
          <w:lang w:val="es-DO"/>
        </w:rPr>
        <w:t>, que</w:t>
      </w:r>
      <w:r w:rsidR="00DD5A1B" w:rsidRPr="008C2B22">
        <w:rPr>
          <w:rFonts w:ascii="Times New Roman" w:eastAsia="Calibri" w:hAnsi="Times New Roman" w:cs="Times New Roman"/>
          <w:color w:val="4C4747"/>
          <w:spacing w:val="20"/>
          <w:sz w:val="24"/>
          <w:szCs w:val="24"/>
          <w:lang w:val="es-DO"/>
        </w:rPr>
        <w:t xml:space="preserve"> </w:t>
      </w:r>
      <w:r w:rsidR="008D7EF9" w:rsidRPr="008C2B22">
        <w:rPr>
          <w:rFonts w:ascii="Times New Roman" w:eastAsia="Calibri" w:hAnsi="Times New Roman" w:cs="Times New Roman"/>
          <w:color w:val="4C4747"/>
          <w:spacing w:val="20"/>
          <w:sz w:val="24"/>
          <w:szCs w:val="24"/>
          <w:lang w:val="es-DO"/>
        </w:rPr>
        <w:t>permite a los usuario</w:t>
      </w:r>
      <w:r w:rsidR="00F027E9" w:rsidRPr="008C2B22">
        <w:rPr>
          <w:rFonts w:ascii="Times New Roman" w:eastAsia="Calibri" w:hAnsi="Times New Roman" w:cs="Times New Roman"/>
          <w:color w:val="4C4747"/>
          <w:spacing w:val="20"/>
          <w:sz w:val="24"/>
          <w:szCs w:val="24"/>
          <w:lang w:val="es-DO"/>
        </w:rPr>
        <w:t>s</w:t>
      </w:r>
      <w:r w:rsidR="008D7EF9" w:rsidRPr="008C2B22">
        <w:rPr>
          <w:rFonts w:ascii="Times New Roman" w:eastAsia="Calibri" w:hAnsi="Times New Roman" w:cs="Times New Roman"/>
          <w:color w:val="4C4747"/>
          <w:spacing w:val="20"/>
          <w:sz w:val="24"/>
          <w:szCs w:val="24"/>
          <w:lang w:val="es-DO"/>
        </w:rPr>
        <w:t>, usuarias</w:t>
      </w:r>
      <w:r w:rsidR="00DD5A1B" w:rsidRPr="008C2B22">
        <w:rPr>
          <w:rFonts w:ascii="Times New Roman" w:eastAsia="Calibri" w:hAnsi="Times New Roman" w:cs="Times New Roman"/>
          <w:color w:val="4C4747"/>
          <w:spacing w:val="20"/>
          <w:sz w:val="24"/>
          <w:szCs w:val="24"/>
          <w:lang w:val="es-DO"/>
        </w:rPr>
        <w:t xml:space="preserve"> </w:t>
      </w:r>
      <w:r w:rsidR="008D7EF9" w:rsidRPr="008C2B22">
        <w:rPr>
          <w:rFonts w:ascii="Times New Roman" w:eastAsia="Calibri" w:hAnsi="Times New Roman" w:cs="Times New Roman"/>
          <w:color w:val="4C4747"/>
          <w:spacing w:val="20"/>
          <w:sz w:val="24"/>
          <w:szCs w:val="24"/>
          <w:lang w:val="es-DO"/>
        </w:rPr>
        <w:t>y</w:t>
      </w:r>
      <w:r w:rsidR="00DD5A1B" w:rsidRPr="008C2B22">
        <w:rPr>
          <w:rFonts w:ascii="Times New Roman" w:eastAsia="Calibri" w:hAnsi="Times New Roman" w:cs="Times New Roman"/>
          <w:color w:val="4C4747"/>
          <w:spacing w:val="20"/>
          <w:sz w:val="24"/>
          <w:szCs w:val="24"/>
          <w:lang w:val="es-DO"/>
        </w:rPr>
        <w:t xml:space="preserve"> a las prestadoras </w:t>
      </w:r>
      <w:r w:rsidR="008D7EF9" w:rsidRPr="008C2B22">
        <w:rPr>
          <w:rFonts w:ascii="Times New Roman" w:eastAsia="Calibri" w:hAnsi="Times New Roman" w:cs="Times New Roman"/>
          <w:color w:val="4C4747"/>
          <w:spacing w:val="20"/>
          <w:sz w:val="24"/>
          <w:szCs w:val="24"/>
          <w:lang w:val="es-DO"/>
        </w:rPr>
        <w:t>tener</w:t>
      </w:r>
      <w:r w:rsidR="00DD5A1B" w:rsidRPr="008C2B22">
        <w:rPr>
          <w:rFonts w:ascii="Times New Roman" w:eastAsia="Calibri" w:hAnsi="Times New Roman" w:cs="Times New Roman"/>
          <w:color w:val="4C4747"/>
          <w:spacing w:val="20"/>
          <w:sz w:val="24"/>
          <w:szCs w:val="24"/>
          <w:lang w:val="es-DO"/>
        </w:rPr>
        <w:t xml:space="preserve"> acceso al servicio e informa</w:t>
      </w:r>
      <w:r w:rsidR="008D7EF9" w:rsidRPr="008C2B22">
        <w:rPr>
          <w:rFonts w:ascii="Times New Roman" w:eastAsia="Calibri" w:hAnsi="Times New Roman" w:cs="Times New Roman"/>
          <w:color w:val="4C4747"/>
          <w:spacing w:val="20"/>
          <w:sz w:val="24"/>
          <w:szCs w:val="24"/>
          <w:lang w:val="es-DO"/>
        </w:rPr>
        <w:t>ción en igualdad de condiciones, incluyendo</w:t>
      </w:r>
      <w:r w:rsidR="00DD5A1B" w:rsidRPr="008C2B22">
        <w:rPr>
          <w:rFonts w:ascii="Times New Roman" w:eastAsia="Calibri" w:hAnsi="Times New Roman" w:cs="Times New Roman"/>
          <w:color w:val="4C4747"/>
          <w:spacing w:val="20"/>
          <w:sz w:val="24"/>
          <w:szCs w:val="24"/>
          <w:lang w:val="es-DO"/>
        </w:rPr>
        <w:t xml:space="preserve"> </w:t>
      </w:r>
      <w:r w:rsidR="008D7EF9" w:rsidRPr="008C2B22">
        <w:rPr>
          <w:rFonts w:ascii="Times New Roman" w:eastAsia="Calibri" w:hAnsi="Times New Roman" w:cs="Times New Roman"/>
          <w:color w:val="4C4747"/>
          <w:spacing w:val="20"/>
          <w:sz w:val="24"/>
          <w:szCs w:val="24"/>
          <w:lang w:val="es-DO"/>
        </w:rPr>
        <w:t>a</w:t>
      </w:r>
      <w:r w:rsidR="00DD5A1B" w:rsidRPr="008C2B22">
        <w:rPr>
          <w:rFonts w:ascii="Times New Roman" w:eastAsia="Calibri" w:hAnsi="Times New Roman" w:cs="Times New Roman"/>
          <w:color w:val="4C4747"/>
          <w:spacing w:val="20"/>
          <w:sz w:val="24"/>
          <w:szCs w:val="24"/>
          <w:lang w:val="es-DO"/>
        </w:rPr>
        <w:t xml:space="preserve"> los usuarios y usuarias con discapacidad visual y auditiva.</w:t>
      </w:r>
    </w:p>
    <w:p w14:paraId="1AB9D7B8" w14:textId="1DF0E26C" w:rsidR="00DD5A1B" w:rsidRPr="008C2B22" w:rsidRDefault="00DD5A1B" w:rsidP="00DD5A1B">
      <w:p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A continuación</w:t>
      </w:r>
      <w:r w:rsidR="00C163DA"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las campañas realizadas entre enero – </w:t>
      </w:r>
      <w:r w:rsidR="00A911D8" w:rsidRPr="008C2B22">
        <w:rPr>
          <w:rFonts w:ascii="Times New Roman" w:eastAsia="Calibri" w:hAnsi="Times New Roman" w:cs="Times New Roman"/>
          <w:color w:val="4C4747"/>
          <w:spacing w:val="20"/>
          <w:sz w:val="24"/>
          <w:szCs w:val="24"/>
          <w:lang w:val="es-DO"/>
        </w:rPr>
        <w:t>noviembre</w:t>
      </w:r>
      <w:r w:rsidRPr="008C2B22">
        <w:rPr>
          <w:rFonts w:ascii="Times New Roman" w:eastAsia="Calibri" w:hAnsi="Times New Roman" w:cs="Times New Roman"/>
          <w:color w:val="4C4747"/>
          <w:spacing w:val="20"/>
          <w:sz w:val="24"/>
          <w:szCs w:val="24"/>
          <w:lang w:val="es-DO"/>
        </w:rPr>
        <w:t xml:space="preserve"> 2022</w:t>
      </w:r>
      <w:r w:rsidR="008C2B22">
        <w:rPr>
          <w:rFonts w:ascii="Times New Roman" w:eastAsia="Calibri" w:hAnsi="Times New Roman" w:cs="Times New Roman"/>
          <w:color w:val="4C4747"/>
          <w:spacing w:val="20"/>
          <w:sz w:val="24"/>
          <w:szCs w:val="24"/>
          <w:lang w:val="es-DO"/>
        </w:rPr>
        <w:t>:</w:t>
      </w:r>
    </w:p>
    <w:p w14:paraId="66957074" w14:textId="535FFB95" w:rsidR="00DD5A1B" w:rsidRPr="008C2B22" w:rsidRDefault="00DD5A1B" w:rsidP="00A02BDE">
      <w:pPr>
        <w:pStyle w:val="Prrafodelista"/>
        <w:numPr>
          <w:ilvl w:val="0"/>
          <w:numId w:val="6"/>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Optimiza tu paquetico; el mismo consistía en enseñar a los usuarios distintos tips para </w:t>
      </w:r>
      <w:r w:rsidR="008C2B22">
        <w:rPr>
          <w:rFonts w:ascii="Times New Roman" w:eastAsia="Calibri" w:hAnsi="Times New Roman" w:cs="Times New Roman"/>
          <w:color w:val="4C4747"/>
          <w:spacing w:val="20"/>
          <w:sz w:val="24"/>
          <w:szCs w:val="24"/>
          <w:lang w:val="es-DO"/>
        </w:rPr>
        <w:t>la optimización de la data.</w:t>
      </w:r>
    </w:p>
    <w:p w14:paraId="0E0809D8" w14:textId="244360B7"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Campaña sobre apagón 2G y 3 G </w:t>
      </w:r>
      <w:r w:rsidR="008C2B22">
        <w:rPr>
          <w:rFonts w:ascii="Times New Roman" w:eastAsia="Calibri" w:hAnsi="Times New Roman" w:cs="Times New Roman"/>
          <w:color w:val="4C4747"/>
          <w:spacing w:val="20"/>
          <w:sz w:val="24"/>
          <w:szCs w:val="24"/>
          <w:lang w:val="es-DO"/>
        </w:rPr>
        <w:t>en los Estados Unidos (Roaming).</w:t>
      </w:r>
    </w:p>
    <w:p w14:paraId="656E4A48" w14:textId="47E2214D"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Campaña sobre deberes de los usu</w:t>
      </w:r>
      <w:r w:rsidR="008C2B22">
        <w:rPr>
          <w:rFonts w:ascii="Times New Roman" w:eastAsia="Calibri" w:hAnsi="Times New Roman" w:cs="Times New Roman"/>
          <w:color w:val="4C4747"/>
          <w:spacing w:val="20"/>
          <w:sz w:val="24"/>
          <w:szCs w:val="24"/>
          <w:lang w:val="es-DO"/>
        </w:rPr>
        <w:t>arios de las telecomunicaciones.</w:t>
      </w:r>
    </w:p>
    <w:p w14:paraId="53248971" w14:textId="3DC94C87" w:rsidR="00DD5A1B" w:rsidRPr="008C2B22" w:rsidRDefault="008C2B22"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t>Campaña en conjunto de la R</w:t>
      </w:r>
      <w:r w:rsidR="00DD5A1B" w:rsidRPr="008C2B22">
        <w:rPr>
          <w:rFonts w:ascii="Times New Roman" w:eastAsia="Calibri" w:hAnsi="Times New Roman" w:cs="Times New Roman"/>
          <w:color w:val="4C4747"/>
          <w:spacing w:val="20"/>
          <w:sz w:val="24"/>
          <w:szCs w:val="24"/>
          <w:lang w:val="es-DO"/>
        </w:rPr>
        <w:t xml:space="preserve">es. </w:t>
      </w:r>
      <w:r>
        <w:rPr>
          <w:rFonts w:ascii="Times New Roman" w:eastAsia="Calibri" w:hAnsi="Times New Roman" w:cs="Times New Roman"/>
          <w:color w:val="4C4747"/>
          <w:spacing w:val="20"/>
          <w:sz w:val="24"/>
          <w:szCs w:val="24"/>
          <w:lang w:val="es-DO"/>
        </w:rPr>
        <w:t xml:space="preserve">Núm. </w:t>
      </w:r>
      <w:r w:rsidR="00DD5A1B" w:rsidRPr="008C2B22">
        <w:rPr>
          <w:rFonts w:ascii="Times New Roman" w:eastAsia="Calibri" w:hAnsi="Times New Roman" w:cs="Times New Roman"/>
          <w:color w:val="4C4747"/>
          <w:spacing w:val="20"/>
          <w:sz w:val="24"/>
          <w:szCs w:val="24"/>
          <w:lang w:val="es-DO"/>
        </w:rPr>
        <w:t>041-2020</w:t>
      </w:r>
    </w:p>
    <w:p w14:paraId="3BB9935C" w14:textId="133A2AE4" w:rsidR="00DD5A1B" w:rsidRPr="008C2B22" w:rsidRDefault="008C2B22"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t>Ciberseguridad</w:t>
      </w:r>
    </w:p>
    <w:p w14:paraId="59570C0F" w14:textId="77777777"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Réplicas de contenido de ciberacoso @indotelrd</w:t>
      </w:r>
    </w:p>
    <w:p w14:paraId="7B767AE8" w14:textId="1C7CD69A"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Preguntas frecuentes sobre la</w:t>
      </w:r>
      <w:r w:rsidR="008C2B22">
        <w:rPr>
          <w:rFonts w:ascii="Times New Roman" w:eastAsia="Calibri" w:hAnsi="Times New Roman" w:cs="Times New Roman"/>
          <w:color w:val="4C4747"/>
          <w:spacing w:val="20"/>
          <w:sz w:val="24"/>
          <w:szCs w:val="24"/>
          <w:lang w:val="es-DO"/>
        </w:rPr>
        <w:t xml:space="preserve"> Res. Núm. </w:t>
      </w:r>
      <w:r w:rsidRPr="008C2B22">
        <w:rPr>
          <w:rFonts w:ascii="Times New Roman" w:eastAsia="Calibri" w:hAnsi="Times New Roman" w:cs="Times New Roman"/>
          <w:color w:val="4C4747"/>
          <w:spacing w:val="20"/>
          <w:sz w:val="24"/>
          <w:szCs w:val="24"/>
          <w:lang w:val="es-DO"/>
        </w:rPr>
        <w:t xml:space="preserve"> 041-2020</w:t>
      </w:r>
    </w:p>
    <w:p w14:paraId="0B55FFDC" w14:textId="77777777"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Seguimiento Ciberacoso</w:t>
      </w:r>
    </w:p>
    <w:p w14:paraId="7D454BD9" w14:textId="4AA29E78" w:rsidR="00DD5A1B" w:rsidRPr="008C2B22" w:rsidRDefault="008C2B22"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t>Créditos por averías</w:t>
      </w:r>
    </w:p>
    <w:p w14:paraId="667BB51F" w14:textId="764515BD" w:rsidR="00DD5A1B" w:rsidRPr="008C2B22" w:rsidRDefault="008C2B22"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t>Campaña conoce tus facturas</w:t>
      </w:r>
    </w:p>
    <w:p w14:paraId="32E058AE" w14:textId="77777777"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Aniversario de @apoyoindotelrd y publicación del día de las telecomunicaciones.</w:t>
      </w:r>
    </w:p>
    <w:p w14:paraId="63B6CCB2" w14:textId="77777777"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Qué hacer si recibes el SMS de IMEI inválido.</w:t>
      </w:r>
    </w:p>
    <w:p w14:paraId="76D7BF6C" w14:textId="77777777"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Campaña de concientización y sobre inclusión.</w:t>
      </w:r>
    </w:p>
    <w:p w14:paraId="4DD78E9D" w14:textId="77777777"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Lanzamiento de la carta de Derechos y Deberes de los usuarios y usuarias de los servicios de telecomunicaciones para personas con discapacidad visual y auditiva.</w:t>
      </w:r>
    </w:p>
    <w:p w14:paraId="61870AF4" w14:textId="77777777"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Tecnología inclusiva</w:t>
      </w:r>
    </w:p>
    <w:p w14:paraId="14BC1E64" w14:textId="77777777" w:rsidR="00DD5A1B" w:rsidRPr="008C2B22" w:rsidRDefault="00DD5A1B" w:rsidP="00A02BDE">
      <w:pPr>
        <w:pStyle w:val="Prrafodelista"/>
        <w:numPr>
          <w:ilvl w:val="0"/>
          <w:numId w:val="4"/>
        </w:numPr>
        <w:spacing w:before="100" w:beforeAutospacing="1" w:after="100" w:afterAutospacing="1"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¿Cómo saber si tengo líneas activadas sin mi consentimiento?</w:t>
      </w:r>
    </w:p>
    <w:p w14:paraId="654B8441" w14:textId="26B9716E" w:rsidR="00BE6A84" w:rsidRPr="008C2B22" w:rsidRDefault="00DD5A1B" w:rsidP="00650DCD">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el transcurso </w:t>
      </w:r>
      <w:r w:rsidR="00904AC5" w:rsidRPr="008C2B22">
        <w:rPr>
          <w:rFonts w:ascii="Times New Roman" w:eastAsia="Calibri" w:hAnsi="Times New Roman" w:cs="Times New Roman"/>
          <w:color w:val="4C4747"/>
          <w:spacing w:val="20"/>
          <w:sz w:val="24"/>
          <w:szCs w:val="24"/>
          <w:lang w:val="es-DO"/>
        </w:rPr>
        <w:t>del año</w:t>
      </w:r>
      <w:r w:rsidRPr="008C2B22">
        <w:rPr>
          <w:rFonts w:ascii="Times New Roman" w:eastAsia="Calibri" w:hAnsi="Times New Roman" w:cs="Times New Roman"/>
          <w:color w:val="4C4747"/>
          <w:spacing w:val="20"/>
          <w:sz w:val="24"/>
          <w:szCs w:val="24"/>
          <w:lang w:val="es-DO"/>
        </w:rPr>
        <w:t xml:space="preserve"> 2022 </w:t>
      </w:r>
      <w:r w:rsidR="008C2B22">
        <w:rPr>
          <w:rFonts w:ascii="Times New Roman" w:eastAsia="Calibri" w:hAnsi="Times New Roman" w:cs="Times New Roman"/>
          <w:color w:val="4C4747"/>
          <w:spacing w:val="20"/>
          <w:sz w:val="24"/>
          <w:szCs w:val="24"/>
          <w:lang w:val="es-DO"/>
        </w:rPr>
        <w:t>fueron realizadas</w:t>
      </w:r>
      <w:r w:rsidRPr="008C2B22">
        <w:rPr>
          <w:rFonts w:ascii="Times New Roman" w:eastAsia="Calibri" w:hAnsi="Times New Roman" w:cs="Times New Roman"/>
          <w:color w:val="4C4747"/>
          <w:spacing w:val="20"/>
          <w:sz w:val="24"/>
          <w:szCs w:val="24"/>
          <w:lang w:val="es-DO"/>
        </w:rPr>
        <w:t xml:space="preserve"> 24</w:t>
      </w:r>
      <w:r w:rsidR="00904AC5" w:rsidRPr="008C2B22">
        <w:rPr>
          <w:rFonts w:ascii="Times New Roman" w:eastAsia="Calibri" w:hAnsi="Times New Roman" w:cs="Times New Roman"/>
          <w:color w:val="4C4747"/>
          <w:spacing w:val="20"/>
          <w:sz w:val="24"/>
          <w:szCs w:val="24"/>
          <w:lang w:val="es-DO"/>
        </w:rPr>
        <w:t xml:space="preserve"> charlas sobre: </w:t>
      </w:r>
      <w:r w:rsidR="008C2B22">
        <w:rPr>
          <w:rFonts w:ascii="Times New Roman" w:eastAsia="Calibri" w:hAnsi="Times New Roman" w:cs="Times New Roman"/>
          <w:color w:val="4C4747"/>
          <w:spacing w:val="20"/>
          <w:sz w:val="24"/>
          <w:szCs w:val="24"/>
          <w:lang w:val="es-DO"/>
        </w:rPr>
        <w:t xml:space="preserve">La </w:t>
      </w:r>
      <w:r w:rsidR="00904AC5" w:rsidRPr="008C2B22">
        <w:rPr>
          <w:rFonts w:ascii="Times New Roman" w:eastAsia="Calibri" w:hAnsi="Times New Roman" w:cs="Times New Roman"/>
          <w:color w:val="4C4747"/>
          <w:spacing w:val="20"/>
          <w:sz w:val="24"/>
          <w:szCs w:val="24"/>
          <w:lang w:val="es-DO"/>
        </w:rPr>
        <w:t xml:space="preserve">Resolución </w:t>
      </w:r>
      <w:r w:rsidR="00C163DA" w:rsidRPr="008C2B22">
        <w:rPr>
          <w:rFonts w:ascii="Times New Roman" w:eastAsia="Calibri" w:hAnsi="Times New Roman" w:cs="Times New Roman"/>
          <w:color w:val="4C4747"/>
          <w:spacing w:val="20"/>
          <w:sz w:val="24"/>
          <w:szCs w:val="24"/>
          <w:lang w:val="es-DO"/>
        </w:rPr>
        <w:t xml:space="preserve">número </w:t>
      </w:r>
      <w:r w:rsidR="00904AC5" w:rsidRPr="008C2B22">
        <w:rPr>
          <w:rFonts w:ascii="Times New Roman" w:eastAsia="Calibri" w:hAnsi="Times New Roman" w:cs="Times New Roman"/>
          <w:color w:val="4C4747"/>
          <w:spacing w:val="20"/>
          <w:sz w:val="24"/>
          <w:szCs w:val="24"/>
          <w:lang w:val="es-DO"/>
        </w:rPr>
        <w:t>04</w:t>
      </w:r>
      <w:r w:rsidR="00C163DA" w:rsidRPr="008C2B22">
        <w:rPr>
          <w:rFonts w:ascii="Times New Roman" w:eastAsia="Calibri" w:hAnsi="Times New Roman" w:cs="Times New Roman"/>
          <w:color w:val="4C4747"/>
          <w:spacing w:val="20"/>
          <w:sz w:val="24"/>
          <w:szCs w:val="24"/>
          <w:lang w:val="es-DO"/>
        </w:rPr>
        <w:t>1-2020 (sobre series negadas), t</w:t>
      </w:r>
      <w:r w:rsidR="008C2B22">
        <w:rPr>
          <w:rFonts w:ascii="Times New Roman" w:eastAsia="Calibri" w:hAnsi="Times New Roman" w:cs="Times New Roman"/>
          <w:color w:val="4C4747"/>
          <w:spacing w:val="20"/>
          <w:sz w:val="24"/>
          <w:szCs w:val="24"/>
          <w:lang w:val="es-DO"/>
        </w:rPr>
        <w:t>aller de tecnología 5G, derechos y d</w:t>
      </w:r>
      <w:r w:rsidR="00904AC5" w:rsidRPr="008C2B22">
        <w:rPr>
          <w:rFonts w:ascii="Times New Roman" w:eastAsia="Calibri" w:hAnsi="Times New Roman" w:cs="Times New Roman"/>
          <w:color w:val="4C4747"/>
          <w:spacing w:val="20"/>
          <w:sz w:val="24"/>
          <w:szCs w:val="24"/>
          <w:lang w:val="es-DO"/>
        </w:rPr>
        <w:t>eberes</w:t>
      </w:r>
      <w:r w:rsidR="00B00E23" w:rsidRPr="008C2B22">
        <w:rPr>
          <w:rFonts w:ascii="Times New Roman" w:eastAsia="Calibri" w:hAnsi="Times New Roman" w:cs="Times New Roman"/>
          <w:color w:val="4C4747"/>
          <w:spacing w:val="20"/>
          <w:sz w:val="24"/>
          <w:szCs w:val="24"/>
          <w:lang w:val="es-DO"/>
        </w:rPr>
        <w:t xml:space="preserve"> de los usuarios, contratación y activación de servicios de telecomunicaciones, </w:t>
      </w:r>
      <w:r w:rsidR="00904AC5" w:rsidRPr="008C2B22">
        <w:rPr>
          <w:rFonts w:ascii="Times New Roman" w:eastAsia="Calibri" w:hAnsi="Times New Roman" w:cs="Times New Roman"/>
          <w:color w:val="4C4747"/>
          <w:spacing w:val="20"/>
          <w:sz w:val="24"/>
          <w:szCs w:val="24"/>
          <w:lang w:val="es-DO"/>
        </w:rPr>
        <w:t>procesos de recl</w:t>
      </w:r>
      <w:r w:rsidR="008C2B22">
        <w:rPr>
          <w:rFonts w:ascii="Times New Roman" w:eastAsia="Calibri" w:hAnsi="Times New Roman" w:cs="Times New Roman"/>
          <w:color w:val="4C4747"/>
          <w:spacing w:val="20"/>
          <w:sz w:val="24"/>
          <w:szCs w:val="24"/>
          <w:lang w:val="es-DO"/>
        </w:rPr>
        <w:t>amo y redes sociales, entre otra</w:t>
      </w:r>
      <w:r w:rsidR="00904AC5" w:rsidRPr="008C2B22">
        <w:rPr>
          <w:rFonts w:ascii="Times New Roman" w:eastAsia="Calibri" w:hAnsi="Times New Roman" w:cs="Times New Roman"/>
          <w:color w:val="4C4747"/>
          <w:spacing w:val="20"/>
          <w:sz w:val="24"/>
          <w:szCs w:val="24"/>
          <w:lang w:val="es-DO"/>
        </w:rPr>
        <w:t>s</w:t>
      </w:r>
      <w:r w:rsidRPr="008C2B22">
        <w:rPr>
          <w:rFonts w:ascii="Times New Roman" w:eastAsia="Calibri" w:hAnsi="Times New Roman" w:cs="Times New Roman"/>
          <w:color w:val="4C4747"/>
          <w:spacing w:val="20"/>
          <w:sz w:val="24"/>
          <w:szCs w:val="24"/>
          <w:lang w:val="es-DO"/>
        </w:rPr>
        <w:t xml:space="preserve">. </w:t>
      </w:r>
    </w:p>
    <w:p w14:paraId="1707B2EE" w14:textId="77777777" w:rsidR="00BE6A84" w:rsidRPr="00C62BB6" w:rsidRDefault="00BE6A84" w:rsidP="00650DCD">
      <w:pPr>
        <w:spacing w:line="360" w:lineRule="auto"/>
        <w:jc w:val="both"/>
        <w:rPr>
          <w:rFonts w:ascii="Times New Roman" w:eastAsia="Calibri" w:hAnsi="Times New Roman" w:cs="Times New Roman"/>
          <w:color w:val="4C4747"/>
          <w:spacing w:val="20"/>
          <w:sz w:val="24"/>
          <w:szCs w:val="24"/>
          <w:lang w:val="es-DO"/>
        </w:rPr>
      </w:pPr>
    </w:p>
    <w:p w14:paraId="79BF490F" w14:textId="77777777" w:rsidR="00BE6A84" w:rsidRPr="00C62BB6" w:rsidRDefault="00BE6A84" w:rsidP="00650DCD">
      <w:pPr>
        <w:spacing w:line="360" w:lineRule="auto"/>
        <w:jc w:val="both"/>
        <w:rPr>
          <w:rFonts w:ascii="Times New Roman" w:eastAsia="Calibri" w:hAnsi="Times New Roman" w:cs="Times New Roman"/>
          <w:color w:val="4C4747"/>
          <w:spacing w:val="20"/>
          <w:sz w:val="24"/>
          <w:szCs w:val="24"/>
          <w:lang w:val="es-DO"/>
        </w:rPr>
      </w:pPr>
    </w:p>
    <w:p w14:paraId="3A62B61E" w14:textId="77777777" w:rsidR="00BE6A84" w:rsidRPr="00C62BB6" w:rsidRDefault="00BE6A84" w:rsidP="00650DCD">
      <w:pPr>
        <w:spacing w:line="360" w:lineRule="auto"/>
        <w:jc w:val="both"/>
        <w:rPr>
          <w:rFonts w:ascii="Times New Roman" w:eastAsia="Calibri" w:hAnsi="Times New Roman" w:cs="Times New Roman"/>
          <w:color w:val="4C4747"/>
          <w:spacing w:val="20"/>
          <w:sz w:val="24"/>
          <w:szCs w:val="24"/>
          <w:lang w:val="es-DO"/>
        </w:rPr>
      </w:pPr>
    </w:p>
    <w:p w14:paraId="77F16580" w14:textId="77777777" w:rsidR="00BE6A84" w:rsidRPr="00C62BB6" w:rsidRDefault="00BE6A84" w:rsidP="00650DCD">
      <w:pPr>
        <w:spacing w:line="360" w:lineRule="auto"/>
        <w:jc w:val="both"/>
        <w:rPr>
          <w:rFonts w:ascii="Times New Roman" w:eastAsia="Calibri" w:hAnsi="Times New Roman" w:cs="Times New Roman"/>
          <w:color w:val="4C4747"/>
          <w:spacing w:val="20"/>
          <w:sz w:val="24"/>
          <w:szCs w:val="24"/>
          <w:lang w:val="es-DO"/>
        </w:rPr>
      </w:pPr>
    </w:p>
    <w:p w14:paraId="73169DD8" w14:textId="77777777" w:rsidR="00F93F63" w:rsidRPr="00C62BB6" w:rsidRDefault="00F93F63" w:rsidP="00650DCD">
      <w:pPr>
        <w:spacing w:line="360" w:lineRule="auto"/>
        <w:jc w:val="both"/>
        <w:rPr>
          <w:rFonts w:ascii="Times New Roman" w:eastAsia="Calibri" w:hAnsi="Times New Roman" w:cs="Times New Roman"/>
          <w:color w:val="4C4747"/>
          <w:spacing w:val="20"/>
          <w:sz w:val="24"/>
          <w:szCs w:val="24"/>
          <w:lang w:val="es-DO"/>
        </w:rPr>
      </w:pPr>
    </w:p>
    <w:p w14:paraId="5A0E05FA" w14:textId="422CEEE0" w:rsidR="00650DCD" w:rsidRPr="00C62BB6" w:rsidRDefault="009A6D07" w:rsidP="00943FA5">
      <w:pPr>
        <w:keepNext/>
        <w:spacing w:before="240" w:after="60" w:line="360" w:lineRule="auto"/>
        <w:contextualSpacing/>
        <w:jc w:val="both"/>
        <w:outlineLvl w:val="2"/>
        <w:rPr>
          <w:rFonts w:ascii="Times New Roman" w:hAnsi="Times New Roman" w:cs="Times New Roman"/>
          <w:color w:val="4C4747"/>
          <w:lang w:val="es-DO"/>
        </w:rPr>
      </w:pPr>
      <w:bookmarkStart w:id="18" w:name="_Toc122425240"/>
      <w:r w:rsidRPr="00C62BB6">
        <w:rPr>
          <w:rFonts w:ascii="Times New Roman" w:eastAsia="Times New Roman" w:hAnsi="Times New Roman" w:cs="Times New Roman"/>
          <w:b/>
          <w:bCs/>
          <w:color w:val="4C4747"/>
          <w:sz w:val="24"/>
          <w:szCs w:val="26"/>
          <w:lang w:val="es-DO" w:eastAsia="es-DO"/>
        </w:rPr>
        <w:lastRenderedPageBreak/>
        <w:t>3.7</w:t>
      </w:r>
      <w:r w:rsidR="006D62FE" w:rsidRPr="00C62BB6">
        <w:rPr>
          <w:rFonts w:ascii="Times New Roman" w:eastAsia="Times New Roman" w:hAnsi="Times New Roman" w:cs="Times New Roman"/>
          <w:b/>
          <w:bCs/>
          <w:color w:val="4C4747"/>
          <w:sz w:val="24"/>
          <w:szCs w:val="26"/>
          <w:lang w:val="es-DO" w:eastAsia="es-DO"/>
        </w:rPr>
        <w:t xml:space="preserve"> </w:t>
      </w:r>
      <w:r w:rsidR="00650DCD" w:rsidRPr="00C62BB6">
        <w:rPr>
          <w:rFonts w:ascii="Times New Roman" w:eastAsia="Times New Roman" w:hAnsi="Times New Roman" w:cs="Times New Roman"/>
          <w:b/>
          <w:bCs/>
          <w:color w:val="4C4747"/>
          <w:sz w:val="24"/>
          <w:szCs w:val="26"/>
          <w:lang w:val="es-DO" w:eastAsia="es-DO"/>
        </w:rPr>
        <w:t>Fondo para el Desarrollo de las Telecomunicaciones</w:t>
      </w:r>
      <w:bookmarkEnd w:id="18"/>
    </w:p>
    <w:p w14:paraId="1BF13D97" w14:textId="77777777" w:rsidR="00731A43" w:rsidRPr="00C62BB6" w:rsidRDefault="00731A43" w:rsidP="00943FA5">
      <w:pPr>
        <w:spacing w:before="24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El INDOTEL gestiona a través del Fondo de Desarrollo de las Telecomunicaciones (FDT), proyectos de bajos ingresos o de interés social en áreas rurales y urbanas, que promueven el servicio universal y el desarrollo de las telecomunicaciones/TIC.</w:t>
      </w:r>
    </w:p>
    <w:p w14:paraId="10D478B0" w14:textId="678BDF73" w:rsidR="00731A43" w:rsidRPr="00C62BB6" w:rsidRDefault="00731A43" w:rsidP="00731A43">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De acuerdo con los lineamientos de la Política Social sobre el Servicio Universal aprobada mediante la Resolución número 024-10, el INDOTEL tiene el compromiso de contribuir a la integración de la sociedad dominicana, promoviendo la inclusión social y el crecimiento económico del país, con el aprovechamiento de las tecnologías de la información y la comunicación. Para alcanzar estos objetivos se financian proyectos para subsidiar e</w:t>
      </w:r>
      <w:r w:rsidR="006E08C1" w:rsidRPr="00C62BB6">
        <w:rPr>
          <w:rFonts w:ascii="Times New Roman" w:eastAsia="Calibri" w:hAnsi="Times New Roman" w:cs="Times New Roman"/>
          <w:color w:val="4C4747"/>
          <w:spacing w:val="20"/>
          <w:sz w:val="24"/>
          <w:szCs w:val="24"/>
          <w:lang w:val="es-DO"/>
        </w:rPr>
        <w:t xml:space="preserve">l despliegue de infraestructura </w:t>
      </w:r>
      <w:r w:rsidRPr="00C62BB6">
        <w:rPr>
          <w:rFonts w:ascii="Times New Roman" w:eastAsia="Calibri" w:hAnsi="Times New Roman" w:cs="Times New Roman"/>
          <w:color w:val="4C4747"/>
          <w:spacing w:val="20"/>
          <w:sz w:val="24"/>
          <w:szCs w:val="24"/>
          <w:lang w:val="es-DO"/>
        </w:rPr>
        <w:t xml:space="preserve">digital para ofrecer servicios de telecomunicaciones/TIC y proyectos de subsidio a la demanda. </w:t>
      </w:r>
    </w:p>
    <w:p w14:paraId="4226BF92" w14:textId="77777777" w:rsidR="00731A43" w:rsidRPr="00C62BB6" w:rsidRDefault="00731A43" w:rsidP="00731A43">
      <w:pPr>
        <w:spacing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 xml:space="preserve">Plan Bianual de Proyectos de Desarrollo 2021-2022 </w:t>
      </w:r>
    </w:p>
    <w:p w14:paraId="63901064" w14:textId="77777777" w:rsidR="00731A43" w:rsidRPr="00C62BB6" w:rsidRDefault="00731A43" w:rsidP="00731A43">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Mediante la Resolución número 010-21 de fecha 18 de febrero de 2021, el Consejo Directivo del INDOTEL aprobó de manera definitiva el Plan Bianual de Proyectos de Desarrollo 2021-2022 del Fondo de Desarrollo de las Telecomunicaciones (FDT), el cual consiste en un proyecto integral para “Conectar a los no Conectados”, que dota del acceso y conectividad a la banda ancha de calidad a comunidades rurales no servidas y a mujeres jefas de hogar con bajos niveles de penetración de internet y que viven bajo línea de pobreza, con el objetivo de reducir la brecha digital de la República Dominicana.  </w:t>
      </w:r>
    </w:p>
    <w:p w14:paraId="28D1A9B1" w14:textId="77777777" w:rsidR="00731A43" w:rsidRPr="00C62BB6" w:rsidRDefault="00731A43" w:rsidP="00731A43">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El proyecto está conformado por tres (3) componentes:  </w:t>
      </w:r>
    </w:p>
    <w:p w14:paraId="0E67AB38" w14:textId="77777777" w:rsidR="00731A43" w:rsidRPr="00C62BB6" w:rsidRDefault="00731A43" w:rsidP="00A02BDE">
      <w:pPr>
        <w:pStyle w:val="Prrafodelista"/>
        <w:numPr>
          <w:ilvl w:val="0"/>
          <w:numId w:val="1"/>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Componente de Acceso e Infraestructura  </w:t>
      </w:r>
    </w:p>
    <w:p w14:paraId="3A20347F" w14:textId="77777777" w:rsidR="00731A43" w:rsidRPr="00C62BB6" w:rsidRDefault="00731A43" w:rsidP="00A02BDE">
      <w:pPr>
        <w:pStyle w:val="Prrafodelista"/>
        <w:numPr>
          <w:ilvl w:val="0"/>
          <w:numId w:val="1"/>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Componente de Subsidio a la Demanda</w:t>
      </w:r>
    </w:p>
    <w:p w14:paraId="008ACBF9" w14:textId="77777777" w:rsidR="00731A43" w:rsidRPr="00C62BB6" w:rsidRDefault="00731A43" w:rsidP="00A02BDE">
      <w:pPr>
        <w:pStyle w:val="Prrafodelista"/>
        <w:numPr>
          <w:ilvl w:val="0"/>
          <w:numId w:val="1"/>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lastRenderedPageBreak/>
        <w:t xml:space="preserve">Componente de Apropiación Social y Desarrollo de Habilidades </w:t>
      </w:r>
    </w:p>
    <w:p w14:paraId="67BFCF25" w14:textId="77777777" w:rsidR="00731A43" w:rsidRPr="008C2B22" w:rsidRDefault="00731A43" w:rsidP="00731A43">
      <w:pPr>
        <w:spacing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 xml:space="preserve">Componente de Acceso e Infraestructura </w:t>
      </w:r>
    </w:p>
    <w:p w14:paraId="447AA76B"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El Componente de Acceso e Infraestructura consiste en el diseño e implementación para el despliegue de infraestructura digital en zonas rurales y sub-urbanas de la República Dominicana donde a la fecha, no hay un servicio de internet de banda ancha de calidad o el mismo sea precario, acompañado de un subsidio al servicio de internet fijo y de un celular inteligente para los hogares de las comunidades priorizadas por el componente.  </w:t>
      </w:r>
    </w:p>
    <w:p w14:paraId="3075852B"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el primer semestre del año 2022, se actualizó el informe de especificaciones técnicas que sirvió de base para la elaboración de los nuevos términos de referencia para la Licitación Pública Nacional número CCC-LPN-2022-0002 publicada en fecha 26 de abril de 2022, en sustitución de la Licitación Pública Nacional número CCC-LPN-2021-0002 publicada en fecha 2 de noviembre de 2021, que fue declarada desierta debido a que las empresas participantes no cumplieron con la documentación solicitada en el pliego de condiciones. </w:t>
      </w:r>
    </w:p>
    <w:p w14:paraId="27829F89"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En fecha 5 de septiembre se emitió la Resolución número CCC-058-2022: “Que declara Desierto el proceso de Licitación Pública Nacional INDOTEL-CCC-LPN-2022-0002”.</w:t>
      </w:r>
    </w:p>
    <w:p w14:paraId="592F073C" w14:textId="330D2E1E"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Producto del análisis de las licitaciones número CCC-LPN-2021-0002 y número CCC-LPN-2022-0002 declaradas desiertas, se decidió relanzar el proceso de compras y contrataciones únicamente para la adquisición de una red de acceso comunitaria, a  partir de la obtención del servicio de internet provisto por el INDOTEL, como resultado de las obligaciones de hacer compromisos con algunas de las empresas de servicios de telecomunicaciones. </w:t>
      </w:r>
    </w:p>
    <w:p w14:paraId="7C357909" w14:textId="77777777" w:rsidR="00731A43" w:rsidRPr="008C2B22" w:rsidRDefault="00731A43" w:rsidP="00731A43">
      <w:pPr>
        <w:spacing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lastRenderedPageBreak/>
        <w:t>Componente de Subsidio a la Demanda</w:t>
      </w:r>
    </w:p>
    <w:p w14:paraId="2A715238" w14:textId="778F9006"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El Componente Subsidio a la Demanda consiste en dotar de una “Canasta Digital Social”, compuesta de un subsidio parcial al servicio de internet de banda ancha durante 24 meses y de un dispositivo de acceso, a 2,000 mujeres jefas de hogares con Índices de Calidad de Vida (</w:t>
      </w:r>
      <w:r w:rsidR="00C163DA" w:rsidRPr="008C2B22">
        <w:rPr>
          <w:rFonts w:ascii="Times New Roman" w:eastAsia="Calibri" w:hAnsi="Times New Roman" w:cs="Times New Roman"/>
          <w:color w:val="4C4747"/>
          <w:spacing w:val="20"/>
          <w:sz w:val="24"/>
          <w:szCs w:val="24"/>
          <w:lang w:val="es-DO"/>
        </w:rPr>
        <w:t xml:space="preserve">ICV1, </w:t>
      </w:r>
      <w:r w:rsidRPr="008C2B22">
        <w:rPr>
          <w:rFonts w:ascii="Times New Roman" w:eastAsia="Calibri" w:hAnsi="Times New Roman" w:cs="Times New Roman"/>
          <w:color w:val="4C4747"/>
          <w:spacing w:val="20"/>
          <w:sz w:val="24"/>
          <w:szCs w:val="24"/>
          <w:lang w:val="es-DO"/>
        </w:rPr>
        <w:t>ICV2 e ICV3), en 16 municipios de 11 provincias.</w:t>
      </w:r>
    </w:p>
    <w:p w14:paraId="586C033D"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fecha 1 de febrero de 2022, se adjudicó la Licitación Pública Nacional número CCC- LPN-2021-0001 objeto de este componente, publicado en fecha 19 de octubre de 2021 para la contratación de una empresa de telecomunicaciones para la provisión de una canasta digital social que incluye un servicio de internet y un teléfono inteligente.  </w:t>
      </w:r>
    </w:p>
    <w:p w14:paraId="42C50D48"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los primeros dos meses del semestre se identificaron y seleccionaron las 2,000 beneficiarias del proyecto. El 1 de abril de 2022 se firmó el contrato de adjudicación con Altice Dominicana, empresa que resultó adjudicataria de la licitación. </w:t>
      </w:r>
    </w:p>
    <w:p w14:paraId="1C9B5FFF"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Al mes de junio se realizó la entrega de la Canasta Digital a 1,965 beneficiarias en 15 municipios de la República Dominicana quedando 35 beneficiarias del municipio de Juan Santiago, provincia Elías Piña a la espera de cobertura de servicio por parte de la adjudicataria. Estas fueron entregadas en fecha 24 de octubre completando las 2,000 beneficiarias.</w:t>
      </w:r>
    </w:p>
    <w:p w14:paraId="64C14EDF" w14:textId="77777777" w:rsidR="00C163DA"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De las 2,000 mujeres beneficiadas por la Canasta Digital Social el 75% se corresponden a hogares del ICV 2</w:t>
      </w:r>
      <w:r w:rsidR="00C163DA" w:rsidRPr="008C2B22">
        <w:rPr>
          <w:rFonts w:ascii="Times New Roman" w:eastAsia="Calibri" w:hAnsi="Times New Roman" w:cs="Times New Roman"/>
          <w:color w:val="4C4747"/>
          <w:spacing w:val="20"/>
          <w:sz w:val="24"/>
          <w:szCs w:val="24"/>
          <w:lang w:val="es-DO"/>
        </w:rPr>
        <w:t>, 1% ICV3</w:t>
      </w:r>
      <w:r w:rsidRPr="008C2B22">
        <w:rPr>
          <w:rFonts w:ascii="Times New Roman" w:eastAsia="Calibri" w:hAnsi="Times New Roman" w:cs="Times New Roman"/>
          <w:color w:val="4C4747"/>
          <w:spacing w:val="20"/>
          <w:sz w:val="24"/>
          <w:szCs w:val="24"/>
          <w:lang w:val="es-DO"/>
        </w:rPr>
        <w:t xml:space="preserve"> y el 24% al ICV 1. </w:t>
      </w:r>
    </w:p>
    <w:p w14:paraId="64D00041" w14:textId="77777777" w:rsidR="002A40D6"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Asimismo, el 47% de las mujeres realiza trabajos ocasionales por paga, el 18% realiza trabajos domésticos y un 14% tiene algún nivel </w:t>
      </w:r>
    </w:p>
    <w:p w14:paraId="0FBE6F24" w14:textId="1AA6BCC5"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de</w:t>
      </w:r>
      <w:r w:rsidR="002A40D6" w:rsidRPr="008C2B22">
        <w:rPr>
          <w:rFonts w:ascii="Times New Roman" w:eastAsia="Calibri" w:hAnsi="Times New Roman" w:cs="Times New Roman"/>
          <w:color w:val="4C4747"/>
          <w:spacing w:val="20"/>
          <w:sz w:val="24"/>
          <w:szCs w:val="24"/>
          <w:lang w:val="es-DO"/>
        </w:rPr>
        <w:t xml:space="preserve"> </w:t>
      </w:r>
      <w:r w:rsidRPr="008C2B22">
        <w:rPr>
          <w:rFonts w:ascii="Times New Roman" w:eastAsia="Calibri" w:hAnsi="Times New Roman" w:cs="Times New Roman"/>
          <w:color w:val="4C4747"/>
          <w:spacing w:val="20"/>
          <w:sz w:val="24"/>
          <w:szCs w:val="24"/>
          <w:lang w:val="es-DO"/>
        </w:rPr>
        <w:t>emprendimiento. El 48% de las mujeres impactadas no tenían acuerdos de conectividad con las empresas prestadoras de servicios de telecomunicaciones.</w:t>
      </w:r>
    </w:p>
    <w:p w14:paraId="17BA5FB8" w14:textId="77777777" w:rsidR="00731A43" w:rsidRPr="008C2B22" w:rsidRDefault="00731A43" w:rsidP="00943FA5">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 xml:space="preserve">Componente de Apropiación Social y Desarrollo de Habilidades Digitales </w:t>
      </w:r>
    </w:p>
    <w:p w14:paraId="63F6CCB0"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El Componente de Apropiación Social y Desarrollo de Habilidades Digitales consta del subcomponente de Alfabetización Digital dirigido a las 2,000 beneficiarias del componente Subsidio a la Demanda para dotarlas de las habilidades y competencias tecnológicas básicas adecuadas a su realidad socioeconómica y niveles educativos, que las prepare para hacer un uso más productivo de las tecnologías digitales y del internet y el subcomponente Programa de becas para el Centro Tetelo Vargas-Extensión ITLA, en San Pedro de Macorís que consiste en la entrega de 800 becas dirigidas a jóvenes, estudiantes, hombres y mujeres de la Región Este, incluida personas con capacidades distintas.  </w:t>
      </w:r>
    </w:p>
    <w:p w14:paraId="0E177AA5"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el primer semestre del año se elaboró el Plan de Alfabetización Digital con Enfoque de Género en coordinación con SUPERATE y con el Centro de Investigación para la Acción Femenina (CIPAF), empresa que resultó adjudicataria de la Comparación de Precios número CCC-CP-2021-0016, publicada el 2 de noviembre de 2021 para la elaboración de un programa de Alfabetización Digital Básica con enfoque de género y un programa de capacitación para la red de facilitadores que impartirían dicho programa a las beneficiarias de la Canasta Digital Social. </w:t>
      </w:r>
    </w:p>
    <w:p w14:paraId="35C8C556"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Asimismo, fueron seleccionados y capacitados los facilitadores/as de los cuales 71 completaron el programa, 69% son mujeres y 31% hombres. Estos hombres y mujeres fueron contratados temporalmente </w:t>
      </w:r>
      <w:r w:rsidRPr="008C2B22">
        <w:rPr>
          <w:rFonts w:ascii="Times New Roman" w:eastAsia="Calibri" w:hAnsi="Times New Roman" w:cs="Times New Roman"/>
          <w:color w:val="4C4747"/>
          <w:spacing w:val="20"/>
          <w:sz w:val="24"/>
          <w:szCs w:val="24"/>
          <w:lang w:val="es-DO"/>
        </w:rPr>
        <w:lastRenderedPageBreak/>
        <w:t>por el INDOTEL para replicar el Programa de Alfabetización a las beneficiarias de la canasta digital social.</w:t>
      </w:r>
    </w:p>
    <w:p w14:paraId="72475353"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el segundo semestre del año se avanzó en la coordinación de los encuentros para la creación de los grupos de capacitación del Programa de Alfabetización Digital con Enfoque de Género. </w:t>
      </w:r>
    </w:p>
    <w:p w14:paraId="35548440" w14:textId="3ACD21D1"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Al cierre del año, se conformaron 46 grupos que representan un 49.9% del total de beneficiarias para un total de 997 beneficiarias capacitad</w:t>
      </w:r>
      <w:r w:rsidR="00C163DA" w:rsidRPr="008C2B22">
        <w:rPr>
          <w:rFonts w:ascii="Times New Roman" w:eastAsia="Calibri" w:hAnsi="Times New Roman" w:cs="Times New Roman"/>
          <w:color w:val="4C4747"/>
          <w:spacing w:val="20"/>
          <w:sz w:val="24"/>
          <w:szCs w:val="24"/>
          <w:lang w:val="es-DO"/>
        </w:rPr>
        <w:t>as.</w:t>
      </w:r>
    </w:p>
    <w:p w14:paraId="066250B6"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Para el Subcomponente programa de becas en el Centro Tetelo Vargas-Extensión ITLA se otorgaron un total de 976 becas a lo largo de 4 trimestres o periodos de estudios. </w:t>
      </w:r>
    </w:p>
    <w:p w14:paraId="04BF1835"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el primer trimestre se otorgaron 104 becas de las cuales 79% fueron hombres y un 21% mujeres. </w:t>
      </w:r>
    </w:p>
    <w:p w14:paraId="321064AC"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Para el segundo trimestre se benefició con una beca a 295 estudiantes de los cuales un 55% son hombres y el 45% mujeres. </w:t>
      </w:r>
    </w:p>
    <w:p w14:paraId="39F2F5E6"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Para el tercer trimestre se beneficiaron con una beca un total de 221 estudiantes de los cuales el 64% eran hombres y 36% mujeres. </w:t>
      </w:r>
    </w:p>
    <w:p w14:paraId="38D0431C"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Asimismo, en el cuarto trimestre se beneficiaron con una beca 356 estudiantes de los cuales el 63% son hombres y el 37% mujeres.  </w:t>
      </w:r>
    </w:p>
    <w:p w14:paraId="28AB58BF"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Los cursos que se impartieron fueron los siguientes: </w:t>
      </w:r>
    </w:p>
    <w:p w14:paraId="50786D7B"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Administración de Bases de Datos </w:t>
      </w:r>
    </w:p>
    <w:p w14:paraId="370CD636"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CCNA</w:t>
      </w:r>
    </w:p>
    <w:p w14:paraId="028296E2"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Curso en Redes de la Información </w:t>
      </w:r>
    </w:p>
    <w:p w14:paraId="66E31798"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Excel Básico </w:t>
      </w:r>
    </w:p>
    <w:p w14:paraId="310D049A"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Excel Avanzado</w:t>
      </w:r>
    </w:p>
    <w:p w14:paraId="5B766561"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Fundamentos Técnicos del Computador Básico y Avanzado </w:t>
      </w:r>
    </w:p>
    <w:p w14:paraId="681C277B"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Introducción a la Programación </w:t>
      </w:r>
    </w:p>
    <w:p w14:paraId="1B239372"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 xml:space="preserve">Manejo de Base de Datos con Excel </w:t>
      </w:r>
    </w:p>
    <w:p w14:paraId="3EDC3642"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Taller de Introducción a la Ciberseguridad </w:t>
      </w:r>
    </w:p>
    <w:p w14:paraId="211A6482"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Taller de Seguridad de Sistema Operativos</w:t>
      </w:r>
    </w:p>
    <w:p w14:paraId="0C8EA399"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Ofimática</w:t>
      </w:r>
    </w:p>
    <w:p w14:paraId="5726EC4A"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Comunicación Digital</w:t>
      </w:r>
    </w:p>
    <w:p w14:paraId="0B43A635"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Diseño e Ilustración Digital</w:t>
      </w:r>
    </w:p>
    <w:p w14:paraId="3D4BF221"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Electrónica Básica</w:t>
      </w:r>
    </w:p>
    <w:p w14:paraId="2594C2A4"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Sistema Operativo</w:t>
      </w:r>
    </w:p>
    <w:p w14:paraId="56FBE192"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Taller de Redes Sociales, facebook e instagram</w:t>
      </w:r>
    </w:p>
    <w:p w14:paraId="18098FA2" w14:textId="77777777" w:rsidR="00731A43" w:rsidRPr="008C2B22" w:rsidRDefault="00731A43" w:rsidP="00A02BDE">
      <w:pPr>
        <w:pStyle w:val="Prrafodelista"/>
        <w:numPr>
          <w:ilvl w:val="0"/>
          <w:numId w:val="30"/>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C- Básico</w:t>
      </w:r>
    </w:p>
    <w:p w14:paraId="41D7FB6A" w14:textId="77777777" w:rsidR="00731A43" w:rsidRPr="00C62BB6" w:rsidRDefault="00731A43" w:rsidP="00731A43">
      <w:pPr>
        <w:pStyle w:val="paragraph"/>
        <w:spacing w:before="0" w:beforeAutospacing="0" w:after="0" w:afterAutospacing="0"/>
        <w:jc w:val="both"/>
        <w:textAlignment w:val="baseline"/>
        <w:rPr>
          <w:rFonts w:eastAsia="Calibri"/>
          <w:b/>
          <w:color w:val="4C4747"/>
          <w:spacing w:val="20"/>
          <w:lang w:val="es-DO"/>
        </w:rPr>
      </w:pPr>
    </w:p>
    <w:p w14:paraId="15D4E8E1" w14:textId="77777777" w:rsidR="00731A43" w:rsidRPr="008C2B22" w:rsidRDefault="00731A43" w:rsidP="00731A43">
      <w:pPr>
        <w:spacing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El proyecto de puntos Wi-Fi / Redes Wi-Fi de acceso en lugares públicos “Dominicana Conectada”</w:t>
      </w:r>
    </w:p>
    <w:p w14:paraId="23F6AB46"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El objetivo del proyecto redes Wi-Fi de acceso en lugares públicos “Dominicana Conectada” es proveer a la población de las localidades beneficiadas de cobertura inalámbrica para acceder al servicio de internet de banda ancha, cumpliendo con el mandato de la Estrategia Nacional de Desarrollo de "lograr acceso universal y uso productivo de las Tecnologías de la Información y Comunicación (TIC)".</w:t>
      </w:r>
    </w:p>
    <w:p w14:paraId="4915645C" w14:textId="262CE43F"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En la actualidad están en funcionamiento 1,121 puntos Wi-Fi distribuidos en toda la geografía nacional e instalados en universidades, escuelas, hospitales, alcaldías, parques, casas de cultura, iglesias, unidades de atención</w:t>
      </w:r>
      <w:r w:rsidR="00C163DA" w:rsidRPr="008C2B22">
        <w:rPr>
          <w:rFonts w:ascii="Times New Roman" w:eastAsia="Calibri" w:hAnsi="Times New Roman" w:cs="Times New Roman"/>
          <w:color w:val="4C4747"/>
          <w:spacing w:val="20"/>
          <w:sz w:val="24"/>
          <w:szCs w:val="24"/>
          <w:lang w:val="es-DO"/>
        </w:rPr>
        <w:t xml:space="preserve"> primarias, centros deportivos, </w:t>
      </w:r>
      <w:r w:rsidRPr="008C2B22">
        <w:rPr>
          <w:rFonts w:ascii="Times New Roman" w:eastAsia="Calibri" w:hAnsi="Times New Roman" w:cs="Times New Roman"/>
          <w:color w:val="4C4747"/>
          <w:spacing w:val="20"/>
          <w:sz w:val="24"/>
          <w:szCs w:val="24"/>
          <w:lang w:val="es-DO"/>
        </w:rPr>
        <w:t>estaciones del Metro de Santo Domingo, Teleférico, etc.</w:t>
      </w:r>
    </w:p>
    <w:p w14:paraId="54B805A5"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el segundo semestre, están en proceso de instalación y entrega 41 puntos Wi-Fi nuevos. </w:t>
      </w:r>
    </w:p>
    <w:p w14:paraId="32BD7E2F"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este año se logró la continuidad del programa puntos Wi-Fi subsidiados por dos de las principales empresas de telecomunicaciones hasta el 2024 como parte de las obligaciones de </w:t>
      </w:r>
      <w:r w:rsidRPr="008C2B22">
        <w:rPr>
          <w:rFonts w:ascii="Times New Roman" w:eastAsia="Calibri" w:hAnsi="Times New Roman" w:cs="Times New Roman"/>
          <w:color w:val="4C4747"/>
          <w:spacing w:val="20"/>
          <w:sz w:val="24"/>
          <w:szCs w:val="24"/>
          <w:lang w:val="es-DO"/>
        </w:rPr>
        <w:lastRenderedPageBreak/>
        <w:t>hacer acordadas entre dichas empresas y el INDOTEL; dentro de los cuales se encuentra la reinstalación de 150 puntos Wi-Fi en autobuses de la OMSA principalmente en la ciudad de Santo Domingo, como resultado del acuerdo para la expansión de dichos puntos para las empresas ALTICE Dominicana y WIND TELECOM como parte de las obligaciones acordadas en la renovación de los contratos de dichas empresas.</w:t>
      </w:r>
    </w:p>
    <w:p w14:paraId="2A9E927D" w14:textId="77777777" w:rsidR="00731A43" w:rsidRPr="00C62BB6" w:rsidRDefault="00731A43" w:rsidP="00731A43">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Los puntos Wi-Fi instalados durante el año son los siguientes:</w:t>
      </w:r>
    </w:p>
    <w:p w14:paraId="20668ED8"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Extensión del ITLA- Centro Tételo Vargas (Centro de Capacitación en Informática, CCI).</w:t>
      </w:r>
    </w:p>
    <w:p w14:paraId="1982A83F"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Parque Los Restauradores.</w:t>
      </w:r>
    </w:p>
    <w:p w14:paraId="447D4012"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Batey Alemán.</w:t>
      </w:r>
    </w:p>
    <w:p w14:paraId="140FBB73"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Extensión Batey Monte Cristi.</w:t>
      </w:r>
    </w:p>
    <w:p w14:paraId="3A96D423"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Estaciones de Bombero X-2, X-3, X-5, X-6, X-7, X-9, X-10, X-11, X-12, X-13, X-14, X-15</w:t>
      </w:r>
    </w:p>
    <w:p w14:paraId="475526BE"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Gobernación de San Pedro de Macorís</w:t>
      </w:r>
    </w:p>
    <w:p w14:paraId="28BC33AC"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Centro HUB de Desarrollo Social San Cristóbal</w:t>
      </w:r>
    </w:p>
    <w:p w14:paraId="57170F7F"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Área Bulevar de Villa Riva</w:t>
      </w:r>
    </w:p>
    <w:p w14:paraId="2ABA55F4"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Hospital Rodolfo de la Cruz Lora</w:t>
      </w:r>
    </w:p>
    <w:p w14:paraId="49802AD0"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Local Comité Nacional Desarrollo Integral y Comunitario Inc. (CONDIC)</w:t>
      </w:r>
    </w:p>
    <w:p w14:paraId="54F737BE"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Club Deportivo de Cabarete</w:t>
      </w:r>
    </w:p>
    <w:p w14:paraId="2B22471F"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Parque Bulevar de Quisqueya</w:t>
      </w:r>
    </w:p>
    <w:p w14:paraId="5D0F3498"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Ayuntamiento Municipal de Quisqueya</w:t>
      </w:r>
    </w:p>
    <w:p w14:paraId="2B619E3C" w14:textId="77777777" w:rsidR="00731A43" w:rsidRPr="00C62BB6" w:rsidRDefault="00731A43" w:rsidP="00A02BDE">
      <w:pPr>
        <w:pStyle w:val="Prrafodelista"/>
        <w:numPr>
          <w:ilvl w:val="0"/>
          <w:numId w:val="29"/>
        </w:numP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Domingo Savio Fe y Alegría Politécnico</w:t>
      </w:r>
    </w:p>
    <w:p w14:paraId="5B0036AB"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Domingo Savio Fe y Alegría Primaria</w:t>
      </w:r>
    </w:p>
    <w:p w14:paraId="323E13EA"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Hogar Pituca Flores</w:t>
      </w:r>
    </w:p>
    <w:p w14:paraId="128ED107"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Escuela Primaria El Túnel</w:t>
      </w:r>
    </w:p>
    <w:p w14:paraId="0BF5A4EE"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Solidaridad Entre Hermanos – SOLHER</w:t>
      </w:r>
    </w:p>
    <w:p w14:paraId="69C4F874"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Club Deportivo y Cultural Los Pioneros</w:t>
      </w:r>
    </w:p>
    <w:p w14:paraId="447C6A9C"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lastRenderedPageBreak/>
        <w:t>Club Deportivo y Cultural Santa Filomena</w:t>
      </w:r>
    </w:p>
    <w:p w14:paraId="7412AECC"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Club Bomberito</w:t>
      </w:r>
    </w:p>
    <w:p w14:paraId="0BC8B6EF"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Centro Sanitario Dr. Francisco González Hardy</w:t>
      </w:r>
    </w:p>
    <w:p w14:paraId="2E1E94D0"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Parque Municipal Monción</w:t>
      </w:r>
    </w:p>
    <w:p w14:paraId="663FCCEC"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Parque Municipal Villa Los Almácigos</w:t>
      </w:r>
    </w:p>
    <w:p w14:paraId="38A56003"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Play de Softbol Rafael Robles</w:t>
      </w:r>
    </w:p>
    <w:p w14:paraId="3B612A9B"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Parque Duarte de Quisqueya</w:t>
      </w:r>
    </w:p>
    <w:p w14:paraId="19AC5C25" w14:textId="77777777" w:rsidR="00731A43" w:rsidRPr="00C62BB6" w:rsidRDefault="00731A43"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rPr>
      </w:pPr>
      <w:r w:rsidRPr="00C62BB6">
        <w:rPr>
          <w:rFonts w:ascii="Times New Roman" w:eastAsia="Calibri" w:hAnsi="Times New Roman" w:cs="Times New Roman"/>
          <w:color w:val="4C4747"/>
          <w:spacing w:val="20"/>
          <w:sz w:val="24"/>
          <w:szCs w:val="24"/>
          <w:lang w:val="es-DO"/>
        </w:rPr>
        <w:t>Centro Padre Luis Rosario</w:t>
      </w:r>
    </w:p>
    <w:p w14:paraId="6614E181" w14:textId="77777777" w:rsidR="00244AE2" w:rsidRPr="00C62BB6" w:rsidRDefault="00244AE2" w:rsidP="00731A43">
      <w:pPr>
        <w:spacing w:line="360" w:lineRule="auto"/>
        <w:jc w:val="both"/>
        <w:rPr>
          <w:rFonts w:ascii="Times New Roman" w:eastAsia="Calibri" w:hAnsi="Times New Roman" w:cs="Times New Roman"/>
          <w:b/>
          <w:color w:val="4C4747"/>
          <w:spacing w:val="20"/>
          <w:sz w:val="24"/>
          <w:szCs w:val="24"/>
          <w:lang w:val="es-DO"/>
        </w:rPr>
      </w:pPr>
    </w:p>
    <w:p w14:paraId="66B33B3D" w14:textId="77777777" w:rsidR="00731A43" w:rsidRPr="00C62BB6" w:rsidRDefault="00731A43" w:rsidP="00731A43">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 xml:space="preserve">Estrategia Regional Digital para el Desarrollo de la Sociedad de la Información y el Conocimiento en el SICA, ERDI </w:t>
      </w:r>
      <w:r w:rsidRPr="00C62BB6">
        <w:rPr>
          <w:rFonts w:ascii="Times New Roman" w:eastAsia="Calibri" w:hAnsi="Times New Roman" w:cs="Times New Roman"/>
          <w:color w:val="4C4747"/>
          <w:spacing w:val="20"/>
          <w:sz w:val="24"/>
          <w:szCs w:val="24"/>
          <w:lang w:val="es-DO"/>
        </w:rPr>
        <w:t xml:space="preserve">  </w:t>
      </w:r>
    </w:p>
    <w:p w14:paraId="04F486B4" w14:textId="77777777" w:rsidR="00731A43" w:rsidRPr="00C62BB6" w:rsidRDefault="00731A43" w:rsidP="00731A43">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El INDOTEL es el punto focal del Grupo Ad Hoc para el Desarrollo de la Sociedad de la Información y el Conocimiento en el SICA.  En el marco de dicha estrategia, se consolidó, preparó y sometió a consideración del Comité Técnico del ERDI el proyecto Carta de Principios Éticos para el uso de la inteligencia artificial que tiene por objetivo la implementación de la inteligencia artificial para la mejora de los servicios digitales, mediante la creación de herramientas que impulsen el desarrollo sostenible, en la región del SIC. </w:t>
      </w:r>
    </w:p>
    <w:p w14:paraId="33E05E50" w14:textId="77777777" w:rsidR="00731A43" w:rsidRPr="00C62BB6" w:rsidRDefault="00731A43" w:rsidP="00731A43">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Dicha propuesta fue aprobada el 29 de septiembre del 2021, en la reunión ordinaria del Grupo Ad Hoc, por lo que fue creada la Mesa Técnica Interinstitucional, a fin de definir una hoja de ruta que conduzca a la elaboración de la mencionada Carta. La Mesa está integrada por representantes de la República Dominicana, Panamá y El Salvador.</w:t>
      </w:r>
    </w:p>
    <w:p w14:paraId="5F9E600C" w14:textId="77777777" w:rsidR="00BE6A84" w:rsidRPr="00C62BB6" w:rsidRDefault="00BE6A84" w:rsidP="00E60DA4">
      <w:pPr>
        <w:spacing w:line="360" w:lineRule="auto"/>
        <w:jc w:val="both"/>
        <w:rPr>
          <w:rFonts w:ascii="Times New Roman" w:eastAsia="Calibri" w:hAnsi="Times New Roman" w:cs="Times New Roman"/>
          <w:color w:val="4C4747"/>
          <w:spacing w:val="20"/>
          <w:sz w:val="24"/>
          <w:szCs w:val="24"/>
          <w:lang w:val="es-DO"/>
        </w:rPr>
      </w:pPr>
    </w:p>
    <w:p w14:paraId="61FE9126" w14:textId="77777777" w:rsidR="00291C2D" w:rsidRPr="00C62BB6" w:rsidRDefault="00291C2D" w:rsidP="00E60DA4">
      <w:pPr>
        <w:spacing w:line="360" w:lineRule="auto"/>
        <w:jc w:val="both"/>
        <w:rPr>
          <w:rFonts w:ascii="Times New Roman" w:eastAsia="Calibri" w:hAnsi="Times New Roman" w:cs="Times New Roman"/>
          <w:color w:val="4C4747"/>
          <w:spacing w:val="20"/>
          <w:sz w:val="24"/>
          <w:szCs w:val="24"/>
          <w:lang w:val="es-DO"/>
        </w:rPr>
      </w:pPr>
    </w:p>
    <w:p w14:paraId="2ECBF83A" w14:textId="67585CB0" w:rsidR="00291C2D" w:rsidRPr="008C2B22" w:rsidRDefault="009A6D07" w:rsidP="00033CEE">
      <w:pPr>
        <w:keepNext/>
        <w:spacing w:before="240" w:after="60" w:line="360" w:lineRule="auto"/>
        <w:contextualSpacing/>
        <w:jc w:val="both"/>
        <w:outlineLvl w:val="2"/>
        <w:rPr>
          <w:rFonts w:ascii="Times New Roman" w:hAnsi="Times New Roman" w:cs="Times New Roman"/>
          <w:color w:val="4C4747"/>
          <w:lang w:val="es-DO"/>
        </w:rPr>
      </w:pPr>
      <w:bookmarkStart w:id="19" w:name="_Toc122425241"/>
      <w:r w:rsidRPr="00C62BB6">
        <w:rPr>
          <w:rFonts w:ascii="Times New Roman" w:eastAsia="Calibri" w:hAnsi="Times New Roman" w:cs="Times New Roman"/>
          <w:b/>
          <w:color w:val="4C4747"/>
          <w:spacing w:val="20"/>
          <w:sz w:val="24"/>
          <w:szCs w:val="24"/>
          <w:lang w:val="es-DO"/>
        </w:rPr>
        <w:lastRenderedPageBreak/>
        <w:t>3.8</w:t>
      </w:r>
      <w:r w:rsidR="006D62FE" w:rsidRPr="00C62BB6">
        <w:rPr>
          <w:rFonts w:ascii="Times New Roman" w:eastAsia="Calibri" w:hAnsi="Times New Roman" w:cs="Times New Roman"/>
          <w:b/>
          <w:color w:val="4C4747"/>
          <w:spacing w:val="20"/>
          <w:sz w:val="24"/>
          <w:szCs w:val="24"/>
          <w:lang w:val="es-DO"/>
        </w:rPr>
        <w:t xml:space="preserve"> </w:t>
      </w:r>
      <w:r w:rsidR="00D47D5A" w:rsidRPr="008C2B22">
        <w:rPr>
          <w:rFonts w:ascii="Times New Roman" w:eastAsia="Calibri" w:hAnsi="Times New Roman" w:cs="Times New Roman"/>
          <w:b/>
          <w:color w:val="4C4747"/>
          <w:spacing w:val="20"/>
          <w:sz w:val="24"/>
          <w:szCs w:val="24"/>
          <w:lang w:val="es-DO"/>
        </w:rPr>
        <w:t>Ciberseguridad, Comercio Electrónico y Firma Digital</w:t>
      </w:r>
      <w:bookmarkEnd w:id="19"/>
    </w:p>
    <w:p w14:paraId="3F4EDCB6" w14:textId="77777777" w:rsidR="00731A43" w:rsidRPr="008C2B22" w:rsidRDefault="00731A43" w:rsidP="00033CEE">
      <w:pPr>
        <w:spacing w:before="24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El INDOTEL crea una cultura de ciberseguridad en el sector de las telecomunicaciones, con el objetivo de proteger los sistemas de información, infraestructura, impulsa y promueve a nivel nacional el comercio electrónico y el uso de la firma digital para contribuir al desarrollo de la economía digital en la República Dominicana.  </w:t>
      </w:r>
    </w:p>
    <w:p w14:paraId="4F760476"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Para la consecución de este objetivo, en el 2022 fueron coordinadas las siguientes actividades:</w:t>
      </w:r>
    </w:p>
    <w:p w14:paraId="7D96149B" w14:textId="77777777" w:rsidR="00731A43" w:rsidRPr="008C2B22" w:rsidRDefault="00731A43" w:rsidP="00731A43">
      <w:pPr>
        <w:spacing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 xml:space="preserve">Aprobación de las políticas de Ciberseguridad </w:t>
      </w:r>
    </w:p>
    <w:p w14:paraId="01A1742D" w14:textId="1903A7E2"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Como mecanismo para fortalecer la ciberseguridad a nivel </w:t>
      </w:r>
      <w:r w:rsidR="00383BFA" w:rsidRPr="008C2B22">
        <w:rPr>
          <w:rFonts w:ascii="Times New Roman" w:eastAsia="Calibri" w:hAnsi="Times New Roman" w:cs="Times New Roman"/>
          <w:color w:val="4C4747"/>
          <w:spacing w:val="20"/>
          <w:sz w:val="24"/>
          <w:szCs w:val="24"/>
          <w:lang w:val="es-DO"/>
        </w:rPr>
        <w:t>interno de la institución se ha</w:t>
      </w:r>
      <w:r w:rsidRPr="008C2B22">
        <w:rPr>
          <w:rFonts w:ascii="Times New Roman" w:eastAsia="Calibri" w:hAnsi="Times New Roman" w:cs="Times New Roman"/>
          <w:color w:val="4C4747"/>
          <w:spacing w:val="20"/>
          <w:sz w:val="24"/>
          <w:szCs w:val="24"/>
          <w:lang w:val="es-DO"/>
        </w:rPr>
        <w:t xml:space="preserve"> elaborado una serie de políticas para gestionar eficazmente la integridad, privacidad y confidencialidad de la información del INDOTEL, basada en las mejores prácticas en ciberseguridad. </w:t>
      </w:r>
    </w:p>
    <w:p w14:paraId="29F28B2F"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Dichas políticas fueron presentadas al Consejo Directivo de INDOTEL y aprobadas mediante sesión número 066-22 el 17 de febrero 2022.  </w:t>
      </w:r>
    </w:p>
    <w:p w14:paraId="58D263B0"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Las políticas aprobadas fueron: </w:t>
      </w:r>
    </w:p>
    <w:p w14:paraId="1A474592" w14:textId="77777777" w:rsidR="00731A43" w:rsidRPr="008C2B22" w:rsidRDefault="00731A43" w:rsidP="00A02BDE">
      <w:pPr>
        <w:pStyle w:val="Prrafodelista"/>
        <w:numPr>
          <w:ilvl w:val="0"/>
          <w:numId w:val="2"/>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Política institucional gobierno de tecnología.  </w:t>
      </w:r>
    </w:p>
    <w:p w14:paraId="3B44C01D" w14:textId="77777777" w:rsidR="00731A43" w:rsidRPr="008C2B22" w:rsidRDefault="00731A43" w:rsidP="00A02BDE">
      <w:pPr>
        <w:pStyle w:val="Prrafodelista"/>
        <w:numPr>
          <w:ilvl w:val="0"/>
          <w:numId w:val="2"/>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Política general de correo electrónico.  </w:t>
      </w:r>
    </w:p>
    <w:p w14:paraId="578AFCB7" w14:textId="77777777" w:rsidR="00731A43" w:rsidRPr="008C2B22" w:rsidRDefault="00731A43" w:rsidP="00A02BDE">
      <w:pPr>
        <w:pStyle w:val="Prrafodelista"/>
        <w:numPr>
          <w:ilvl w:val="0"/>
          <w:numId w:val="2"/>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Política institucional de control de acceso e identidad.  </w:t>
      </w:r>
    </w:p>
    <w:p w14:paraId="0A0DCCB4" w14:textId="77777777" w:rsidR="00731A43" w:rsidRPr="008C2B22" w:rsidRDefault="00731A43" w:rsidP="00A02BDE">
      <w:pPr>
        <w:pStyle w:val="Prrafodelista"/>
        <w:numPr>
          <w:ilvl w:val="0"/>
          <w:numId w:val="2"/>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Política institucional de gestión de cambios en la infraestructura tecnológica.  </w:t>
      </w:r>
    </w:p>
    <w:p w14:paraId="4E72CF29" w14:textId="77777777" w:rsidR="00731A43" w:rsidRPr="008C2B22" w:rsidRDefault="00731A43" w:rsidP="00A02BDE">
      <w:pPr>
        <w:pStyle w:val="Prrafodelista"/>
        <w:numPr>
          <w:ilvl w:val="0"/>
          <w:numId w:val="2"/>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Política institucional gestión de incidencias tecnológicas.  </w:t>
      </w:r>
    </w:p>
    <w:p w14:paraId="25823375" w14:textId="77777777" w:rsidR="00731A43" w:rsidRPr="008C2B22" w:rsidRDefault="00731A43" w:rsidP="00A02BDE">
      <w:pPr>
        <w:pStyle w:val="Prrafodelista"/>
        <w:numPr>
          <w:ilvl w:val="0"/>
          <w:numId w:val="2"/>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Política institucional gestión de la infraestructura tecnológica.  </w:t>
      </w:r>
    </w:p>
    <w:p w14:paraId="0EFCE7FF" w14:textId="77777777" w:rsidR="00731A43" w:rsidRPr="008C2B22" w:rsidRDefault="00731A43" w:rsidP="00A02BDE">
      <w:pPr>
        <w:pStyle w:val="Prrafodelista"/>
        <w:numPr>
          <w:ilvl w:val="0"/>
          <w:numId w:val="2"/>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Política institucional tecnológica de utilización de antivirus.  </w:t>
      </w:r>
    </w:p>
    <w:p w14:paraId="175CE8F9" w14:textId="77777777" w:rsidR="00731A43" w:rsidRPr="008C2B22" w:rsidRDefault="00731A43" w:rsidP="00731A43">
      <w:pPr>
        <w:tabs>
          <w:tab w:val="left" w:pos="6611"/>
        </w:tabs>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ab/>
      </w:r>
    </w:p>
    <w:p w14:paraId="626248EF" w14:textId="77777777" w:rsidR="00731A43" w:rsidRPr="008C2B22" w:rsidRDefault="00731A43" w:rsidP="00731A43">
      <w:pPr>
        <w:spacing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lastRenderedPageBreak/>
        <w:t xml:space="preserve">Talleres al personal de INDOTEL sobre las Políticas de Ciberseguridad </w:t>
      </w:r>
    </w:p>
    <w:p w14:paraId="4A1BF6F1" w14:textId="35712E2E" w:rsidR="00244AE2"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En vista de que la aprobación de las políticas es solo un paso para fortalecer la ciberseguridad en la institución, además es necesario que estas políticas sean conocidas y aplicadas por todos los empleados del INDOTEL. A través del Departamento de Ciberseguridad se realizó talleres para dar a conocer a todo el per</w:t>
      </w:r>
      <w:r w:rsidR="00383BFA" w:rsidRPr="008C2B22">
        <w:rPr>
          <w:rFonts w:ascii="Times New Roman" w:eastAsia="Calibri" w:hAnsi="Times New Roman" w:cs="Times New Roman"/>
          <w:color w:val="4C4747"/>
          <w:spacing w:val="20"/>
          <w:sz w:val="24"/>
          <w:szCs w:val="24"/>
          <w:lang w:val="es-DO"/>
        </w:rPr>
        <w:t xml:space="preserve">sonal las políticas aprobadas. </w:t>
      </w:r>
    </w:p>
    <w:p w14:paraId="3E6212E6" w14:textId="77777777" w:rsidR="00731A43" w:rsidRPr="008C2B22" w:rsidRDefault="00731A43" w:rsidP="00383BFA">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 xml:space="preserve">Desarrollo del Plan de Auditoría para el Reglamento de Ciberseguridad para la prestación de servicios de acceso a internet  </w:t>
      </w:r>
    </w:p>
    <w:p w14:paraId="537BE73B"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Como parte del proceso de implementación del reglamento de ciberseguridad para la prestación del servicio de acceso a internet, se ha elaborado un plan de auditoría que se ajusta a las disposiciones del referido reglamento de ciberseguridad. Este plan servirá como base para auditar el cumplimiento y aplicación de dicho reglamento, tomado en cuenta las principales obligaciones que deben cumplir las prestadoras que otorgan servicios de acceso a internet.</w:t>
      </w:r>
    </w:p>
    <w:p w14:paraId="5362AEEE" w14:textId="77777777" w:rsidR="00731A43" w:rsidRPr="008C2B22" w:rsidRDefault="00731A43" w:rsidP="00D33B06">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Inauguración del Centro de Cibercapacidades de Latinoamérica y el Caribe (LAC4)</w:t>
      </w:r>
    </w:p>
    <w:p w14:paraId="0BDDBAE7"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El Centro de Cibercapacidades de Latinoamérica y el Caribe (LAC4) fue inaugurado con la  misión de actuar como un centro regional de conocimiento y capacitación para mejorar la educación y las habilidades en ciberseguridad, mejorar la interoperabilidad y las capacidades en el ciberespacio, incluida la investigación y el desarrollo, así como ayudar en la creación de normas nacionales. </w:t>
      </w:r>
    </w:p>
    <w:p w14:paraId="4C1CFB75" w14:textId="4B5FE209"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Servirá como un centro para compartir la experiencia colectiva de la Unión Europea a través de cursos y talleres especializados</w:t>
      </w:r>
      <w:r w:rsidRPr="00C62BB6">
        <w:rPr>
          <w:rFonts w:ascii="Times New Roman" w:eastAsia="Calibri" w:hAnsi="Times New Roman" w:cs="Times New Roman"/>
          <w:color w:val="4C4747"/>
          <w:spacing w:val="20"/>
          <w:sz w:val="24"/>
          <w:szCs w:val="24"/>
          <w:lang w:val="es-DO"/>
        </w:rPr>
        <w:t xml:space="preserve">, </w:t>
      </w:r>
      <w:r w:rsidRPr="008C2B22">
        <w:rPr>
          <w:rFonts w:ascii="Times New Roman" w:eastAsia="Calibri" w:hAnsi="Times New Roman" w:cs="Times New Roman"/>
          <w:color w:val="4C4747"/>
          <w:spacing w:val="20"/>
          <w:sz w:val="24"/>
          <w:szCs w:val="24"/>
          <w:lang w:val="es-DO"/>
        </w:rPr>
        <w:lastRenderedPageBreak/>
        <w:t>desarrollar la</w:t>
      </w:r>
      <w:r w:rsidR="00291C2D" w:rsidRPr="008C2B22">
        <w:rPr>
          <w:rFonts w:ascii="Times New Roman" w:eastAsia="Calibri" w:hAnsi="Times New Roman" w:cs="Times New Roman"/>
          <w:color w:val="4C4747"/>
          <w:spacing w:val="20"/>
          <w:sz w:val="24"/>
          <w:szCs w:val="24"/>
          <w:lang w:val="es-DO"/>
        </w:rPr>
        <w:t xml:space="preserve"> </w:t>
      </w:r>
      <w:r w:rsidRPr="008C2B22">
        <w:rPr>
          <w:rFonts w:ascii="Times New Roman" w:eastAsia="Calibri" w:hAnsi="Times New Roman" w:cs="Times New Roman"/>
          <w:color w:val="4C4747"/>
          <w:spacing w:val="20"/>
          <w:sz w:val="24"/>
          <w:szCs w:val="24"/>
          <w:lang w:val="es-DO"/>
        </w:rPr>
        <w:t>capacidad local basada en los principios de Train-the-Trainer facilitar la colaboración práctica entre la región y la UE y promover los beneficios de un ciberespacio libre e inclusivo.</w:t>
      </w:r>
    </w:p>
    <w:p w14:paraId="63751D83" w14:textId="2D8EE26E"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Durante el mes de mayo se celebró la semana inaugural del LAC4, donde se llevaron a cabo varios seminarios de expertos para mejorar la conciencia cibernética e impulsar las capacidades cibernéticas en la región, como la capacitación en seguridad de la información para CISOs, el Seminario Nacional de Implementación de la Estrategia de Ciberseguridad en colaboración con el proyecto de la UE Cyber4Dev y la formación de ciberconcientización para diplomáticos, organizado en cooperación con la </w:t>
      </w:r>
      <w:r w:rsidR="002677EC" w:rsidRPr="008C2B22">
        <w:rPr>
          <w:rFonts w:ascii="Times New Roman" w:eastAsia="Calibri" w:hAnsi="Times New Roman" w:cs="Times New Roman"/>
          <w:color w:val="4C4747"/>
          <w:spacing w:val="20"/>
          <w:sz w:val="24"/>
          <w:szCs w:val="24"/>
          <w:lang w:val="es-DO"/>
        </w:rPr>
        <w:t>d</w:t>
      </w:r>
      <w:r w:rsidRPr="008C2B22">
        <w:rPr>
          <w:rFonts w:ascii="Times New Roman" w:eastAsia="Calibri" w:hAnsi="Times New Roman" w:cs="Times New Roman"/>
          <w:color w:val="4C4747"/>
          <w:spacing w:val="20"/>
          <w:sz w:val="24"/>
          <w:szCs w:val="24"/>
          <w:lang w:val="es-DO"/>
        </w:rPr>
        <w:t>elegación de la UE en la República Dominicana, así como la Conferencia Inaugural del Centro de Cibercapacidades de L</w:t>
      </w:r>
      <w:r w:rsidR="00D33B06" w:rsidRPr="008C2B22">
        <w:rPr>
          <w:rFonts w:ascii="Times New Roman" w:eastAsia="Calibri" w:hAnsi="Times New Roman" w:cs="Times New Roman"/>
          <w:color w:val="4C4747"/>
          <w:spacing w:val="20"/>
          <w:sz w:val="24"/>
          <w:szCs w:val="24"/>
          <w:lang w:val="es-DO"/>
        </w:rPr>
        <w:t>atinoamérica y el Caribe (LAC4).</w:t>
      </w:r>
    </w:p>
    <w:p w14:paraId="1EFA118B" w14:textId="77777777" w:rsidR="00731A43" w:rsidRPr="008C2B22" w:rsidRDefault="00731A43" w:rsidP="00D33B06">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Desarrollo e implementación de la Plataforma Web para el Sello de Confianza de Comercio Electrónico de la República Dominicana</w:t>
      </w:r>
    </w:p>
    <w:p w14:paraId="7A7FCAFF"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El rol del INDOTEL en torno al Comercio Electrónico, prevé dotar a este tipo de comercio de reglas claras sobre el perfeccionamiento de los compromisos asumidos a través de expresiones de la voluntad por la vía electrónica, lo cual brindará un marco de seguridad y confianza para el desarrollo de transacciones electrónicas con plena identificación de sus participantes y certeza respecto de la integridad del contenido de los documentos digitales y mensajes de datos emitidos por estos. </w:t>
      </w:r>
    </w:p>
    <w:p w14:paraId="139BA01C"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Como parte del plan de trabajo para este año 2022 se estableció la creación e implementación de un Sello de Confianza de Comercio Electrónico de la República Dominicana. </w:t>
      </w:r>
    </w:p>
    <w:p w14:paraId="545A153B"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Este proyecto tiene como finalidad favorecer crear la normalización, reglamentación técnica y acreditación que garantice el cumplimiento de los requisitos de los mercados globales y un compromiso con la excelencia; según lo establece el EJE 3 (3.5.2) de la Estrategia Nacional de Desarrollo 2030 (END), para lo cual se implementará un portal web para promover mecanismos que generen confianza a los usuarios finales y empresas mediante la presentación de mejores prácticas.</w:t>
      </w:r>
    </w:p>
    <w:p w14:paraId="140F81D3" w14:textId="74FCA75D" w:rsidR="00A77640" w:rsidRPr="008C2B22" w:rsidRDefault="00731A43" w:rsidP="00D33B06">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El proyecto propone la transformación digital mediante la implementación de nuevos servicios de auditorías a las empresas que soliciten ser acreditadas con el Sello de Confianza. Se realizarán proceso de validación de cumplimiento de buenas prácticas en materia de comercio electrónico de estos sitios web usando diverso mecanismos y herramientas. </w:t>
      </w:r>
    </w:p>
    <w:p w14:paraId="14BE9378" w14:textId="77777777" w:rsidR="00731A43" w:rsidRPr="008C2B22" w:rsidRDefault="00731A43" w:rsidP="00D33B06">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 xml:space="preserve">Actualización la Ley 126-02 de Comercio Electrónico, Documentos y Firmas Digitales </w:t>
      </w:r>
    </w:p>
    <w:p w14:paraId="6E2C3204"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El proceso de actualización normativa del comercio electrónico requiere de una exhaustiva revisión y actualización. En ese sentido, en virtud de lo dispuesto en el artículo 56, numeral 11, de la Ley número 126-02 sobre Comercio Electrónico Documentos y Firmas Digitales, el INDOTEL está facultado a proponer al Poder Ejecutivo la implementación de políticas en relación con la regulación de las actividades de las entidades de certificación y la adaptación de los avances tecnológicos para la generación de firmas digitales, la emisión de certificados, la conservación y archivo de documentos en soporte electrónico.</w:t>
      </w:r>
    </w:p>
    <w:p w14:paraId="1413D63B" w14:textId="4395A595" w:rsidR="00A77640" w:rsidRPr="008C2B22" w:rsidRDefault="00731A43" w:rsidP="00D33B06">
      <w:pPr>
        <w:spacing w:after="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El proyecto de actualización de la Ley </w:t>
      </w:r>
      <w:r w:rsidR="00D33B06" w:rsidRPr="008C2B22">
        <w:rPr>
          <w:rFonts w:ascii="Times New Roman" w:eastAsia="Calibri" w:hAnsi="Times New Roman" w:cs="Times New Roman"/>
          <w:color w:val="4C4747"/>
          <w:spacing w:val="20"/>
          <w:sz w:val="24"/>
          <w:szCs w:val="24"/>
          <w:lang w:val="es-DO"/>
        </w:rPr>
        <w:t xml:space="preserve">número </w:t>
      </w:r>
      <w:r w:rsidRPr="008C2B22">
        <w:rPr>
          <w:rFonts w:ascii="Times New Roman" w:eastAsia="Calibri" w:hAnsi="Times New Roman" w:cs="Times New Roman"/>
          <w:color w:val="4C4747"/>
          <w:spacing w:val="20"/>
          <w:sz w:val="24"/>
          <w:szCs w:val="24"/>
          <w:lang w:val="es-DO"/>
        </w:rPr>
        <w:t xml:space="preserve">126-02 de Comercio Electrónico, Documentos y Firmas Digitales está motivado en la necesidad de adecuar la normativa dominicana con la regulación </w:t>
      </w:r>
      <w:r w:rsidRPr="008C2B22">
        <w:rPr>
          <w:rFonts w:ascii="Times New Roman" w:eastAsia="Calibri" w:hAnsi="Times New Roman" w:cs="Times New Roman"/>
          <w:color w:val="4C4747"/>
          <w:spacing w:val="20"/>
          <w:sz w:val="24"/>
          <w:szCs w:val="24"/>
          <w:lang w:val="es-DO"/>
        </w:rPr>
        <w:lastRenderedPageBreak/>
        <w:t>internacional actual, sobre servicios de confianza y certificación digital conforme al desarrollo de los estándares tecnológicos vigentes, aplicables a las firmas digitales, identidades digit</w:t>
      </w:r>
      <w:r w:rsidR="00D33B06" w:rsidRPr="008C2B22">
        <w:rPr>
          <w:rFonts w:ascii="Times New Roman" w:eastAsia="Calibri" w:hAnsi="Times New Roman" w:cs="Times New Roman"/>
          <w:color w:val="4C4747"/>
          <w:spacing w:val="20"/>
          <w:sz w:val="24"/>
          <w:szCs w:val="24"/>
          <w:lang w:val="es-DO"/>
        </w:rPr>
        <w:t>ales y al comercio electrónico.</w:t>
      </w:r>
    </w:p>
    <w:p w14:paraId="60C3744C" w14:textId="77777777" w:rsidR="00731A43" w:rsidRPr="008C2B22" w:rsidRDefault="00731A43" w:rsidP="00D33B06">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Proyecto de desarrollo de habilidades para politécnicos de la República Dominicana</w:t>
      </w:r>
    </w:p>
    <w:p w14:paraId="45517574"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Como parte de los esfuerzos del INDOTEL por mejorar la transformación digital se ha diseñado una iniciativa que comprende el desarrollo de un proyecto piloto de concienciación sobre ciberseguridad dirigida a los politécnicos de la República Dominicana, junto a la colaboración de la Unión Europea.  </w:t>
      </w:r>
    </w:p>
    <w:p w14:paraId="5B315EF4" w14:textId="17EBFC13" w:rsidR="00A77640" w:rsidRPr="008C2B22" w:rsidRDefault="00731A43" w:rsidP="00D33B06">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Este proyecto además comp</w:t>
      </w:r>
      <w:r w:rsidR="00D33B06" w:rsidRPr="008C2B22">
        <w:rPr>
          <w:rFonts w:ascii="Times New Roman" w:eastAsia="Calibri" w:hAnsi="Times New Roman" w:cs="Times New Roman"/>
          <w:color w:val="4C4747"/>
          <w:spacing w:val="20"/>
          <w:sz w:val="24"/>
          <w:szCs w:val="24"/>
          <w:lang w:val="es-DO"/>
        </w:rPr>
        <w:t xml:space="preserve">rende </w:t>
      </w:r>
      <w:r w:rsidRPr="008C2B22">
        <w:rPr>
          <w:rFonts w:ascii="Times New Roman" w:eastAsia="Calibri" w:hAnsi="Times New Roman" w:cs="Times New Roman"/>
          <w:color w:val="4C4747"/>
          <w:spacing w:val="20"/>
          <w:sz w:val="24"/>
          <w:szCs w:val="24"/>
          <w:lang w:val="es-DO"/>
        </w:rPr>
        <w:t>el primer ejercicio a nivel nacional tipo “Capture de Flag” dirigido a técnicos en TIC de los politécnicos de la República Dominicana, como mecanismo de fortalecer las habilidades requeridas por los estudiantes para avanzar sus conocimientos técnicos sobre la materia.</w:t>
      </w:r>
    </w:p>
    <w:p w14:paraId="4EE967F9" w14:textId="77777777" w:rsidR="00731A43" w:rsidRPr="008C2B22" w:rsidRDefault="00731A43" w:rsidP="00D33B06">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Plan de auditorías y controles de sujetos regulados</w:t>
      </w:r>
    </w:p>
    <w:p w14:paraId="6B46A0FC"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su rol de vigilancia y control, se elaboró un Plan de Auditorías y Controles de Sujetos Regulados correspondiente al año 2022, a fin de comprobar el funcionamiento adecuado de los servicios de certificación digital. Con esto, se realizan las auditorías correspondientes para verificar el cumplimiento por parte de los sujetos regulados de acuerdo con la Ley número 126-02 sobre Comercio Electrónico, Documentos y Firmas Digitales, su Reglamento de Aplicación y sus Normas Complementarias vigentes. </w:t>
      </w:r>
    </w:p>
    <w:p w14:paraId="3F1568A4" w14:textId="2F022294"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En este año se realizaron 6 </w:t>
      </w:r>
      <w:r w:rsidR="002677EC" w:rsidRPr="008C2B22">
        <w:rPr>
          <w:rFonts w:ascii="Times New Roman" w:eastAsia="Calibri" w:hAnsi="Times New Roman" w:cs="Times New Roman"/>
          <w:color w:val="4C4747"/>
          <w:spacing w:val="20"/>
          <w:sz w:val="24"/>
          <w:szCs w:val="24"/>
          <w:lang w:val="es-DO"/>
        </w:rPr>
        <w:t>a</w:t>
      </w:r>
      <w:r w:rsidRPr="008C2B22">
        <w:rPr>
          <w:rFonts w:ascii="Times New Roman" w:eastAsia="Calibri" w:hAnsi="Times New Roman" w:cs="Times New Roman"/>
          <w:color w:val="4C4747"/>
          <w:spacing w:val="20"/>
          <w:sz w:val="24"/>
          <w:szCs w:val="24"/>
          <w:lang w:val="es-DO"/>
        </w:rPr>
        <w:t>uditorías de infraestructuras de claves públicas sobre seguridad de la información en los procedimientos vinculados a la prestación de servicios electrónicos de confianza,</w:t>
      </w:r>
      <w:r w:rsidR="00A77640" w:rsidRPr="00C62BB6">
        <w:rPr>
          <w:rFonts w:ascii="Times New Roman" w:eastAsia="Calibri" w:hAnsi="Times New Roman" w:cs="Times New Roman"/>
          <w:color w:val="4C4747"/>
          <w:spacing w:val="20"/>
          <w:sz w:val="24"/>
          <w:szCs w:val="24"/>
          <w:lang w:val="es-DO"/>
        </w:rPr>
        <w:t xml:space="preserve"> </w:t>
      </w:r>
      <w:r w:rsidRPr="008C2B22">
        <w:rPr>
          <w:rFonts w:ascii="Times New Roman" w:eastAsia="Calibri" w:hAnsi="Times New Roman" w:cs="Times New Roman"/>
          <w:color w:val="4C4747"/>
          <w:spacing w:val="20"/>
          <w:sz w:val="24"/>
          <w:szCs w:val="24"/>
          <w:lang w:val="es-DO"/>
        </w:rPr>
        <w:lastRenderedPageBreak/>
        <w:t>todas con resultados favorables, oportunidades de mejoras y pocas no conformidades; a saber:</w:t>
      </w:r>
    </w:p>
    <w:p w14:paraId="335C2575" w14:textId="77777777" w:rsidR="00731A43" w:rsidRPr="008C2B22" w:rsidRDefault="00731A43" w:rsidP="00731A43">
      <w:pPr>
        <w:spacing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w:t>
      </w:r>
      <w:r w:rsidRPr="008C2B22">
        <w:rPr>
          <w:rFonts w:ascii="Times New Roman" w:eastAsia="Calibri" w:hAnsi="Times New Roman" w:cs="Times New Roman"/>
          <w:b/>
          <w:color w:val="4C4747"/>
          <w:spacing w:val="20"/>
          <w:sz w:val="24"/>
          <w:szCs w:val="24"/>
          <w:lang w:val="es-DO"/>
        </w:rPr>
        <w:t>Entidades de Certificación:</w:t>
      </w:r>
    </w:p>
    <w:p w14:paraId="7115D716" w14:textId="77777777" w:rsidR="00731A43" w:rsidRPr="00F65C89" w:rsidRDefault="00731A43" w:rsidP="00A02BDE">
      <w:pPr>
        <w:pStyle w:val="Prrafodelista"/>
        <w:numPr>
          <w:ilvl w:val="0"/>
          <w:numId w:val="53"/>
        </w:numPr>
        <w:spacing w:line="360" w:lineRule="auto"/>
        <w:jc w:val="both"/>
        <w:rPr>
          <w:rFonts w:ascii="Times New Roman" w:eastAsia="Calibri" w:hAnsi="Times New Roman" w:cs="Times New Roman"/>
          <w:color w:val="4C4747"/>
          <w:spacing w:val="20"/>
          <w:sz w:val="24"/>
          <w:szCs w:val="24"/>
          <w:lang w:val="es-DO"/>
        </w:rPr>
      </w:pPr>
      <w:r w:rsidRPr="00F65C89">
        <w:rPr>
          <w:rFonts w:ascii="Times New Roman" w:eastAsia="Calibri" w:hAnsi="Times New Roman" w:cs="Times New Roman"/>
          <w:color w:val="4C4747"/>
          <w:spacing w:val="20"/>
          <w:sz w:val="24"/>
          <w:szCs w:val="24"/>
          <w:lang w:val="es-DO"/>
        </w:rPr>
        <w:t xml:space="preserve">Avansi S.R.L.; </w:t>
      </w:r>
    </w:p>
    <w:p w14:paraId="6DE9622C" w14:textId="77777777" w:rsidR="00731A43" w:rsidRPr="00F65C89" w:rsidRDefault="00731A43" w:rsidP="00A02BDE">
      <w:pPr>
        <w:pStyle w:val="Prrafodelista"/>
        <w:numPr>
          <w:ilvl w:val="0"/>
          <w:numId w:val="53"/>
        </w:numPr>
        <w:spacing w:line="360" w:lineRule="auto"/>
        <w:jc w:val="both"/>
        <w:rPr>
          <w:rFonts w:ascii="Times New Roman" w:eastAsia="Calibri" w:hAnsi="Times New Roman" w:cs="Times New Roman"/>
          <w:color w:val="4C4747"/>
          <w:spacing w:val="20"/>
          <w:sz w:val="24"/>
          <w:szCs w:val="24"/>
          <w:lang w:val="es-DO"/>
        </w:rPr>
      </w:pPr>
      <w:r w:rsidRPr="00F65C89">
        <w:rPr>
          <w:rFonts w:ascii="Times New Roman" w:eastAsia="Calibri" w:hAnsi="Times New Roman" w:cs="Times New Roman"/>
          <w:color w:val="4C4747"/>
          <w:spacing w:val="20"/>
          <w:sz w:val="24"/>
          <w:szCs w:val="24"/>
          <w:lang w:val="es-DO"/>
        </w:rPr>
        <w:t>Lleidanet Dominicana S.R.L; y</w:t>
      </w:r>
    </w:p>
    <w:p w14:paraId="2D682381" w14:textId="77777777" w:rsidR="00731A43" w:rsidRPr="00F65C89" w:rsidRDefault="00731A43" w:rsidP="00A02BDE">
      <w:pPr>
        <w:pStyle w:val="Prrafodelista"/>
        <w:numPr>
          <w:ilvl w:val="0"/>
          <w:numId w:val="53"/>
        </w:numPr>
        <w:spacing w:line="360" w:lineRule="auto"/>
        <w:jc w:val="both"/>
        <w:rPr>
          <w:rFonts w:ascii="Times New Roman" w:eastAsia="Calibri" w:hAnsi="Times New Roman" w:cs="Times New Roman"/>
          <w:color w:val="4C4747"/>
          <w:spacing w:val="20"/>
          <w:sz w:val="24"/>
          <w:szCs w:val="24"/>
          <w:lang w:val="es-DO"/>
        </w:rPr>
      </w:pPr>
      <w:r w:rsidRPr="00F65C89">
        <w:rPr>
          <w:rFonts w:ascii="Times New Roman" w:eastAsia="Calibri" w:hAnsi="Times New Roman" w:cs="Times New Roman"/>
          <w:color w:val="4C4747"/>
          <w:spacing w:val="20"/>
          <w:sz w:val="24"/>
          <w:szCs w:val="24"/>
          <w:lang w:val="es-DO"/>
        </w:rPr>
        <w:t>Oficina Gubernamental de Tecnologías de la Información y Comunicación (OGTIC).</w:t>
      </w:r>
    </w:p>
    <w:p w14:paraId="0F26C689"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Unidades de Registro:</w:t>
      </w:r>
    </w:p>
    <w:p w14:paraId="5D9B31DC" w14:textId="77777777" w:rsidR="00731A43" w:rsidRPr="00F65C89" w:rsidRDefault="00731A43" w:rsidP="00A02BDE">
      <w:pPr>
        <w:pStyle w:val="Prrafodelista"/>
        <w:numPr>
          <w:ilvl w:val="0"/>
          <w:numId w:val="54"/>
        </w:numPr>
        <w:spacing w:line="360" w:lineRule="auto"/>
        <w:jc w:val="both"/>
        <w:rPr>
          <w:rFonts w:ascii="Times New Roman" w:eastAsia="Calibri" w:hAnsi="Times New Roman" w:cs="Times New Roman"/>
          <w:color w:val="4C4747"/>
          <w:spacing w:val="20"/>
          <w:sz w:val="24"/>
          <w:szCs w:val="24"/>
          <w:lang w:val="es-DO"/>
        </w:rPr>
      </w:pPr>
      <w:r w:rsidRPr="00F65C89">
        <w:rPr>
          <w:rFonts w:ascii="Times New Roman" w:eastAsia="Calibri" w:hAnsi="Times New Roman" w:cs="Times New Roman"/>
          <w:color w:val="4C4747"/>
          <w:spacing w:val="20"/>
          <w:sz w:val="24"/>
          <w:szCs w:val="24"/>
          <w:lang w:val="es-DO"/>
        </w:rPr>
        <w:t>Dirección General de Impuestos Internos;</w:t>
      </w:r>
    </w:p>
    <w:p w14:paraId="25D4B8B0" w14:textId="77777777" w:rsidR="00731A43" w:rsidRPr="00F65C89" w:rsidRDefault="00731A43" w:rsidP="00A02BDE">
      <w:pPr>
        <w:pStyle w:val="Prrafodelista"/>
        <w:numPr>
          <w:ilvl w:val="0"/>
          <w:numId w:val="54"/>
        </w:numPr>
        <w:spacing w:line="360" w:lineRule="auto"/>
        <w:jc w:val="both"/>
        <w:rPr>
          <w:rFonts w:ascii="Times New Roman" w:eastAsia="Calibri" w:hAnsi="Times New Roman" w:cs="Times New Roman"/>
          <w:color w:val="4C4747"/>
          <w:spacing w:val="20"/>
          <w:sz w:val="24"/>
          <w:szCs w:val="24"/>
          <w:lang w:val="es-DO"/>
        </w:rPr>
      </w:pPr>
      <w:r w:rsidRPr="00F65C89">
        <w:rPr>
          <w:rFonts w:ascii="Times New Roman" w:eastAsia="Calibri" w:hAnsi="Times New Roman" w:cs="Times New Roman"/>
          <w:color w:val="4C4747"/>
          <w:spacing w:val="20"/>
          <w:sz w:val="24"/>
          <w:szCs w:val="24"/>
          <w:lang w:val="es-DO"/>
        </w:rPr>
        <w:t>Dirección General de Aduanas;</w:t>
      </w:r>
    </w:p>
    <w:p w14:paraId="293C3DDE" w14:textId="099CAED0" w:rsidR="00A77640" w:rsidRPr="00F65C89" w:rsidRDefault="00731A43" w:rsidP="00A02BDE">
      <w:pPr>
        <w:pStyle w:val="Prrafodelista"/>
        <w:numPr>
          <w:ilvl w:val="0"/>
          <w:numId w:val="54"/>
        </w:numPr>
        <w:spacing w:line="360" w:lineRule="auto"/>
        <w:jc w:val="both"/>
        <w:rPr>
          <w:rFonts w:ascii="Times New Roman" w:eastAsia="Calibri" w:hAnsi="Times New Roman" w:cs="Times New Roman"/>
          <w:color w:val="4C4747"/>
          <w:spacing w:val="20"/>
          <w:sz w:val="24"/>
          <w:szCs w:val="24"/>
          <w:lang w:val="es-DO"/>
        </w:rPr>
      </w:pPr>
      <w:r w:rsidRPr="00F65C89">
        <w:rPr>
          <w:rFonts w:ascii="Times New Roman" w:eastAsia="Calibri" w:hAnsi="Times New Roman" w:cs="Times New Roman"/>
          <w:color w:val="4C4747"/>
          <w:spacing w:val="20"/>
          <w:sz w:val="24"/>
          <w:szCs w:val="24"/>
          <w:lang w:val="es-DO"/>
        </w:rPr>
        <w:t>Banco del Reservas de la República Dominicana</w:t>
      </w:r>
    </w:p>
    <w:p w14:paraId="50A34926" w14:textId="77777777" w:rsidR="00731A43" w:rsidRPr="008C2B22" w:rsidRDefault="00731A43" w:rsidP="00D33B06">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Procedimientos de acreditación y autorización para la prestación de servicios de confianza en la República Dominicana</w:t>
      </w:r>
    </w:p>
    <w:p w14:paraId="233A13A5" w14:textId="5F1E17BE"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Durante este período se realizó un procedimiento de autorización para la ampliación de los servicios electrónicos de confianza prestados por la entidad de certificación LLEIDANET DOMINICANA mediante la Resolución </w:t>
      </w:r>
      <w:r w:rsidR="00D33B06" w:rsidRPr="008C2B22">
        <w:rPr>
          <w:rFonts w:ascii="Times New Roman" w:eastAsia="Calibri" w:hAnsi="Times New Roman" w:cs="Times New Roman"/>
          <w:color w:val="4C4747"/>
          <w:spacing w:val="20"/>
          <w:sz w:val="24"/>
          <w:szCs w:val="24"/>
          <w:lang w:val="es-DO"/>
        </w:rPr>
        <w:t xml:space="preserve">número </w:t>
      </w:r>
      <w:r w:rsidRPr="008C2B22">
        <w:rPr>
          <w:rFonts w:ascii="Times New Roman" w:eastAsia="Calibri" w:hAnsi="Times New Roman" w:cs="Times New Roman"/>
          <w:color w:val="4C4747"/>
          <w:spacing w:val="20"/>
          <w:sz w:val="24"/>
          <w:szCs w:val="24"/>
          <w:lang w:val="es-DO"/>
        </w:rPr>
        <w:t>038-2022 de fecha 7 de abril de 2022. El INDOTEL tiene otro proceso para la autorización de constitución como entidad de certificación a la sociedad THOMAS SIGNED COPPEL con un 90% de desarrollo.</w:t>
      </w:r>
    </w:p>
    <w:p w14:paraId="79CFBEBB" w14:textId="2AD7FEDF" w:rsidR="00A77640"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Además, se renovó la autorización a la entidad de certificación  AVANSI mediante la resolución 070</w:t>
      </w:r>
      <w:r w:rsidR="00D33B06" w:rsidRPr="008C2B22">
        <w:rPr>
          <w:rFonts w:ascii="Times New Roman" w:eastAsia="Calibri" w:hAnsi="Times New Roman" w:cs="Times New Roman"/>
          <w:color w:val="4C4747"/>
          <w:spacing w:val="20"/>
          <w:sz w:val="24"/>
          <w:szCs w:val="24"/>
          <w:lang w:val="es-DO"/>
        </w:rPr>
        <w:t>-2022 de fecha 4 de julio 2022.</w:t>
      </w:r>
    </w:p>
    <w:p w14:paraId="3BD0FB0D"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Procedimientos de inscripción en el Registro Especial de Proveedores de Firma Electrónica, se ejecutaron cuatro procedimientos de inscripción en el Registro Especial de Proveedores de Firma Electrónica, a favor de las empresas Ghostwriter Ventures, GSI International, VIAFIRMA y QIK BANCO DIGITAL DOMINICANO.</w:t>
      </w:r>
    </w:p>
    <w:p w14:paraId="5B3BFEEF" w14:textId="77777777" w:rsidR="00731A43" w:rsidRPr="008C2B22" w:rsidRDefault="00731A43" w:rsidP="00731A43">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Procedimientos de renovación en el Registro Especial de Proveedores de Firma Electrónica, se renovó una sociedad en el registro especial de PFE a favor de: Onespam NorthAmerica y tenemos otra solicitud en proceso a nombre de Ivnosys S.U.</w:t>
      </w:r>
    </w:p>
    <w:p w14:paraId="31D5022C" w14:textId="72F1B8BB" w:rsidR="00A77640" w:rsidRPr="008C2B22" w:rsidRDefault="00731A43" w:rsidP="00D33B06">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Revisión de marco legal de los servicios electrónicos de confianza y certificación digital, se ha llevado una extensa labor de revisión de iniciativas que tienen como finalidad coadyuvar a la implementación de la transformación digital del país, en consonancia</w:t>
      </w:r>
      <w:r w:rsidR="00D33B06" w:rsidRPr="008C2B22">
        <w:rPr>
          <w:rFonts w:ascii="Times New Roman" w:eastAsia="Calibri" w:hAnsi="Times New Roman" w:cs="Times New Roman"/>
          <w:color w:val="4C4747"/>
          <w:spacing w:val="20"/>
          <w:sz w:val="24"/>
          <w:szCs w:val="24"/>
          <w:lang w:val="es-DO"/>
        </w:rPr>
        <w:t xml:space="preserve"> con la Agenda Digital 2030.</w:t>
      </w:r>
    </w:p>
    <w:p w14:paraId="2376FE05" w14:textId="722693ED" w:rsidR="00731A43" w:rsidRPr="008C2B22" w:rsidRDefault="00731A43" w:rsidP="00D33B06">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Entre los principa</w:t>
      </w:r>
      <w:r w:rsidR="008C2B22">
        <w:rPr>
          <w:rFonts w:ascii="Times New Roman" w:eastAsia="Calibri" w:hAnsi="Times New Roman" w:cs="Times New Roman"/>
          <w:b/>
          <w:color w:val="4C4747"/>
          <w:spacing w:val="20"/>
          <w:sz w:val="24"/>
          <w:szCs w:val="24"/>
          <w:lang w:val="es-DO"/>
        </w:rPr>
        <w:t xml:space="preserve">les proyectos con los que se colaboró </w:t>
      </w:r>
      <w:r w:rsidRPr="008C2B22">
        <w:rPr>
          <w:rFonts w:ascii="Times New Roman" w:eastAsia="Calibri" w:hAnsi="Times New Roman" w:cs="Times New Roman"/>
          <w:b/>
          <w:color w:val="4C4747"/>
          <w:spacing w:val="20"/>
          <w:sz w:val="24"/>
          <w:szCs w:val="24"/>
          <w:lang w:val="es-DO"/>
        </w:rPr>
        <w:t>se encuentran:</w:t>
      </w:r>
    </w:p>
    <w:p w14:paraId="26FBBE8A"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Cuatro mesas técnicas de transformación digital sobre procesos financieros del Estado dominicano</w:t>
      </w:r>
    </w:p>
    <w:p w14:paraId="22C97ADE"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Asesoría al proyecto de facturación electrónica de la DGII, colaboración con la negociación del acuerdo entre ambas entidades (INDOTEL y DGII). </w:t>
      </w:r>
    </w:p>
    <w:p w14:paraId="267B5C1C"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Proceso de compras y contrataciones del portal web validador de servicios de confianza en la República Dominicana, el mismo tiene un 70% de desarrollo y estará listo en enero 2023.</w:t>
      </w:r>
    </w:p>
    <w:p w14:paraId="65896042"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Representación Internacional de la Republica Dominicana en el ID DAY 2022 Costa Rica.</w:t>
      </w:r>
    </w:p>
    <w:p w14:paraId="623EA5C2"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Revisión anteproyecto de la ley de innovación y desarrollo digital.</w:t>
      </w:r>
    </w:p>
    <w:p w14:paraId="1869DEE4"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Revisión anteproyecto de ley de uso de medios digitales en el Poder Judicial.</w:t>
      </w:r>
    </w:p>
    <w:p w14:paraId="30989B62"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Revisión reglamento de aplicación de la ley de uso de medios digitales en el Poder Judicial.</w:t>
      </w:r>
    </w:p>
    <w:p w14:paraId="698DCE2C"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Colaboración con la negociación y elaboración del acuerdo institucional de INDOTEL con el Poder Judicial.</w:t>
      </w:r>
    </w:p>
    <w:p w14:paraId="002B6A72"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Revisión y participación en delegación Dominicana ante LACNUDMI para la elaboración de la ley modelo de uso de Identidad Digital y reconocimiento transfronterizo de Servicios Electrónicos de Confianza.</w:t>
      </w:r>
    </w:p>
    <w:p w14:paraId="1C9F3F94"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Acercamiento proyecto de colaboración con Tribunal Constitucional. </w:t>
      </w:r>
    </w:p>
    <w:p w14:paraId="2456D208"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Acercamiento proyecto de colaboración con Colegio Dominicano de Abogados</w:t>
      </w:r>
    </w:p>
    <w:p w14:paraId="31C446C9"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Acercamiento proyecto de colaboración con MESCYT.</w:t>
      </w:r>
    </w:p>
    <w:p w14:paraId="51DC6A9B"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Revisión de Diagnóstico sobre Identidad del Banco Mundial.</w:t>
      </w:r>
    </w:p>
    <w:p w14:paraId="0FF29121"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Revisión y colaboración para la elaboración de la Circular sobre uso de Firma Digital del Ministerio de Administración Pública. </w:t>
      </w:r>
    </w:p>
    <w:p w14:paraId="67B66A24"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Revisión ley modelo de uso de identidad digital y reconocimiento transfronterizo de servicios electrónicos de confianza.</w:t>
      </w:r>
    </w:p>
    <w:p w14:paraId="5C12C809"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Revisión marco legal de la firma digital en República Dominicana.</w:t>
      </w:r>
    </w:p>
    <w:p w14:paraId="5790DCC2" w14:textId="77777777"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Coordinación y organización del evento internacional IDFORO 2022.</w:t>
      </w:r>
    </w:p>
    <w:p w14:paraId="0914D68D" w14:textId="23D24106" w:rsidR="00731A43" w:rsidRPr="008C2B22" w:rsidRDefault="00731A43" w:rsidP="00A02BDE">
      <w:pPr>
        <w:pStyle w:val="Prrafodelista"/>
        <w:numPr>
          <w:ilvl w:val="0"/>
          <w:numId w:val="31"/>
        </w:num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 Participación en la revisión del proyecto de Modernización del Merco Legal para la economía digital y el Comercio Electrónico en Colaboración con el Ministerio de Industria y Comercio. </w:t>
      </w:r>
    </w:p>
    <w:p w14:paraId="6454B237" w14:textId="77777777" w:rsidR="00A77640" w:rsidRPr="008C2B22" w:rsidRDefault="00A77640" w:rsidP="00D33A54">
      <w:pPr>
        <w:spacing w:line="360" w:lineRule="auto"/>
        <w:jc w:val="both"/>
        <w:rPr>
          <w:rFonts w:ascii="Times New Roman" w:eastAsia="Calibri" w:hAnsi="Times New Roman" w:cs="Times New Roman"/>
          <w:color w:val="4C4747"/>
          <w:spacing w:val="20"/>
          <w:sz w:val="24"/>
          <w:szCs w:val="24"/>
          <w:lang w:val="es-DO"/>
        </w:rPr>
      </w:pPr>
    </w:p>
    <w:p w14:paraId="3A1FC2F1" w14:textId="77777777" w:rsidR="00D33B06" w:rsidRPr="008C2B22" w:rsidRDefault="00D33B06" w:rsidP="00D33A54">
      <w:pPr>
        <w:spacing w:line="360" w:lineRule="auto"/>
        <w:jc w:val="both"/>
        <w:rPr>
          <w:rFonts w:ascii="Times New Roman" w:eastAsia="Calibri" w:hAnsi="Times New Roman" w:cs="Times New Roman"/>
          <w:color w:val="4C4747"/>
          <w:spacing w:val="20"/>
          <w:sz w:val="24"/>
          <w:szCs w:val="24"/>
          <w:lang w:val="es-DO"/>
        </w:rPr>
      </w:pPr>
    </w:p>
    <w:p w14:paraId="2045DCE0" w14:textId="77777777" w:rsidR="00A77640" w:rsidRDefault="00A77640" w:rsidP="00D33A54">
      <w:pPr>
        <w:spacing w:line="360" w:lineRule="auto"/>
        <w:jc w:val="both"/>
        <w:rPr>
          <w:rFonts w:ascii="Times New Roman" w:eastAsia="Calibri" w:hAnsi="Times New Roman" w:cs="Times New Roman"/>
          <w:color w:val="FF0000"/>
          <w:spacing w:val="20"/>
          <w:sz w:val="24"/>
          <w:szCs w:val="24"/>
          <w:lang w:val="es-DO"/>
        </w:rPr>
      </w:pPr>
    </w:p>
    <w:p w14:paraId="33372F47" w14:textId="77777777" w:rsidR="00A77640" w:rsidRDefault="00A77640" w:rsidP="00D33A54">
      <w:pPr>
        <w:spacing w:line="360" w:lineRule="auto"/>
        <w:jc w:val="both"/>
        <w:rPr>
          <w:rFonts w:ascii="Times New Roman" w:eastAsia="Calibri" w:hAnsi="Times New Roman" w:cs="Times New Roman"/>
          <w:color w:val="FF0000"/>
          <w:spacing w:val="20"/>
          <w:sz w:val="24"/>
          <w:szCs w:val="24"/>
          <w:lang w:val="es-DO"/>
        </w:rPr>
      </w:pPr>
    </w:p>
    <w:p w14:paraId="51AEF25D" w14:textId="6999734B" w:rsidR="00FA019C" w:rsidRPr="00C62BB6" w:rsidRDefault="00FA019C" w:rsidP="00A02BDE">
      <w:pPr>
        <w:pStyle w:val="Ttulo1"/>
        <w:numPr>
          <w:ilvl w:val="0"/>
          <w:numId w:val="27"/>
        </w:numPr>
        <w:jc w:val="center"/>
        <w:rPr>
          <w:b/>
          <w:color w:val="4C4747"/>
          <w:lang w:val="es-DO"/>
        </w:rPr>
      </w:pPr>
      <w:bookmarkStart w:id="20" w:name="_Toc122425242"/>
      <w:r w:rsidRPr="00C62BB6">
        <w:rPr>
          <w:b/>
          <w:color w:val="4C4747"/>
          <w:lang w:val="es-DO"/>
        </w:rPr>
        <w:lastRenderedPageBreak/>
        <w:t xml:space="preserve">RESULTADOS ÁREAS TRANSVERSALES </w:t>
      </w:r>
      <w:r w:rsidRPr="00C62BB6">
        <w:rPr>
          <w:b/>
          <w:color w:val="4C4747"/>
          <w:lang w:val="es-DO"/>
        </w:rPr>
        <w:br/>
        <w:t>Y DE APOYO</w:t>
      </w:r>
      <w:bookmarkEnd w:id="20"/>
    </w:p>
    <w:p w14:paraId="3F94A889" w14:textId="77777777" w:rsidR="00FA019C" w:rsidRPr="00C62BB6" w:rsidRDefault="00FA019C" w:rsidP="00FA019C">
      <w:pPr>
        <w:jc w:val="both"/>
        <w:rPr>
          <w:rFonts w:ascii="Times New Roman" w:eastAsia="Calibri" w:hAnsi="Times New Roman" w:cs="Times New Roman"/>
          <w:color w:val="4C4747"/>
          <w:sz w:val="18"/>
          <w:lang w:val="es-DO"/>
        </w:rPr>
      </w:pPr>
      <w:r w:rsidRPr="00C62BB6">
        <w:rPr>
          <w:rFonts w:ascii="Times New Roman" w:eastAsia="Calibri" w:hAnsi="Times New Roman" w:cs="Times New Roman"/>
          <w:noProof/>
          <w:color w:val="4C4747"/>
          <w:sz w:val="18"/>
        </w:rPr>
        <mc:AlternateContent>
          <mc:Choice Requires="wps">
            <w:drawing>
              <wp:anchor distT="0" distB="0" distL="114300" distR="114300" simplePos="0" relativeHeight="251715584" behindDoc="0" locked="0" layoutInCell="1" allowOverlap="1" wp14:anchorId="7F8150E8" wp14:editId="1F09E1F9">
                <wp:simplePos x="0" y="0"/>
                <wp:positionH relativeFrom="margin">
                  <wp:posOffset>2254250</wp:posOffset>
                </wp:positionH>
                <wp:positionV relativeFrom="paragraph">
                  <wp:posOffset>36830</wp:posOffset>
                </wp:positionV>
                <wp:extent cx="463550" cy="0"/>
                <wp:effectExtent l="22860" t="15875" r="18415" b="22225"/>
                <wp:wrapNone/>
                <wp:docPr id="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35C63" id="Straight Connector 21"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PaMwIAAE8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" strokecolor="#ee2a24" strokeweight="2.25pt">
                <v:stroke joinstyle="miter"/>
                <w10:wrap anchorx="margin"/>
              </v:line>
            </w:pict>
          </mc:Fallback>
        </mc:AlternateContent>
      </w:r>
    </w:p>
    <w:p w14:paraId="451265F0" w14:textId="42C224A5" w:rsidR="00FA019C" w:rsidRPr="00C62BB6" w:rsidRDefault="00591C1B" w:rsidP="00FA019C">
      <w:pPr>
        <w:jc w:val="center"/>
        <w:rPr>
          <w:rFonts w:ascii="Times New Roman" w:eastAsia="Calibri" w:hAnsi="Times New Roman" w:cs="Times New Roman"/>
          <w:color w:val="4C4747"/>
          <w:spacing w:val="20"/>
          <w:sz w:val="24"/>
          <w:szCs w:val="36"/>
          <w:lang w:val="es-DO"/>
        </w:rPr>
      </w:pPr>
      <w:r w:rsidRPr="00C62BB6">
        <w:rPr>
          <w:rFonts w:ascii="Times New Roman" w:eastAsia="Calibri" w:hAnsi="Times New Roman" w:cs="Times New Roman"/>
          <w:color w:val="4C4747"/>
          <w:spacing w:val="20"/>
          <w:sz w:val="24"/>
          <w:szCs w:val="36"/>
          <w:lang w:val="es-DO"/>
        </w:rPr>
        <w:t>Memoria Institucion</w:t>
      </w:r>
      <w:r w:rsidR="00FA019C" w:rsidRPr="00C62BB6">
        <w:rPr>
          <w:rFonts w:ascii="Times New Roman" w:eastAsia="Calibri" w:hAnsi="Times New Roman" w:cs="Times New Roman"/>
          <w:color w:val="4C4747"/>
          <w:spacing w:val="20"/>
          <w:sz w:val="24"/>
          <w:szCs w:val="36"/>
          <w:lang w:val="es-DO"/>
        </w:rPr>
        <w:t>al 2022</w:t>
      </w:r>
    </w:p>
    <w:p w14:paraId="6DDD7DAE" w14:textId="77777777" w:rsidR="00FA019C" w:rsidRPr="00C62BB6" w:rsidRDefault="00FA019C" w:rsidP="00FA019C">
      <w:pPr>
        <w:spacing w:line="360" w:lineRule="auto"/>
        <w:jc w:val="both"/>
        <w:rPr>
          <w:rFonts w:ascii="Times New Roman" w:eastAsia="Calibri" w:hAnsi="Times New Roman" w:cs="Times New Roman"/>
          <w:color w:val="4C4747"/>
          <w:spacing w:val="20"/>
          <w:sz w:val="24"/>
          <w:szCs w:val="24"/>
          <w:lang w:val="es-DO"/>
        </w:rPr>
      </w:pPr>
    </w:p>
    <w:p w14:paraId="029CFCAD" w14:textId="1EB1850C" w:rsidR="00A71A82" w:rsidRPr="00C62BB6" w:rsidRDefault="00A75CDE" w:rsidP="00A71A82">
      <w:pPr>
        <w:keepNext/>
        <w:spacing w:before="240" w:after="60"/>
        <w:jc w:val="both"/>
        <w:outlineLvl w:val="2"/>
        <w:rPr>
          <w:rFonts w:ascii="Times New Roman" w:eastAsia="Times New Roman" w:hAnsi="Times New Roman" w:cs="Times New Roman"/>
          <w:b/>
          <w:bCs/>
          <w:color w:val="4C4747"/>
          <w:sz w:val="24"/>
          <w:szCs w:val="28"/>
          <w:lang w:val="es-DO" w:eastAsia="es-DO"/>
        </w:rPr>
      </w:pPr>
      <w:bookmarkStart w:id="21" w:name="_Toc79678420"/>
      <w:bookmarkStart w:id="22" w:name="_Toc122425243"/>
      <w:r w:rsidRPr="00C62BB6">
        <w:rPr>
          <w:rFonts w:ascii="Times New Roman" w:hAnsi="Times New Roman" w:cs="Times New Roman"/>
          <w:b/>
          <w:color w:val="4C4747"/>
          <w:sz w:val="24"/>
          <w:szCs w:val="24"/>
          <w:lang w:val="es-DO" w:eastAsia="es-DO"/>
        </w:rPr>
        <w:t>4.1</w:t>
      </w:r>
      <w:r w:rsidRPr="00C62BB6">
        <w:rPr>
          <w:rFonts w:ascii="Times New Roman" w:hAnsi="Times New Roman" w:cs="Times New Roman"/>
          <w:b/>
          <w:i/>
          <w:color w:val="4C4747"/>
          <w:sz w:val="24"/>
          <w:szCs w:val="24"/>
          <w:lang w:val="es-DO" w:eastAsia="es-DO"/>
        </w:rPr>
        <w:t xml:space="preserve">  </w:t>
      </w:r>
      <w:r w:rsidR="00A71A82" w:rsidRPr="00C62BB6">
        <w:rPr>
          <w:rFonts w:ascii="Times New Roman" w:eastAsia="Times New Roman" w:hAnsi="Times New Roman" w:cs="Times New Roman"/>
          <w:b/>
          <w:bCs/>
          <w:color w:val="4C4747"/>
          <w:sz w:val="24"/>
          <w:szCs w:val="28"/>
          <w:lang w:val="es-DO" w:eastAsia="es-DO"/>
        </w:rPr>
        <w:t>Desempeño Administrativo y Financiero</w:t>
      </w:r>
      <w:bookmarkEnd w:id="21"/>
      <w:bookmarkEnd w:id="22"/>
    </w:p>
    <w:p w14:paraId="40D0237F" w14:textId="77777777" w:rsidR="00A71A82" w:rsidRPr="00C62BB6" w:rsidRDefault="00A71A82" w:rsidP="00A71A82">
      <w:pPr>
        <w:pStyle w:val="Sinespaciado"/>
        <w:rPr>
          <w:color w:val="4C4747"/>
          <w:lang w:val="es-DO"/>
        </w:rPr>
      </w:pPr>
    </w:p>
    <w:p w14:paraId="1244EBDD" w14:textId="450AB7E2" w:rsidR="00A71A82" w:rsidRPr="00C62BB6" w:rsidRDefault="006D62FE" w:rsidP="00A75CDE">
      <w:pPr>
        <w:pStyle w:val="Ttulo4"/>
        <w:rPr>
          <w:rFonts w:ascii="Times New Roman" w:hAnsi="Times New Roman" w:cs="Times New Roman"/>
          <w:b/>
          <w:color w:val="4C4747"/>
          <w:sz w:val="24"/>
          <w:szCs w:val="24"/>
          <w:lang w:val="es-DO" w:eastAsia="es-DO"/>
        </w:rPr>
      </w:pPr>
      <w:r w:rsidRPr="00C62BB6">
        <w:rPr>
          <w:rFonts w:ascii="Times New Roman" w:hAnsi="Times New Roman" w:cs="Times New Roman"/>
          <w:b/>
          <w:i w:val="0"/>
          <w:color w:val="4C4747"/>
          <w:sz w:val="24"/>
          <w:szCs w:val="24"/>
          <w:lang w:val="es-DO" w:eastAsia="es-DO"/>
        </w:rPr>
        <w:t xml:space="preserve">4.1.1 </w:t>
      </w:r>
      <w:r w:rsidR="00A71A82" w:rsidRPr="00C62BB6">
        <w:rPr>
          <w:rFonts w:ascii="Times New Roman" w:hAnsi="Times New Roman" w:cs="Times New Roman"/>
          <w:b/>
          <w:i w:val="0"/>
          <w:color w:val="4C4747"/>
          <w:sz w:val="24"/>
          <w:szCs w:val="24"/>
          <w:lang w:val="es-DO" w:eastAsia="es-DO"/>
        </w:rPr>
        <w:t>Desempeño Administrativo</w:t>
      </w:r>
    </w:p>
    <w:p w14:paraId="112C5DD5" w14:textId="77777777" w:rsidR="00A75CDE" w:rsidRPr="00C62BB6" w:rsidRDefault="00A75CDE" w:rsidP="00A75CDE">
      <w:pPr>
        <w:rPr>
          <w:color w:val="4C4747"/>
          <w:lang w:val="es-DO" w:eastAsia="es-DO"/>
        </w:rPr>
      </w:pPr>
    </w:p>
    <w:p w14:paraId="2A8C0951" w14:textId="77777777" w:rsidR="00731A43" w:rsidRPr="008C2B22" w:rsidRDefault="00731A43"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El área Administrativa es la responsable de coordinar, organizar y dirigir todas aquellas actividades que conllevan los procesos operativos-administrativos de la institución, velando por la optimización del uso de los recursos, el buen funcionamiento y mantenimiento de las áreas físicas y equipos de la institución.</w:t>
      </w:r>
    </w:p>
    <w:p w14:paraId="594E4257" w14:textId="77777777" w:rsidR="00731A43" w:rsidRPr="008C2B22" w:rsidRDefault="00731A43"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Se encarga además de tramitar y gestionar los pagos de los servicios básicos, combustibles, pólizas de seguros (riesgo y vehículos), contratos de arrendamiento, servicios de mantenimientos de infraestructura y vehículos; actividades relacionadas al Plan Anual de Compras y Contrataciones, control y asignación de parqueos, control y asignación de equipos de telefonía móvil, entre otros.</w:t>
      </w:r>
    </w:p>
    <w:p w14:paraId="2A53DC3F" w14:textId="77777777" w:rsidR="00731A43" w:rsidRPr="008C2B22" w:rsidRDefault="00731A43"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Por otro lado se encarga de la administración del nuevo Centro Tetelo Vargas-Extensión ITLA, San Pedro de Macorís donde anualmente se están beneficiando más de 1000 estudiantes con cursos cortos, diplomados y carreras técnicas que van en beneficio y desarrollo de la provincia San Pedro de Macorís y sus habitantes. </w:t>
      </w:r>
    </w:p>
    <w:p w14:paraId="6E353227" w14:textId="77777777" w:rsidR="00731A43" w:rsidRPr="008C2B22" w:rsidRDefault="00731A43"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La gestión realizada de revisión, supervisión y control ha permitido eficientizar los gastos de la institución en la sede y todas sus dependencias, manteniendo un servicio oportuno y ofreciendo soluciones eficientes a los requerimientos de la institución, acorde se detalla en la siguiente tabla:</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85"/>
        <w:gridCol w:w="2070"/>
        <w:gridCol w:w="2160"/>
      </w:tblGrid>
      <w:tr w:rsidR="008860AC" w:rsidRPr="008860AC" w14:paraId="1D5CC477" w14:textId="77777777" w:rsidTr="00C62BB6">
        <w:trPr>
          <w:trHeight w:val="530"/>
        </w:trPr>
        <w:tc>
          <w:tcPr>
            <w:tcW w:w="7915" w:type="dxa"/>
            <w:gridSpan w:val="3"/>
            <w:shd w:val="clear" w:color="auto" w:fill="002060"/>
            <w:noWrap/>
            <w:vAlign w:val="center"/>
          </w:tcPr>
          <w:p w14:paraId="41C0D29E" w14:textId="77777777" w:rsidR="008860AC" w:rsidRPr="00C62BB6" w:rsidRDefault="008860AC" w:rsidP="00C62BB6">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lastRenderedPageBreak/>
              <w:t>Servicios</w:t>
            </w:r>
          </w:p>
        </w:tc>
      </w:tr>
      <w:tr w:rsidR="008860AC" w:rsidRPr="008860AC" w14:paraId="028BC42B" w14:textId="77777777" w:rsidTr="00C62BB6">
        <w:trPr>
          <w:trHeight w:val="420"/>
        </w:trPr>
        <w:tc>
          <w:tcPr>
            <w:tcW w:w="3685" w:type="dxa"/>
            <w:shd w:val="clear" w:color="auto" w:fill="002060"/>
            <w:noWrap/>
            <w:vAlign w:val="center"/>
          </w:tcPr>
          <w:p w14:paraId="0AE9C8EC" w14:textId="77777777" w:rsidR="008860AC" w:rsidRPr="00C62BB6" w:rsidRDefault="008860AC" w:rsidP="00C62BB6">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Año 2022</w:t>
            </w:r>
          </w:p>
        </w:tc>
        <w:tc>
          <w:tcPr>
            <w:tcW w:w="4230" w:type="dxa"/>
            <w:gridSpan w:val="2"/>
            <w:shd w:val="clear" w:color="auto" w:fill="002060"/>
            <w:noWrap/>
            <w:vAlign w:val="center"/>
          </w:tcPr>
          <w:p w14:paraId="45CDC858" w14:textId="531E826A" w:rsidR="008860AC" w:rsidRPr="00C62BB6" w:rsidRDefault="008860AC" w:rsidP="00C62BB6">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Monto en RD$</w:t>
            </w:r>
          </w:p>
        </w:tc>
      </w:tr>
      <w:tr w:rsidR="008860AC" w:rsidRPr="008860AC" w14:paraId="4DAB5765" w14:textId="77777777" w:rsidTr="00C62BB6">
        <w:trPr>
          <w:trHeight w:val="420"/>
        </w:trPr>
        <w:tc>
          <w:tcPr>
            <w:tcW w:w="3685" w:type="dxa"/>
            <w:shd w:val="clear" w:color="auto" w:fill="002060"/>
            <w:noWrap/>
            <w:vAlign w:val="center"/>
            <w:hideMark/>
          </w:tcPr>
          <w:p w14:paraId="46F16430" w14:textId="77777777" w:rsidR="008860AC" w:rsidRPr="00C62BB6" w:rsidRDefault="008860AC" w:rsidP="00C62BB6">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Concepto</w:t>
            </w:r>
          </w:p>
        </w:tc>
        <w:tc>
          <w:tcPr>
            <w:tcW w:w="2070" w:type="dxa"/>
            <w:shd w:val="clear" w:color="auto" w:fill="002060"/>
            <w:noWrap/>
            <w:vAlign w:val="center"/>
            <w:hideMark/>
          </w:tcPr>
          <w:p w14:paraId="359D529E" w14:textId="77777777" w:rsidR="008860AC" w:rsidRPr="00C62BB6" w:rsidRDefault="008860AC" w:rsidP="00C62BB6">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Ejecutado</w:t>
            </w:r>
          </w:p>
        </w:tc>
        <w:tc>
          <w:tcPr>
            <w:tcW w:w="2160" w:type="dxa"/>
            <w:shd w:val="clear" w:color="auto" w:fill="002060"/>
            <w:noWrap/>
            <w:vAlign w:val="center"/>
            <w:hideMark/>
          </w:tcPr>
          <w:p w14:paraId="6F774552" w14:textId="77777777" w:rsidR="008860AC" w:rsidRPr="00C62BB6" w:rsidRDefault="008860AC" w:rsidP="00C62BB6">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Presupuestado</w:t>
            </w:r>
          </w:p>
        </w:tc>
      </w:tr>
      <w:tr w:rsidR="000E66D4" w:rsidRPr="00C62BB6" w14:paraId="6EB9B8A1" w14:textId="77777777" w:rsidTr="00943FA5">
        <w:trPr>
          <w:trHeight w:val="375"/>
        </w:trPr>
        <w:tc>
          <w:tcPr>
            <w:tcW w:w="3685" w:type="dxa"/>
            <w:shd w:val="clear" w:color="auto" w:fill="auto"/>
            <w:noWrap/>
            <w:vAlign w:val="center"/>
            <w:hideMark/>
          </w:tcPr>
          <w:p w14:paraId="41449A3A"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Alquiler Edificio Principal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D896B" w14:textId="0F948CDB"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$ 47,259,096.24 </w:t>
            </w:r>
          </w:p>
        </w:tc>
        <w:tc>
          <w:tcPr>
            <w:tcW w:w="2160" w:type="dxa"/>
            <w:shd w:val="clear" w:color="auto" w:fill="auto"/>
            <w:noWrap/>
            <w:vAlign w:val="bottom"/>
          </w:tcPr>
          <w:p w14:paraId="70EDD2B7" w14:textId="1920D4F2"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47,456,009.00 </w:t>
            </w:r>
          </w:p>
        </w:tc>
      </w:tr>
      <w:tr w:rsidR="000E66D4" w:rsidRPr="00C62BB6" w14:paraId="71BB7641" w14:textId="77777777" w:rsidTr="00943FA5">
        <w:trPr>
          <w:trHeight w:val="375"/>
        </w:trPr>
        <w:tc>
          <w:tcPr>
            <w:tcW w:w="3685" w:type="dxa"/>
            <w:shd w:val="clear" w:color="auto" w:fill="auto"/>
            <w:noWrap/>
            <w:vAlign w:val="center"/>
            <w:hideMark/>
          </w:tcPr>
          <w:p w14:paraId="65ECE5F5"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Alquiler De Parqueos </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4C3ED061"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$ 29,293,348.37 </w:t>
            </w:r>
          </w:p>
        </w:tc>
        <w:tc>
          <w:tcPr>
            <w:tcW w:w="2160" w:type="dxa"/>
            <w:shd w:val="clear" w:color="auto" w:fill="auto"/>
            <w:noWrap/>
            <w:vAlign w:val="bottom"/>
          </w:tcPr>
          <w:p w14:paraId="20CCF40E" w14:textId="64EDF095"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27,636,776.00 </w:t>
            </w:r>
          </w:p>
        </w:tc>
      </w:tr>
      <w:tr w:rsidR="000E66D4" w:rsidRPr="00C62BB6" w14:paraId="12F1E817" w14:textId="77777777" w:rsidTr="00943FA5">
        <w:trPr>
          <w:trHeight w:val="375"/>
        </w:trPr>
        <w:tc>
          <w:tcPr>
            <w:tcW w:w="3685" w:type="dxa"/>
            <w:shd w:val="clear" w:color="auto" w:fill="auto"/>
            <w:noWrap/>
            <w:vAlign w:val="center"/>
            <w:hideMark/>
          </w:tcPr>
          <w:p w14:paraId="3FB48C28"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Periódicos  Ejemplares</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0C71ADC8" w14:textId="2C8B5805"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103,000.00 </w:t>
            </w:r>
          </w:p>
        </w:tc>
        <w:tc>
          <w:tcPr>
            <w:tcW w:w="2160" w:type="dxa"/>
            <w:shd w:val="clear" w:color="auto" w:fill="auto"/>
            <w:noWrap/>
            <w:vAlign w:val="bottom"/>
          </w:tcPr>
          <w:p w14:paraId="00247D92" w14:textId="74243799"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607,570.00 </w:t>
            </w:r>
          </w:p>
        </w:tc>
      </w:tr>
      <w:tr w:rsidR="000E66D4" w:rsidRPr="00C62BB6" w14:paraId="78F2506E" w14:textId="77777777" w:rsidTr="00943FA5">
        <w:trPr>
          <w:trHeight w:val="375"/>
        </w:trPr>
        <w:tc>
          <w:tcPr>
            <w:tcW w:w="3685" w:type="dxa"/>
            <w:shd w:val="clear" w:color="auto" w:fill="auto"/>
            <w:noWrap/>
            <w:vAlign w:val="center"/>
            <w:hideMark/>
          </w:tcPr>
          <w:p w14:paraId="6561679D"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Uso Planta Eléctrica</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64D0CF26" w14:textId="4C263071"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2,055,386.76 </w:t>
            </w:r>
          </w:p>
        </w:tc>
        <w:tc>
          <w:tcPr>
            <w:tcW w:w="2160" w:type="dxa"/>
            <w:shd w:val="clear" w:color="auto" w:fill="auto"/>
            <w:noWrap/>
            <w:vAlign w:val="bottom"/>
          </w:tcPr>
          <w:p w14:paraId="39A7E469" w14:textId="2F1BD1F9"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2,055,387.00 </w:t>
            </w:r>
          </w:p>
        </w:tc>
      </w:tr>
      <w:tr w:rsidR="000E66D4" w:rsidRPr="00C62BB6" w14:paraId="5E68D97F" w14:textId="77777777" w:rsidTr="00943FA5">
        <w:trPr>
          <w:trHeight w:val="375"/>
        </w:trPr>
        <w:tc>
          <w:tcPr>
            <w:tcW w:w="3685" w:type="dxa"/>
            <w:shd w:val="clear" w:color="auto" w:fill="auto"/>
            <w:noWrap/>
            <w:vAlign w:val="center"/>
            <w:hideMark/>
          </w:tcPr>
          <w:p w14:paraId="03048653"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Mantenimiento De Ascensor </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FA1C317" w14:textId="331D284E"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137,352.00 </w:t>
            </w:r>
          </w:p>
        </w:tc>
        <w:tc>
          <w:tcPr>
            <w:tcW w:w="2160" w:type="dxa"/>
            <w:shd w:val="clear" w:color="auto" w:fill="auto"/>
            <w:noWrap/>
            <w:vAlign w:val="bottom"/>
          </w:tcPr>
          <w:p w14:paraId="5BC63840" w14:textId="5FB7FE10"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127,440.00 </w:t>
            </w:r>
          </w:p>
        </w:tc>
      </w:tr>
      <w:tr w:rsidR="000E66D4" w:rsidRPr="00C62BB6" w14:paraId="5EC0F949" w14:textId="77777777" w:rsidTr="00943FA5">
        <w:trPr>
          <w:trHeight w:val="375"/>
        </w:trPr>
        <w:tc>
          <w:tcPr>
            <w:tcW w:w="3685" w:type="dxa"/>
            <w:shd w:val="clear" w:color="auto" w:fill="auto"/>
            <w:noWrap/>
            <w:vAlign w:val="center"/>
            <w:hideMark/>
          </w:tcPr>
          <w:p w14:paraId="776CCCB4"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Telecomunicaciones</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23F600FD" w14:textId="3B6D8B05"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8,736,687.67 </w:t>
            </w:r>
          </w:p>
        </w:tc>
        <w:tc>
          <w:tcPr>
            <w:tcW w:w="2160" w:type="dxa"/>
            <w:shd w:val="clear" w:color="auto" w:fill="auto"/>
            <w:noWrap/>
            <w:vAlign w:val="bottom"/>
          </w:tcPr>
          <w:p w14:paraId="2F90BD75" w14:textId="18A3D17D"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21,276,220.00 </w:t>
            </w:r>
          </w:p>
        </w:tc>
      </w:tr>
      <w:tr w:rsidR="000E66D4" w:rsidRPr="00C62BB6" w14:paraId="4114399D" w14:textId="77777777" w:rsidTr="00943FA5">
        <w:trPr>
          <w:trHeight w:val="375"/>
        </w:trPr>
        <w:tc>
          <w:tcPr>
            <w:tcW w:w="3685" w:type="dxa"/>
            <w:shd w:val="clear" w:color="auto" w:fill="auto"/>
            <w:noWrap/>
            <w:vAlign w:val="center"/>
            <w:hideMark/>
          </w:tcPr>
          <w:p w14:paraId="2C283FCF"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Energía Eléctrica</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1F24BD52" w14:textId="26EF0A5E"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10,806,261.92 </w:t>
            </w:r>
          </w:p>
        </w:tc>
        <w:tc>
          <w:tcPr>
            <w:tcW w:w="2160" w:type="dxa"/>
            <w:shd w:val="clear" w:color="auto" w:fill="auto"/>
            <w:noWrap/>
            <w:vAlign w:val="bottom"/>
          </w:tcPr>
          <w:p w14:paraId="5F7FB373" w14:textId="101022C6"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9,474,779.00 </w:t>
            </w:r>
          </w:p>
        </w:tc>
      </w:tr>
      <w:tr w:rsidR="000E66D4" w:rsidRPr="00C62BB6" w14:paraId="1128D192" w14:textId="77777777" w:rsidTr="00943FA5">
        <w:trPr>
          <w:trHeight w:val="375"/>
        </w:trPr>
        <w:tc>
          <w:tcPr>
            <w:tcW w:w="3685" w:type="dxa"/>
            <w:shd w:val="clear" w:color="auto" w:fill="auto"/>
            <w:noWrap/>
            <w:vAlign w:val="center"/>
            <w:hideMark/>
          </w:tcPr>
          <w:p w14:paraId="3FF31906"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Agua Potable</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6C13BE9D" w14:textId="41A30B23"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82,702.16 </w:t>
            </w:r>
          </w:p>
        </w:tc>
        <w:tc>
          <w:tcPr>
            <w:tcW w:w="2160" w:type="dxa"/>
            <w:shd w:val="clear" w:color="auto" w:fill="auto"/>
            <w:noWrap/>
            <w:vAlign w:val="bottom"/>
          </w:tcPr>
          <w:p w14:paraId="4C847928" w14:textId="46B01165"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93,530.00 </w:t>
            </w:r>
          </w:p>
        </w:tc>
      </w:tr>
      <w:tr w:rsidR="000E66D4" w:rsidRPr="00C62BB6" w14:paraId="43D44EEC" w14:textId="77777777" w:rsidTr="00943FA5">
        <w:trPr>
          <w:trHeight w:val="375"/>
        </w:trPr>
        <w:tc>
          <w:tcPr>
            <w:tcW w:w="3685" w:type="dxa"/>
            <w:shd w:val="clear" w:color="auto" w:fill="auto"/>
            <w:noWrap/>
            <w:vAlign w:val="center"/>
            <w:hideMark/>
          </w:tcPr>
          <w:p w14:paraId="65FC7FF0"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Desechos Sólidos</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22C51958" w14:textId="5A1DBB30"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66,397.00 </w:t>
            </w:r>
          </w:p>
        </w:tc>
        <w:tc>
          <w:tcPr>
            <w:tcW w:w="2160" w:type="dxa"/>
            <w:shd w:val="clear" w:color="auto" w:fill="auto"/>
            <w:noWrap/>
            <w:vAlign w:val="bottom"/>
          </w:tcPr>
          <w:p w14:paraId="7E6A01CF" w14:textId="1F7952DC"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55,780.00 </w:t>
            </w:r>
          </w:p>
        </w:tc>
      </w:tr>
      <w:tr w:rsidR="000E66D4" w:rsidRPr="00C62BB6" w14:paraId="64A1AA0D" w14:textId="77777777" w:rsidTr="00943FA5">
        <w:trPr>
          <w:trHeight w:val="375"/>
        </w:trPr>
        <w:tc>
          <w:tcPr>
            <w:tcW w:w="3685" w:type="dxa"/>
            <w:shd w:val="clear" w:color="auto" w:fill="auto"/>
            <w:noWrap/>
            <w:vAlign w:val="center"/>
            <w:hideMark/>
          </w:tcPr>
          <w:p w14:paraId="42E47CCA"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Combustibles</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2942F0B" w14:textId="38A2D6F8"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11,869,705.51 </w:t>
            </w:r>
          </w:p>
        </w:tc>
        <w:tc>
          <w:tcPr>
            <w:tcW w:w="2160" w:type="dxa"/>
            <w:shd w:val="clear" w:color="auto" w:fill="auto"/>
            <w:noWrap/>
            <w:vAlign w:val="bottom"/>
          </w:tcPr>
          <w:p w14:paraId="19DD94C9" w14:textId="7898CFC0"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16,532,243.00 </w:t>
            </w:r>
          </w:p>
        </w:tc>
      </w:tr>
      <w:tr w:rsidR="000E66D4" w:rsidRPr="00C62BB6" w14:paraId="0528D8B1" w14:textId="77777777" w:rsidTr="00943FA5">
        <w:trPr>
          <w:trHeight w:val="375"/>
        </w:trPr>
        <w:tc>
          <w:tcPr>
            <w:tcW w:w="3685" w:type="dxa"/>
            <w:shd w:val="clear" w:color="auto" w:fill="auto"/>
            <w:noWrap/>
            <w:vAlign w:val="center"/>
            <w:hideMark/>
          </w:tcPr>
          <w:p w14:paraId="2905960E"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Seguros Todo Riesgo Vehículos</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65A6F0D" w14:textId="7204AE62"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6,329,165.40 </w:t>
            </w:r>
          </w:p>
        </w:tc>
        <w:tc>
          <w:tcPr>
            <w:tcW w:w="2160" w:type="dxa"/>
            <w:shd w:val="clear" w:color="auto" w:fill="auto"/>
            <w:noWrap/>
            <w:vAlign w:val="bottom"/>
          </w:tcPr>
          <w:p w14:paraId="66632900" w14:textId="1E669A98"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5,611,914.00 </w:t>
            </w:r>
          </w:p>
        </w:tc>
      </w:tr>
      <w:tr w:rsidR="000E66D4" w:rsidRPr="00C62BB6" w14:paraId="1882DB88" w14:textId="77777777" w:rsidTr="00943FA5">
        <w:trPr>
          <w:trHeight w:val="375"/>
        </w:trPr>
        <w:tc>
          <w:tcPr>
            <w:tcW w:w="3685" w:type="dxa"/>
            <w:shd w:val="clear" w:color="auto" w:fill="auto"/>
            <w:noWrap/>
            <w:vAlign w:val="center"/>
            <w:hideMark/>
          </w:tcPr>
          <w:p w14:paraId="0B0DC32A"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Total</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2A04D2F6" w14:textId="272282E7"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r w:rsidR="008860AC" w:rsidRPr="00C62BB6">
              <w:rPr>
                <w:rFonts w:ascii="Times New Roman" w:eastAsia="Calibri" w:hAnsi="Times New Roman" w:cs="Times New Roman"/>
                <w:color w:val="4C4747"/>
                <w:spacing w:val="20"/>
                <w:sz w:val="24"/>
                <w:szCs w:val="24"/>
                <w:lang w:val="es-DO"/>
              </w:rPr>
              <w:t>116,739,103.03</w:t>
            </w:r>
          </w:p>
        </w:tc>
        <w:tc>
          <w:tcPr>
            <w:tcW w:w="2160" w:type="dxa"/>
            <w:shd w:val="clear" w:color="auto" w:fill="auto"/>
            <w:noWrap/>
            <w:vAlign w:val="center"/>
            <w:hideMark/>
          </w:tcPr>
          <w:p w14:paraId="161E03C2" w14:textId="6F370AB9" w:rsidR="008860AC" w:rsidRPr="00C62BB6" w:rsidRDefault="00B82CCE"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r w:rsidR="008860AC" w:rsidRPr="00C62BB6">
              <w:rPr>
                <w:rFonts w:ascii="Times New Roman" w:eastAsia="Calibri" w:hAnsi="Times New Roman" w:cs="Times New Roman"/>
                <w:color w:val="4C4747"/>
                <w:spacing w:val="20"/>
                <w:sz w:val="24"/>
                <w:szCs w:val="24"/>
                <w:lang w:val="es-DO"/>
              </w:rPr>
              <w:t>130,927,648.00</w:t>
            </w:r>
          </w:p>
        </w:tc>
      </w:tr>
    </w:tbl>
    <w:p w14:paraId="6F2CB0C4" w14:textId="77777777" w:rsidR="008860AC" w:rsidRPr="00C62BB6" w:rsidRDefault="008860AC" w:rsidP="00A75CDE">
      <w:pPr>
        <w:spacing w:line="360" w:lineRule="auto"/>
        <w:jc w:val="both"/>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Dirección Administrativa</w:t>
      </w:r>
    </w:p>
    <w:p w14:paraId="5BCC38A9" w14:textId="4828F978" w:rsidR="008860AC" w:rsidRPr="00C62BB6" w:rsidRDefault="007A30D2"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Esta tabla muestra </w:t>
      </w:r>
      <w:r w:rsidR="008860AC" w:rsidRPr="00C62BB6">
        <w:rPr>
          <w:rFonts w:ascii="Times New Roman" w:eastAsia="Calibri" w:hAnsi="Times New Roman" w:cs="Times New Roman"/>
          <w:color w:val="4C4747"/>
          <w:spacing w:val="20"/>
          <w:sz w:val="24"/>
          <w:szCs w:val="24"/>
          <w:lang w:val="es-DO"/>
        </w:rPr>
        <w:t>la ejecución estimada del año 2022 versus el presupuesto</w:t>
      </w:r>
      <w:r w:rsidRPr="00C62BB6">
        <w:rPr>
          <w:rFonts w:ascii="Times New Roman" w:eastAsia="Calibri" w:hAnsi="Times New Roman" w:cs="Times New Roman"/>
          <w:color w:val="4C4747"/>
          <w:spacing w:val="20"/>
          <w:sz w:val="24"/>
          <w:szCs w:val="24"/>
          <w:lang w:val="es-DO"/>
        </w:rPr>
        <w:t>,</w:t>
      </w:r>
      <w:r w:rsidR="008860AC" w:rsidRPr="00C62BB6">
        <w:rPr>
          <w:rFonts w:ascii="Times New Roman" w:eastAsia="Calibri" w:hAnsi="Times New Roman" w:cs="Times New Roman"/>
          <w:color w:val="4C4747"/>
          <w:spacing w:val="20"/>
          <w:sz w:val="24"/>
          <w:szCs w:val="24"/>
          <w:lang w:val="es-DO"/>
        </w:rPr>
        <w:t xml:space="preserve"> arrojó un porcentaje de manejo favorable para la institución representando un monto aproximado de RD$14,000,000.00 millones de pesos de ahorro, debido </w:t>
      </w:r>
      <w:r w:rsidRPr="00C62BB6">
        <w:rPr>
          <w:rFonts w:ascii="Times New Roman" w:eastAsia="Calibri" w:hAnsi="Times New Roman" w:cs="Times New Roman"/>
          <w:color w:val="4C4747"/>
          <w:spacing w:val="20"/>
          <w:sz w:val="24"/>
          <w:szCs w:val="24"/>
          <w:lang w:val="es-DO"/>
        </w:rPr>
        <w:t xml:space="preserve">al eficiente manejo del mismo. </w:t>
      </w:r>
    </w:p>
    <w:p w14:paraId="27930388" w14:textId="6F867210" w:rsidR="007F67E7" w:rsidRPr="00C62BB6" w:rsidRDefault="008860AC" w:rsidP="00A75CDE">
      <w:pPr>
        <w:spacing w:line="360" w:lineRule="auto"/>
        <w:jc w:val="both"/>
        <w:rPr>
          <w:rFonts w:ascii="Times New Roman" w:eastAsia="Calibri" w:hAnsi="Times New Roman" w:cs="Times New Roman"/>
          <w:noProof/>
          <w:color w:val="4C4747"/>
          <w:spacing w:val="20"/>
          <w:sz w:val="24"/>
          <w:szCs w:val="24"/>
          <w:lang w:val="es-DO"/>
        </w:rPr>
      </w:pPr>
      <w:r w:rsidRPr="00C62BB6">
        <w:rPr>
          <w:rFonts w:ascii="Times New Roman" w:eastAsia="Calibri" w:hAnsi="Times New Roman" w:cs="Times New Roman"/>
          <w:color w:val="4C4747"/>
          <w:spacing w:val="20"/>
          <w:sz w:val="24"/>
          <w:szCs w:val="24"/>
          <w:lang w:val="es-DO"/>
        </w:rPr>
        <w:t>A su vez, fue elaborado el Plan Anual de Compras y Contrataciones</w:t>
      </w:r>
      <w:r w:rsidR="007A30D2" w:rsidRPr="00C62BB6">
        <w:rPr>
          <w:rFonts w:ascii="Times New Roman" w:eastAsia="Calibri" w:hAnsi="Times New Roman" w:cs="Times New Roman"/>
          <w:color w:val="4C4747"/>
          <w:spacing w:val="20"/>
          <w:sz w:val="24"/>
          <w:szCs w:val="24"/>
          <w:lang w:val="es-DO"/>
        </w:rPr>
        <w:t xml:space="preserve"> (PACC) 2022 </w:t>
      </w:r>
      <w:r w:rsidRPr="00C62BB6">
        <w:rPr>
          <w:rFonts w:ascii="Times New Roman" w:eastAsia="Calibri" w:hAnsi="Times New Roman" w:cs="Times New Roman"/>
          <w:color w:val="4C4747"/>
          <w:spacing w:val="20"/>
          <w:sz w:val="24"/>
          <w:szCs w:val="24"/>
          <w:lang w:val="es-DO"/>
        </w:rPr>
        <w:t xml:space="preserve">publicado en </w:t>
      </w:r>
      <w:r w:rsidR="007A30D2" w:rsidRPr="00C62BB6">
        <w:rPr>
          <w:rFonts w:ascii="Times New Roman" w:eastAsia="Calibri" w:hAnsi="Times New Roman" w:cs="Times New Roman"/>
          <w:color w:val="4C4747"/>
          <w:spacing w:val="20"/>
          <w:sz w:val="24"/>
          <w:szCs w:val="24"/>
          <w:lang w:val="es-DO"/>
        </w:rPr>
        <w:t>el portal transaccional y realizado</w:t>
      </w:r>
      <w:r w:rsidRPr="00C62BB6">
        <w:rPr>
          <w:rFonts w:ascii="Times New Roman" w:eastAsia="Calibri" w:hAnsi="Times New Roman" w:cs="Times New Roman"/>
          <w:color w:val="4C4747"/>
          <w:spacing w:val="20"/>
          <w:sz w:val="24"/>
          <w:szCs w:val="24"/>
          <w:lang w:val="es-DO"/>
        </w:rPr>
        <w:t xml:space="preserve"> el </w:t>
      </w:r>
      <w:r w:rsidRPr="00C62BB6">
        <w:rPr>
          <w:rFonts w:ascii="Times New Roman" w:eastAsia="Calibri" w:hAnsi="Times New Roman" w:cs="Times New Roman"/>
          <w:color w:val="4C4747"/>
          <w:spacing w:val="20"/>
          <w:sz w:val="24"/>
          <w:szCs w:val="24"/>
          <w:lang w:val="es-DO"/>
        </w:rPr>
        <w:lastRenderedPageBreak/>
        <w:t>seguimiento mes tras mes de su ejecución y de los reportes de los indicadores del SISCOMPRAS</w:t>
      </w:r>
      <w:r w:rsidRPr="00C62BB6">
        <w:rPr>
          <w:rFonts w:ascii="Times New Roman" w:eastAsia="Calibri" w:hAnsi="Times New Roman" w:cs="Times New Roman"/>
          <w:noProof/>
          <w:color w:val="4C4747"/>
          <w:spacing w:val="20"/>
          <w:sz w:val="24"/>
          <w:szCs w:val="24"/>
          <w:lang w:val="es-DO"/>
        </w:rPr>
        <w:t xml:space="preserve">. </w:t>
      </w:r>
    </w:p>
    <w:p w14:paraId="2678700F" w14:textId="626F8BB9" w:rsidR="008860AC" w:rsidRPr="00C62BB6" w:rsidRDefault="008860AC" w:rsidP="00A75CDE">
      <w:pPr>
        <w:spacing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 xml:space="preserve">Proyectos de </w:t>
      </w:r>
      <w:r w:rsidR="00217AD7" w:rsidRPr="00C62BB6">
        <w:rPr>
          <w:rFonts w:ascii="Times New Roman" w:eastAsia="Calibri" w:hAnsi="Times New Roman" w:cs="Times New Roman"/>
          <w:b/>
          <w:color w:val="4C4747"/>
          <w:spacing w:val="20"/>
          <w:sz w:val="24"/>
          <w:szCs w:val="24"/>
          <w:lang w:val="es-DO"/>
        </w:rPr>
        <w:t>automatización</w:t>
      </w:r>
      <w:r w:rsidRPr="00C62BB6">
        <w:rPr>
          <w:rFonts w:ascii="Times New Roman" w:eastAsia="Calibri" w:hAnsi="Times New Roman" w:cs="Times New Roman"/>
          <w:b/>
          <w:color w:val="4C4747"/>
          <w:spacing w:val="20"/>
          <w:sz w:val="24"/>
          <w:szCs w:val="24"/>
          <w:lang w:val="es-DO"/>
        </w:rPr>
        <w:t xml:space="preserve"> y mejoras de nuestros sistemas internos </w:t>
      </w:r>
    </w:p>
    <w:p w14:paraId="756FC012" w14:textId="7A81E5D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En el 2022 se </w:t>
      </w:r>
      <w:r w:rsidR="00217AD7" w:rsidRPr="00C62BB6">
        <w:rPr>
          <w:rFonts w:ascii="Times New Roman" w:eastAsia="Calibri" w:hAnsi="Times New Roman" w:cs="Times New Roman"/>
          <w:color w:val="4C4747"/>
          <w:spacing w:val="20"/>
          <w:sz w:val="24"/>
          <w:szCs w:val="24"/>
          <w:lang w:val="es-DO"/>
        </w:rPr>
        <w:t>realizó</w:t>
      </w:r>
      <w:r w:rsidRPr="00C62BB6">
        <w:rPr>
          <w:rFonts w:ascii="Times New Roman" w:eastAsia="Calibri" w:hAnsi="Times New Roman" w:cs="Times New Roman"/>
          <w:color w:val="4C4747"/>
          <w:spacing w:val="20"/>
          <w:sz w:val="24"/>
          <w:szCs w:val="24"/>
          <w:lang w:val="es-DO"/>
        </w:rPr>
        <w:t xml:space="preserve"> un proceso</w:t>
      </w:r>
      <w:r w:rsidR="00A77640" w:rsidRPr="00C62BB6">
        <w:rPr>
          <w:rFonts w:ascii="Times New Roman" w:eastAsia="Calibri" w:hAnsi="Times New Roman" w:cs="Times New Roman"/>
          <w:color w:val="4C4747"/>
          <w:spacing w:val="20"/>
          <w:sz w:val="24"/>
          <w:szCs w:val="24"/>
          <w:lang w:val="es-DO"/>
        </w:rPr>
        <w:t xml:space="preserve"> de compras con proveedor único,</w:t>
      </w:r>
      <w:r w:rsidRPr="00C62BB6">
        <w:rPr>
          <w:rFonts w:ascii="Times New Roman" w:eastAsia="Calibri" w:hAnsi="Times New Roman" w:cs="Times New Roman"/>
          <w:color w:val="4C4747"/>
          <w:spacing w:val="20"/>
          <w:sz w:val="24"/>
          <w:szCs w:val="24"/>
          <w:lang w:val="es-DO"/>
        </w:rPr>
        <w:t xml:space="preserve"> </w:t>
      </w:r>
      <w:r w:rsidR="00A77640" w:rsidRPr="00C62BB6">
        <w:rPr>
          <w:rFonts w:ascii="Times New Roman" w:eastAsia="Calibri" w:hAnsi="Times New Roman" w:cs="Times New Roman"/>
          <w:color w:val="4C4747"/>
          <w:spacing w:val="20"/>
          <w:sz w:val="24"/>
          <w:szCs w:val="24"/>
          <w:lang w:val="es-DO"/>
        </w:rPr>
        <w:t xml:space="preserve">para </w:t>
      </w:r>
      <w:r w:rsidRPr="00C62BB6">
        <w:rPr>
          <w:rFonts w:ascii="Times New Roman" w:eastAsia="Calibri" w:hAnsi="Times New Roman" w:cs="Times New Roman"/>
          <w:color w:val="4C4747"/>
          <w:spacing w:val="20"/>
          <w:sz w:val="24"/>
          <w:szCs w:val="24"/>
          <w:lang w:val="es-DO"/>
        </w:rPr>
        <w:t>crea</w:t>
      </w:r>
      <w:r w:rsidR="00A77640" w:rsidRPr="00C62BB6">
        <w:rPr>
          <w:rFonts w:ascii="Times New Roman" w:eastAsia="Calibri" w:hAnsi="Times New Roman" w:cs="Times New Roman"/>
          <w:color w:val="4C4747"/>
          <w:spacing w:val="20"/>
          <w:sz w:val="24"/>
          <w:szCs w:val="24"/>
          <w:lang w:val="es-DO"/>
        </w:rPr>
        <w:t>r</w:t>
      </w:r>
      <w:r w:rsidRPr="00C62BB6">
        <w:rPr>
          <w:rFonts w:ascii="Times New Roman" w:eastAsia="Calibri" w:hAnsi="Times New Roman" w:cs="Times New Roman"/>
          <w:color w:val="4C4747"/>
          <w:spacing w:val="20"/>
          <w:sz w:val="24"/>
          <w:szCs w:val="24"/>
          <w:lang w:val="es-DO"/>
        </w:rPr>
        <w:t xml:space="preserve"> una aplicación de gestión interna integrada, </w:t>
      </w:r>
      <w:r w:rsidR="00A77640" w:rsidRPr="00C62BB6">
        <w:rPr>
          <w:rFonts w:ascii="Times New Roman" w:eastAsia="Calibri" w:hAnsi="Times New Roman" w:cs="Times New Roman"/>
          <w:color w:val="4C4747"/>
          <w:spacing w:val="20"/>
          <w:sz w:val="24"/>
          <w:szCs w:val="24"/>
          <w:lang w:val="es-DO"/>
        </w:rPr>
        <w:t>así</w:t>
      </w:r>
      <w:r w:rsidRPr="00C62BB6">
        <w:rPr>
          <w:rFonts w:ascii="Times New Roman" w:eastAsia="Calibri" w:hAnsi="Times New Roman" w:cs="Times New Roman"/>
          <w:color w:val="4C4747"/>
          <w:spacing w:val="20"/>
          <w:sz w:val="24"/>
          <w:szCs w:val="24"/>
          <w:lang w:val="es-DO"/>
        </w:rPr>
        <w:t xml:space="preserve"> mejorar y crear nuevas funcionalidades a través de la aplicación de gestión de procesos internos Gazella Office CRM. </w:t>
      </w:r>
    </w:p>
    <w:p w14:paraId="5B285D76"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Esta solución proveerá los siguientes beneficios al INDOTEL:</w:t>
      </w:r>
    </w:p>
    <w:p w14:paraId="36965980" w14:textId="77777777" w:rsidR="008860AC" w:rsidRPr="00CF7E5C" w:rsidRDefault="008860AC" w:rsidP="00A02BDE">
      <w:pPr>
        <w:pStyle w:val="Prrafodelista"/>
        <w:numPr>
          <w:ilvl w:val="0"/>
          <w:numId w:val="51"/>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Disminución de la cantidad de personal para realizar funciones que se realizan de manera manual.</w:t>
      </w:r>
    </w:p>
    <w:p w14:paraId="40F450FA" w14:textId="77777777" w:rsidR="008860AC" w:rsidRPr="00CF7E5C" w:rsidRDefault="008860AC" w:rsidP="00A02BDE">
      <w:pPr>
        <w:pStyle w:val="Prrafodelista"/>
        <w:numPr>
          <w:ilvl w:val="0"/>
          <w:numId w:val="51"/>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Reducción de costos por medio de la automatización y optimización de tareas manuales, garantizando mayor agilidad a los procesos.</w:t>
      </w:r>
    </w:p>
    <w:p w14:paraId="77D3599D" w14:textId="77777777" w:rsidR="008860AC" w:rsidRPr="00CF7E5C" w:rsidRDefault="008860AC" w:rsidP="00A02BDE">
      <w:pPr>
        <w:pStyle w:val="Prrafodelista"/>
        <w:numPr>
          <w:ilvl w:val="0"/>
          <w:numId w:val="51"/>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Agilización de procesos para responder requisiciones de clientes internos y externos a través del monitoreo y perfeccionamiento continuado de los procesos de atención a solicitudes.</w:t>
      </w:r>
    </w:p>
    <w:p w14:paraId="0221D13A" w14:textId="1B4DE8F2" w:rsidR="008860AC" w:rsidRPr="00CF7E5C" w:rsidRDefault="008860AC" w:rsidP="00A02BDE">
      <w:pPr>
        <w:pStyle w:val="Prrafodelista"/>
        <w:numPr>
          <w:ilvl w:val="0"/>
          <w:numId w:val="51"/>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Transformación de datos del proceso en informaciones valiosas e inteligentes, para impulsar las estrategias y mej</w:t>
      </w:r>
      <w:r w:rsidR="008D1AD8" w:rsidRPr="00CF7E5C">
        <w:rPr>
          <w:rFonts w:ascii="Times New Roman" w:eastAsia="Calibri" w:hAnsi="Times New Roman" w:cs="Times New Roman"/>
          <w:color w:val="4C4747"/>
          <w:spacing w:val="20"/>
          <w:sz w:val="24"/>
          <w:szCs w:val="24"/>
          <w:lang w:val="es-DO"/>
        </w:rPr>
        <w:t>orar el desempeño de todas las d</w:t>
      </w:r>
      <w:r w:rsidRPr="00CF7E5C">
        <w:rPr>
          <w:rFonts w:ascii="Times New Roman" w:eastAsia="Calibri" w:hAnsi="Times New Roman" w:cs="Times New Roman"/>
          <w:color w:val="4C4747"/>
          <w:spacing w:val="20"/>
          <w:sz w:val="24"/>
          <w:szCs w:val="24"/>
          <w:lang w:val="es-DO"/>
        </w:rPr>
        <w:t>irecciones del INDOTEL.</w:t>
      </w:r>
    </w:p>
    <w:p w14:paraId="666454D7" w14:textId="77777777" w:rsidR="008860AC" w:rsidRPr="00CF7E5C" w:rsidRDefault="008860AC" w:rsidP="00A02BDE">
      <w:pPr>
        <w:pStyle w:val="Prrafodelista"/>
        <w:numPr>
          <w:ilvl w:val="0"/>
          <w:numId w:val="51"/>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Estandarización y transparencia en toda la organización, elevando la motivación de los colaboradores.</w:t>
      </w:r>
    </w:p>
    <w:p w14:paraId="3217B3D8" w14:textId="77777777" w:rsidR="008860AC" w:rsidRPr="00CF7E5C" w:rsidRDefault="008860AC" w:rsidP="00A02BDE">
      <w:pPr>
        <w:pStyle w:val="Prrafodelista"/>
        <w:numPr>
          <w:ilvl w:val="0"/>
          <w:numId w:val="51"/>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Promover la colaboración entre todas las áreas del INDOTEL a través de un repositorio central de información lo cual se convertirá en un punto clave para la documentación de los procesos y la mejora continua de los mismos. </w:t>
      </w:r>
    </w:p>
    <w:p w14:paraId="50625439" w14:textId="0C217681" w:rsidR="00FE589B" w:rsidRPr="00CF7E5C" w:rsidRDefault="008860AC" w:rsidP="00A02BDE">
      <w:pPr>
        <w:pStyle w:val="Prrafodelista"/>
        <w:numPr>
          <w:ilvl w:val="0"/>
          <w:numId w:val="51"/>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lastRenderedPageBreak/>
        <w:t>Integración hacia otras aplicaciones del INDOTEL como son: Gazella Office ERP, Recursos Humanos, Gestión del Espectro y Digitalización de Documentos.</w:t>
      </w:r>
    </w:p>
    <w:p w14:paraId="01EFCE15" w14:textId="77777777" w:rsidR="008860AC" w:rsidRPr="00C62BB6" w:rsidRDefault="008860AC" w:rsidP="00A75CDE">
      <w:pPr>
        <w:spacing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 xml:space="preserve">Compras y Contrataciones </w:t>
      </w:r>
    </w:p>
    <w:p w14:paraId="67C1B805"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En cumplimiento a la Ley General de Compras y Contrataciones 340-06, el INDOTEL ha ejecutado en el portal transaccional 475 procesos los cuales han sido trabajado cumpliendo los principios de transparencia, objetividad, economía, celeridad, publicidad y demás.  </w:t>
      </w:r>
    </w:p>
    <w:p w14:paraId="0DBD8119"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Estos han sido el apoyo de la institución para lograr  el cumplimiento de los objetivos en cuanto a necesidades y requerimientos, de acuerdo a la siguiente tabla:</w:t>
      </w:r>
    </w:p>
    <w:tbl>
      <w:tblPr>
        <w:tblW w:w="8370" w:type="dxa"/>
        <w:tblInd w:w="-95" w:type="dxa"/>
        <w:tblCellMar>
          <w:left w:w="10" w:type="dxa"/>
          <w:right w:w="10" w:type="dxa"/>
        </w:tblCellMar>
        <w:tblLook w:val="04A0" w:firstRow="1" w:lastRow="0" w:firstColumn="1" w:lastColumn="0" w:noHBand="0" w:noVBand="1"/>
      </w:tblPr>
      <w:tblGrid>
        <w:gridCol w:w="2250"/>
        <w:gridCol w:w="1170"/>
        <w:gridCol w:w="2610"/>
        <w:gridCol w:w="2340"/>
      </w:tblGrid>
      <w:tr w:rsidR="008860AC" w:rsidRPr="00376423" w14:paraId="50EF7F8E" w14:textId="77777777" w:rsidTr="00430A3C">
        <w:trPr>
          <w:trHeight w:val="315"/>
        </w:trPr>
        <w:tc>
          <w:tcPr>
            <w:tcW w:w="8370" w:type="dxa"/>
            <w:gridSpan w:val="4"/>
            <w:tcBorders>
              <w:top w:val="single" w:sz="4" w:space="0" w:color="auto"/>
              <w:left w:val="single" w:sz="4" w:space="0" w:color="auto"/>
              <w:bottom w:val="single" w:sz="4" w:space="0" w:color="auto"/>
              <w:right w:val="single" w:sz="4" w:space="0" w:color="auto"/>
            </w:tcBorders>
            <w:shd w:val="clear" w:color="000000" w:fill="002060"/>
            <w:vAlign w:val="center"/>
            <w:hideMark/>
          </w:tcPr>
          <w:p w14:paraId="3A0E4811" w14:textId="77777777" w:rsidR="008860AC" w:rsidRPr="00943FA5" w:rsidRDefault="008860AC"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Procesos de Compras y Contrataciones </w:t>
            </w:r>
          </w:p>
        </w:tc>
      </w:tr>
      <w:tr w:rsidR="008860AC" w:rsidRPr="008860AC" w14:paraId="23AA2D1E" w14:textId="77777777" w:rsidTr="00430A3C">
        <w:trPr>
          <w:trHeight w:val="315"/>
        </w:trPr>
        <w:tc>
          <w:tcPr>
            <w:tcW w:w="8370" w:type="dxa"/>
            <w:gridSpan w:val="4"/>
            <w:tcBorders>
              <w:top w:val="single" w:sz="4" w:space="0" w:color="auto"/>
              <w:left w:val="single" w:sz="4" w:space="0" w:color="auto"/>
              <w:bottom w:val="single" w:sz="4" w:space="0" w:color="auto"/>
              <w:right w:val="single" w:sz="4" w:space="0" w:color="auto"/>
            </w:tcBorders>
            <w:shd w:val="clear" w:color="000000" w:fill="002060"/>
            <w:vAlign w:val="center"/>
            <w:hideMark/>
          </w:tcPr>
          <w:p w14:paraId="0EFD3A17" w14:textId="071E1A6A" w:rsidR="008860AC" w:rsidRPr="00943FA5" w:rsidRDefault="00B76A8E"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Pr>
                <w:rFonts w:ascii="Times New Roman" w:eastAsia="Calibri" w:hAnsi="Times New Roman" w:cs="Times New Roman"/>
                <w:color w:val="FFFFFF" w:themeColor="background1"/>
                <w:spacing w:val="20"/>
                <w:sz w:val="24"/>
                <w:szCs w:val="24"/>
                <w:lang w:val="es-DO"/>
              </w:rPr>
              <w:t>Año 2022</w:t>
            </w:r>
          </w:p>
        </w:tc>
      </w:tr>
      <w:tr w:rsidR="00A77640" w:rsidRPr="008860AC" w14:paraId="640A48D3" w14:textId="77777777" w:rsidTr="00943FA5">
        <w:trPr>
          <w:trHeight w:val="413"/>
        </w:trPr>
        <w:tc>
          <w:tcPr>
            <w:tcW w:w="3420" w:type="dxa"/>
            <w:gridSpan w:val="2"/>
            <w:tcBorders>
              <w:top w:val="nil"/>
              <w:left w:val="single" w:sz="4" w:space="0" w:color="auto"/>
              <w:bottom w:val="single" w:sz="4" w:space="0" w:color="auto"/>
              <w:right w:val="single" w:sz="4" w:space="0" w:color="auto"/>
            </w:tcBorders>
            <w:shd w:val="clear" w:color="000000" w:fill="002060"/>
            <w:vAlign w:val="center"/>
            <w:hideMark/>
          </w:tcPr>
          <w:p w14:paraId="2A1742A6" w14:textId="77777777" w:rsidR="00A77640" w:rsidRPr="00B76A8E" w:rsidRDefault="00A77640" w:rsidP="00A75CDE">
            <w:pPr>
              <w:spacing w:after="0" w:line="240" w:lineRule="auto"/>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 </w:t>
            </w:r>
          </w:p>
          <w:p w14:paraId="39487DBF" w14:textId="54B11FA1" w:rsidR="00A77640" w:rsidRPr="00943FA5" w:rsidRDefault="00A77640" w:rsidP="00A75CDE">
            <w:pPr>
              <w:spacing w:after="0" w:line="240" w:lineRule="auto"/>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 </w:t>
            </w:r>
          </w:p>
        </w:tc>
        <w:tc>
          <w:tcPr>
            <w:tcW w:w="4950" w:type="dxa"/>
            <w:gridSpan w:val="2"/>
            <w:tcBorders>
              <w:top w:val="single" w:sz="4" w:space="0" w:color="auto"/>
              <w:left w:val="nil"/>
              <w:bottom w:val="single" w:sz="4" w:space="0" w:color="auto"/>
              <w:right w:val="single" w:sz="4" w:space="0" w:color="auto"/>
            </w:tcBorders>
            <w:shd w:val="clear" w:color="000000" w:fill="002060"/>
            <w:vAlign w:val="center"/>
            <w:hideMark/>
          </w:tcPr>
          <w:p w14:paraId="2D0CEDC4" w14:textId="77777777" w:rsidR="00A77640" w:rsidRPr="00943FA5" w:rsidRDefault="00A77640"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Monto en RD$</w:t>
            </w:r>
          </w:p>
        </w:tc>
      </w:tr>
      <w:tr w:rsidR="008860AC" w:rsidRPr="008860AC" w14:paraId="31118B59" w14:textId="77777777" w:rsidTr="00943FA5">
        <w:trPr>
          <w:trHeight w:val="315"/>
        </w:trPr>
        <w:tc>
          <w:tcPr>
            <w:tcW w:w="2250" w:type="dxa"/>
            <w:tcBorders>
              <w:top w:val="nil"/>
              <w:left w:val="single" w:sz="4" w:space="0" w:color="auto"/>
              <w:bottom w:val="single" w:sz="4" w:space="0" w:color="auto"/>
              <w:right w:val="single" w:sz="4" w:space="0" w:color="auto"/>
            </w:tcBorders>
            <w:shd w:val="clear" w:color="000000" w:fill="002060"/>
            <w:vAlign w:val="center"/>
            <w:hideMark/>
          </w:tcPr>
          <w:p w14:paraId="7998B192" w14:textId="77777777" w:rsidR="008860AC" w:rsidRPr="00943FA5" w:rsidRDefault="008860AC"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Tipo de proceso </w:t>
            </w:r>
          </w:p>
        </w:tc>
        <w:tc>
          <w:tcPr>
            <w:tcW w:w="1170" w:type="dxa"/>
            <w:tcBorders>
              <w:top w:val="nil"/>
              <w:left w:val="nil"/>
              <w:bottom w:val="single" w:sz="4" w:space="0" w:color="auto"/>
              <w:right w:val="single" w:sz="4" w:space="0" w:color="auto"/>
            </w:tcBorders>
            <w:shd w:val="clear" w:color="000000" w:fill="002060"/>
            <w:vAlign w:val="center"/>
            <w:hideMark/>
          </w:tcPr>
          <w:p w14:paraId="71E135F5" w14:textId="77777777" w:rsidR="008860AC" w:rsidRPr="00943FA5" w:rsidRDefault="008860AC"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Cantidad </w:t>
            </w:r>
          </w:p>
        </w:tc>
        <w:tc>
          <w:tcPr>
            <w:tcW w:w="2610" w:type="dxa"/>
            <w:tcBorders>
              <w:top w:val="nil"/>
              <w:left w:val="nil"/>
              <w:bottom w:val="single" w:sz="4" w:space="0" w:color="auto"/>
              <w:right w:val="single" w:sz="4" w:space="0" w:color="auto"/>
            </w:tcBorders>
            <w:shd w:val="clear" w:color="000000" w:fill="002060"/>
            <w:vAlign w:val="center"/>
            <w:hideMark/>
          </w:tcPr>
          <w:p w14:paraId="67DFE506" w14:textId="77777777" w:rsidR="008860AC" w:rsidRPr="00943FA5" w:rsidRDefault="008860AC"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Presupuesto PACC</w:t>
            </w:r>
          </w:p>
        </w:tc>
        <w:tc>
          <w:tcPr>
            <w:tcW w:w="2340" w:type="dxa"/>
            <w:tcBorders>
              <w:top w:val="nil"/>
              <w:left w:val="nil"/>
              <w:bottom w:val="single" w:sz="4" w:space="0" w:color="auto"/>
              <w:right w:val="single" w:sz="4" w:space="0" w:color="auto"/>
            </w:tcBorders>
            <w:shd w:val="clear" w:color="000000" w:fill="002060"/>
            <w:vAlign w:val="center"/>
            <w:hideMark/>
          </w:tcPr>
          <w:p w14:paraId="1361FC1C" w14:textId="77777777" w:rsidR="008860AC" w:rsidRPr="00943FA5" w:rsidRDefault="008860AC"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Ejecutado</w:t>
            </w:r>
          </w:p>
        </w:tc>
      </w:tr>
      <w:tr w:rsidR="008860AC" w:rsidRPr="008860AC" w14:paraId="7FCFB897" w14:textId="77777777" w:rsidTr="00943FA5">
        <w:trPr>
          <w:trHeight w:val="315"/>
        </w:trPr>
        <w:tc>
          <w:tcPr>
            <w:tcW w:w="2250" w:type="dxa"/>
            <w:tcBorders>
              <w:top w:val="nil"/>
              <w:left w:val="single" w:sz="4" w:space="0" w:color="auto"/>
              <w:bottom w:val="single" w:sz="4" w:space="0" w:color="auto"/>
              <w:right w:val="single" w:sz="4" w:space="0" w:color="auto"/>
            </w:tcBorders>
            <w:shd w:val="clear" w:color="auto" w:fill="auto"/>
            <w:vAlign w:val="center"/>
            <w:hideMark/>
          </w:tcPr>
          <w:p w14:paraId="091BB29F" w14:textId="77777777" w:rsidR="008860AC" w:rsidRPr="00C62BB6" w:rsidRDefault="008860AC" w:rsidP="00C62BB6">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Excepción </w:t>
            </w:r>
          </w:p>
        </w:tc>
        <w:tc>
          <w:tcPr>
            <w:tcW w:w="1170" w:type="dxa"/>
            <w:tcBorders>
              <w:top w:val="nil"/>
              <w:left w:val="nil"/>
              <w:bottom w:val="single" w:sz="4" w:space="0" w:color="auto"/>
              <w:right w:val="single" w:sz="4" w:space="0" w:color="auto"/>
            </w:tcBorders>
            <w:shd w:val="clear" w:color="auto" w:fill="auto"/>
            <w:vAlign w:val="center"/>
            <w:hideMark/>
          </w:tcPr>
          <w:p w14:paraId="06A036B6" w14:textId="77777777"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16</w:t>
            </w:r>
          </w:p>
        </w:tc>
        <w:tc>
          <w:tcPr>
            <w:tcW w:w="2610" w:type="dxa"/>
            <w:tcBorders>
              <w:top w:val="nil"/>
              <w:left w:val="nil"/>
              <w:bottom w:val="single" w:sz="4" w:space="0" w:color="auto"/>
              <w:right w:val="single" w:sz="4" w:space="0" w:color="auto"/>
            </w:tcBorders>
            <w:shd w:val="clear" w:color="auto" w:fill="auto"/>
            <w:vAlign w:val="center"/>
            <w:hideMark/>
          </w:tcPr>
          <w:p w14:paraId="4B5F9964" w14:textId="67222379"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r w:rsidR="00B76A8E" w:rsidRPr="00C62BB6">
              <w:rPr>
                <w:rFonts w:ascii="Times New Roman" w:eastAsia="Calibri" w:hAnsi="Times New Roman" w:cs="Times New Roman"/>
                <w:color w:val="4C4747"/>
                <w:spacing w:val="20"/>
                <w:sz w:val="24"/>
                <w:szCs w:val="24"/>
                <w:lang w:val="es-DO"/>
              </w:rPr>
              <w:t xml:space="preserve"> </w:t>
            </w:r>
            <w:r w:rsidRPr="00C62BB6">
              <w:rPr>
                <w:rFonts w:ascii="Times New Roman" w:eastAsia="Calibri" w:hAnsi="Times New Roman" w:cs="Times New Roman"/>
                <w:color w:val="4C4747"/>
                <w:spacing w:val="20"/>
                <w:sz w:val="24"/>
                <w:szCs w:val="24"/>
                <w:lang w:val="es-DO"/>
              </w:rPr>
              <w:t xml:space="preserve">39,430,680.00 </w:t>
            </w:r>
          </w:p>
        </w:tc>
        <w:tc>
          <w:tcPr>
            <w:tcW w:w="2340" w:type="dxa"/>
            <w:tcBorders>
              <w:top w:val="nil"/>
              <w:left w:val="nil"/>
              <w:bottom w:val="single" w:sz="4" w:space="0" w:color="auto"/>
              <w:right w:val="single" w:sz="4" w:space="0" w:color="auto"/>
            </w:tcBorders>
            <w:shd w:val="clear" w:color="auto" w:fill="auto"/>
            <w:vAlign w:val="center"/>
            <w:hideMark/>
          </w:tcPr>
          <w:p w14:paraId="2D8C70CA" w14:textId="21A6FAEE" w:rsidR="008860AC" w:rsidRPr="00C62BB6" w:rsidRDefault="00B76A8E"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24,513,029.71 </w:t>
            </w:r>
          </w:p>
        </w:tc>
      </w:tr>
      <w:tr w:rsidR="008860AC" w:rsidRPr="008860AC" w14:paraId="3607BB08" w14:textId="77777777" w:rsidTr="00943FA5">
        <w:trPr>
          <w:trHeight w:val="630"/>
        </w:trPr>
        <w:tc>
          <w:tcPr>
            <w:tcW w:w="2250" w:type="dxa"/>
            <w:tcBorders>
              <w:top w:val="nil"/>
              <w:left w:val="single" w:sz="4" w:space="0" w:color="auto"/>
              <w:bottom w:val="single" w:sz="4" w:space="0" w:color="auto"/>
              <w:right w:val="single" w:sz="4" w:space="0" w:color="auto"/>
            </w:tcBorders>
            <w:shd w:val="clear" w:color="auto" w:fill="auto"/>
            <w:vAlign w:val="center"/>
            <w:hideMark/>
          </w:tcPr>
          <w:p w14:paraId="5EE9766F" w14:textId="77777777" w:rsidR="008860AC" w:rsidRPr="00C62BB6" w:rsidRDefault="008860AC" w:rsidP="00C62BB6">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Comparación de Precios </w:t>
            </w:r>
          </w:p>
        </w:tc>
        <w:tc>
          <w:tcPr>
            <w:tcW w:w="1170" w:type="dxa"/>
            <w:tcBorders>
              <w:top w:val="nil"/>
              <w:left w:val="nil"/>
              <w:bottom w:val="single" w:sz="4" w:space="0" w:color="auto"/>
              <w:right w:val="single" w:sz="4" w:space="0" w:color="auto"/>
            </w:tcBorders>
            <w:shd w:val="clear" w:color="auto" w:fill="auto"/>
            <w:vAlign w:val="center"/>
            <w:hideMark/>
          </w:tcPr>
          <w:p w14:paraId="3D716AA6" w14:textId="77777777"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18</w:t>
            </w:r>
          </w:p>
        </w:tc>
        <w:tc>
          <w:tcPr>
            <w:tcW w:w="2610" w:type="dxa"/>
            <w:tcBorders>
              <w:top w:val="nil"/>
              <w:left w:val="nil"/>
              <w:bottom w:val="single" w:sz="4" w:space="0" w:color="auto"/>
              <w:right w:val="single" w:sz="4" w:space="0" w:color="auto"/>
            </w:tcBorders>
            <w:shd w:val="clear" w:color="auto" w:fill="auto"/>
            <w:vAlign w:val="center"/>
            <w:hideMark/>
          </w:tcPr>
          <w:p w14:paraId="4315327A" w14:textId="7BB8CE84" w:rsidR="008860AC" w:rsidRPr="00C62BB6" w:rsidRDefault="00B76A8E"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r w:rsidR="008860AC" w:rsidRPr="00C62BB6">
              <w:rPr>
                <w:rFonts w:ascii="Times New Roman" w:eastAsia="Calibri" w:hAnsi="Times New Roman" w:cs="Times New Roman"/>
                <w:color w:val="4C4747"/>
                <w:spacing w:val="20"/>
                <w:sz w:val="24"/>
                <w:szCs w:val="24"/>
                <w:lang w:val="es-DO"/>
              </w:rPr>
              <w:t xml:space="preserve"> 93,329,340.00 </w:t>
            </w:r>
          </w:p>
        </w:tc>
        <w:tc>
          <w:tcPr>
            <w:tcW w:w="2340" w:type="dxa"/>
            <w:tcBorders>
              <w:top w:val="nil"/>
              <w:left w:val="nil"/>
              <w:bottom w:val="single" w:sz="4" w:space="0" w:color="auto"/>
              <w:right w:val="single" w:sz="4" w:space="0" w:color="auto"/>
            </w:tcBorders>
            <w:shd w:val="clear" w:color="auto" w:fill="auto"/>
            <w:vAlign w:val="center"/>
            <w:hideMark/>
          </w:tcPr>
          <w:p w14:paraId="1F3E59CC" w14:textId="6071CEDE"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r w:rsidR="00B76A8E" w:rsidRPr="00C62BB6">
              <w:rPr>
                <w:rFonts w:ascii="Times New Roman" w:eastAsia="Calibri" w:hAnsi="Times New Roman" w:cs="Times New Roman"/>
                <w:color w:val="4C4747"/>
                <w:spacing w:val="20"/>
                <w:sz w:val="24"/>
                <w:szCs w:val="24"/>
                <w:lang w:val="es-DO"/>
              </w:rPr>
              <w:t xml:space="preserve">$ </w:t>
            </w:r>
            <w:r w:rsidRPr="00C62BB6">
              <w:rPr>
                <w:rFonts w:ascii="Times New Roman" w:eastAsia="Calibri" w:hAnsi="Times New Roman" w:cs="Times New Roman"/>
                <w:color w:val="4C4747"/>
                <w:spacing w:val="20"/>
                <w:sz w:val="24"/>
                <w:szCs w:val="24"/>
                <w:lang w:val="es-DO"/>
              </w:rPr>
              <w:t xml:space="preserve">49,117,487.00 </w:t>
            </w:r>
          </w:p>
        </w:tc>
      </w:tr>
      <w:tr w:rsidR="008860AC" w:rsidRPr="008860AC" w14:paraId="14D7645D" w14:textId="77777777" w:rsidTr="00943FA5">
        <w:trPr>
          <w:trHeight w:val="330"/>
        </w:trPr>
        <w:tc>
          <w:tcPr>
            <w:tcW w:w="2250" w:type="dxa"/>
            <w:tcBorders>
              <w:top w:val="nil"/>
              <w:left w:val="single" w:sz="4" w:space="0" w:color="auto"/>
              <w:bottom w:val="single" w:sz="4" w:space="0" w:color="auto"/>
              <w:right w:val="single" w:sz="4" w:space="0" w:color="auto"/>
            </w:tcBorders>
            <w:shd w:val="clear" w:color="auto" w:fill="auto"/>
            <w:vAlign w:val="center"/>
            <w:hideMark/>
          </w:tcPr>
          <w:p w14:paraId="619EE62A" w14:textId="77777777" w:rsidR="008860AC" w:rsidRPr="00C62BB6" w:rsidRDefault="008860AC" w:rsidP="00C62BB6">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Compra Menor </w:t>
            </w:r>
          </w:p>
        </w:tc>
        <w:tc>
          <w:tcPr>
            <w:tcW w:w="1170" w:type="dxa"/>
            <w:tcBorders>
              <w:top w:val="nil"/>
              <w:left w:val="nil"/>
              <w:bottom w:val="single" w:sz="4" w:space="0" w:color="auto"/>
              <w:right w:val="single" w:sz="4" w:space="0" w:color="auto"/>
            </w:tcBorders>
            <w:shd w:val="clear" w:color="auto" w:fill="auto"/>
            <w:vAlign w:val="center"/>
            <w:hideMark/>
          </w:tcPr>
          <w:p w14:paraId="27F0C54E" w14:textId="77777777"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90</w:t>
            </w:r>
          </w:p>
        </w:tc>
        <w:tc>
          <w:tcPr>
            <w:tcW w:w="2610" w:type="dxa"/>
            <w:tcBorders>
              <w:top w:val="nil"/>
              <w:left w:val="nil"/>
              <w:bottom w:val="single" w:sz="4" w:space="0" w:color="auto"/>
              <w:right w:val="single" w:sz="4" w:space="0" w:color="auto"/>
            </w:tcBorders>
            <w:shd w:val="clear" w:color="auto" w:fill="auto"/>
            <w:vAlign w:val="center"/>
            <w:hideMark/>
          </w:tcPr>
          <w:p w14:paraId="5ACE1854" w14:textId="37906E62" w:rsidR="008860AC" w:rsidRPr="00C62BB6" w:rsidRDefault="00B76A8E"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50,863,760.52 </w:t>
            </w:r>
          </w:p>
        </w:tc>
        <w:tc>
          <w:tcPr>
            <w:tcW w:w="2340" w:type="dxa"/>
            <w:tcBorders>
              <w:top w:val="nil"/>
              <w:left w:val="nil"/>
              <w:bottom w:val="single" w:sz="4" w:space="0" w:color="auto"/>
              <w:right w:val="single" w:sz="4" w:space="0" w:color="auto"/>
            </w:tcBorders>
            <w:shd w:val="clear" w:color="auto" w:fill="auto"/>
            <w:vAlign w:val="center"/>
            <w:hideMark/>
          </w:tcPr>
          <w:p w14:paraId="2F8823EF" w14:textId="30E36D5B"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r w:rsidR="00B76A8E" w:rsidRPr="00C62BB6">
              <w:rPr>
                <w:rFonts w:ascii="Times New Roman" w:eastAsia="Calibri" w:hAnsi="Times New Roman" w:cs="Times New Roman"/>
                <w:color w:val="4C4747"/>
                <w:spacing w:val="20"/>
                <w:sz w:val="24"/>
                <w:szCs w:val="24"/>
                <w:lang w:val="es-DO"/>
              </w:rPr>
              <w:t>$</w:t>
            </w:r>
            <w:r w:rsidRPr="00C62BB6">
              <w:rPr>
                <w:rFonts w:ascii="Times New Roman" w:eastAsia="Calibri" w:hAnsi="Times New Roman" w:cs="Times New Roman"/>
                <w:color w:val="4C4747"/>
                <w:spacing w:val="20"/>
                <w:sz w:val="24"/>
                <w:szCs w:val="24"/>
                <w:lang w:val="es-DO"/>
              </w:rPr>
              <w:t xml:space="preserve"> 37,917,360.00 </w:t>
            </w:r>
          </w:p>
        </w:tc>
      </w:tr>
      <w:tr w:rsidR="008860AC" w:rsidRPr="008860AC" w14:paraId="0E67A019" w14:textId="77777777" w:rsidTr="00943FA5">
        <w:trPr>
          <w:trHeight w:val="645"/>
        </w:trPr>
        <w:tc>
          <w:tcPr>
            <w:tcW w:w="2250" w:type="dxa"/>
            <w:tcBorders>
              <w:top w:val="nil"/>
              <w:left w:val="single" w:sz="4" w:space="0" w:color="auto"/>
              <w:bottom w:val="single" w:sz="4" w:space="0" w:color="auto"/>
              <w:right w:val="single" w:sz="4" w:space="0" w:color="auto"/>
            </w:tcBorders>
            <w:shd w:val="clear" w:color="auto" w:fill="auto"/>
            <w:vAlign w:val="center"/>
            <w:hideMark/>
          </w:tcPr>
          <w:p w14:paraId="263203C7" w14:textId="77777777" w:rsidR="008860AC" w:rsidRPr="00C62BB6" w:rsidRDefault="008860AC" w:rsidP="00C62BB6">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Compra por Debajo del Umbral </w:t>
            </w:r>
          </w:p>
        </w:tc>
        <w:tc>
          <w:tcPr>
            <w:tcW w:w="1170" w:type="dxa"/>
            <w:tcBorders>
              <w:top w:val="nil"/>
              <w:left w:val="nil"/>
              <w:bottom w:val="single" w:sz="4" w:space="0" w:color="auto"/>
              <w:right w:val="single" w:sz="4" w:space="0" w:color="auto"/>
            </w:tcBorders>
            <w:shd w:val="clear" w:color="auto" w:fill="auto"/>
            <w:vAlign w:val="center"/>
            <w:hideMark/>
          </w:tcPr>
          <w:p w14:paraId="67C7A16A" w14:textId="77777777"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346</w:t>
            </w:r>
          </w:p>
        </w:tc>
        <w:tc>
          <w:tcPr>
            <w:tcW w:w="2610" w:type="dxa"/>
            <w:tcBorders>
              <w:top w:val="nil"/>
              <w:left w:val="nil"/>
              <w:bottom w:val="single" w:sz="4" w:space="0" w:color="auto"/>
              <w:right w:val="single" w:sz="4" w:space="0" w:color="auto"/>
            </w:tcBorders>
            <w:shd w:val="clear" w:color="auto" w:fill="auto"/>
            <w:vAlign w:val="center"/>
            <w:hideMark/>
          </w:tcPr>
          <w:p w14:paraId="70883B38" w14:textId="5DD48670" w:rsidR="008860AC" w:rsidRPr="00C62BB6" w:rsidRDefault="00B76A8E"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5,192,140.00 </w:t>
            </w:r>
          </w:p>
        </w:tc>
        <w:tc>
          <w:tcPr>
            <w:tcW w:w="2340" w:type="dxa"/>
            <w:tcBorders>
              <w:top w:val="nil"/>
              <w:left w:val="nil"/>
              <w:bottom w:val="single" w:sz="4" w:space="0" w:color="auto"/>
              <w:right w:val="single" w:sz="4" w:space="0" w:color="auto"/>
            </w:tcBorders>
            <w:shd w:val="clear" w:color="auto" w:fill="auto"/>
            <w:vAlign w:val="center"/>
            <w:hideMark/>
          </w:tcPr>
          <w:p w14:paraId="3554B9C6" w14:textId="3DD3A605" w:rsidR="008860AC" w:rsidRPr="00C62BB6" w:rsidRDefault="00B76A8E"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r w:rsidR="008860AC" w:rsidRPr="00C62BB6">
              <w:rPr>
                <w:rFonts w:ascii="Times New Roman" w:eastAsia="Calibri" w:hAnsi="Times New Roman" w:cs="Times New Roman"/>
                <w:color w:val="4C4747"/>
                <w:spacing w:val="20"/>
                <w:sz w:val="24"/>
                <w:szCs w:val="24"/>
                <w:lang w:val="es-DO"/>
              </w:rPr>
              <w:t xml:space="preserve"> 20,076,846.18 </w:t>
            </w:r>
          </w:p>
        </w:tc>
      </w:tr>
      <w:tr w:rsidR="008860AC" w:rsidRPr="008860AC" w14:paraId="293D7EB1" w14:textId="77777777" w:rsidTr="00943FA5">
        <w:trPr>
          <w:trHeight w:val="645"/>
        </w:trPr>
        <w:tc>
          <w:tcPr>
            <w:tcW w:w="2250" w:type="dxa"/>
            <w:tcBorders>
              <w:top w:val="nil"/>
              <w:left w:val="single" w:sz="4" w:space="0" w:color="auto"/>
              <w:bottom w:val="single" w:sz="4" w:space="0" w:color="auto"/>
              <w:right w:val="single" w:sz="4" w:space="0" w:color="auto"/>
            </w:tcBorders>
            <w:shd w:val="clear" w:color="auto" w:fill="auto"/>
            <w:vAlign w:val="center"/>
            <w:hideMark/>
          </w:tcPr>
          <w:p w14:paraId="38759747" w14:textId="77777777" w:rsidR="008860AC" w:rsidRPr="00C62BB6" w:rsidRDefault="008860AC" w:rsidP="00C62BB6">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Licitación Pública Nacional </w:t>
            </w:r>
          </w:p>
        </w:tc>
        <w:tc>
          <w:tcPr>
            <w:tcW w:w="1170" w:type="dxa"/>
            <w:tcBorders>
              <w:top w:val="nil"/>
              <w:left w:val="nil"/>
              <w:bottom w:val="single" w:sz="4" w:space="0" w:color="auto"/>
              <w:right w:val="single" w:sz="4" w:space="0" w:color="auto"/>
            </w:tcBorders>
            <w:shd w:val="clear" w:color="auto" w:fill="auto"/>
            <w:vAlign w:val="center"/>
            <w:hideMark/>
          </w:tcPr>
          <w:p w14:paraId="1239617A" w14:textId="77777777"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w:t>
            </w:r>
          </w:p>
        </w:tc>
        <w:tc>
          <w:tcPr>
            <w:tcW w:w="2610" w:type="dxa"/>
            <w:tcBorders>
              <w:top w:val="nil"/>
              <w:left w:val="nil"/>
              <w:bottom w:val="single" w:sz="4" w:space="0" w:color="auto"/>
              <w:right w:val="single" w:sz="4" w:space="0" w:color="auto"/>
            </w:tcBorders>
            <w:shd w:val="clear" w:color="auto" w:fill="auto"/>
            <w:vAlign w:val="center"/>
            <w:hideMark/>
          </w:tcPr>
          <w:p w14:paraId="3E5D4143" w14:textId="0F082635" w:rsidR="008860AC" w:rsidRPr="00C62BB6" w:rsidRDefault="00B76A8E"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r w:rsidR="008860AC" w:rsidRPr="00C62BB6">
              <w:rPr>
                <w:rFonts w:ascii="Times New Roman" w:eastAsia="Calibri" w:hAnsi="Times New Roman" w:cs="Times New Roman"/>
                <w:color w:val="4C4747"/>
                <w:spacing w:val="20"/>
                <w:sz w:val="24"/>
                <w:szCs w:val="24"/>
                <w:lang w:val="es-DO"/>
              </w:rPr>
              <w:t xml:space="preserve"> 288,415,857.00 </w:t>
            </w:r>
          </w:p>
        </w:tc>
        <w:tc>
          <w:tcPr>
            <w:tcW w:w="2340" w:type="dxa"/>
            <w:tcBorders>
              <w:top w:val="nil"/>
              <w:left w:val="nil"/>
              <w:bottom w:val="single" w:sz="4" w:space="0" w:color="auto"/>
              <w:right w:val="single" w:sz="4" w:space="0" w:color="auto"/>
            </w:tcBorders>
            <w:shd w:val="clear" w:color="auto" w:fill="auto"/>
            <w:vAlign w:val="center"/>
            <w:hideMark/>
          </w:tcPr>
          <w:p w14:paraId="1A9D8D2C" w14:textId="4AD368BC" w:rsidR="008860AC" w:rsidRPr="00C62BB6" w:rsidRDefault="00B76A8E"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83,964,000.00 </w:t>
            </w:r>
          </w:p>
        </w:tc>
      </w:tr>
      <w:tr w:rsidR="008860AC" w:rsidRPr="008860AC" w14:paraId="70081E99" w14:textId="77777777" w:rsidTr="00943FA5">
        <w:trPr>
          <w:trHeight w:val="465"/>
        </w:trPr>
        <w:tc>
          <w:tcPr>
            <w:tcW w:w="2250" w:type="dxa"/>
            <w:tcBorders>
              <w:top w:val="nil"/>
              <w:left w:val="single" w:sz="4" w:space="0" w:color="auto"/>
              <w:bottom w:val="single" w:sz="4" w:space="0" w:color="auto"/>
              <w:right w:val="single" w:sz="4" w:space="0" w:color="auto"/>
            </w:tcBorders>
            <w:shd w:val="clear" w:color="auto" w:fill="auto"/>
            <w:vAlign w:val="center"/>
            <w:hideMark/>
          </w:tcPr>
          <w:p w14:paraId="37321E7F" w14:textId="77777777" w:rsidR="008860AC" w:rsidRPr="00C62BB6" w:rsidRDefault="008860AC" w:rsidP="00C62BB6">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Licitación Pública Internacional </w:t>
            </w:r>
          </w:p>
        </w:tc>
        <w:tc>
          <w:tcPr>
            <w:tcW w:w="1170" w:type="dxa"/>
            <w:tcBorders>
              <w:top w:val="nil"/>
              <w:left w:val="nil"/>
              <w:bottom w:val="single" w:sz="4" w:space="0" w:color="auto"/>
              <w:right w:val="single" w:sz="4" w:space="0" w:color="auto"/>
            </w:tcBorders>
            <w:shd w:val="clear" w:color="auto" w:fill="auto"/>
            <w:vAlign w:val="center"/>
            <w:hideMark/>
          </w:tcPr>
          <w:p w14:paraId="18C8D1F2" w14:textId="77777777"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0</w:t>
            </w:r>
          </w:p>
        </w:tc>
        <w:tc>
          <w:tcPr>
            <w:tcW w:w="2610" w:type="dxa"/>
            <w:tcBorders>
              <w:top w:val="nil"/>
              <w:left w:val="nil"/>
              <w:bottom w:val="single" w:sz="4" w:space="0" w:color="auto"/>
              <w:right w:val="single" w:sz="4" w:space="0" w:color="auto"/>
            </w:tcBorders>
            <w:shd w:val="clear" w:color="auto" w:fill="auto"/>
            <w:vAlign w:val="center"/>
            <w:hideMark/>
          </w:tcPr>
          <w:p w14:paraId="6B2AE24A" w14:textId="336EAA83" w:rsidR="008860AC" w:rsidRPr="00C62BB6" w:rsidRDefault="008860AC"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   </w:t>
            </w:r>
          </w:p>
        </w:tc>
        <w:tc>
          <w:tcPr>
            <w:tcW w:w="2340" w:type="dxa"/>
            <w:tcBorders>
              <w:top w:val="nil"/>
              <w:left w:val="nil"/>
              <w:bottom w:val="single" w:sz="4" w:space="0" w:color="auto"/>
              <w:right w:val="single" w:sz="4" w:space="0" w:color="auto"/>
            </w:tcBorders>
            <w:shd w:val="clear" w:color="auto" w:fill="auto"/>
            <w:vAlign w:val="center"/>
            <w:hideMark/>
          </w:tcPr>
          <w:p w14:paraId="6738259E" w14:textId="3F657CB9" w:rsidR="008860AC" w:rsidRPr="00C62BB6" w:rsidRDefault="00B76A8E" w:rsidP="00C62BB6">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  </w:t>
            </w:r>
            <w:r w:rsidR="008860AC" w:rsidRPr="00C62BB6">
              <w:rPr>
                <w:rFonts w:ascii="Times New Roman" w:eastAsia="Calibri" w:hAnsi="Times New Roman" w:cs="Times New Roman"/>
                <w:color w:val="4C4747"/>
                <w:spacing w:val="20"/>
                <w:sz w:val="24"/>
                <w:szCs w:val="24"/>
                <w:lang w:val="es-DO"/>
              </w:rPr>
              <w:t xml:space="preserve">-   </w:t>
            </w:r>
          </w:p>
        </w:tc>
      </w:tr>
      <w:tr w:rsidR="008860AC" w:rsidRPr="008860AC" w14:paraId="7C107A46" w14:textId="77777777" w:rsidTr="00943FA5">
        <w:trPr>
          <w:trHeight w:val="570"/>
        </w:trPr>
        <w:tc>
          <w:tcPr>
            <w:tcW w:w="2250" w:type="dxa"/>
            <w:tcBorders>
              <w:top w:val="nil"/>
              <w:left w:val="single" w:sz="4" w:space="0" w:color="auto"/>
              <w:bottom w:val="single" w:sz="4" w:space="0" w:color="auto"/>
              <w:right w:val="single" w:sz="4" w:space="0" w:color="auto"/>
            </w:tcBorders>
            <w:shd w:val="clear" w:color="000000" w:fill="002060"/>
            <w:vAlign w:val="center"/>
            <w:hideMark/>
          </w:tcPr>
          <w:p w14:paraId="028ACB9F" w14:textId="77777777" w:rsidR="008860AC" w:rsidRPr="00943FA5" w:rsidRDefault="008860AC" w:rsidP="00A75CDE">
            <w:pPr>
              <w:spacing w:after="0" w:line="240" w:lineRule="auto"/>
              <w:jc w:val="both"/>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Total</w:t>
            </w:r>
          </w:p>
        </w:tc>
        <w:tc>
          <w:tcPr>
            <w:tcW w:w="1170" w:type="dxa"/>
            <w:tcBorders>
              <w:top w:val="nil"/>
              <w:left w:val="nil"/>
              <w:bottom w:val="single" w:sz="4" w:space="0" w:color="auto"/>
              <w:right w:val="single" w:sz="4" w:space="0" w:color="auto"/>
            </w:tcBorders>
            <w:shd w:val="clear" w:color="000000" w:fill="002060"/>
            <w:vAlign w:val="center"/>
            <w:hideMark/>
          </w:tcPr>
          <w:p w14:paraId="21B245F1" w14:textId="77777777" w:rsidR="008860AC" w:rsidRPr="00943FA5" w:rsidRDefault="008860AC"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475</w:t>
            </w:r>
          </w:p>
        </w:tc>
        <w:tc>
          <w:tcPr>
            <w:tcW w:w="2610" w:type="dxa"/>
            <w:tcBorders>
              <w:top w:val="nil"/>
              <w:left w:val="nil"/>
              <w:bottom w:val="single" w:sz="4" w:space="0" w:color="auto"/>
              <w:right w:val="single" w:sz="4" w:space="0" w:color="auto"/>
            </w:tcBorders>
            <w:shd w:val="clear" w:color="000000" w:fill="002060"/>
            <w:vAlign w:val="center"/>
            <w:hideMark/>
          </w:tcPr>
          <w:p w14:paraId="4F31E45A" w14:textId="6317A5DB" w:rsidR="008860AC" w:rsidRPr="00943FA5" w:rsidRDefault="008860AC"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 xml:space="preserve"> $  477,231,777.52 </w:t>
            </w:r>
          </w:p>
        </w:tc>
        <w:tc>
          <w:tcPr>
            <w:tcW w:w="2340" w:type="dxa"/>
            <w:tcBorders>
              <w:top w:val="nil"/>
              <w:left w:val="nil"/>
              <w:bottom w:val="single" w:sz="4" w:space="0" w:color="auto"/>
              <w:right w:val="single" w:sz="4" w:space="0" w:color="auto"/>
            </w:tcBorders>
            <w:shd w:val="clear" w:color="000000" w:fill="002060"/>
            <w:vAlign w:val="center"/>
            <w:hideMark/>
          </w:tcPr>
          <w:p w14:paraId="48122B35" w14:textId="31249292" w:rsidR="008860AC" w:rsidRPr="00943FA5" w:rsidRDefault="008860AC" w:rsidP="00A75CDE">
            <w:pPr>
              <w:spacing w:after="0" w:line="240" w:lineRule="auto"/>
              <w:jc w:val="center"/>
              <w:rPr>
                <w:rFonts w:ascii="Times New Roman" w:eastAsia="Calibri" w:hAnsi="Times New Roman" w:cs="Times New Roman"/>
                <w:color w:val="FFFFFF" w:themeColor="background1"/>
                <w:spacing w:val="20"/>
                <w:sz w:val="24"/>
                <w:szCs w:val="24"/>
                <w:lang w:val="es-DO"/>
              </w:rPr>
            </w:pPr>
            <w:r w:rsidRPr="00943FA5">
              <w:rPr>
                <w:rFonts w:ascii="Times New Roman" w:eastAsia="Calibri" w:hAnsi="Times New Roman" w:cs="Times New Roman"/>
                <w:color w:val="FFFFFF" w:themeColor="background1"/>
                <w:spacing w:val="20"/>
                <w:sz w:val="24"/>
                <w:szCs w:val="24"/>
                <w:lang w:val="es-DO"/>
              </w:rPr>
              <w:t xml:space="preserve"> $</w:t>
            </w:r>
            <w:r w:rsidR="00B76A8E">
              <w:rPr>
                <w:rFonts w:ascii="Times New Roman" w:eastAsia="Calibri" w:hAnsi="Times New Roman" w:cs="Times New Roman"/>
                <w:color w:val="FFFFFF" w:themeColor="background1"/>
                <w:spacing w:val="20"/>
                <w:sz w:val="24"/>
                <w:szCs w:val="24"/>
                <w:lang w:val="es-DO"/>
              </w:rPr>
              <w:t xml:space="preserve"> </w:t>
            </w:r>
            <w:r w:rsidRPr="00943FA5">
              <w:rPr>
                <w:rFonts w:ascii="Times New Roman" w:eastAsia="Calibri" w:hAnsi="Times New Roman" w:cs="Times New Roman"/>
                <w:color w:val="FFFFFF" w:themeColor="background1"/>
                <w:spacing w:val="20"/>
                <w:sz w:val="24"/>
                <w:szCs w:val="24"/>
                <w:lang w:val="es-DO"/>
              </w:rPr>
              <w:t xml:space="preserve">215,588,722.89 </w:t>
            </w:r>
          </w:p>
        </w:tc>
      </w:tr>
    </w:tbl>
    <w:p w14:paraId="1F2FD075" w14:textId="79B8C257" w:rsidR="008860AC" w:rsidRPr="00C62BB6" w:rsidRDefault="008860AC" w:rsidP="00A75CDE">
      <w:pPr>
        <w:spacing w:line="360" w:lineRule="auto"/>
        <w:jc w:val="both"/>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008C2B22">
        <w:rPr>
          <w:rFonts w:ascii="Times New Roman" w:eastAsia="Calibri" w:hAnsi="Times New Roman" w:cs="Times New Roman"/>
          <w:color w:val="4C4747"/>
          <w:spacing w:val="20"/>
          <w:sz w:val="18"/>
          <w:szCs w:val="24"/>
          <w:lang w:val="es-DO"/>
        </w:rPr>
        <w:t xml:space="preserve"> Portal de T</w:t>
      </w:r>
      <w:r w:rsidRPr="00C62BB6">
        <w:rPr>
          <w:rFonts w:ascii="Times New Roman" w:eastAsia="Calibri" w:hAnsi="Times New Roman" w:cs="Times New Roman"/>
          <w:color w:val="4C4747"/>
          <w:spacing w:val="20"/>
          <w:sz w:val="18"/>
          <w:szCs w:val="24"/>
          <w:lang w:val="es-DO"/>
        </w:rPr>
        <w:t>ransparencia</w:t>
      </w:r>
    </w:p>
    <w:p w14:paraId="55DC2B29" w14:textId="77777777" w:rsidR="00F65C89" w:rsidRDefault="00F65C89" w:rsidP="00A75CDE">
      <w:pPr>
        <w:spacing w:line="360" w:lineRule="auto"/>
        <w:jc w:val="both"/>
        <w:rPr>
          <w:rFonts w:ascii="Times New Roman" w:eastAsia="Calibri" w:hAnsi="Times New Roman" w:cs="Times New Roman"/>
          <w:color w:val="4C4747"/>
          <w:spacing w:val="20"/>
          <w:sz w:val="24"/>
          <w:szCs w:val="24"/>
          <w:lang w:val="es-DO"/>
        </w:rPr>
      </w:pPr>
    </w:p>
    <w:p w14:paraId="23365FA1" w14:textId="77777777" w:rsidR="00F43708"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lastRenderedPageBreak/>
        <w:t xml:space="preserve">Se mostró que lo planificado versus lo ejecutado representa un cumplimiento de un 45 % aproximadamente en base al presupuesto total. Esta </w:t>
      </w:r>
      <w:r w:rsidR="00B76A8E" w:rsidRPr="00C62BB6">
        <w:rPr>
          <w:rFonts w:ascii="Times New Roman" w:eastAsia="Calibri" w:hAnsi="Times New Roman" w:cs="Times New Roman"/>
          <w:color w:val="4C4747"/>
          <w:spacing w:val="20"/>
          <w:sz w:val="24"/>
          <w:szCs w:val="24"/>
          <w:lang w:val="es-DO"/>
        </w:rPr>
        <w:t>variación</w:t>
      </w:r>
      <w:r w:rsidRPr="00C62BB6">
        <w:rPr>
          <w:rFonts w:ascii="Times New Roman" w:eastAsia="Calibri" w:hAnsi="Times New Roman" w:cs="Times New Roman"/>
          <w:color w:val="4C4747"/>
          <w:spacing w:val="20"/>
          <w:sz w:val="24"/>
          <w:szCs w:val="24"/>
          <w:lang w:val="es-DO"/>
        </w:rPr>
        <w:t xml:space="preserve"> </w:t>
      </w:r>
      <w:r w:rsidR="00B76A8E" w:rsidRPr="00C62BB6">
        <w:rPr>
          <w:rFonts w:ascii="Times New Roman" w:eastAsia="Calibri" w:hAnsi="Times New Roman" w:cs="Times New Roman"/>
          <w:color w:val="4C4747"/>
          <w:spacing w:val="20"/>
          <w:sz w:val="24"/>
          <w:szCs w:val="24"/>
          <w:lang w:val="es-DO"/>
        </w:rPr>
        <w:t xml:space="preserve">está sustentada </w:t>
      </w:r>
      <w:r w:rsidRPr="00C62BB6">
        <w:rPr>
          <w:rFonts w:ascii="Times New Roman" w:eastAsia="Calibri" w:hAnsi="Times New Roman" w:cs="Times New Roman"/>
          <w:color w:val="4C4747"/>
          <w:spacing w:val="20"/>
          <w:sz w:val="24"/>
          <w:szCs w:val="24"/>
          <w:lang w:val="es-DO"/>
        </w:rPr>
        <w:t>a que 30 procesos aproximadamente se han declarado desiertos</w:t>
      </w:r>
      <w:r w:rsidR="00B76A8E" w:rsidRPr="00C62BB6">
        <w:rPr>
          <w:rFonts w:ascii="Times New Roman" w:eastAsia="Calibri" w:hAnsi="Times New Roman" w:cs="Times New Roman"/>
          <w:color w:val="4C4747"/>
          <w:spacing w:val="20"/>
          <w:sz w:val="24"/>
          <w:szCs w:val="24"/>
          <w:lang w:val="es-DO"/>
        </w:rPr>
        <w:t>,</w:t>
      </w:r>
      <w:r w:rsidRPr="00C62BB6">
        <w:rPr>
          <w:rFonts w:ascii="Times New Roman" w:eastAsia="Calibri" w:hAnsi="Times New Roman" w:cs="Times New Roman"/>
          <w:color w:val="4C4747"/>
          <w:spacing w:val="20"/>
          <w:sz w:val="24"/>
          <w:szCs w:val="24"/>
          <w:lang w:val="es-DO"/>
        </w:rPr>
        <w:t xml:space="preserve"> por que al momento de </w:t>
      </w:r>
    </w:p>
    <w:p w14:paraId="691E16D6" w14:textId="77FF7528" w:rsidR="00A77640"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evaluar las ofertas no cumplen con lo estipulado o </w:t>
      </w:r>
      <w:r w:rsidR="00B76A8E" w:rsidRPr="00C62BB6">
        <w:rPr>
          <w:rFonts w:ascii="Times New Roman" w:eastAsia="Calibri" w:hAnsi="Times New Roman" w:cs="Times New Roman"/>
          <w:color w:val="4C4747"/>
          <w:spacing w:val="20"/>
          <w:sz w:val="24"/>
          <w:szCs w:val="24"/>
          <w:lang w:val="es-DO"/>
        </w:rPr>
        <w:t>se ha tenido</w:t>
      </w:r>
      <w:r w:rsidRPr="00C62BB6">
        <w:rPr>
          <w:rFonts w:ascii="Times New Roman" w:eastAsia="Calibri" w:hAnsi="Times New Roman" w:cs="Times New Roman"/>
          <w:color w:val="4C4747"/>
          <w:spacing w:val="20"/>
          <w:sz w:val="24"/>
          <w:szCs w:val="24"/>
          <w:lang w:val="es-DO"/>
        </w:rPr>
        <w:t xml:space="preserve"> </w:t>
      </w:r>
      <w:r w:rsidR="00282C79" w:rsidRPr="00C62BB6">
        <w:rPr>
          <w:rFonts w:ascii="Times New Roman" w:eastAsia="Calibri" w:hAnsi="Times New Roman" w:cs="Times New Roman"/>
          <w:color w:val="4C4747"/>
          <w:spacing w:val="20"/>
          <w:sz w:val="24"/>
          <w:szCs w:val="24"/>
          <w:lang w:val="es-DO"/>
        </w:rPr>
        <w:t>variación</w:t>
      </w:r>
      <w:r w:rsidRPr="00C62BB6">
        <w:rPr>
          <w:rFonts w:ascii="Times New Roman" w:eastAsia="Calibri" w:hAnsi="Times New Roman" w:cs="Times New Roman"/>
          <w:color w:val="4C4747"/>
          <w:spacing w:val="20"/>
          <w:sz w:val="24"/>
          <w:szCs w:val="24"/>
          <w:lang w:val="es-DO"/>
        </w:rPr>
        <w:t xml:space="preserve"> en los requerimientos. Esto tiene una </w:t>
      </w:r>
      <w:r w:rsidR="00282C79" w:rsidRPr="00C62BB6">
        <w:rPr>
          <w:rFonts w:ascii="Times New Roman" w:eastAsia="Calibri" w:hAnsi="Times New Roman" w:cs="Times New Roman"/>
          <w:color w:val="4C4747"/>
          <w:spacing w:val="20"/>
          <w:sz w:val="24"/>
          <w:szCs w:val="24"/>
          <w:lang w:val="es-DO"/>
        </w:rPr>
        <w:t>representación</w:t>
      </w:r>
      <w:r w:rsidRPr="00C62BB6">
        <w:rPr>
          <w:rFonts w:ascii="Times New Roman" w:eastAsia="Calibri" w:hAnsi="Times New Roman" w:cs="Times New Roman"/>
          <w:color w:val="4C4747"/>
          <w:spacing w:val="20"/>
          <w:sz w:val="24"/>
          <w:szCs w:val="24"/>
          <w:lang w:val="es-DO"/>
        </w:rPr>
        <w:t xml:space="preserve"> </w:t>
      </w:r>
      <w:r w:rsidR="00282C79" w:rsidRPr="00C62BB6">
        <w:rPr>
          <w:rFonts w:ascii="Times New Roman" w:eastAsia="Calibri" w:hAnsi="Times New Roman" w:cs="Times New Roman"/>
          <w:color w:val="4C4747"/>
          <w:spacing w:val="20"/>
          <w:sz w:val="24"/>
          <w:szCs w:val="24"/>
          <w:lang w:val="es-DO"/>
        </w:rPr>
        <w:t>económica</w:t>
      </w:r>
      <w:r w:rsidRPr="00C62BB6">
        <w:rPr>
          <w:rFonts w:ascii="Times New Roman" w:eastAsia="Calibri" w:hAnsi="Times New Roman" w:cs="Times New Roman"/>
          <w:color w:val="4C4747"/>
          <w:spacing w:val="20"/>
          <w:sz w:val="24"/>
          <w:szCs w:val="24"/>
          <w:lang w:val="es-DO"/>
        </w:rPr>
        <w:t xml:space="preserve"> de un monto aproxima</w:t>
      </w:r>
      <w:r w:rsidR="00282C79" w:rsidRPr="00C62BB6">
        <w:rPr>
          <w:rFonts w:ascii="Times New Roman" w:eastAsia="Calibri" w:hAnsi="Times New Roman" w:cs="Times New Roman"/>
          <w:color w:val="4C4747"/>
          <w:spacing w:val="20"/>
          <w:sz w:val="24"/>
          <w:szCs w:val="24"/>
          <w:lang w:val="es-DO"/>
        </w:rPr>
        <w:t>do de RD$76, 202,572.00 millones</w:t>
      </w:r>
      <w:r w:rsidRPr="00C62BB6">
        <w:rPr>
          <w:rFonts w:ascii="Times New Roman" w:eastAsia="Calibri" w:hAnsi="Times New Roman" w:cs="Times New Roman"/>
          <w:color w:val="4C4747"/>
          <w:spacing w:val="20"/>
          <w:sz w:val="24"/>
          <w:szCs w:val="24"/>
          <w:lang w:val="es-DO"/>
        </w:rPr>
        <w:t xml:space="preserve">. </w:t>
      </w:r>
    </w:p>
    <w:p w14:paraId="17A8E17F" w14:textId="1E3E7F49"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Cabe resaltar que los proyectos que son de infraestructura </w:t>
      </w:r>
      <w:r w:rsidR="00F30F22" w:rsidRPr="00C62BB6">
        <w:rPr>
          <w:rFonts w:ascii="Times New Roman" w:eastAsia="Calibri" w:hAnsi="Times New Roman" w:cs="Times New Roman"/>
          <w:color w:val="4C4747"/>
          <w:spacing w:val="20"/>
          <w:sz w:val="24"/>
          <w:szCs w:val="24"/>
          <w:lang w:val="es-DO"/>
        </w:rPr>
        <w:t>están</w:t>
      </w:r>
      <w:r w:rsidRPr="00C62BB6">
        <w:rPr>
          <w:rFonts w:ascii="Times New Roman" w:eastAsia="Calibri" w:hAnsi="Times New Roman" w:cs="Times New Roman"/>
          <w:color w:val="4C4747"/>
          <w:spacing w:val="20"/>
          <w:sz w:val="24"/>
          <w:szCs w:val="24"/>
          <w:lang w:val="es-DO"/>
        </w:rPr>
        <w:t xml:space="preserve"> </w:t>
      </w:r>
      <w:r w:rsidR="00F30F22" w:rsidRPr="00C62BB6">
        <w:rPr>
          <w:rFonts w:ascii="Times New Roman" w:eastAsia="Calibri" w:hAnsi="Times New Roman" w:cs="Times New Roman"/>
          <w:color w:val="4C4747"/>
          <w:spacing w:val="20"/>
          <w:sz w:val="24"/>
          <w:szCs w:val="24"/>
          <w:lang w:val="es-DO"/>
        </w:rPr>
        <w:t>programándose</w:t>
      </w:r>
      <w:r w:rsidRPr="00C62BB6">
        <w:rPr>
          <w:rFonts w:ascii="Times New Roman" w:eastAsia="Calibri" w:hAnsi="Times New Roman" w:cs="Times New Roman"/>
          <w:color w:val="4C4747"/>
          <w:spacing w:val="20"/>
          <w:sz w:val="24"/>
          <w:szCs w:val="24"/>
          <w:lang w:val="es-DO"/>
        </w:rPr>
        <w:t xml:space="preserve"> para </w:t>
      </w:r>
      <w:r w:rsidR="00F30F22" w:rsidRPr="00C62BB6">
        <w:rPr>
          <w:rFonts w:ascii="Times New Roman" w:eastAsia="Calibri" w:hAnsi="Times New Roman" w:cs="Times New Roman"/>
          <w:color w:val="4C4747"/>
          <w:spacing w:val="20"/>
          <w:sz w:val="24"/>
          <w:szCs w:val="24"/>
          <w:lang w:val="es-DO"/>
        </w:rPr>
        <w:t>ejecución</w:t>
      </w:r>
      <w:r w:rsidRPr="00C62BB6">
        <w:rPr>
          <w:rFonts w:ascii="Times New Roman" w:eastAsia="Calibri" w:hAnsi="Times New Roman" w:cs="Times New Roman"/>
          <w:color w:val="4C4747"/>
          <w:spacing w:val="20"/>
          <w:sz w:val="24"/>
          <w:szCs w:val="24"/>
          <w:lang w:val="es-DO"/>
        </w:rPr>
        <w:t xml:space="preserve"> total del </w:t>
      </w:r>
      <w:r w:rsidR="00F30F22" w:rsidRPr="00C62BB6">
        <w:rPr>
          <w:rFonts w:ascii="Times New Roman" w:eastAsia="Calibri" w:hAnsi="Times New Roman" w:cs="Times New Roman"/>
          <w:color w:val="4C4747"/>
          <w:spacing w:val="20"/>
          <w:sz w:val="24"/>
          <w:szCs w:val="24"/>
          <w:lang w:val="es-DO"/>
        </w:rPr>
        <w:t>próximo</w:t>
      </w:r>
      <w:r w:rsidR="00A77640" w:rsidRPr="00C62BB6">
        <w:rPr>
          <w:rFonts w:ascii="Times New Roman" w:eastAsia="Calibri" w:hAnsi="Times New Roman" w:cs="Times New Roman"/>
          <w:color w:val="4C4747"/>
          <w:spacing w:val="20"/>
          <w:sz w:val="24"/>
          <w:szCs w:val="24"/>
          <w:lang w:val="es-DO"/>
        </w:rPr>
        <w:t xml:space="preserve"> año. </w:t>
      </w:r>
    </w:p>
    <w:p w14:paraId="44DF9490" w14:textId="77777777" w:rsidR="008860AC" w:rsidRPr="00C62BB6" w:rsidRDefault="008860AC" w:rsidP="00A75CDE">
      <w:pPr>
        <w:spacing w:before="240"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 xml:space="preserve">Indicador del Uso del Sistema Nacional de Contrataciones Públicas (SISCOMPRAS) </w:t>
      </w:r>
    </w:p>
    <w:p w14:paraId="50532078" w14:textId="77777777"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La institución a través de un manejo eficiente del Sistema Nacional de Contrataciones obtuvo un promedio de un 98.3% mediante el portal de SISCOMPRAS para este año 2022, este indicador contempla 5 sub-indicadores, los cuales son: Planificación de Compras, Publicación de Procesos, Gestión de Procesos, Administración de Contratos y Compras a MIPYMES, personas físicas y MIPYMES mujeres.</w:t>
      </w:r>
    </w:p>
    <w:p w14:paraId="7F60A28F" w14:textId="7A908219" w:rsidR="00A77640"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noProof/>
          <w:color w:val="4C4747"/>
          <w:spacing w:val="20"/>
          <w:sz w:val="24"/>
          <w:szCs w:val="24"/>
        </w:rPr>
        <w:lastRenderedPageBreak/>
        <w:drawing>
          <wp:inline distT="0" distB="0" distL="0" distR="0" wp14:anchorId="239E367B" wp14:editId="079CDB70">
            <wp:extent cx="4943475" cy="343751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024" t="15825" r="21780" b="13468"/>
                    <a:stretch/>
                  </pic:blipFill>
                  <pic:spPr bwMode="auto">
                    <a:xfrm>
                      <a:off x="0" y="0"/>
                      <a:ext cx="4948023" cy="3440678"/>
                    </a:xfrm>
                    <a:prstGeom prst="rect">
                      <a:avLst/>
                    </a:prstGeom>
                    <a:ln>
                      <a:noFill/>
                    </a:ln>
                    <a:extLst>
                      <a:ext uri="{53640926-AAD7-44D8-BBD7-CCE9431645EC}">
                        <a14:shadowObscured xmlns:a14="http://schemas.microsoft.com/office/drawing/2010/main"/>
                      </a:ext>
                    </a:extLst>
                  </pic:spPr>
                </pic:pic>
              </a:graphicData>
            </a:graphic>
          </wp:inline>
        </w:drawing>
      </w: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Portal SISCOMPRAS (Siscompras - Dirección General de Contrataciones Públicas (dgcp.gob.do)</w:t>
      </w:r>
    </w:p>
    <w:p w14:paraId="17466102" w14:textId="1B6F6C27" w:rsidR="00F30F22" w:rsidRPr="008C2B22" w:rsidRDefault="008860AC"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El INDOTEL  obtuvo en dos period</w:t>
      </w:r>
      <w:r w:rsidR="00F43708" w:rsidRPr="008C2B22">
        <w:rPr>
          <w:rFonts w:ascii="Times New Roman" w:eastAsia="Calibri" w:hAnsi="Times New Roman" w:cs="Times New Roman"/>
          <w:color w:val="4C4747"/>
          <w:spacing w:val="20"/>
          <w:sz w:val="24"/>
          <w:szCs w:val="24"/>
          <w:lang w:val="es-DO"/>
        </w:rPr>
        <w:t>os consecutivos del 2022 un 100</w:t>
      </w:r>
      <w:r w:rsidRPr="008C2B22">
        <w:rPr>
          <w:rFonts w:ascii="Times New Roman" w:eastAsia="Calibri" w:hAnsi="Times New Roman" w:cs="Times New Roman"/>
          <w:color w:val="4C4747"/>
          <w:spacing w:val="20"/>
          <w:sz w:val="24"/>
          <w:szCs w:val="24"/>
          <w:lang w:val="es-DO"/>
        </w:rPr>
        <w:t xml:space="preserve">%, la cual se considera la más alta puntuación en estos indicadores y </w:t>
      </w:r>
      <w:r w:rsidR="00F30F22" w:rsidRPr="008C2B22">
        <w:rPr>
          <w:rFonts w:ascii="Times New Roman" w:eastAsia="Calibri" w:hAnsi="Times New Roman" w:cs="Times New Roman"/>
          <w:color w:val="4C4747"/>
          <w:spacing w:val="20"/>
          <w:sz w:val="24"/>
          <w:szCs w:val="24"/>
          <w:lang w:val="es-DO"/>
        </w:rPr>
        <w:t>destacando que</w:t>
      </w:r>
      <w:r w:rsidRPr="008C2B22">
        <w:rPr>
          <w:rFonts w:ascii="Times New Roman" w:eastAsia="Calibri" w:hAnsi="Times New Roman" w:cs="Times New Roman"/>
          <w:color w:val="4C4747"/>
          <w:spacing w:val="20"/>
          <w:sz w:val="24"/>
          <w:szCs w:val="24"/>
          <w:lang w:val="es-DO"/>
        </w:rPr>
        <w:t xml:space="preserve"> no se </w:t>
      </w:r>
      <w:r w:rsidR="00F30F22" w:rsidRPr="008C2B22">
        <w:rPr>
          <w:rFonts w:ascii="Times New Roman" w:eastAsia="Calibri" w:hAnsi="Times New Roman" w:cs="Times New Roman"/>
          <w:color w:val="4C4747"/>
          <w:spacing w:val="20"/>
          <w:sz w:val="24"/>
          <w:szCs w:val="24"/>
          <w:lang w:val="es-DO"/>
        </w:rPr>
        <w:t>había</w:t>
      </w:r>
      <w:r w:rsidRPr="008C2B22">
        <w:rPr>
          <w:rFonts w:ascii="Times New Roman" w:eastAsia="Calibri" w:hAnsi="Times New Roman" w:cs="Times New Roman"/>
          <w:color w:val="4C4747"/>
          <w:spacing w:val="20"/>
          <w:sz w:val="24"/>
          <w:szCs w:val="24"/>
          <w:lang w:val="es-DO"/>
        </w:rPr>
        <w:t xml:space="preserve"> presentado </w:t>
      </w:r>
      <w:r w:rsidR="00F30F22" w:rsidRPr="008C2B22">
        <w:rPr>
          <w:rFonts w:ascii="Times New Roman" w:eastAsia="Calibri" w:hAnsi="Times New Roman" w:cs="Times New Roman"/>
          <w:color w:val="4C4747"/>
          <w:spacing w:val="20"/>
          <w:sz w:val="24"/>
          <w:szCs w:val="24"/>
          <w:lang w:val="es-DO"/>
        </w:rPr>
        <w:t xml:space="preserve">esta puntuación </w:t>
      </w:r>
      <w:r w:rsidRPr="008C2B22">
        <w:rPr>
          <w:rFonts w:ascii="Times New Roman" w:eastAsia="Calibri" w:hAnsi="Times New Roman" w:cs="Times New Roman"/>
          <w:color w:val="4C4747"/>
          <w:spacing w:val="20"/>
          <w:sz w:val="24"/>
          <w:szCs w:val="24"/>
          <w:lang w:val="es-DO"/>
        </w:rPr>
        <w:t xml:space="preserve">en la </w:t>
      </w:r>
      <w:r w:rsidR="00F30F22" w:rsidRPr="008C2B22">
        <w:rPr>
          <w:rFonts w:ascii="Times New Roman" w:eastAsia="Calibri" w:hAnsi="Times New Roman" w:cs="Times New Roman"/>
          <w:color w:val="4C4747"/>
          <w:spacing w:val="20"/>
          <w:sz w:val="24"/>
          <w:szCs w:val="24"/>
          <w:lang w:val="es-DO"/>
        </w:rPr>
        <w:t>historia  de la institución.</w:t>
      </w:r>
    </w:p>
    <w:p w14:paraId="12725931" w14:textId="1D339CAF" w:rsidR="008860AC" w:rsidRPr="008C2B22" w:rsidRDefault="00F43708" w:rsidP="00A75CDE">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Sistema informático de gestión i</w:t>
      </w:r>
      <w:r w:rsidR="008860AC" w:rsidRPr="008C2B22">
        <w:rPr>
          <w:rFonts w:ascii="Times New Roman" w:eastAsia="Calibri" w:hAnsi="Times New Roman" w:cs="Times New Roman"/>
          <w:b/>
          <w:color w:val="4C4747"/>
          <w:spacing w:val="20"/>
          <w:sz w:val="24"/>
          <w:szCs w:val="24"/>
          <w:lang w:val="es-DO"/>
        </w:rPr>
        <w:t xml:space="preserve">nterna </w:t>
      </w:r>
    </w:p>
    <w:p w14:paraId="47D4799A" w14:textId="693EBD85" w:rsidR="008860AC" w:rsidRPr="008C2B22" w:rsidRDefault="008860AC"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La institución dispone de un sistema informático de gestión interna para el manejo y control de la documentación que se recibe, se genera, y se despacha. El área de Tramitación y Control de Documentación tiene la </w:t>
      </w:r>
      <w:r w:rsidR="00F30F22" w:rsidRPr="008C2B22">
        <w:rPr>
          <w:rFonts w:ascii="Times New Roman" w:eastAsia="Calibri" w:hAnsi="Times New Roman" w:cs="Times New Roman"/>
          <w:color w:val="4C4747"/>
          <w:spacing w:val="20"/>
          <w:sz w:val="24"/>
          <w:szCs w:val="24"/>
          <w:lang w:val="es-DO"/>
        </w:rPr>
        <w:t>responsabilidad</w:t>
      </w:r>
      <w:r w:rsidRPr="008C2B22">
        <w:rPr>
          <w:rFonts w:ascii="Times New Roman" w:eastAsia="Calibri" w:hAnsi="Times New Roman" w:cs="Times New Roman"/>
          <w:color w:val="4C4747"/>
          <w:spacing w:val="20"/>
          <w:sz w:val="24"/>
          <w:szCs w:val="24"/>
          <w:lang w:val="es-DO"/>
        </w:rPr>
        <w:t xml:space="preserve"> de mantener actualizada la base de datos del Sistema de Gestión Interna, de tal manera que la misma pueda proporcionar información fehaciente sobre el estatus de las solicitudes.</w:t>
      </w:r>
    </w:p>
    <w:p w14:paraId="74A97ED7" w14:textId="600EAF74" w:rsidR="00A77640" w:rsidRPr="008C2B22" w:rsidRDefault="00F30F22"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Este año </w:t>
      </w:r>
      <w:r w:rsidR="004D7636" w:rsidRPr="008C2B22">
        <w:rPr>
          <w:rFonts w:ascii="Times New Roman" w:eastAsia="Calibri" w:hAnsi="Times New Roman" w:cs="Times New Roman"/>
          <w:color w:val="4C4747"/>
          <w:spacing w:val="20"/>
          <w:sz w:val="24"/>
          <w:szCs w:val="24"/>
          <w:lang w:val="es-DO"/>
        </w:rPr>
        <w:t xml:space="preserve">fueron </w:t>
      </w:r>
      <w:r w:rsidRPr="008C2B22">
        <w:rPr>
          <w:rFonts w:ascii="Times New Roman" w:eastAsia="Calibri" w:hAnsi="Times New Roman" w:cs="Times New Roman"/>
          <w:color w:val="4C4747"/>
          <w:spacing w:val="20"/>
          <w:sz w:val="24"/>
          <w:szCs w:val="24"/>
          <w:lang w:val="es-DO"/>
        </w:rPr>
        <w:t>concluido</w:t>
      </w:r>
      <w:r w:rsidR="004D7636" w:rsidRPr="008C2B22">
        <w:rPr>
          <w:rFonts w:ascii="Times New Roman" w:eastAsia="Calibri" w:hAnsi="Times New Roman" w:cs="Times New Roman"/>
          <w:color w:val="4C4747"/>
          <w:spacing w:val="20"/>
          <w:sz w:val="24"/>
          <w:szCs w:val="24"/>
          <w:lang w:val="es-DO"/>
        </w:rPr>
        <w:t>s</w:t>
      </w:r>
      <w:r w:rsidRPr="008C2B22">
        <w:rPr>
          <w:rFonts w:ascii="Times New Roman" w:eastAsia="Calibri" w:hAnsi="Times New Roman" w:cs="Times New Roman"/>
          <w:color w:val="4C4747"/>
          <w:spacing w:val="20"/>
          <w:sz w:val="24"/>
          <w:szCs w:val="24"/>
          <w:lang w:val="es-DO"/>
        </w:rPr>
        <w:t xml:space="preserve"> 25 casos de los cuales no se conocían la ubicación del expediente en físico, estos casos se encontraban en </w:t>
      </w:r>
      <w:r w:rsidRPr="008C2B22">
        <w:rPr>
          <w:rFonts w:ascii="Times New Roman" w:eastAsia="Calibri" w:hAnsi="Times New Roman" w:cs="Times New Roman"/>
          <w:color w:val="4C4747"/>
          <w:spacing w:val="20"/>
          <w:sz w:val="24"/>
          <w:szCs w:val="24"/>
          <w:lang w:val="es-DO"/>
        </w:rPr>
        <w:lastRenderedPageBreak/>
        <w:t>proceso en el Sistema de Gestión Interna a partir de un levantamiento realizado en el 2020. En la actualidad se encuentran 189 casos en proceso</w:t>
      </w:r>
      <w:r w:rsidR="004D7636" w:rsidRPr="008C2B22">
        <w:rPr>
          <w:rFonts w:ascii="Times New Roman" w:eastAsia="Calibri" w:hAnsi="Times New Roman" w:cs="Times New Roman"/>
          <w:color w:val="4C4747"/>
          <w:spacing w:val="20"/>
          <w:sz w:val="24"/>
          <w:szCs w:val="24"/>
          <w:lang w:val="es-DO"/>
        </w:rPr>
        <w:t>s</w:t>
      </w:r>
      <w:r w:rsidRPr="008C2B22">
        <w:rPr>
          <w:rFonts w:ascii="Times New Roman" w:eastAsia="Calibri" w:hAnsi="Times New Roman" w:cs="Times New Roman"/>
          <w:color w:val="4C4747"/>
          <w:spacing w:val="20"/>
          <w:sz w:val="24"/>
          <w:szCs w:val="24"/>
          <w:lang w:val="es-DO"/>
        </w:rPr>
        <w:t xml:space="preserve"> que están siendo trabajados con las distintas dependencias para que su estatus puede ser actualizado en el sistema. </w:t>
      </w:r>
    </w:p>
    <w:p w14:paraId="5812D362" w14:textId="77777777" w:rsidR="008860AC" w:rsidRPr="008C2B22" w:rsidRDefault="008860AC" w:rsidP="00A75CDE">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Construcción Edificio INDOTEL</w:t>
      </w:r>
    </w:p>
    <w:p w14:paraId="65444C3D" w14:textId="2E633B01" w:rsidR="008860AC" w:rsidRPr="008C2B22" w:rsidRDefault="008860AC"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El diseño arquitectónico de la nueva sede de INDOTEL fue elaborado por el departamento interno de infraestructura permitiendo con esto un ahorro por honorarios de servicios profesionales de unos RD$81</w:t>
      </w:r>
      <w:r w:rsidR="00360D7A" w:rsidRPr="008C2B22">
        <w:rPr>
          <w:rFonts w:ascii="Times New Roman" w:eastAsia="Calibri" w:hAnsi="Times New Roman" w:cs="Times New Roman"/>
          <w:color w:val="4C4747"/>
          <w:spacing w:val="20"/>
          <w:sz w:val="24"/>
          <w:szCs w:val="24"/>
          <w:lang w:val="es-DO"/>
        </w:rPr>
        <w:t>, 148,365</w:t>
      </w:r>
      <w:r w:rsidRPr="008C2B22">
        <w:rPr>
          <w:rFonts w:ascii="Times New Roman" w:eastAsia="Calibri" w:hAnsi="Times New Roman" w:cs="Times New Roman"/>
          <w:color w:val="4C4747"/>
          <w:spacing w:val="20"/>
          <w:sz w:val="24"/>
          <w:szCs w:val="24"/>
          <w:lang w:val="es-DO"/>
        </w:rPr>
        <w:t xml:space="preserve"> millones que corresponde al 6% </w:t>
      </w:r>
      <w:r w:rsidR="00360D7A" w:rsidRPr="008C2B22">
        <w:rPr>
          <w:rFonts w:ascii="Times New Roman" w:eastAsia="Calibri" w:hAnsi="Times New Roman" w:cs="Times New Roman"/>
          <w:color w:val="4C4747"/>
          <w:spacing w:val="20"/>
          <w:sz w:val="24"/>
          <w:szCs w:val="24"/>
          <w:lang w:val="es-DO"/>
        </w:rPr>
        <w:t>del costo total de construcción de RD</w:t>
      </w:r>
      <w:r w:rsidRPr="008C2B22">
        <w:rPr>
          <w:rFonts w:ascii="Times New Roman" w:eastAsia="Calibri" w:hAnsi="Times New Roman" w:cs="Times New Roman"/>
          <w:color w:val="4C4747"/>
          <w:spacing w:val="20"/>
          <w:sz w:val="24"/>
          <w:szCs w:val="24"/>
          <w:lang w:val="es-DO"/>
        </w:rPr>
        <w:t>1</w:t>
      </w:r>
      <w:r w:rsidR="00250512" w:rsidRPr="008C2B22">
        <w:rPr>
          <w:rFonts w:ascii="Times New Roman" w:eastAsia="Calibri" w:hAnsi="Times New Roman" w:cs="Times New Roman"/>
          <w:color w:val="4C4747"/>
          <w:spacing w:val="20"/>
          <w:sz w:val="24"/>
          <w:szCs w:val="24"/>
          <w:lang w:val="es-DO"/>
        </w:rPr>
        <w:t>,352,472,750.00</w:t>
      </w:r>
      <w:r w:rsidR="00360D7A" w:rsidRPr="008C2B22">
        <w:rPr>
          <w:rFonts w:ascii="Times New Roman" w:eastAsia="Calibri" w:hAnsi="Times New Roman" w:cs="Times New Roman"/>
          <w:color w:val="4C4747"/>
          <w:spacing w:val="20"/>
          <w:sz w:val="24"/>
          <w:szCs w:val="24"/>
          <w:lang w:val="es-DO"/>
        </w:rPr>
        <w:t xml:space="preserve">. Este diseño </w:t>
      </w:r>
      <w:r w:rsidRPr="008C2B22">
        <w:rPr>
          <w:rFonts w:ascii="Times New Roman" w:eastAsia="Calibri" w:hAnsi="Times New Roman" w:cs="Times New Roman"/>
          <w:color w:val="4C4747"/>
          <w:spacing w:val="20"/>
          <w:sz w:val="24"/>
          <w:szCs w:val="24"/>
          <w:lang w:val="es-DO"/>
        </w:rPr>
        <w:t xml:space="preserve">está conceptualizado como un motherboard, una arquitectura moderna con colores institucionales y espacios libres. </w:t>
      </w:r>
    </w:p>
    <w:p w14:paraId="597C7808" w14:textId="032CB67C" w:rsidR="008860AC" w:rsidRPr="00C62BB6" w:rsidRDefault="008860AC" w:rsidP="00A75CD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noProof/>
          <w:color w:val="4C4747"/>
          <w:spacing w:val="20"/>
          <w:sz w:val="24"/>
          <w:szCs w:val="24"/>
        </w:rPr>
        <w:lastRenderedPageBreak/>
        <w:drawing>
          <wp:inline distT="0" distB="0" distL="0" distR="0" wp14:anchorId="279B077E" wp14:editId="017B4245">
            <wp:extent cx="4980940" cy="5352415"/>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879" t="11111" r="51137" b="15489"/>
                    <a:stretch/>
                  </pic:blipFill>
                  <pic:spPr bwMode="auto">
                    <a:xfrm>
                      <a:off x="0" y="0"/>
                      <a:ext cx="4992417" cy="5364748"/>
                    </a:xfrm>
                    <a:prstGeom prst="rect">
                      <a:avLst/>
                    </a:prstGeom>
                    <a:ln>
                      <a:noFill/>
                    </a:ln>
                    <a:extLst>
                      <a:ext uri="{53640926-AAD7-44D8-BBD7-CCE9431645EC}">
                        <a14:shadowObscured xmlns:a14="http://schemas.microsoft.com/office/drawing/2010/main"/>
                      </a:ext>
                    </a:extLst>
                  </pic:spPr>
                </pic:pic>
              </a:graphicData>
            </a:graphic>
          </wp:inline>
        </w:drawing>
      </w:r>
      <w:r w:rsidRPr="00C62BB6">
        <w:rPr>
          <w:rFonts w:ascii="Times New Roman" w:eastAsia="Calibri" w:hAnsi="Times New Roman" w:cs="Times New Roman"/>
          <w:b/>
          <w:color w:val="4C4747"/>
          <w:spacing w:val="20"/>
          <w:sz w:val="18"/>
          <w:szCs w:val="24"/>
          <w:lang w:val="es-DO"/>
        </w:rPr>
        <w:t>Fuente:</w:t>
      </w:r>
      <w:r w:rsidR="00360D7A" w:rsidRPr="00C62BB6">
        <w:rPr>
          <w:rFonts w:ascii="Times New Roman" w:eastAsia="Calibri" w:hAnsi="Times New Roman" w:cs="Times New Roman"/>
          <w:color w:val="4C4747"/>
          <w:spacing w:val="20"/>
          <w:sz w:val="18"/>
          <w:szCs w:val="24"/>
          <w:lang w:val="es-DO"/>
        </w:rPr>
        <w:t xml:space="preserve"> Departamento de Infraestructura</w:t>
      </w:r>
    </w:p>
    <w:p w14:paraId="1715B109" w14:textId="11987403" w:rsidR="008860AC" w:rsidRPr="008C2B22" w:rsidRDefault="008860AC"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Fue concluida la fase del proyecto dentro de la cual se encuentra la realización del estudio de suelo y la confección de los planos</w:t>
      </w:r>
      <w:r w:rsidR="00F43708"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la misma fue adjudicada a una empresa de elaboración de los planos técnicos (sanitarios, estructurales y eléctricos); en proceso se encuentra la legalización frente a</w:t>
      </w:r>
      <w:r w:rsidR="00F43708" w:rsidRPr="008C2B22">
        <w:rPr>
          <w:rFonts w:ascii="Times New Roman" w:eastAsia="Calibri" w:hAnsi="Times New Roman" w:cs="Times New Roman"/>
          <w:color w:val="4C4747"/>
          <w:spacing w:val="20"/>
          <w:sz w:val="24"/>
          <w:szCs w:val="24"/>
          <w:lang w:val="es-DO"/>
        </w:rPr>
        <w:t xml:space="preserve"> l</w:t>
      </w:r>
      <w:r w:rsidRPr="008C2B22">
        <w:rPr>
          <w:rFonts w:ascii="Times New Roman" w:eastAsia="Calibri" w:hAnsi="Times New Roman" w:cs="Times New Roman"/>
          <w:color w:val="4C4747"/>
          <w:spacing w:val="20"/>
          <w:sz w:val="24"/>
          <w:szCs w:val="24"/>
          <w:lang w:val="es-DO"/>
        </w:rPr>
        <w:t>a Alcaldía del Distrito Nacional.</w:t>
      </w:r>
    </w:p>
    <w:p w14:paraId="54F401E2" w14:textId="09D1F722" w:rsidR="00360D7A" w:rsidRPr="008C2B22" w:rsidRDefault="008860AC" w:rsidP="00A75CDE">
      <w:pPr>
        <w:spacing w:before="24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 xml:space="preserve">Se planea comenzar la </w:t>
      </w:r>
      <w:r w:rsidR="00360D7A" w:rsidRPr="008C2B22">
        <w:rPr>
          <w:rFonts w:ascii="Times New Roman" w:eastAsia="Calibri" w:hAnsi="Times New Roman" w:cs="Times New Roman"/>
          <w:color w:val="4C4747"/>
          <w:spacing w:val="20"/>
          <w:sz w:val="24"/>
          <w:szCs w:val="24"/>
          <w:lang w:val="es-DO"/>
        </w:rPr>
        <w:t>construcción</w:t>
      </w:r>
      <w:r w:rsidRPr="008C2B22">
        <w:rPr>
          <w:rFonts w:ascii="Times New Roman" w:eastAsia="Calibri" w:hAnsi="Times New Roman" w:cs="Times New Roman"/>
          <w:color w:val="4C4747"/>
          <w:spacing w:val="20"/>
          <w:sz w:val="24"/>
          <w:szCs w:val="24"/>
          <w:lang w:val="es-DO"/>
        </w:rPr>
        <w:t xml:space="preserve"> en el 2023 inmediatamente culmine la licitación de </w:t>
      </w:r>
      <w:r w:rsidR="00360D7A" w:rsidRPr="008C2B22">
        <w:rPr>
          <w:rFonts w:ascii="Times New Roman" w:eastAsia="Calibri" w:hAnsi="Times New Roman" w:cs="Times New Roman"/>
          <w:color w:val="4C4747"/>
          <w:spacing w:val="20"/>
          <w:sz w:val="24"/>
          <w:szCs w:val="24"/>
          <w:lang w:val="es-DO"/>
        </w:rPr>
        <w:t>construcción</w:t>
      </w:r>
      <w:r w:rsidRPr="008C2B22">
        <w:rPr>
          <w:rFonts w:ascii="Times New Roman" w:eastAsia="Calibri" w:hAnsi="Times New Roman" w:cs="Times New Roman"/>
          <w:color w:val="4C4747"/>
          <w:spacing w:val="20"/>
          <w:sz w:val="24"/>
          <w:szCs w:val="24"/>
          <w:lang w:val="es-DO"/>
        </w:rPr>
        <w:t xml:space="preserve"> de la nueva Sede del </w:t>
      </w:r>
      <w:r w:rsidR="00360D7A" w:rsidRPr="008C2B22">
        <w:rPr>
          <w:rFonts w:ascii="Times New Roman" w:eastAsia="Calibri" w:hAnsi="Times New Roman" w:cs="Times New Roman"/>
          <w:color w:val="4C4747"/>
          <w:spacing w:val="20"/>
          <w:sz w:val="24"/>
          <w:szCs w:val="24"/>
          <w:lang w:val="es-DO"/>
        </w:rPr>
        <w:t>INDOTEL.</w:t>
      </w:r>
    </w:p>
    <w:p w14:paraId="0C9F0C96" w14:textId="4268C9ED" w:rsidR="008860AC" w:rsidRPr="008C2B22" w:rsidRDefault="008860AC"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 xml:space="preserve">Por otra parte </w:t>
      </w:r>
      <w:r w:rsidR="00360D7A" w:rsidRPr="008C2B22">
        <w:rPr>
          <w:rFonts w:ascii="Times New Roman" w:eastAsia="Calibri" w:hAnsi="Times New Roman" w:cs="Times New Roman"/>
          <w:color w:val="4C4747"/>
          <w:spacing w:val="20"/>
          <w:sz w:val="24"/>
          <w:szCs w:val="24"/>
          <w:lang w:val="es-DO"/>
        </w:rPr>
        <w:t>también</w:t>
      </w:r>
      <w:r w:rsidRPr="008C2B22">
        <w:rPr>
          <w:rFonts w:ascii="Times New Roman" w:eastAsia="Calibri" w:hAnsi="Times New Roman" w:cs="Times New Roman"/>
          <w:color w:val="4C4747"/>
          <w:spacing w:val="20"/>
          <w:sz w:val="24"/>
          <w:szCs w:val="24"/>
          <w:lang w:val="es-DO"/>
        </w:rPr>
        <w:t xml:space="preserve"> tenemos los remozamientos de las 7 casetas de monitoreo ubicadas a nivel nacional en: Santiago, Bar</w:t>
      </w:r>
      <w:r w:rsidR="00360D7A" w:rsidRPr="008C2B22">
        <w:rPr>
          <w:rFonts w:ascii="Times New Roman" w:eastAsia="Calibri" w:hAnsi="Times New Roman" w:cs="Times New Roman"/>
          <w:color w:val="4C4747"/>
          <w:spacing w:val="20"/>
          <w:sz w:val="24"/>
          <w:szCs w:val="24"/>
          <w:lang w:val="es-DO"/>
        </w:rPr>
        <w:t>ahona, Salcedo, San Juan, Dajabó</w:t>
      </w:r>
      <w:r w:rsidRPr="008C2B22">
        <w:rPr>
          <w:rFonts w:ascii="Times New Roman" w:eastAsia="Calibri" w:hAnsi="Times New Roman" w:cs="Times New Roman"/>
          <w:color w:val="4C4747"/>
          <w:spacing w:val="20"/>
          <w:sz w:val="24"/>
          <w:szCs w:val="24"/>
          <w:lang w:val="es-DO"/>
        </w:rPr>
        <w:t>n, Hig</w:t>
      </w:r>
      <w:r w:rsidR="00360D7A" w:rsidRPr="008C2B22">
        <w:rPr>
          <w:rFonts w:ascii="Times New Roman" w:eastAsia="Calibri" w:hAnsi="Times New Roman" w:cs="Times New Roman"/>
          <w:color w:val="4C4747"/>
          <w:spacing w:val="20"/>
          <w:sz w:val="24"/>
          <w:szCs w:val="24"/>
          <w:lang w:val="es-DO"/>
        </w:rPr>
        <w:t>ü</w:t>
      </w:r>
      <w:r w:rsidRPr="008C2B22">
        <w:rPr>
          <w:rFonts w:ascii="Times New Roman" w:eastAsia="Calibri" w:hAnsi="Times New Roman" w:cs="Times New Roman"/>
          <w:color w:val="4C4747"/>
          <w:spacing w:val="20"/>
          <w:sz w:val="24"/>
          <w:szCs w:val="24"/>
          <w:lang w:val="es-DO"/>
        </w:rPr>
        <w:t>ey,</w:t>
      </w:r>
      <w:r w:rsidR="00360D7A" w:rsidRPr="008C2B22">
        <w:rPr>
          <w:rFonts w:ascii="Times New Roman" w:eastAsia="Calibri" w:hAnsi="Times New Roman" w:cs="Times New Roman"/>
          <w:color w:val="4C4747"/>
          <w:spacing w:val="20"/>
          <w:sz w:val="24"/>
          <w:szCs w:val="24"/>
          <w:lang w:val="es-DO"/>
        </w:rPr>
        <w:t xml:space="preserve"> </w:t>
      </w:r>
      <w:r w:rsidR="00E135ED" w:rsidRPr="008C2B22">
        <w:rPr>
          <w:rFonts w:ascii="Times New Roman" w:eastAsia="Calibri" w:hAnsi="Times New Roman" w:cs="Times New Roman"/>
          <w:color w:val="4C4747"/>
          <w:spacing w:val="20"/>
          <w:sz w:val="24"/>
          <w:szCs w:val="24"/>
          <w:lang w:val="es-DO"/>
        </w:rPr>
        <w:t>Santo Domingo (</w:t>
      </w:r>
      <w:r w:rsidRPr="008C2B22">
        <w:rPr>
          <w:rFonts w:ascii="Times New Roman" w:eastAsia="Calibri" w:hAnsi="Times New Roman" w:cs="Times New Roman"/>
          <w:color w:val="4C4747"/>
          <w:spacing w:val="20"/>
          <w:sz w:val="24"/>
          <w:szCs w:val="24"/>
          <w:lang w:val="es-DO"/>
        </w:rPr>
        <w:t>Jacobo Majluta</w:t>
      </w:r>
      <w:r w:rsidR="00E135ED" w:rsidRPr="008C2B22">
        <w:rPr>
          <w:rFonts w:ascii="Times New Roman" w:eastAsia="Calibri" w:hAnsi="Times New Roman" w:cs="Times New Roman"/>
          <w:color w:val="4C4747"/>
          <w:spacing w:val="20"/>
          <w:sz w:val="24"/>
          <w:szCs w:val="24"/>
          <w:lang w:val="es-DO"/>
        </w:rPr>
        <w:t>)</w:t>
      </w:r>
      <w:r w:rsidRPr="008C2B22">
        <w:rPr>
          <w:rFonts w:ascii="Times New Roman" w:eastAsia="Calibri" w:hAnsi="Times New Roman" w:cs="Times New Roman"/>
          <w:color w:val="4C4747"/>
          <w:spacing w:val="20"/>
          <w:sz w:val="24"/>
          <w:szCs w:val="24"/>
          <w:lang w:val="es-DO"/>
        </w:rPr>
        <w:t xml:space="preserve">. Los cuales han significado una </w:t>
      </w:r>
      <w:r w:rsidR="00360D7A" w:rsidRPr="008C2B22">
        <w:rPr>
          <w:rFonts w:ascii="Times New Roman" w:eastAsia="Calibri" w:hAnsi="Times New Roman" w:cs="Times New Roman"/>
          <w:color w:val="4C4747"/>
          <w:spacing w:val="20"/>
          <w:sz w:val="24"/>
          <w:szCs w:val="24"/>
          <w:lang w:val="es-DO"/>
        </w:rPr>
        <w:t>inversión</w:t>
      </w:r>
      <w:r w:rsidRPr="008C2B22">
        <w:rPr>
          <w:rFonts w:ascii="Times New Roman" w:eastAsia="Calibri" w:hAnsi="Times New Roman" w:cs="Times New Roman"/>
          <w:color w:val="4C4747"/>
          <w:spacing w:val="20"/>
          <w:sz w:val="24"/>
          <w:szCs w:val="24"/>
          <w:lang w:val="es-DO"/>
        </w:rPr>
        <w:t xml:space="preserve"> considerable para la </w:t>
      </w:r>
      <w:r w:rsidR="00360D7A" w:rsidRPr="008C2B22">
        <w:rPr>
          <w:rFonts w:ascii="Times New Roman" w:eastAsia="Calibri" w:hAnsi="Times New Roman" w:cs="Times New Roman"/>
          <w:color w:val="4C4747"/>
          <w:spacing w:val="20"/>
          <w:sz w:val="24"/>
          <w:szCs w:val="24"/>
          <w:lang w:val="es-DO"/>
        </w:rPr>
        <w:t>institución</w:t>
      </w:r>
      <w:r w:rsidRPr="008C2B22">
        <w:rPr>
          <w:rFonts w:ascii="Times New Roman" w:eastAsia="Calibri" w:hAnsi="Times New Roman" w:cs="Times New Roman"/>
          <w:color w:val="4C4747"/>
          <w:spacing w:val="20"/>
          <w:sz w:val="24"/>
          <w:szCs w:val="24"/>
          <w:lang w:val="es-DO"/>
        </w:rPr>
        <w:t xml:space="preserve"> buscando mantener el monitoreo del espectro las 24 horas del </w:t>
      </w:r>
      <w:r w:rsidR="00360D7A" w:rsidRPr="008C2B22">
        <w:rPr>
          <w:rFonts w:ascii="Times New Roman" w:eastAsia="Calibri" w:hAnsi="Times New Roman" w:cs="Times New Roman"/>
          <w:color w:val="4C4747"/>
          <w:spacing w:val="20"/>
          <w:sz w:val="24"/>
          <w:szCs w:val="24"/>
          <w:lang w:val="es-DO"/>
        </w:rPr>
        <w:t>día</w:t>
      </w:r>
      <w:r w:rsidRPr="008C2B22">
        <w:rPr>
          <w:rFonts w:ascii="Times New Roman" w:eastAsia="Calibri" w:hAnsi="Times New Roman" w:cs="Times New Roman"/>
          <w:color w:val="4C4747"/>
          <w:spacing w:val="20"/>
          <w:sz w:val="24"/>
          <w:szCs w:val="24"/>
          <w:lang w:val="es-DO"/>
        </w:rPr>
        <w:t xml:space="preserve"> sin </w:t>
      </w:r>
      <w:r w:rsidR="00360D7A" w:rsidRPr="008C2B22">
        <w:rPr>
          <w:rFonts w:ascii="Times New Roman" w:eastAsia="Calibri" w:hAnsi="Times New Roman" w:cs="Times New Roman"/>
          <w:color w:val="4C4747"/>
          <w:spacing w:val="20"/>
          <w:sz w:val="24"/>
          <w:szCs w:val="24"/>
          <w:lang w:val="es-DO"/>
        </w:rPr>
        <w:t>interrupción</w:t>
      </w:r>
      <w:r w:rsidRPr="008C2B22">
        <w:rPr>
          <w:rFonts w:ascii="Times New Roman" w:eastAsia="Calibri" w:hAnsi="Times New Roman" w:cs="Times New Roman"/>
          <w:color w:val="4C4747"/>
          <w:spacing w:val="20"/>
          <w:sz w:val="24"/>
          <w:szCs w:val="24"/>
          <w:lang w:val="es-DO"/>
        </w:rPr>
        <w:t xml:space="preserve"> y en condiciones </w:t>
      </w:r>
      <w:r w:rsidR="00360D7A" w:rsidRPr="008C2B22">
        <w:rPr>
          <w:rFonts w:ascii="Times New Roman" w:eastAsia="Calibri" w:hAnsi="Times New Roman" w:cs="Times New Roman"/>
          <w:color w:val="4C4747"/>
          <w:spacing w:val="20"/>
          <w:sz w:val="24"/>
          <w:szCs w:val="24"/>
          <w:lang w:val="es-DO"/>
        </w:rPr>
        <w:t>óptimas</w:t>
      </w:r>
      <w:r w:rsidRPr="008C2B22">
        <w:rPr>
          <w:rFonts w:ascii="Times New Roman" w:eastAsia="Calibri" w:hAnsi="Times New Roman" w:cs="Times New Roman"/>
          <w:color w:val="4C4747"/>
          <w:spacing w:val="20"/>
          <w:sz w:val="24"/>
          <w:szCs w:val="24"/>
          <w:lang w:val="es-DO"/>
        </w:rPr>
        <w:t xml:space="preserve">. </w:t>
      </w:r>
    </w:p>
    <w:p w14:paraId="43211FBE" w14:textId="117D6AAA" w:rsidR="00A77640" w:rsidRPr="008C2B22" w:rsidRDefault="00E135ED" w:rsidP="00A75CDE">
      <w:pPr>
        <w:spacing w:before="24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Este año inició</w:t>
      </w:r>
      <w:r w:rsidR="008860AC" w:rsidRPr="008C2B22">
        <w:rPr>
          <w:rFonts w:ascii="Times New Roman" w:eastAsia="Calibri" w:hAnsi="Times New Roman" w:cs="Times New Roman"/>
          <w:color w:val="4C4747"/>
          <w:spacing w:val="20"/>
          <w:sz w:val="24"/>
          <w:szCs w:val="24"/>
          <w:lang w:val="es-DO"/>
        </w:rPr>
        <w:t xml:space="preserve"> nuestro primer piloto de </w:t>
      </w:r>
      <w:r w:rsidR="00360D7A" w:rsidRPr="008C2B22">
        <w:rPr>
          <w:rFonts w:ascii="Times New Roman" w:eastAsia="Calibri" w:hAnsi="Times New Roman" w:cs="Times New Roman"/>
          <w:color w:val="4C4747"/>
          <w:spacing w:val="20"/>
          <w:sz w:val="24"/>
          <w:szCs w:val="24"/>
          <w:lang w:val="es-DO"/>
        </w:rPr>
        <w:t>instalación</w:t>
      </w:r>
      <w:r w:rsidR="008860AC" w:rsidRPr="008C2B22">
        <w:rPr>
          <w:rFonts w:ascii="Times New Roman" w:eastAsia="Calibri" w:hAnsi="Times New Roman" w:cs="Times New Roman"/>
          <w:color w:val="4C4747"/>
          <w:spacing w:val="20"/>
          <w:sz w:val="24"/>
          <w:szCs w:val="24"/>
          <w:lang w:val="es-DO"/>
        </w:rPr>
        <w:t xml:space="preserve"> de paneles solares en nuestra caseta de </w:t>
      </w:r>
      <w:r w:rsidR="00360D7A" w:rsidRPr="008C2B22">
        <w:rPr>
          <w:rFonts w:ascii="Times New Roman" w:eastAsia="Calibri" w:hAnsi="Times New Roman" w:cs="Times New Roman"/>
          <w:color w:val="4C4747"/>
          <w:spacing w:val="20"/>
          <w:sz w:val="24"/>
          <w:szCs w:val="24"/>
          <w:lang w:val="es-DO"/>
        </w:rPr>
        <w:t>Barahona</w:t>
      </w:r>
      <w:r w:rsidR="008860AC" w:rsidRPr="008C2B22">
        <w:rPr>
          <w:rFonts w:ascii="Times New Roman" w:eastAsia="Calibri" w:hAnsi="Times New Roman" w:cs="Times New Roman"/>
          <w:color w:val="4C4747"/>
          <w:spacing w:val="20"/>
          <w:sz w:val="24"/>
          <w:szCs w:val="24"/>
          <w:lang w:val="es-DO"/>
        </w:rPr>
        <w:t xml:space="preserve"> lo cual significa que </w:t>
      </w:r>
      <w:r w:rsidR="00360D7A" w:rsidRPr="008C2B22">
        <w:rPr>
          <w:rFonts w:ascii="Times New Roman" w:eastAsia="Calibri" w:hAnsi="Times New Roman" w:cs="Times New Roman"/>
          <w:color w:val="4C4747"/>
          <w:spacing w:val="20"/>
          <w:sz w:val="24"/>
          <w:szCs w:val="24"/>
          <w:lang w:val="es-DO"/>
        </w:rPr>
        <w:t>se está trabajando</w:t>
      </w:r>
      <w:r w:rsidR="008860AC" w:rsidRPr="008C2B22">
        <w:rPr>
          <w:rFonts w:ascii="Times New Roman" w:eastAsia="Calibri" w:hAnsi="Times New Roman" w:cs="Times New Roman"/>
          <w:color w:val="4C4747"/>
          <w:spacing w:val="20"/>
          <w:sz w:val="24"/>
          <w:szCs w:val="24"/>
          <w:lang w:val="es-DO"/>
        </w:rPr>
        <w:t xml:space="preserve"> para reducir las emisiones a</w:t>
      </w:r>
      <w:r w:rsidR="00360D7A" w:rsidRPr="008C2B22">
        <w:rPr>
          <w:rFonts w:ascii="Times New Roman" w:eastAsia="Calibri" w:hAnsi="Times New Roman" w:cs="Times New Roman"/>
          <w:color w:val="4C4747"/>
          <w:spacing w:val="20"/>
          <w:sz w:val="24"/>
          <w:szCs w:val="24"/>
          <w:lang w:val="es-DO"/>
        </w:rPr>
        <w:t>l</w:t>
      </w:r>
      <w:r w:rsidR="008860AC" w:rsidRPr="008C2B22">
        <w:rPr>
          <w:rFonts w:ascii="Times New Roman" w:eastAsia="Calibri" w:hAnsi="Times New Roman" w:cs="Times New Roman"/>
          <w:color w:val="4C4747"/>
          <w:spacing w:val="20"/>
          <w:sz w:val="24"/>
          <w:szCs w:val="24"/>
          <w:lang w:val="es-DO"/>
        </w:rPr>
        <w:t xml:space="preserve"> ambiente y por ende </w:t>
      </w:r>
      <w:r w:rsidR="00360D7A" w:rsidRPr="008C2B22">
        <w:rPr>
          <w:rFonts w:ascii="Times New Roman" w:eastAsia="Calibri" w:hAnsi="Times New Roman" w:cs="Times New Roman"/>
          <w:color w:val="4C4747"/>
          <w:spacing w:val="20"/>
          <w:sz w:val="24"/>
          <w:szCs w:val="24"/>
          <w:lang w:val="es-DO"/>
        </w:rPr>
        <w:t>reducir</w:t>
      </w:r>
      <w:r w:rsidR="008860AC" w:rsidRPr="008C2B22">
        <w:rPr>
          <w:rFonts w:ascii="Times New Roman" w:eastAsia="Calibri" w:hAnsi="Times New Roman" w:cs="Times New Roman"/>
          <w:color w:val="4C4747"/>
          <w:spacing w:val="20"/>
          <w:sz w:val="24"/>
          <w:szCs w:val="24"/>
          <w:lang w:val="es-DO"/>
        </w:rPr>
        <w:t xml:space="preserve"> la </w:t>
      </w:r>
      <w:r w:rsidR="00360D7A" w:rsidRPr="008C2B22">
        <w:rPr>
          <w:rFonts w:ascii="Times New Roman" w:eastAsia="Calibri" w:hAnsi="Times New Roman" w:cs="Times New Roman"/>
          <w:color w:val="4C4747"/>
          <w:spacing w:val="20"/>
          <w:sz w:val="24"/>
          <w:szCs w:val="24"/>
          <w:lang w:val="es-DO"/>
        </w:rPr>
        <w:t>contaminación</w:t>
      </w:r>
      <w:r w:rsidR="008860AC" w:rsidRPr="008C2B22">
        <w:rPr>
          <w:rFonts w:ascii="Times New Roman" w:eastAsia="Calibri" w:hAnsi="Times New Roman" w:cs="Times New Roman"/>
          <w:color w:val="4C4747"/>
          <w:spacing w:val="20"/>
          <w:sz w:val="24"/>
          <w:szCs w:val="24"/>
          <w:lang w:val="es-DO"/>
        </w:rPr>
        <w:t xml:space="preserve"> por este concepto. En los </w:t>
      </w:r>
      <w:r w:rsidR="00360D7A" w:rsidRPr="008C2B22">
        <w:rPr>
          <w:rFonts w:ascii="Times New Roman" w:eastAsia="Calibri" w:hAnsi="Times New Roman" w:cs="Times New Roman"/>
          <w:color w:val="4C4747"/>
          <w:spacing w:val="20"/>
          <w:sz w:val="24"/>
          <w:szCs w:val="24"/>
          <w:lang w:val="es-DO"/>
        </w:rPr>
        <w:t>próximos años se estará</w:t>
      </w:r>
      <w:r w:rsidR="008860AC" w:rsidRPr="008C2B22">
        <w:rPr>
          <w:rFonts w:ascii="Times New Roman" w:eastAsia="Calibri" w:hAnsi="Times New Roman" w:cs="Times New Roman"/>
          <w:color w:val="4C4747"/>
          <w:spacing w:val="20"/>
          <w:sz w:val="24"/>
          <w:szCs w:val="24"/>
          <w:lang w:val="es-DO"/>
        </w:rPr>
        <w:t xml:space="preserve"> trabajando para suplir a todas</w:t>
      </w:r>
      <w:r w:rsidR="00F43708" w:rsidRPr="008C2B22">
        <w:rPr>
          <w:rFonts w:ascii="Times New Roman" w:eastAsia="Calibri" w:hAnsi="Times New Roman" w:cs="Times New Roman"/>
          <w:color w:val="4C4747"/>
          <w:spacing w:val="20"/>
          <w:sz w:val="24"/>
          <w:szCs w:val="24"/>
          <w:lang w:val="es-DO"/>
        </w:rPr>
        <w:t xml:space="preserve"> las casetas bajo este modelo. </w:t>
      </w:r>
    </w:p>
    <w:p w14:paraId="2751683B" w14:textId="77777777" w:rsidR="008860AC" w:rsidRPr="008C2B22" w:rsidRDefault="008860AC" w:rsidP="00A75CDE">
      <w:pPr>
        <w:spacing w:before="240"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Infraestructura Física y Servicios Generales</w:t>
      </w:r>
    </w:p>
    <w:p w14:paraId="79186989" w14:textId="77777777" w:rsidR="008860AC" w:rsidRPr="008C2B22" w:rsidRDefault="008860AC" w:rsidP="00A75CDE">
      <w:pPr>
        <w:spacing w:before="24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El área de infraestructura y servicios generales han trabajado arduamente para realizar readecuaciones y adecuaciones pertinentes a las áreas operativas logrando mejorar el entorno de trabajo; se ha obtenido una reducción en los costos que implican las reparaciones y mantenimiento debido a que contamos con personal técnico interno que lleva a cabo estas funciones.</w:t>
      </w:r>
    </w:p>
    <w:p w14:paraId="3087BE59" w14:textId="30D0D5D8" w:rsidR="00F43708" w:rsidRPr="008C2B22" w:rsidRDefault="008860AC" w:rsidP="00A75CDE">
      <w:pPr>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En otro orden, la institución otorga mantenimiento preventivo a sus equipos y vehículos con la finalidad de alargar su vida útil</w:t>
      </w:r>
      <w:r w:rsidR="00360D7A" w:rsidRPr="008C2B22">
        <w:rPr>
          <w:rFonts w:ascii="Times New Roman" w:eastAsia="Calibri" w:hAnsi="Times New Roman" w:cs="Times New Roman"/>
          <w:color w:val="4C4747"/>
          <w:spacing w:val="20"/>
          <w:sz w:val="24"/>
          <w:szCs w:val="24"/>
          <w:lang w:val="es-DO"/>
        </w:rPr>
        <w:t xml:space="preserve">, garantizando </w:t>
      </w:r>
      <w:r w:rsidRPr="008C2B22">
        <w:rPr>
          <w:rFonts w:ascii="Times New Roman" w:eastAsia="Calibri" w:hAnsi="Times New Roman" w:cs="Times New Roman"/>
          <w:color w:val="4C4747"/>
          <w:spacing w:val="20"/>
          <w:sz w:val="24"/>
          <w:szCs w:val="24"/>
          <w:lang w:val="es-DO"/>
        </w:rPr>
        <w:t xml:space="preserve">la seguridad de los colaboradores al momento de utilizarlos. Ver </w:t>
      </w:r>
      <w:r w:rsidR="00360D7A" w:rsidRPr="008C2B22">
        <w:rPr>
          <w:rFonts w:ascii="Times New Roman" w:eastAsia="Calibri" w:hAnsi="Times New Roman" w:cs="Times New Roman"/>
          <w:color w:val="4C4747"/>
          <w:spacing w:val="20"/>
          <w:sz w:val="24"/>
          <w:szCs w:val="24"/>
          <w:lang w:val="es-DO"/>
        </w:rPr>
        <w:t>detalles en la siguiente tabla:</w:t>
      </w:r>
    </w:p>
    <w:p w14:paraId="56A89629" w14:textId="77777777" w:rsidR="00A408F8" w:rsidRPr="008C2B22" w:rsidRDefault="00A408F8" w:rsidP="00A75CDE">
      <w:pPr>
        <w:spacing w:line="360" w:lineRule="auto"/>
        <w:jc w:val="both"/>
        <w:rPr>
          <w:rFonts w:ascii="Times New Roman" w:eastAsia="Calibri" w:hAnsi="Times New Roman" w:cs="Times New Roman"/>
          <w:color w:val="4C4747"/>
          <w:spacing w:val="20"/>
          <w:sz w:val="24"/>
          <w:szCs w:val="24"/>
          <w:lang w:val="es-DO"/>
        </w:rPr>
      </w:pPr>
    </w:p>
    <w:p w14:paraId="1C9582CE" w14:textId="77777777" w:rsidR="00A408F8" w:rsidRPr="008C2B22" w:rsidRDefault="00A408F8" w:rsidP="00A75CDE">
      <w:pPr>
        <w:spacing w:line="360" w:lineRule="auto"/>
        <w:jc w:val="both"/>
        <w:rPr>
          <w:rFonts w:ascii="Times New Roman" w:eastAsia="Calibri" w:hAnsi="Times New Roman" w:cs="Times New Roman"/>
          <w:color w:val="4C4747"/>
          <w:spacing w:val="20"/>
          <w:sz w:val="24"/>
          <w:szCs w:val="24"/>
          <w:lang w:val="es-DO"/>
        </w:rPr>
      </w:pPr>
    </w:p>
    <w:p w14:paraId="2EC7DF7F" w14:textId="77777777" w:rsidR="00A408F8" w:rsidRPr="00C62BB6" w:rsidRDefault="00A408F8" w:rsidP="00A75CDE">
      <w:pPr>
        <w:spacing w:line="360" w:lineRule="auto"/>
        <w:jc w:val="both"/>
        <w:rPr>
          <w:rFonts w:ascii="Times New Roman" w:eastAsia="Calibri" w:hAnsi="Times New Roman" w:cs="Times New Roman"/>
          <w:color w:val="4C4747"/>
          <w:spacing w:val="20"/>
          <w:sz w:val="24"/>
          <w:szCs w:val="24"/>
          <w:lang w:val="es-DO"/>
        </w:rPr>
      </w:pPr>
    </w:p>
    <w:p w14:paraId="629E290F" w14:textId="77777777" w:rsidR="00F43708" w:rsidRPr="00C62BB6" w:rsidRDefault="00F43708" w:rsidP="00A75CDE">
      <w:pPr>
        <w:spacing w:line="360" w:lineRule="auto"/>
        <w:jc w:val="both"/>
        <w:rPr>
          <w:rFonts w:ascii="Times New Roman" w:eastAsia="Calibri" w:hAnsi="Times New Roman" w:cs="Times New Roman"/>
          <w:color w:val="4C4747"/>
          <w:spacing w:val="20"/>
          <w:sz w:val="24"/>
          <w:szCs w:val="24"/>
          <w:lang w:val="es-DO"/>
        </w:rPr>
      </w:pPr>
    </w:p>
    <w:tbl>
      <w:tblPr>
        <w:tblW w:w="8010" w:type="dxa"/>
        <w:tblInd w:w="-10" w:type="dxa"/>
        <w:shd w:val="clear" w:color="auto" w:fill="FFFFFF"/>
        <w:tblCellMar>
          <w:left w:w="0" w:type="dxa"/>
          <w:right w:w="0" w:type="dxa"/>
        </w:tblCellMar>
        <w:tblLook w:val="04A0" w:firstRow="1" w:lastRow="0" w:firstColumn="1" w:lastColumn="0" w:noHBand="0" w:noVBand="1"/>
      </w:tblPr>
      <w:tblGrid>
        <w:gridCol w:w="6096"/>
        <w:gridCol w:w="1914"/>
      </w:tblGrid>
      <w:tr w:rsidR="008860AC" w:rsidRPr="00376423" w14:paraId="34181FA6" w14:textId="77777777" w:rsidTr="00943FA5">
        <w:trPr>
          <w:trHeight w:val="565"/>
        </w:trPr>
        <w:tc>
          <w:tcPr>
            <w:tcW w:w="8010" w:type="dxa"/>
            <w:gridSpan w:val="2"/>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41C4C075" w14:textId="77777777" w:rsidR="008860AC" w:rsidRPr="00C62BB6" w:rsidRDefault="008860AC" w:rsidP="00A75CDE">
            <w:pPr>
              <w:spacing w:line="360" w:lineRule="auto"/>
              <w:jc w:val="center"/>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lastRenderedPageBreak/>
              <w:t>Estadísticas de Mantenimientos de Infraestructura y Vehículos</w:t>
            </w:r>
          </w:p>
        </w:tc>
      </w:tr>
      <w:tr w:rsidR="008860AC" w:rsidRPr="00C62BB6" w14:paraId="2D476005" w14:textId="77777777" w:rsidTr="00430A3C">
        <w:trPr>
          <w:trHeight w:val="362"/>
        </w:trPr>
        <w:tc>
          <w:tcPr>
            <w:tcW w:w="609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C82E04C" w14:textId="77777777" w:rsidR="008860AC" w:rsidRPr="00C62BB6" w:rsidRDefault="008860AC" w:rsidP="00A75CDE">
            <w:pPr>
              <w:spacing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Mantenimiento de vehículos</w:t>
            </w:r>
          </w:p>
        </w:tc>
        <w:tc>
          <w:tcPr>
            <w:tcW w:w="191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3E397E7" w14:textId="77777777" w:rsidR="008860AC" w:rsidRPr="00C62BB6" w:rsidRDefault="008860AC" w:rsidP="00A75CDE">
            <w:pPr>
              <w:spacing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124</w:t>
            </w:r>
          </w:p>
        </w:tc>
      </w:tr>
      <w:tr w:rsidR="008860AC" w:rsidRPr="00C62BB6" w14:paraId="06E2DD48" w14:textId="77777777" w:rsidTr="00430A3C">
        <w:trPr>
          <w:trHeight w:val="362"/>
        </w:trPr>
        <w:tc>
          <w:tcPr>
            <w:tcW w:w="609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63B7742" w14:textId="77777777" w:rsidR="008860AC" w:rsidRPr="00C62BB6" w:rsidRDefault="008860AC" w:rsidP="00A75CDE">
            <w:pPr>
              <w:spacing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Mantenimiento de infraestructura</w:t>
            </w:r>
          </w:p>
        </w:tc>
        <w:tc>
          <w:tcPr>
            <w:tcW w:w="191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25AF7D7" w14:textId="77777777" w:rsidR="008860AC" w:rsidRPr="00C62BB6" w:rsidRDefault="008860AC" w:rsidP="00A75CDE">
            <w:pPr>
              <w:spacing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234</w:t>
            </w:r>
          </w:p>
        </w:tc>
      </w:tr>
      <w:tr w:rsidR="008860AC" w:rsidRPr="00C62BB6" w14:paraId="3B2A9888" w14:textId="77777777" w:rsidTr="00430A3C">
        <w:trPr>
          <w:trHeight w:val="362"/>
        </w:trPr>
        <w:tc>
          <w:tcPr>
            <w:tcW w:w="609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84FD565" w14:textId="77777777" w:rsidR="008860AC" w:rsidRPr="00C62BB6" w:rsidRDefault="008860AC" w:rsidP="00A75CDE">
            <w:pPr>
              <w:spacing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Mantenimiento aires acondicionados</w:t>
            </w:r>
          </w:p>
        </w:tc>
        <w:tc>
          <w:tcPr>
            <w:tcW w:w="191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9BA4D0C" w14:textId="77777777" w:rsidR="008860AC" w:rsidRPr="00C62BB6" w:rsidRDefault="008860AC" w:rsidP="00A75CDE">
            <w:pPr>
              <w:spacing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81</w:t>
            </w:r>
          </w:p>
        </w:tc>
      </w:tr>
      <w:tr w:rsidR="008860AC" w:rsidRPr="00C62BB6" w14:paraId="3FE34D8D" w14:textId="77777777" w:rsidTr="00430A3C">
        <w:trPr>
          <w:trHeight w:val="362"/>
        </w:trPr>
        <w:tc>
          <w:tcPr>
            <w:tcW w:w="609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C2A64B5" w14:textId="77777777" w:rsidR="008860AC" w:rsidRPr="00C62BB6" w:rsidRDefault="008860AC" w:rsidP="00A75CDE">
            <w:pPr>
              <w:spacing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Fumigación control de plagas y desinfección</w:t>
            </w:r>
          </w:p>
        </w:tc>
        <w:tc>
          <w:tcPr>
            <w:tcW w:w="191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16662A6" w14:textId="77777777" w:rsidR="008860AC" w:rsidRPr="00C62BB6" w:rsidRDefault="008860AC" w:rsidP="00A75CDE">
            <w:pPr>
              <w:spacing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24</w:t>
            </w:r>
          </w:p>
        </w:tc>
      </w:tr>
    </w:tbl>
    <w:p w14:paraId="6899FE49" w14:textId="2735FE6C" w:rsidR="00F43708" w:rsidRPr="00C62BB6" w:rsidRDefault="008860AC" w:rsidP="00A75CDE">
      <w:pPr>
        <w:spacing w:line="360" w:lineRule="auto"/>
        <w:jc w:val="both"/>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Dirección Administrativa</w:t>
      </w:r>
    </w:p>
    <w:p w14:paraId="406DDA3C" w14:textId="77777777" w:rsidR="00A75CDE" w:rsidRPr="00C62BB6" w:rsidRDefault="00A75CDE" w:rsidP="00A75CDE">
      <w:pPr>
        <w:spacing w:line="360" w:lineRule="auto"/>
        <w:jc w:val="both"/>
        <w:rPr>
          <w:rFonts w:ascii="Times New Roman" w:eastAsia="Calibri" w:hAnsi="Times New Roman" w:cs="Times New Roman"/>
          <w:color w:val="4C4747"/>
          <w:spacing w:val="20"/>
          <w:sz w:val="18"/>
          <w:szCs w:val="24"/>
          <w:lang w:val="es-DO"/>
        </w:rPr>
      </w:pPr>
    </w:p>
    <w:p w14:paraId="515A1147" w14:textId="77777777" w:rsidR="00A75CDE" w:rsidRPr="00C62BB6" w:rsidRDefault="00A75CDE" w:rsidP="00A75CDE">
      <w:pPr>
        <w:spacing w:line="360" w:lineRule="auto"/>
        <w:jc w:val="both"/>
        <w:rPr>
          <w:rFonts w:ascii="Times New Roman" w:eastAsia="Calibri" w:hAnsi="Times New Roman" w:cs="Times New Roman"/>
          <w:color w:val="4C4747"/>
          <w:spacing w:val="20"/>
          <w:sz w:val="18"/>
          <w:szCs w:val="24"/>
          <w:lang w:val="es-DO"/>
        </w:rPr>
      </w:pPr>
    </w:p>
    <w:p w14:paraId="0755B6B3" w14:textId="77777777" w:rsidR="00A75CDE" w:rsidRPr="00C62BB6" w:rsidRDefault="00A75CDE" w:rsidP="00A75CDE">
      <w:pPr>
        <w:spacing w:line="360" w:lineRule="auto"/>
        <w:jc w:val="both"/>
        <w:rPr>
          <w:rFonts w:ascii="Times New Roman" w:eastAsia="Calibri" w:hAnsi="Times New Roman" w:cs="Times New Roman"/>
          <w:color w:val="4C4747"/>
          <w:spacing w:val="20"/>
          <w:sz w:val="18"/>
          <w:szCs w:val="24"/>
          <w:lang w:val="es-DO"/>
        </w:rPr>
      </w:pPr>
    </w:p>
    <w:p w14:paraId="7E4EA5B3" w14:textId="77777777" w:rsidR="00A75CDE" w:rsidRPr="00C62BB6" w:rsidRDefault="00A75CDE" w:rsidP="00A75CDE">
      <w:pPr>
        <w:spacing w:line="360" w:lineRule="auto"/>
        <w:jc w:val="both"/>
        <w:rPr>
          <w:rFonts w:ascii="Times New Roman" w:eastAsia="Calibri" w:hAnsi="Times New Roman" w:cs="Times New Roman"/>
          <w:color w:val="4C4747"/>
          <w:spacing w:val="20"/>
          <w:sz w:val="18"/>
          <w:szCs w:val="24"/>
          <w:lang w:val="es-DO"/>
        </w:rPr>
      </w:pPr>
    </w:p>
    <w:p w14:paraId="2A37B878" w14:textId="77777777" w:rsidR="00A75CDE" w:rsidRPr="00C62BB6" w:rsidRDefault="00A75CDE" w:rsidP="00A75CDE">
      <w:pPr>
        <w:spacing w:line="360" w:lineRule="auto"/>
        <w:jc w:val="both"/>
        <w:rPr>
          <w:rFonts w:ascii="Times New Roman" w:eastAsia="Calibri" w:hAnsi="Times New Roman" w:cs="Times New Roman"/>
          <w:color w:val="4C4747"/>
          <w:spacing w:val="20"/>
          <w:sz w:val="18"/>
          <w:szCs w:val="24"/>
          <w:lang w:val="es-DO"/>
        </w:rPr>
      </w:pPr>
    </w:p>
    <w:p w14:paraId="36AC918F" w14:textId="77777777" w:rsidR="00A75CDE" w:rsidRPr="00C62BB6" w:rsidRDefault="00A75CDE" w:rsidP="00A75CDE">
      <w:pPr>
        <w:spacing w:line="360" w:lineRule="auto"/>
        <w:jc w:val="both"/>
        <w:rPr>
          <w:rFonts w:ascii="Times New Roman" w:eastAsia="Calibri" w:hAnsi="Times New Roman" w:cs="Times New Roman"/>
          <w:color w:val="4C4747"/>
          <w:spacing w:val="20"/>
          <w:sz w:val="18"/>
          <w:szCs w:val="24"/>
          <w:lang w:val="es-DO"/>
        </w:rPr>
      </w:pPr>
    </w:p>
    <w:p w14:paraId="1558FD1C" w14:textId="77777777" w:rsidR="00A75CDE" w:rsidRPr="00C62BB6" w:rsidRDefault="00A75CDE" w:rsidP="00A75CDE">
      <w:pPr>
        <w:spacing w:line="360" w:lineRule="auto"/>
        <w:jc w:val="both"/>
        <w:rPr>
          <w:rFonts w:ascii="Times New Roman" w:eastAsia="Calibri" w:hAnsi="Times New Roman" w:cs="Times New Roman"/>
          <w:color w:val="4C4747"/>
          <w:spacing w:val="20"/>
          <w:sz w:val="18"/>
          <w:szCs w:val="24"/>
          <w:lang w:val="es-DO"/>
        </w:rPr>
      </w:pPr>
    </w:p>
    <w:p w14:paraId="11F2CCB4" w14:textId="77777777" w:rsidR="00A75CDE" w:rsidRPr="00C62BB6" w:rsidRDefault="00A75CDE" w:rsidP="00A75CDE">
      <w:pPr>
        <w:spacing w:line="360" w:lineRule="auto"/>
        <w:jc w:val="both"/>
        <w:rPr>
          <w:rFonts w:ascii="Times New Roman" w:eastAsia="Calibri" w:hAnsi="Times New Roman" w:cs="Times New Roman"/>
          <w:color w:val="4C4747"/>
          <w:spacing w:val="20"/>
          <w:sz w:val="18"/>
          <w:szCs w:val="24"/>
          <w:lang w:val="es-DO"/>
        </w:rPr>
      </w:pPr>
    </w:p>
    <w:p w14:paraId="2AA3CB57" w14:textId="77777777" w:rsidR="00A75CDE" w:rsidRDefault="00A75CDE" w:rsidP="00A75CDE">
      <w:pPr>
        <w:spacing w:line="360" w:lineRule="auto"/>
        <w:jc w:val="both"/>
        <w:rPr>
          <w:rFonts w:ascii="Times New Roman" w:eastAsia="Calibri" w:hAnsi="Times New Roman" w:cs="Times New Roman"/>
          <w:color w:val="767171"/>
          <w:spacing w:val="20"/>
          <w:sz w:val="18"/>
          <w:szCs w:val="24"/>
          <w:lang w:val="es-DO"/>
        </w:rPr>
      </w:pPr>
    </w:p>
    <w:p w14:paraId="68BC9A0D" w14:textId="77777777" w:rsidR="00A75CDE" w:rsidRDefault="00A75CDE" w:rsidP="00A75CDE">
      <w:pPr>
        <w:spacing w:line="360" w:lineRule="auto"/>
        <w:jc w:val="both"/>
        <w:rPr>
          <w:rFonts w:ascii="Times New Roman" w:eastAsia="Calibri" w:hAnsi="Times New Roman" w:cs="Times New Roman"/>
          <w:color w:val="767171"/>
          <w:spacing w:val="20"/>
          <w:sz w:val="18"/>
          <w:szCs w:val="24"/>
          <w:lang w:val="es-DO"/>
        </w:rPr>
      </w:pPr>
    </w:p>
    <w:p w14:paraId="266ECF93" w14:textId="77777777" w:rsidR="00A75CDE" w:rsidRDefault="00A75CDE" w:rsidP="00A75CDE">
      <w:pPr>
        <w:spacing w:line="360" w:lineRule="auto"/>
        <w:jc w:val="both"/>
        <w:rPr>
          <w:rFonts w:ascii="Times New Roman" w:eastAsia="Calibri" w:hAnsi="Times New Roman" w:cs="Times New Roman"/>
          <w:color w:val="767171"/>
          <w:spacing w:val="20"/>
          <w:sz w:val="18"/>
          <w:szCs w:val="24"/>
          <w:lang w:val="es-DO"/>
        </w:rPr>
      </w:pPr>
    </w:p>
    <w:p w14:paraId="041DEEA2" w14:textId="77777777" w:rsidR="00A75CDE" w:rsidRDefault="00A75CDE" w:rsidP="00A75CDE">
      <w:pPr>
        <w:spacing w:line="360" w:lineRule="auto"/>
        <w:jc w:val="both"/>
        <w:rPr>
          <w:rFonts w:ascii="Times New Roman" w:eastAsia="Calibri" w:hAnsi="Times New Roman" w:cs="Times New Roman"/>
          <w:color w:val="767171"/>
          <w:spacing w:val="20"/>
          <w:sz w:val="18"/>
          <w:szCs w:val="24"/>
          <w:lang w:val="es-DO"/>
        </w:rPr>
      </w:pPr>
    </w:p>
    <w:p w14:paraId="0B58611F" w14:textId="77777777" w:rsidR="00A75CDE" w:rsidRDefault="00A75CDE" w:rsidP="00A75CDE">
      <w:pPr>
        <w:spacing w:line="360" w:lineRule="auto"/>
        <w:jc w:val="both"/>
        <w:rPr>
          <w:rFonts w:ascii="Times New Roman" w:eastAsia="Calibri" w:hAnsi="Times New Roman" w:cs="Times New Roman"/>
          <w:color w:val="767171"/>
          <w:spacing w:val="20"/>
          <w:sz w:val="18"/>
          <w:szCs w:val="24"/>
          <w:lang w:val="es-DO"/>
        </w:rPr>
      </w:pPr>
    </w:p>
    <w:p w14:paraId="58929270" w14:textId="77777777" w:rsidR="00A75CDE" w:rsidRDefault="00A75CDE" w:rsidP="00A75CDE">
      <w:pPr>
        <w:spacing w:line="360" w:lineRule="auto"/>
        <w:jc w:val="both"/>
        <w:rPr>
          <w:rFonts w:ascii="Times New Roman" w:eastAsia="Calibri" w:hAnsi="Times New Roman" w:cs="Times New Roman"/>
          <w:color w:val="767171"/>
          <w:spacing w:val="20"/>
          <w:sz w:val="18"/>
          <w:szCs w:val="24"/>
          <w:lang w:val="es-DO"/>
        </w:rPr>
      </w:pPr>
    </w:p>
    <w:p w14:paraId="0A08CB07" w14:textId="77777777" w:rsidR="00A75CDE" w:rsidRDefault="00A75CDE" w:rsidP="00A75CDE">
      <w:pPr>
        <w:spacing w:line="360" w:lineRule="auto"/>
        <w:jc w:val="both"/>
        <w:rPr>
          <w:rFonts w:ascii="Times New Roman" w:eastAsia="Calibri" w:hAnsi="Times New Roman" w:cs="Times New Roman"/>
          <w:color w:val="767171"/>
          <w:spacing w:val="20"/>
          <w:sz w:val="18"/>
          <w:szCs w:val="24"/>
          <w:lang w:val="es-DO"/>
        </w:rPr>
      </w:pPr>
    </w:p>
    <w:p w14:paraId="0E617415" w14:textId="77777777" w:rsidR="00A75CDE" w:rsidRDefault="00A75CDE" w:rsidP="00A75CDE">
      <w:pPr>
        <w:spacing w:line="360" w:lineRule="auto"/>
        <w:jc w:val="both"/>
        <w:rPr>
          <w:rFonts w:ascii="Times New Roman" w:eastAsia="Calibri" w:hAnsi="Times New Roman" w:cs="Times New Roman"/>
          <w:color w:val="767171"/>
          <w:spacing w:val="20"/>
          <w:sz w:val="18"/>
          <w:szCs w:val="24"/>
          <w:lang w:val="es-DO"/>
        </w:rPr>
      </w:pPr>
    </w:p>
    <w:p w14:paraId="4BAF075F" w14:textId="77777777" w:rsidR="00A75CDE" w:rsidRPr="00A75CDE" w:rsidRDefault="00A75CDE" w:rsidP="00A75CDE">
      <w:pPr>
        <w:spacing w:line="360" w:lineRule="auto"/>
        <w:jc w:val="both"/>
        <w:rPr>
          <w:rFonts w:ascii="Times New Roman" w:eastAsia="Calibri" w:hAnsi="Times New Roman" w:cs="Times New Roman"/>
          <w:color w:val="767171"/>
          <w:spacing w:val="20"/>
          <w:sz w:val="18"/>
          <w:szCs w:val="24"/>
          <w:lang w:val="es-DO"/>
        </w:rPr>
      </w:pPr>
    </w:p>
    <w:p w14:paraId="3EBB0B1B" w14:textId="77777777" w:rsidR="00A75CDE" w:rsidRDefault="00A75CDE" w:rsidP="00A75CDE">
      <w:pPr>
        <w:rPr>
          <w:lang w:val="es-DO"/>
        </w:rPr>
      </w:pPr>
    </w:p>
    <w:p w14:paraId="28A5D72A" w14:textId="77777777" w:rsidR="00A75CDE" w:rsidRPr="00A75CDE" w:rsidRDefault="00A75CDE" w:rsidP="00A75CDE">
      <w:pPr>
        <w:rPr>
          <w:lang w:val="es-DO"/>
        </w:rPr>
      </w:pPr>
    </w:p>
    <w:p w14:paraId="72245016" w14:textId="473D2C92" w:rsidR="00A71A82" w:rsidRPr="005A11A8" w:rsidRDefault="006D62FE" w:rsidP="00A75CDE">
      <w:pPr>
        <w:pStyle w:val="Ttulo4"/>
        <w:rPr>
          <w:rFonts w:ascii="Times New Roman" w:hAnsi="Times New Roman" w:cs="Times New Roman"/>
          <w:b/>
          <w:i w:val="0"/>
          <w:color w:val="4C4747"/>
          <w:sz w:val="24"/>
          <w:szCs w:val="24"/>
          <w:lang w:val="es-DO" w:eastAsia="es-DO"/>
        </w:rPr>
      </w:pPr>
      <w:r w:rsidRPr="005A11A8">
        <w:rPr>
          <w:rFonts w:ascii="Times New Roman" w:hAnsi="Times New Roman" w:cs="Times New Roman"/>
          <w:b/>
          <w:i w:val="0"/>
          <w:color w:val="4C4747"/>
          <w:sz w:val="24"/>
          <w:szCs w:val="24"/>
          <w:lang w:val="es-DO" w:eastAsia="es-DO"/>
        </w:rPr>
        <w:lastRenderedPageBreak/>
        <w:t xml:space="preserve">4.1.2 </w:t>
      </w:r>
      <w:r w:rsidR="00A71A82" w:rsidRPr="005A11A8">
        <w:rPr>
          <w:rFonts w:ascii="Times New Roman" w:hAnsi="Times New Roman" w:cs="Times New Roman"/>
          <w:b/>
          <w:i w:val="0"/>
          <w:color w:val="4C4747"/>
          <w:sz w:val="24"/>
          <w:szCs w:val="24"/>
          <w:lang w:val="es-DO" w:eastAsia="es-DO"/>
        </w:rPr>
        <w:t>Desempeño Financiero</w:t>
      </w:r>
    </w:p>
    <w:p w14:paraId="2910508C" w14:textId="77777777" w:rsidR="006E78AD" w:rsidRPr="008E6046" w:rsidRDefault="006E78AD" w:rsidP="006E78AD">
      <w:pPr>
        <w:rPr>
          <w:lang w:val="es-DO" w:eastAsia="es-DO"/>
        </w:rPr>
      </w:pPr>
    </w:p>
    <w:p w14:paraId="0BBD2D55" w14:textId="2DD902D2" w:rsidR="00A408F8" w:rsidRPr="00C62BB6" w:rsidRDefault="00A408F8" w:rsidP="00A408F8">
      <w:pPr>
        <w:spacing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Recaudaciones</w:t>
      </w:r>
    </w:p>
    <w:p w14:paraId="7380CB4D" w14:textId="77777777" w:rsidR="00A408F8" w:rsidRPr="00C62BB6" w:rsidRDefault="00A408F8" w:rsidP="00A408F8">
      <w:pPr>
        <w:spacing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Contribución al Desarrollo de las Telecomunicaciones (CDT)</w:t>
      </w:r>
    </w:p>
    <w:p w14:paraId="2F04365F" w14:textId="77777777" w:rsidR="00A408F8" w:rsidRPr="00C62BB6" w:rsidRDefault="00A408F8" w:rsidP="00A408F8">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El monto acumulado de las recaudaciones por concepto de la Contribución al Desarrollo de las Telecomunicaciones (CDT) en el periodo enero-noviembre de 2022 fue por la suma de Mil Seiscientos Diez Millones Trescientos Cincuenta y Tres Mil Quinientos Ochenta y Seis Pesos Dominicanos con 24/100 (DOP1,610,353,586.24). En este periodo se recibieron 2,470 pagos de un total de 2,585 para un average de cumplimiento preliminar del 96%.</w:t>
      </w:r>
    </w:p>
    <w:p w14:paraId="4FA6957B" w14:textId="77777777" w:rsidR="00A408F8" w:rsidRPr="00C62BB6" w:rsidRDefault="00A408F8" w:rsidP="00A408F8">
      <w:pPr>
        <w:spacing w:after="100" w:afterAutospacing="1" w:line="360" w:lineRule="auto"/>
        <w:jc w:val="both"/>
        <w:rPr>
          <w:noProof/>
          <w:color w:val="4C4747"/>
        </w:rPr>
      </w:pPr>
      <w:r w:rsidRPr="00C62BB6">
        <w:rPr>
          <w:noProof/>
          <w:color w:val="4C4747"/>
        </w:rPr>
        <w:drawing>
          <wp:inline distT="0" distB="0" distL="0" distR="0" wp14:anchorId="4A8ACD56" wp14:editId="26593934">
            <wp:extent cx="5019675" cy="21431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9675" cy="2143125"/>
                    </a:xfrm>
                    <a:prstGeom prst="rect">
                      <a:avLst/>
                    </a:prstGeom>
                    <a:noFill/>
                    <a:ln>
                      <a:noFill/>
                    </a:ln>
                  </pic:spPr>
                </pic:pic>
              </a:graphicData>
            </a:graphic>
          </wp:inline>
        </w:drawing>
      </w:r>
    </w:p>
    <w:p w14:paraId="4DF58308" w14:textId="77777777" w:rsidR="00162A8A" w:rsidRPr="00C62BB6" w:rsidRDefault="00162A8A" w:rsidP="00162A8A">
      <w:pPr>
        <w:spacing w:after="100" w:afterAutospacing="1" w:line="36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Departamento de Recaudaciones</w:t>
      </w:r>
    </w:p>
    <w:p w14:paraId="0ED9A0AB" w14:textId="77777777" w:rsidR="00162A8A" w:rsidRPr="00C62BB6" w:rsidRDefault="00162A8A" w:rsidP="00A408F8">
      <w:pPr>
        <w:spacing w:after="100" w:afterAutospacing="1" w:line="360" w:lineRule="auto"/>
        <w:jc w:val="both"/>
        <w:rPr>
          <w:noProof/>
          <w:color w:val="4C4747"/>
        </w:rPr>
      </w:pPr>
    </w:p>
    <w:p w14:paraId="44C167A6" w14:textId="77777777" w:rsidR="00A408F8" w:rsidRPr="00C62BB6" w:rsidRDefault="00A408F8" w:rsidP="00A408F8">
      <w:pPr>
        <w:spacing w:after="100" w:afterAutospacing="1" w:line="360" w:lineRule="auto"/>
        <w:jc w:val="center"/>
        <w:rPr>
          <w:noProof/>
          <w:color w:val="4C4747"/>
        </w:rPr>
      </w:pPr>
      <w:r w:rsidRPr="00C62BB6">
        <w:rPr>
          <w:noProof/>
          <w:color w:val="4C4747"/>
        </w:rPr>
        <w:lastRenderedPageBreak/>
        <w:drawing>
          <wp:inline distT="0" distB="0" distL="0" distR="0" wp14:anchorId="36CBEC52" wp14:editId="1CB9A626">
            <wp:extent cx="4568825" cy="2740025"/>
            <wp:effectExtent l="0" t="0" r="3175" b="3175"/>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B1FDD2" w14:textId="7217BE29" w:rsidR="00A408F8" w:rsidRPr="00C62BB6" w:rsidRDefault="00A408F8" w:rsidP="00A408F8">
      <w:pPr>
        <w:spacing w:after="100" w:afterAutospacing="1" w:line="36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Departamento de Recaudaciones</w:t>
      </w:r>
    </w:p>
    <w:p w14:paraId="71BB56DE" w14:textId="13E72CAC" w:rsidR="00A408F8" w:rsidRPr="008C2B22" w:rsidRDefault="00A408F8" w:rsidP="00A408F8">
      <w:pPr>
        <w:tabs>
          <w:tab w:val="left" w:pos="0"/>
        </w:tabs>
        <w:spacing w:line="360" w:lineRule="auto"/>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Derecho a Uso (DU) del Espectro Radioeléctrico</w:t>
      </w:r>
    </w:p>
    <w:p w14:paraId="353737DC" w14:textId="7E916CBF" w:rsidR="00A408F8" w:rsidRPr="008C2B22" w:rsidRDefault="00A408F8" w:rsidP="00A408F8">
      <w:pPr>
        <w:tabs>
          <w:tab w:val="left" w:pos="0"/>
        </w:tabs>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El monto de las cobranzas del Derecho a Uso (DU) del espectro radioeléctrico en el pe</w:t>
      </w:r>
      <w:r w:rsidR="00EA105F" w:rsidRPr="008C2B22">
        <w:rPr>
          <w:rFonts w:ascii="Times New Roman" w:eastAsia="Calibri" w:hAnsi="Times New Roman" w:cs="Times New Roman"/>
          <w:color w:val="4C4747"/>
          <w:spacing w:val="20"/>
          <w:sz w:val="24"/>
          <w:szCs w:val="24"/>
          <w:lang w:val="es-DO"/>
        </w:rPr>
        <w:t>riodo enero-noviembre de 2022 fue</w:t>
      </w:r>
      <w:r w:rsidRPr="008C2B22">
        <w:rPr>
          <w:rFonts w:ascii="Times New Roman" w:eastAsia="Calibri" w:hAnsi="Times New Roman" w:cs="Times New Roman"/>
          <w:color w:val="4C4747"/>
          <w:spacing w:val="20"/>
          <w:sz w:val="24"/>
          <w:szCs w:val="24"/>
          <w:lang w:val="es-DO"/>
        </w:rPr>
        <w:t xml:space="preserve"> por la suma de Doscientos Diecisiete Millones Veintiún Mil Doscientos Cincuenta y Ocho Pesos Dominicanos con 74/100 (DOP217,021,258.74), para un 67% del monto total emitido en las órdenes de pago correspondientes al año 2022, el cual asciende a la suma total de Trescientos Veintiséis Millones Trescientos Sesenta y Tres Mil Quinientos Setenta y Un Pesos Dominicanos con 77/100 (RD$326,363,571.77). Igualmente, se recuperaron montos de DU de los años 2009-2021 por la suma de Cincuenta y Un Millones Seiscientos Diecinueve Mil Quinientos Veinticinco Pesos Dominicanos con 04/100 (RD$51,619,525.04), para una recaudación total en el periodo enero-noviembre de 2022 de Doscientos Sesenta y Ocho Millones Seiscientos Cuarenta Mil Setecientos Ochenta y Tres Pesos Dominicanos con 78/100 (DOP268,640,783.78).</w:t>
      </w:r>
    </w:p>
    <w:p w14:paraId="11D92C32" w14:textId="0119D0E8" w:rsidR="00A408F8" w:rsidRPr="008C2B22" w:rsidRDefault="00A408F8" w:rsidP="00A408F8">
      <w:pPr>
        <w:tabs>
          <w:tab w:val="left" w:pos="0"/>
        </w:tabs>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lastRenderedPageBreak/>
        <w:t>Cabe destacar que la emisión del DU es anual y las órdenes de pago se generan en el primer trimestre y la mayor parte se cobra en el primer semestre del año.</w:t>
      </w:r>
    </w:p>
    <w:p w14:paraId="53812AA4" w14:textId="57B163D6" w:rsidR="00A408F8" w:rsidRPr="008C2B22" w:rsidRDefault="00A408F8" w:rsidP="00A408F8">
      <w:pPr>
        <w:tabs>
          <w:tab w:val="left" w:pos="0"/>
        </w:tabs>
        <w:spacing w:line="360" w:lineRule="auto"/>
        <w:jc w:val="both"/>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Tasas por procesamiento o de servicios</w:t>
      </w:r>
    </w:p>
    <w:p w14:paraId="1D4DC36D" w14:textId="1F4C38E3" w:rsidR="00A408F8" w:rsidRPr="008C2B22" w:rsidRDefault="00A408F8" w:rsidP="00A408F8">
      <w:pPr>
        <w:tabs>
          <w:tab w:val="left" w:pos="0"/>
        </w:tabs>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De acuerdo a las Resoluciones números 036-15 y 070-18 que fijan tasas por procesamiento de servicios ante el INDOTEL, en el periodo enero-noviembre de 2022 se recaudó la suma de Setecientos Veintiocho Millones Ciento Nueve Mil Trescientos Treinta y Cuatro Pesos Dominicanos con 35/100 (RD$728,109,334.35).</w:t>
      </w:r>
    </w:p>
    <w:p w14:paraId="62F53193" w14:textId="119FBB9E" w:rsidR="00A408F8" w:rsidRPr="008C2B22" w:rsidRDefault="00A408F8" w:rsidP="00A408F8">
      <w:pPr>
        <w:tabs>
          <w:tab w:val="left" w:pos="0"/>
        </w:tabs>
        <w:spacing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Las recaudaciones por concepto de CDT/DU/TASAS x SERVICIOS para el periodo enero-noviembre de 2022 fueron por la suma de Dos Mil Doscientos Treinta y Seis Millones Cuatrocientos Cuarenta y Ocho Mil Setecientos Trece Pesos Dominicanos con 96/100 (DOP2,607,103,704.37).</w:t>
      </w:r>
    </w:p>
    <w:p w14:paraId="2292845B" w14:textId="77777777" w:rsidR="00A408F8" w:rsidRPr="008C2B22" w:rsidRDefault="00A408F8" w:rsidP="00A408F8">
      <w:pPr>
        <w:tabs>
          <w:tab w:val="left" w:pos="0"/>
        </w:tabs>
        <w:spacing w:line="360" w:lineRule="auto"/>
        <w:rPr>
          <w:rFonts w:ascii="Times New Roman" w:eastAsia="Calibri" w:hAnsi="Times New Roman" w:cs="Times New Roman"/>
          <w:b/>
          <w:color w:val="4C4747"/>
          <w:spacing w:val="20"/>
          <w:sz w:val="24"/>
          <w:szCs w:val="24"/>
          <w:lang w:val="es-DO"/>
        </w:rPr>
      </w:pPr>
    </w:p>
    <w:p w14:paraId="737BB715" w14:textId="25074298" w:rsidR="00A408F8" w:rsidRPr="008C2B22" w:rsidRDefault="00A408F8" w:rsidP="00A408F8">
      <w:pPr>
        <w:tabs>
          <w:tab w:val="left" w:pos="0"/>
        </w:tabs>
        <w:spacing w:line="360" w:lineRule="auto"/>
        <w:rPr>
          <w:rFonts w:ascii="Times New Roman" w:eastAsia="Calibri" w:hAnsi="Times New Roman" w:cs="Times New Roman"/>
          <w:b/>
          <w:color w:val="4C4747"/>
          <w:spacing w:val="20"/>
          <w:sz w:val="24"/>
          <w:szCs w:val="24"/>
          <w:lang w:val="es-DO"/>
        </w:rPr>
      </w:pPr>
      <w:r w:rsidRPr="008C2B22">
        <w:rPr>
          <w:rFonts w:ascii="Times New Roman" w:eastAsia="Calibri" w:hAnsi="Times New Roman" w:cs="Times New Roman"/>
          <w:b/>
          <w:color w:val="4C4747"/>
          <w:spacing w:val="20"/>
          <w:sz w:val="24"/>
          <w:szCs w:val="24"/>
          <w:lang w:val="es-DO"/>
        </w:rPr>
        <w:t>Estados financieros</w:t>
      </w:r>
    </w:p>
    <w:p w14:paraId="6C2B82EF" w14:textId="77777777" w:rsidR="00A408F8" w:rsidRPr="008C2B22" w:rsidRDefault="00A408F8" w:rsidP="00A408F8">
      <w:pPr>
        <w:spacing w:before="240" w:line="360" w:lineRule="auto"/>
        <w:jc w:val="both"/>
        <w:rPr>
          <w:rFonts w:ascii="Times New Roman" w:eastAsia="Calibri" w:hAnsi="Times New Roman" w:cs="Times New Roman"/>
          <w:color w:val="4C4747"/>
          <w:spacing w:val="20"/>
          <w:sz w:val="24"/>
          <w:szCs w:val="24"/>
          <w:lang w:val="es-DO"/>
        </w:rPr>
      </w:pPr>
      <w:r w:rsidRPr="008C2B22">
        <w:rPr>
          <w:rFonts w:ascii="Times New Roman" w:eastAsia="Calibri" w:hAnsi="Times New Roman" w:cs="Times New Roman"/>
          <w:color w:val="4C4747"/>
          <w:spacing w:val="20"/>
          <w:sz w:val="24"/>
          <w:szCs w:val="24"/>
          <w:lang w:val="es-DO"/>
        </w:rPr>
        <w:t>A continuación una presentación de los Estados Financieros:</w:t>
      </w:r>
    </w:p>
    <w:p w14:paraId="5C4AF0A6" w14:textId="3C708097" w:rsidR="00A408F8" w:rsidRPr="00A408F8" w:rsidRDefault="00A408F8" w:rsidP="00A408F8">
      <w:pPr>
        <w:spacing w:before="240" w:line="360" w:lineRule="auto"/>
        <w:jc w:val="both"/>
        <w:rPr>
          <w:b/>
          <w:bCs/>
          <w:color w:val="767171"/>
          <w:lang w:val="es-DO"/>
        </w:rPr>
      </w:pPr>
      <w:r w:rsidRPr="00A408F8">
        <w:rPr>
          <w:noProof/>
        </w:rPr>
        <w:lastRenderedPageBreak/>
        <w:drawing>
          <wp:inline distT="0" distB="0" distL="0" distR="0" wp14:anchorId="4D895686" wp14:editId="1C608B73">
            <wp:extent cx="5029200" cy="69811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6981100"/>
                    </a:xfrm>
                    <a:prstGeom prst="rect">
                      <a:avLst/>
                    </a:prstGeom>
                    <a:noFill/>
                    <a:ln>
                      <a:noFill/>
                    </a:ln>
                  </pic:spPr>
                </pic:pic>
              </a:graphicData>
            </a:graphic>
          </wp:inline>
        </w:drawing>
      </w:r>
    </w:p>
    <w:p w14:paraId="69B3A11F" w14:textId="77777777" w:rsidR="00A408F8" w:rsidRDefault="00A408F8" w:rsidP="00A408F8">
      <w:pPr>
        <w:spacing w:before="240" w:line="360" w:lineRule="auto"/>
        <w:jc w:val="both"/>
        <w:rPr>
          <w:b/>
          <w:bCs/>
          <w:color w:val="767171"/>
        </w:rPr>
      </w:pPr>
    </w:p>
    <w:p w14:paraId="2B390625" w14:textId="77777777" w:rsidR="00A408F8" w:rsidRDefault="00A408F8" w:rsidP="00A408F8">
      <w:pPr>
        <w:spacing w:before="240" w:line="360" w:lineRule="auto"/>
        <w:jc w:val="both"/>
        <w:rPr>
          <w:color w:val="767171"/>
        </w:rPr>
      </w:pPr>
    </w:p>
    <w:p w14:paraId="45AD71CA" w14:textId="2E0532AA" w:rsidR="00A408F8" w:rsidRDefault="00A408F8" w:rsidP="00A408F8">
      <w:pPr>
        <w:spacing w:before="240" w:line="360" w:lineRule="auto"/>
        <w:jc w:val="both"/>
        <w:rPr>
          <w:color w:val="767171"/>
        </w:rPr>
      </w:pPr>
      <w:r w:rsidRPr="00A408F8">
        <w:rPr>
          <w:noProof/>
        </w:rPr>
        <w:lastRenderedPageBreak/>
        <w:drawing>
          <wp:inline distT="0" distB="0" distL="0" distR="0" wp14:anchorId="3F3753D1" wp14:editId="5E3CA910">
            <wp:extent cx="5029200" cy="708952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7089521"/>
                    </a:xfrm>
                    <a:prstGeom prst="rect">
                      <a:avLst/>
                    </a:prstGeom>
                    <a:noFill/>
                    <a:ln>
                      <a:noFill/>
                    </a:ln>
                  </pic:spPr>
                </pic:pic>
              </a:graphicData>
            </a:graphic>
          </wp:inline>
        </w:drawing>
      </w:r>
    </w:p>
    <w:p w14:paraId="29F31CA3" w14:textId="77777777" w:rsidR="00A408F8" w:rsidRDefault="00A408F8" w:rsidP="00A408F8"/>
    <w:p w14:paraId="6E9E7347" w14:textId="77777777" w:rsidR="00A408F8" w:rsidRDefault="00A408F8" w:rsidP="00A408F8"/>
    <w:p w14:paraId="4FB9515F" w14:textId="77777777" w:rsidR="00A408F8" w:rsidRDefault="00A408F8" w:rsidP="00A408F8"/>
    <w:p w14:paraId="1373769E" w14:textId="4110F90C" w:rsidR="00A408F8" w:rsidRPr="00A408F8" w:rsidRDefault="008C2B22" w:rsidP="008B4370">
      <w:pPr>
        <w:spacing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lastRenderedPageBreak/>
        <w:t>A c</w:t>
      </w:r>
      <w:r w:rsidR="00A408F8" w:rsidRPr="00A408F8">
        <w:rPr>
          <w:rFonts w:ascii="Times New Roman" w:eastAsia="Calibri" w:hAnsi="Times New Roman" w:cs="Times New Roman"/>
          <w:color w:val="4C4747"/>
          <w:spacing w:val="20"/>
          <w:sz w:val="24"/>
          <w:szCs w:val="24"/>
          <w:lang w:val="es-DO"/>
        </w:rPr>
        <w:t>ontinuación presentamos un detalle por antigüedad de saldos de las cuentas por pagar al 30 de Noviembre del 2022:</w:t>
      </w:r>
    </w:p>
    <w:p w14:paraId="4F9A3B5A" w14:textId="3E20E6C4" w:rsidR="00A408F8" w:rsidRPr="00A408F8" w:rsidRDefault="00A408F8" w:rsidP="00A408F8">
      <w:pPr>
        <w:rPr>
          <w:lang w:val="es-DO"/>
        </w:rPr>
      </w:pPr>
      <w:r w:rsidRPr="00A408F8">
        <w:rPr>
          <w:noProof/>
        </w:rPr>
        <w:drawing>
          <wp:inline distT="0" distB="0" distL="0" distR="0" wp14:anchorId="5D0CBC98" wp14:editId="2B5C98CA">
            <wp:extent cx="5029200" cy="6838944"/>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6838944"/>
                    </a:xfrm>
                    <a:prstGeom prst="rect">
                      <a:avLst/>
                    </a:prstGeom>
                    <a:noFill/>
                    <a:ln>
                      <a:noFill/>
                    </a:ln>
                  </pic:spPr>
                </pic:pic>
              </a:graphicData>
            </a:graphic>
          </wp:inline>
        </w:drawing>
      </w:r>
    </w:p>
    <w:p w14:paraId="6AE3CF1F" w14:textId="77777777" w:rsidR="00A408F8" w:rsidRPr="00A408F8" w:rsidRDefault="00A408F8" w:rsidP="00A408F8">
      <w:pPr>
        <w:rPr>
          <w:lang w:val="es-DO"/>
        </w:rPr>
      </w:pPr>
    </w:p>
    <w:p w14:paraId="7088FFA0" w14:textId="77777777" w:rsidR="0099268C" w:rsidRPr="00943FA5" w:rsidRDefault="0099268C" w:rsidP="00A71A82">
      <w:pPr>
        <w:spacing w:line="360" w:lineRule="auto"/>
        <w:jc w:val="both"/>
        <w:rPr>
          <w:rFonts w:ascii="Times New Roman" w:eastAsia="Calibri" w:hAnsi="Times New Roman" w:cs="Times New Roman"/>
          <w:color w:val="FF0000"/>
          <w:spacing w:val="20"/>
          <w:sz w:val="24"/>
          <w:szCs w:val="24"/>
          <w:lang w:val="es-DO"/>
        </w:rPr>
      </w:pPr>
    </w:p>
    <w:p w14:paraId="085F6F22" w14:textId="0CD75E0B" w:rsidR="00A75CDE" w:rsidRPr="005A11A8" w:rsidRDefault="00A75CDE" w:rsidP="00A02BDE">
      <w:pPr>
        <w:pStyle w:val="Ttulo3"/>
        <w:numPr>
          <w:ilvl w:val="1"/>
          <w:numId w:val="5"/>
        </w:numPr>
        <w:tabs>
          <w:tab w:val="left" w:pos="360"/>
        </w:tabs>
        <w:ind w:left="360"/>
        <w:rPr>
          <w:rFonts w:ascii="Times New Roman" w:hAnsi="Times New Roman" w:cs="Times New Roman"/>
          <w:b/>
          <w:color w:val="4C4747"/>
          <w:lang w:val="es-DO" w:eastAsia="es-DO"/>
        </w:rPr>
      </w:pPr>
      <w:bookmarkStart w:id="23" w:name="_Toc122425244"/>
      <w:r w:rsidRPr="005A11A8">
        <w:rPr>
          <w:rFonts w:ascii="Times New Roman" w:hAnsi="Times New Roman" w:cs="Times New Roman"/>
          <w:b/>
          <w:color w:val="4C4747"/>
          <w:lang w:val="es-DO" w:eastAsia="es-DO"/>
        </w:rPr>
        <w:lastRenderedPageBreak/>
        <w:t>Desempeño de los Recursos Humanos</w:t>
      </w:r>
      <w:bookmarkEnd w:id="23"/>
    </w:p>
    <w:p w14:paraId="7A759B65" w14:textId="77777777" w:rsidR="00A75CDE" w:rsidRPr="005A11A8" w:rsidRDefault="00A75CDE" w:rsidP="00A75CDE">
      <w:pPr>
        <w:pStyle w:val="Prrafodelista"/>
        <w:rPr>
          <w:color w:val="4C4747"/>
          <w:lang w:val="es-DO" w:eastAsia="es-DO"/>
        </w:rPr>
      </w:pPr>
    </w:p>
    <w:p w14:paraId="6B5931CC" w14:textId="77777777" w:rsidR="0070741E" w:rsidRPr="005A11A8" w:rsidRDefault="0070741E" w:rsidP="0070741E">
      <w:pPr>
        <w:spacing w:line="360" w:lineRule="auto"/>
        <w:jc w:val="both"/>
        <w:rPr>
          <w:rFonts w:ascii="Times New Roman" w:eastAsia="Calibri" w:hAnsi="Times New Roman" w:cs="Times New Roman"/>
          <w:b/>
          <w:color w:val="4C4747"/>
          <w:spacing w:val="20"/>
          <w:sz w:val="24"/>
          <w:szCs w:val="24"/>
          <w:lang w:val="es-DO"/>
        </w:rPr>
      </w:pPr>
      <w:r w:rsidRPr="005A11A8">
        <w:rPr>
          <w:rFonts w:ascii="Times New Roman" w:eastAsia="Calibri" w:hAnsi="Times New Roman" w:cs="Times New Roman"/>
          <w:b/>
          <w:color w:val="4C4747"/>
          <w:spacing w:val="20"/>
          <w:sz w:val="24"/>
          <w:szCs w:val="24"/>
          <w:lang w:val="es-DO"/>
        </w:rPr>
        <w:t>Administración del Talento Humano</w:t>
      </w:r>
    </w:p>
    <w:p w14:paraId="617410D5" w14:textId="77777777" w:rsidR="00C356F0" w:rsidRPr="005A11A8" w:rsidRDefault="00C356F0">
      <w:pPr>
        <w:spacing w:line="360" w:lineRule="auto"/>
        <w:jc w:val="both"/>
        <w:rPr>
          <w:rFonts w:ascii="Times New Roman" w:eastAsia="Calibri" w:hAnsi="Times New Roman" w:cs="Times New Roman"/>
          <w:b/>
          <w:color w:val="4C4747"/>
          <w:spacing w:val="20"/>
          <w:sz w:val="24"/>
          <w:szCs w:val="24"/>
          <w:lang w:val="es-DO"/>
        </w:rPr>
      </w:pPr>
      <w:r w:rsidRPr="005A11A8">
        <w:rPr>
          <w:rFonts w:ascii="Times New Roman" w:eastAsia="Calibri" w:hAnsi="Times New Roman" w:cs="Times New Roman"/>
          <w:b/>
          <w:color w:val="4C4747"/>
          <w:spacing w:val="20"/>
          <w:sz w:val="24"/>
          <w:szCs w:val="24"/>
          <w:lang w:val="es-DO"/>
        </w:rPr>
        <w:t xml:space="preserve">Clima Laboral/Voluntariado y Responsabilidad Social </w:t>
      </w:r>
    </w:p>
    <w:p w14:paraId="6E856517" w14:textId="21A7B235" w:rsidR="00C356F0" w:rsidRPr="00A4233F" w:rsidRDefault="00C356F0" w:rsidP="00F43708">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El INDOTEL a partir de </w:t>
      </w:r>
      <w:r w:rsidR="00E135ED" w:rsidRPr="00A4233F">
        <w:rPr>
          <w:rFonts w:ascii="Times New Roman" w:eastAsia="Calibri" w:hAnsi="Times New Roman" w:cs="Times New Roman"/>
          <w:color w:val="4C4747"/>
          <w:spacing w:val="20"/>
          <w:sz w:val="24"/>
          <w:szCs w:val="24"/>
          <w:lang w:val="es-DO"/>
        </w:rPr>
        <w:t xml:space="preserve">la </w:t>
      </w:r>
      <w:r w:rsidRPr="00A4233F">
        <w:rPr>
          <w:rFonts w:ascii="Times New Roman" w:eastAsia="Calibri" w:hAnsi="Times New Roman" w:cs="Times New Roman"/>
          <w:color w:val="4C4747"/>
          <w:spacing w:val="20"/>
          <w:sz w:val="24"/>
          <w:szCs w:val="24"/>
          <w:lang w:val="es-DO"/>
        </w:rPr>
        <w:t>administración de los recursos humanos tiene como compromiso gestionar los valores de los colaboradores de forma estratégica, con el objetivo de mejorar la identificación de los mismos con la misión de la institución. </w:t>
      </w:r>
      <w:r w:rsidR="00F43708" w:rsidRPr="00A4233F">
        <w:rPr>
          <w:rFonts w:ascii="Times New Roman" w:eastAsia="Calibri" w:hAnsi="Times New Roman" w:cs="Times New Roman"/>
          <w:color w:val="4C4747"/>
          <w:spacing w:val="20"/>
          <w:sz w:val="24"/>
          <w:szCs w:val="24"/>
          <w:lang w:val="es-DO"/>
        </w:rPr>
        <w:t xml:space="preserve"> </w:t>
      </w:r>
    </w:p>
    <w:p w14:paraId="51275BCB" w14:textId="7990CF3B" w:rsidR="003D5694" w:rsidRPr="00A4233F" w:rsidRDefault="003D5694" w:rsidP="003D5694">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el mes de julio, 10 niñas hijas de nuestros colaboradores, en edades entre 6 a 12 años, fueron beneficiadas con una beca para participar el campamento de verano The Coding Space Summer Camp.</w:t>
      </w:r>
    </w:p>
    <w:p w14:paraId="13B2B333" w14:textId="7A89F7B8" w:rsidR="003D5694" w:rsidRPr="00A4233F" w:rsidRDefault="003D5694" w:rsidP="003D5694">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este campamento las niñas aprendieron a formar patrones de pensamientos computacionales al programar animaciones y juegos interactivos, desarrollando así independencia en su aprendizaje y habilidades visomotoras, practicando con el mouse y el teclado.</w:t>
      </w:r>
    </w:p>
    <w:p w14:paraId="0631ACAB" w14:textId="19F150F9" w:rsidR="00C356F0" w:rsidRPr="00A4233F" w:rsidRDefault="003D5694"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Dicho campamento tuvo una duración de 10 días y al finalizar el mismo, las niñas recibieron unas cajitas felices conteniendo dulces y golosinas.</w:t>
      </w:r>
    </w:p>
    <w:p w14:paraId="3AB9E327" w14:textId="09C8BAB7" w:rsidR="00C356F0" w:rsidRPr="00A4233F" w:rsidRDefault="002677EC" w:rsidP="003D5694">
      <w:pPr>
        <w:spacing w:before="24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Formación y D</w:t>
      </w:r>
      <w:r w:rsidR="00C356F0" w:rsidRPr="00A4233F">
        <w:rPr>
          <w:rFonts w:ascii="Times New Roman" w:eastAsia="Calibri" w:hAnsi="Times New Roman" w:cs="Times New Roman"/>
          <w:b/>
          <w:color w:val="4C4747"/>
          <w:spacing w:val="20"/>
          <w:sz w:val="24"/>
          <w:szCs w:val="24"/>
          <w:lang w:val="es-DO"/>
        </w:rPr>
        <w:t>esarrollo</w:t>
      </w:r>
    </w:p>
    <w:p w14:paraId="084C3081" w14:textId="6D62707E" w:rsidR="00C356F0" w:rsidRPr="00A4233F" w:rsidRDefault="00C356F0"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Dentro de las acciones tomadas para impulsar las mejoras en las capacidades y competencias de nuestros colaboradores, seguimos fortaleciendo los acuerdos institucionales con CAPGEFI, INFOTEP, CEABAD, UIT, INAP, INSTITUTO OMG</w:t>
      </w:r>
      <w:r w:rsidR="00524306" w:rsidRPr="00A4233F">
        <w:rPr>
          <w:rFonts w:ascii="Times New Roman" w:eastAsia="Calibri" w:hAnsi="Times New Roman" w:cs="Times New Roman"/>
          <w:color w:val="4C4747"/>
          <w:spacing w:val="20"/>
          <w:sz w:val="24"/>
          <w:szCs w:val="24"/>
          <w:lang w:val="es-DO"/>
        </w:rPr>
        <w:t>,</w:t>
      </w:r>
      <w:r w:rsidRPr="00A4233F">
        <w:rPr>
          <w:rFonts w:ascii="Times New Roman" w:eastAsia="Calibri" w:hAnsi="Times New Roman" w:cs="Times New Roman"/>
          <w:color w:val="4C4747"/>
          <w:spacing w:val="20"/>
          <w:sz w:val="24"/>
          <w:szCs w:val="24"/>
          <w:lang w:val="es-DO"/>
        </w:rPr>
        <w:t xml:space="preserve"> entre otros.</w:t>
      </w:r>
    </w:p>
    <w:p w14:paraId="6DED7677" w14:textId="77777777" w:rsidR="00C356F0" w:rsidRPr="00A4233F" w:rsidRDefault="00C356F0"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 través de estas y otras instituciones se han podido lograr las siguientes capacitaciones:</w:t>
      </w:r>
    </w:p>
    <w:p w14:paraId="49E69683" w14:textId="661A3E26"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lastRenderedPageBreak/>
        <w:t>Capacitación del Master en Dirección Pública Administración de Empresas.</w:t>
      </w:r>
    </w:p>
    <w:p w14:paraId="2E28ECFE" w14:textId="4157F336"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Inteligencia Artificial</w:t>
      </w:r>
    </w:p>
    <w:p w14:paraId="73189819" w14:textId="7D94679D"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Ciberseguridad</w:t>
      </w:r>
    </w:p>
    <w:p w14:paraId="118FF065" w14:textId="34034C57"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Servicios Sociales </w:t>
      </w:r>
    </w:p>
    <w:p w14:paraId="5A06092A" w14:textId="11F66166"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Habilidades Digitales 4.0</w:t>
      </w:r>
    </w:p>
    <w:p w14:paraId="349A6C1F" w14:textId="084D20F7"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Satelitales de Nueva</w:t>
      </w:r>
    </w:p>
    <w:p w14:paraId="2332AF44" w14:textId="424C6861"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Blockchaint Su Futuro</w:t>
      </w:r>
    </w:p>
    <w:p w14:paraId="6A7A7A8C" w14:textId="60E813CC"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Master Sociedad Democrática, Estado y Derecho</w:t>
      </w:r>
    </w:p>
    <w:p w14:paraId="77BC4B8F" w14:textId="3CE2B936"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Taller para dar a conocer la Dirección de Protección al Usuario (DPU)</w:t>
      </w:r>
    </w:p>
    <w:p w14:paraId="0DABB313" w14:textId="68130639"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Capacitación del Idioma Ingles</w:t>
      </w:r>
    </w:p>
    <w:p w14:paraId="0F0198C7" w14:textId="2CC04B3C"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Seguridad en </w:t>
      </w:r>
      <w:r w:rsidR="00756028" w:rsidRPr="00CF7E5C">
        <w:rPr>
          <w:rFonts w:ascii="Times New Roman" w:eastAsia="Calibri" w:hAnsi="Times New Roman" w:cs="Times New Roman"/>
          <w:color w:val="4C4747"/>
          <w:spacing w:val="20"/>
          <w:sz w:val="24"/>
          <w:szCs w:val="24"/>
          <w:lang w:val="es-DO"/>
        </w:rPr>
        <w:t>Línea</w:t>
      </w:r>
    </w:p>
    <w:p w14:paraId="4B4EB899" w14:textId="265F2FFA"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Nueva Gestión del Espectro</w:t>
      </w:r>
    </w:p>
    <w:p w14:paraId="260CA92A" w14:textId="295E6BED"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Compartición de Infraestructura</w:t>
      </w:r>
    </w:p>
    <w:p w14:paraId="4EC27318" w14:textId="5C07914F"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Fintech en América Latina</w:t>
      </w:r>
    </w:p>
    <w:p w14:paraId="14C63A76" w14:textId="75D0883D"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Invisible y Omnipresente</w:t>
      </w:r>
    </w:p>
    <w:p w14:paraId="13BD7312" w14:textId="020786F1"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La protección contra las Radiaciones no Ionizantes en los Tiempos del 5G"</w:t>
      </w:r>
    </w:p>
    <w:p w14:paraId="65F447D6" w14:textId="11519681"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rPr>
      </w:pPr>
      <w:r w:rsidRPr="00CF7E5C">
        <w:rPr>
          <w:rFonts w:ascii="Times New Roman" w:eastAsia="Calibri" w:hAnsi="Times New Roman" w:cs="Times New Roman"/>
          <w:color w:val="4C4747"/>
          <w:spacing w:val="20"/>
          <w:sz w:val="24"/>
          <w:szCs w:val="24"/>
        </w:rPr>
        <w:t>BECAS 14ta South School on Internet Governance / ARGENSIG 2022. Aplica!!</w:t>
      </w:r>
    </w:p>
    <w:p w14:paraId="6774D5D3" w14:textId="6E06AE17"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Capacitación para el Diplomado en Gestión Ejecutivo de Proyectos.</w:t>
      </w:r>
    </w:p>
    <w:p w14:paraId="083BEDE0" w14:textId="13D503FD"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Master en Derecho Constitucional y Derecho Público</w:t>
      </w:r>
    </w:p>
    <w:p w14:paraId="26020C59" w14:textId="5C8FCDBF"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Curso Básico de Lengua de Señas</w:t>
      </w:r>
    </w:p>
    <w:p w14:paraId="37A077B7" w14:textId="5C7A5806"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Maestría Derecho Administrativo y Gestión Pública</w:t>
      </w:r>
    </w:p>
    <w:p w14:paraId="221D88F7" w14:textId="1665DA74"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Diplomado Auditoría Forense</w:t>
      </w:r>
    </w:p>
    <w:p w14:paraId="621C2B45" w14:textId="0C8CF37E"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Refuerzo de Clases de nivel avanzado Inglés virtual</w:t>
      </w:r>
    </w:p>
    <w:p w14:paraId="6DB4D11A" w14:textId="793BF758"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Diplomado Auditoría Forense</w:t>
      </w:r>
    </w:p>
    <w:p w14:paraId="4CC6C6E2" w14:textId="1CDD84CA"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lastRenderedPageBreak/>
        <w:t>Refuerzo de Clases de nivel avanzado Inglés virtual</w:t>
      </w:r>
    </w:p>
    <w:p w14:paraId="00C8B06F" w14:textId="48C3DC0C"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Semana Internacional Programa IESE</w:t>
      </w:r>
    </w:p>
    <w:p w14:paraId="2E254E1E" w14:textId="3F29FC61"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Taller de servicio al cliente (Grupo matutino)</w:t>
      </w:r>
    </w:p>
    <w:p w14:paraId="6832ACCA" w14:textId="653BB8B6"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Taller de servicio al cliente (Grupo vespertino)</w:t>
      </w:r>
    </w:p>
    <w:p w14:paraId="7B1BA931" w14:textId="37C6EB40"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IX Curso de regulación y competencia</w:t>
      </w:r>
    </w:p>
    <w:p w14:paraId="6F36C338" w14:textId="71F7500D"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Maestría en Gestión Financiera. </w:t>
      </w:r>
    </w:p>
    <w:p w14:paraId="22EC3674" w14:textId="62DDCC66"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Becas Ceabad -Handbook</w:t>
      </w:r>
    </w:p>
    <w:p w14:paraId="5AF1C466" w14:textId="166CB162"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Becas</w:t>
      </w:r>
      <w:r w:rsidR="00756028" w:rsidRPr="00CF7E5C">
        <w:rPr>
          <w:rFonts w:ascii="Times New Roman" w:eastAsia="Calibri" w:hAnsi="Times New Roman" w:cs="Times New Roman"/>
          <w:color w:val="4C4747"/>
          <w:spacing w:val="20"/>
          <w:sz w:val="24"/>
          <w:szCs w:val="24"/>
          <w:lang w:val="es-DO"/>
        </w:rPr>
        <w:t xml:space="preserve"> Ceabad - El impacto de la Infraestructura</w:t>
      </w:r>
      <w:r w:rsidRPr="00CF7E5C">
        <w:rPr>
          <w:rFonts w:ascii="Times New Roman" w:eastAsia="Calibri" w:hAnsi="Times New Roman" w:cs="Times New Roman"/>
          <w:color w:val="4C4747"/>
          <w:spacing w:val="20"/>
          <w:sz w:val="24"/>
          <w:szCs w:val="24"/>
          <w:lang w:val="es-DO"/>
        </w:rPr>
        <w:t xml:space="preserve"> digital de los ODS</w:t>
      </w:r>
    </w:p>
    <w:p w14:paraId="0808691B" w14:textId="62DEBFB0"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Becas Ceabad -Nueva gestión del espectro </w:t>
      </w:r>
      <w:r w:rsidR="00756028" w:rsidRPr="00CF7E5C">
        <w:rPr>
          <w:rFonts w:ascii="Times New Roman" w:eastAsia="Calibri" w:hAnsi="Times New Roman" w:cs="Times New Roman"/>
          <w:color w:val="4C4747"/>
          <w:spacing w:val="20"/>
          <w:sz w:val="24"/>
          <w:szCs w:val="24"/>
          <w:lang w:val="es-DO"/>
        </w:rPr>
        <w:t>radioeléctrico</w:t>
      </w:r>
      <w:r w:rsidRPr="00CF7E5C">
        <w:rPr>
          <w:rFonts w:ascii="Times New Roman" w:eastAsia="Calibri" w:hAnsi="Times New Roman" w:cs="Times New Roman"/>
          <w:color w:val="4C4747"/>
          <w:spacing w:val="20"/>
          <w:sz w:val="24"/>
          <w:szCs w:val="24"/>
          <w:lang w:val="es-DO"/>
        </w:rPr>
        <w:t xml:space="preserve"> 5G</w:t>
      </w:r>
    </w:p>
    <w:p w14:paraId="45B4E170" w14:textId="0CEFB426"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Becas Ceabad - Invisible y OMNIPRESENTE Wi -FI y su evolución</w:t>
      </w:r>
    </w:p>
    <w:p w14:paraId="47395B1B" w14:textId="610160E9"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Becas Ceabad - Epymes</w:t>
      </w:r>
    </w:p>
    <w:p w14:paraId="7E68F757" w14:textId="468B1715"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Becas Ceabad - Introducción a Sandbox Regulatorio</w:t>
      </w:r>
    </w:p>
    <w:p w14:paraId="1BE5D153" w14:textId="511FA85F"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Becas Ceabad - El sistema de Nombres de dominio en internet (DNS) Y EL CANN</w:t>
      </w:r>
    </w:p>
    <w:p w14:paraId="5A9C156C" w14:textId="3FCA5B5C"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OMG Programa en Derecho Administrativo</w:t>
      </w:r>
    </w:p>
    <w:p w14:paraId="30EEB9E2" w14:textId="0E4D1FD1"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Curso de Idioma inglés</w:t>
      </w:r>
      <w:r w:rsidRPr="00CF7E5C">
        <w:rPr>
          <w:rFonts w:ascii="Times New Roman" w:eastAsia="Calibri" w:hAnsi="Times New Roman" w:cs="Times New Roman"/>
          <w:color w:val="4C4747"/>
          <w:spacing w:val="20"/>
          <w:sz w:val="24"/>
          <w:szCs w:val="24"/>
          <w:lang w:val="es-DO"/>
        </w:rPr>
        <w:tab/>
      </w:r>
    </w:p>
    <w:p w14:paraId="515DF149" w14:textId="3D129E3B"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Código de Pautas Ética</w:t>
      </w:r>
    </w:p>
    <w:p w14:paraId="1BFE63B9" w14:textId="337C27E0"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Taller #AMCHAMDR</w:t>
      </w:r>
    </w:p>
    <w:p w14:paraId="094480C2" w14:textId="252FBD41"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El Fruto del Trabajo Para Latinos</w:t>
      </w:r>
    </w:p>
    <w:p w14:paraId="240C5012" w14:textId="7AFF0A01"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Economía Digital desde la Perspectiva de genero</w:t>
      </w:r>
    </w:p>
    <w:p w14:paraId="076881DB" w14:textId="3CFAC25C"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Interconexión segura en servicios de la Nube</w:t>
      </w:r>
    </w:p>
    <w:p w14:paraId="4F4A74B1" w14:textId="72214990"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Redes 5G</w:t>
      </w:r>
    </w:p>
    <w:p w14:paraId="766B84BC" w14:textId="6CCF85A6"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Género y tecnología digital</w:t>
      </w:r>
    </w:p>
    <w:p w14:paraId="6DDD306A" w14:textId="2C023C49"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Trabajo en equipo y clima laboral para el centro Indotel - INFOTEP</w:t>
      </w:r>
    </w:p>
    <w:p w14:paraId="599731AA" w14:textId="645856AE" w:rsidR="00C356F0" w:rsidRPr="00CF7E5C" w:rsidRDefault="00C356F0" w:rsidP="00A02BDE">
      <w:pPr>
        <w:pStyle w:val="Prrafodelista"/>
        <w:numPr>
          <w:ilvl w:val="0"/>
          <w:numId w:val="50"/>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Seminario Regional de Accesibilidad TIC y Cuidados Digitales</w:t>
      </w:r>
    </w:p>
    <w:p w14:paraId="155024F7" w14:textId="3EA6CF41" w:rsidR="007F67E7" w:rsidRPr="006C7929" w:rsidRDefault="00756028" w:rsidP="00C356F0">
      <w:pPr>
        <w:spacing w:line="360" w:lineRule="auto"/>
        <w:jc w:val="both"/>
        <w:rPr>
          <w:rFonts w:ascii="Times New Roman" w:eastAsia="Calibri" w:hAnsi="Times New Roman" w:cs="Times New Roman"/>
          <w:color w:val="4C4747"/>
          <w:spacing w:val="20"/>
          <w:sz w:val="24"/>
          <w:szCs w:val="24"/>
          <w:lang w:val="es-DO"/>
        </w:rPr>
      </w:pPr>
      <w:r w:rsidRPr="006C7929">
        <w:rPr>
          <w:rFonts w:ascii="Times New Roman" w:eastAsia="Calibri" w:hAnsi="Times New Roman" w:cs="Times New Roman"/>
          <w:color w:val="4C4747"/>
          <w:spacing w:val="20"/>
          <w:sz w:val="24"/>
          <w:szCs w:val="24"/>
          <w:lang w:val="es-DO"/>
        </w:rPr>
        <w:lastRenderedPageBreak/>
        <w:t>Dentro del programa de pasantía del INDOTEL se logró tener la participación de 34 pasantes, distribuidos en diferentes áreas de la institución desempeñando</w:t>
      </w:r>
      <w:r w:rsidR="00C075F5" w:rsidRPr="006C7929">
        <w:rPr>
          <w:rFonts w:ascii="Times New Roman" w:eastAsia="Calibri" w:hAnsi="Times New Roman" w:cs="Times New Roman"/>
          <w:color w:val="4C4747"/>
          <w:spacing w:val="20"/>
          <w:sz w:val="24"/>
          <w:szCs w:val="24"/>
          <w:lang w:val="es-DO"/>
        </w:rPr>
        <w:t xml:space="preserve"> distintas</w:t>
      </w:r>
      <w:r w:rsidRPr="006C7929">
        <w:rPr>
          <w:rFonts w:ascii="Times New Roman" w:eastAsia="Calibri" w:hAnsi="Times New Roman" w:cs="Times New Roman"/>
          <w:color w:val="4C4747"/>
          <w:spacing w:val="20"/>
          <w:sz w:val="24"/>
          <w:szCs w:val="24"/>
          <w:lang w:val="es-DO"/>
        </w:rPr>
        <w:t xml:space="preserve"> funciones de acuerdo al ámbito técnico </w:t>
      </w:r>
      <w:r w:rsidR="00C075F5" w:rsidRPr="006C7929">
        <w:rPr>
          <w:rFonts w:ascii="Times New Roman" w:eastAsia="Calibri" w:hAnsi="Times New Roman" w:cs="Times New Roman"/>
          <w:color w:val="4C4747"/>
          <w:spacing w:val="20"/>
          <w:sz w:val="24"/>
          <w:szCs w:val="24"/>
          <w:lang w:val="es-DO"/>
        </w:rPr>
        <w:t xml:space="preserve">de estudio </w:t>
      </w:r>
      <w:r w:rsidRPr="006C7929">
        <w:rPr>
          <w:rFonts w:ascii="Times New Roman" w:eastAsia="Calibri" w:hAnsi="Times New Roman" w:cs="Times New Roman"/>
          <w:color w:val="4C4747"/>
          <w:spacing w:val="20"/>
          <w:sz w:val="24"/>
          <w:szCs w:val="24"/>
          <w:lang w:val="es-DO"/>
        </w:rPr>
        <w:t xml:space="preserve">que cursan. </w:t>
      </w:r>
    </w:p>
    <w:p w14:paraId="65CB3088" w14:textId="34D42A91" w:rsidR="00C075F5" w:rsidRPr="005A11A8" w:rsidRDefault="00D9747B" w:rsidP="00C356F0">
      <w:pPr>
        <w:spacing w:line="360" w:lineRule="auto"/>
        <w:jc w:val="both"/>
        <w:rPr>
          <w:rFonts w:ascii="Times New Roman" w:eastAsia="Calibri" w:hAnsi="Times New Roman" w:cs="Times New Roman"/>
          <w:color w:val="4C4747"/>
          <w:spacing w:val="20"/>
          <w:sz w:val="24"/>
          <w:szCs w:val="24"/>
          <w:lang w:val="es-DO"/>
        </w:rPr>
      </w:pPr>
      <w:r w:rsidRPr="005A11A8">
        <w:rPr>
          <w:rFonts w:ascii="Times New Roman" w:eastAsia="Calibri" w:hAnsi="Times New Roman" w:cs="Times New Roman"/>
          <w:color w:val="4C4747"/>
          <w:spacing w:val="20"/>
          <w:sz w:val="24"/>
          <w:szCs w:val="24"/>
          <w:lang w:val="es-DO"/>
        </w:rPr>
        <w:t>C</w:t>
      </w:r>
      <w:r w:rsidR="00C075F5" w:rsidRPr="005A11A8">
        <w:rPr>
          <w:rFonts w:ascii="Times New Roman" w:eastAsia="Calibri" w:hAnsi="Times New Roman" w:cs="Times New Roman"/>
          <w:color w:val="4C4747"/>
          <w:spacing w:val="20"/>
          <w:sz w:val="24"/>
          <w:szCs w:val="24"/>
          <w:lang w:val="es-DO"/>
        </w:rPr>
        <w:t>on el objetivo de regular normativas e implementar acciones de mejoras</w:t>
      </w:r>
      <w:r w:rsidRPr="005A11A8">
        <w:rPr>
          <w:rFonts w:ascii="Times New Roman" w:eastAsia="Calibri" w:hAnsi="Times New Roman" w:cs="Times New Roman"/>
          <w:color w:val="4C4747"/>
          <w:spacing w:val="20"/>
          <w:sz w:val="24"/>
          <w:szCs w:val="24"/>
          <w:lang w:val="es-DO"/>
        </w:rPr>
        <w:t xml:space="preserve"> se ejecutaron las siguientes acciones</w:t>
      </w:r>
      <w:r w:rsidR="00C075F5" w:rsidRPr="005A11A8">
        <w:rPr>
          <w:rFonts w:ascii="Times New Roman" w:eastAsia="Calibri" w:hAnsi="Times New Roman" w:cs="Times New Roman"/>
          <w:color w:val="4C4747"/>
          <w:spacing w:val="20"/>
          <w:sz w:val="24"/>
          <w:szCs w:val="24"/>
          <w:lang w:val="es-DO"/>
        </w:rPr>
        <w:t>:</w:t>
      </w:r>
    </w:p>
    <w:p w14:paraId="0F08BD8F" w14:textId="0177ACB9" w:rsidR="00C356F0" w:rsidRPr="00CF7E5C" w:rsidRDefault="00C075F5" w:rsidP="00A02BDE">
      <w:pPr>
        <w:pStyle w:val="Prrafodelista"/>
        <w:numPr>
          <w:ilvl w:val="0"/>
          <w:numId w:val="49"/>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A</w:t>
      </w:r>
      <w:r w:rsidR="00C356F0" w:rsidRPr="00CF7E5C">
        <w:rPr>
          <w:rFonts w:ascii="Times New Roman" w:eastAsia="Calibri" w:hAnsi="Times New Roman" w:cs="Times New Roman"/>
          <w:color w:val="4C4747"/>
          <w:spacing w:val="20"/>
          <w:sz w:val="24"/>
          <w:szCs w:val="24"/>
          <w:lang w:val="es-DO"/>
        </w:rPr>
        <w:t xml:space="preserve">ctualización de </w:t>
      </w:r>
      <w:r w:rsidRPr="00CF7E5C">
        <w:rPr>
          <w:rFonts w:ascii="Times New Roman" w:eastAsia="Calibri" w:hAnsi="Times New Roman" w:cs="Times New Roman"/>
          <w:color w:val="4C4747"/>
          <w:spacing w:val="20"/>
          <w:sz w:val="24"/>
          <w:szCs w:val="24"/>
          <w:lang w:val="es-DO"/>
        </w:rPr>
        <w:t xml:space="preserve">la estructura organizacional, </w:t>
      </w:r>
      <w:r w:rsidR="00D9747B" w:rsidRPr="00CF7E5C">
        <w:rPr>
          <w:rFonts w:ascii="Times New Roman" w:eastAsia="Calibri" w:hAnsi="Times New Roman" w:cs="Times New Roman"/>
          <w:color w:val="4C4747"/>
          <w:spacing w:val="20"/>
          <w:sz w:val="24"/>
          <w:szCs w:val="24"/>
          <w:lang w:val="es-DO"/>
        </w:rPr>
        <w:t xml:space="preserve">fue </w:t>
      </w:r>
      <w:r w:rsidRPr="00CF7E5C">
        <w:rPr>
          <w:rFonts w:ascii="Times New Roman" w:eastAsia="Calibri" w:hAnsi="Times New Roman" w:cs="Times New Roman"/>
          <w:color w:val="4C4747"/>
          <w:spacing w:val="20"/>
          <w:sz w:val="24"/>
          <w:szCs w:val="24"/>
          <w:lang w:val="es-DO"/>
        </w:rPr>
        <w:t>remi</w:t>
      </w:r>
      <w:r w:rsidR="00D9747B" w:rsidRPr="00CF7E5C">
        <w:rPr>
          <w:rFonts w:ascii="Times New Roman" w:eastAsia="Calibri" w:hAnsi="Times New Roman" w:cs="Times New Roman"/>
          <w:color w:val="4C4747"/>
          <w:spacing w:val="20"/>
          <w:sz w:val="24"/>
          <w:szCs w:val="24"/>
          <w:lang w:val="es-DO"/>
        </w:rPr>
        <w:t>tido</w:t>
      </w:r>
      <w:r w:rsidRPr="00CF7E5C">
        <w:rPr>
          <w:rFonts w:ascii="Times New Roman" w:eastAsia="Calibri" w:hAnsi="Times New Roman" w:cs="Times New Roman"/>
          <w:color w:val="4C4747"/>
          <w:spacing w:val="20"/>
          <w:sz w:val="24"/>
          <w:szCs w:val="24"/>
          <w:lang w:val="es-DO"/>
        </w:rPr>
        <w:t xml:space="preserve"> al Ministerio </w:t>
      </w:r>
      <w:r w:rsidR="00C356F0" w:rsidRPr="00CF7E5C">
        <w:rPr>
          <w:rFonts w:ascii="Times New Roman" w:eastAsia="Calibri" w:hAnsi="Times New Roman" w:cs="Times New Roman"/>
          <w:color w:val="4C4747"/>
          <w:spacing w:val="20"/>
          <w:sz w:val="24"/>
          <w:szCs w:val="24"/>
          <w:lang w:val="es-DO"/>
        </w:rPr>
        <w:t>de Administración Pública (MAP) el primer  borrador</w:t>
      </w:r>
      <w:r w:rsidR="00D9747B" w:rsidRPr="00CF7E5C">
        <w:rPr>
          <w:rFonts w:ascii="Times New Roman" w:eastAsia="Calibri" w:hAnsi="Times New Roman" w:cs="Times New Roman"/>
          <w:color w:val="4C4747"/>
          <w:spacing w:val="20"/>
          <w:sz w:val="24"/>
          <w:szCs w:val="24"/>
          <w:lang w:val="es-DO"/>
        </w:rPr>
        <w:t>.</w:t>
      </w:r>
    </w:p>
    <w:p w14:paraId="5D5CD5E3" w14:textId="01B2B74E" w:rsidR="00C356F0" w:rsidRPr="00CF7E5C" w:rsidRDefault="00C356F0" w:rsidP="00A02BDE">
      <w:pPr>
        <w:pStyle w:val="Prrafodelista"/>
        <w:numPr>
          <w:ilvl w:val="0"/>
          <w:numId w:val="49"/>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Actualización de datos de los colaboradores </w:t>
      </w:r>
      <w:r w:rsidR="00C075F5" w:rsidRPr="00CF7E5C">
        <w:rPr>
          <w:rFonts w:ascii="Times New Roman" w:eastAsia="Calibri" w:hAnsi="Times New Roman" w:cs="Times New Roman"/>
          <w:color w:val="4C4747"/>
          <w:spacing w:val="20"/>
          <w:sz w:val="24"/>
          <w:szCs w:val="24"/>
          <w:lang w:val="es-DO"/>
        </w:rPr>
        <w:t>y las colaboradoras en el sistema G</w:t>
      </w:r>
      <w:r w:rsidRPr="00CF7E5C">
        <w:rPr>
          <w:rFonts w:ascii="Times New Roman" w:eastAsia="Calibri" w:hAnsi="Times New Roman" w:cs="Times New Roman"/>
          <w:color w:val="4C4747"/>
          <w:spacing w:val="20"/>
          <w:sz w:val="24"/>
          <w:szCs w:val="24"/>
          <w:lang w:val="es-DO"/>
        </w:rPr>
        <w:t>azella no solo datos básicos</w:t>
      </w:r>
      <w:r w:rsidR="00C075F5" w:rsidRPr="00CF7E5C">
        <w:rPr>
          <w:rFonts w:ascii="Times New Roman" w:eastAsia="Calibri" w:hAnsi="Times New Roman" w:cs="Times New Roman"/>
          <w:color w:val="4C4747"/>
          <w:spacing w:val="20"/>
          <w:sz w:val="24"/>
          <w:szCs w:val="24"/>
          <w:lang w:val="es-DO"/>
        </w:rPr>
        <w:t xml:space="preserve">, </w:t>
      </w:r>
      <w:r w:rsidR="00C35965" w:rsidRPr="00CF7E5C">
        <w:rPr>
          <w:rFonts w:ascii="Times New Roman" w:eastAsia="Calibri" w:hAnsi="Times New Roman" w:cs="Times New Roman"/>
          <w:color w:val="4C4747"/>
          <w:spacing w:val="20"/>
          <w:sz w:val="24"/>
          <w:szCs w:val="24"/>
          <w:lang w:val="es-DO"/>
        </w:rPr>
        <w:t xml:space="preserve">también </w:t>
      </w:r>
      <w:r w:rsidR="00C075F5" w:rsidRPr="00CF7E5C">
        <w:rPr>
          <w:rFonts w:ascii="Times New Roman" w:eastAsia="Calibri" w:hAnsi="Times New Roman" w:cs="Times New Roman"/>
          <w:color w:val="4C4747"/>
          <w:spacing w:val="20"/>
          <w:sz w:val="24"/>
          <w:szCs w:val="24"/>
          <w:lang w:val="es-DO"/>
        </w:rPr>
        <w:t xml:space="preserve">se </w:t>
      </w:r>
      <w:r w:rsidRPr="00CF7E5C">
        <w:rPr>
          <w:rFonts w:ascii="Times New Roman" w:eastAsia="Calibri" w:hAnsi="Times New Roman" w:cs="Times New Roman"/>
          <w:color w:val="4C4747"/>
          <w:spacing w:val="20"/>
          <w:sz w:val="24"/>
          <w:szCs w:val="24"/>
          <w:lang w:val="es-DO"/>
        </w:rPr>
        <w:t xml:space="preserve"> i</w:t>
      </w:r>
      <w:r w:rsidR="00C075F5" w:rsidRPr="00CF7E5C">
        <w:rPr>
          <w:rFonts w:ascii="Times New Roman" w:eastAsia="Calibri" w:hAnsi="Times New Roman" w:cs="Times New Roman"/>
          <w:color w:val="4C4747"/>
          <w:spacing w:val="20"/>
          <w:sz w:val="24"/>
          <w:szCs w:val="24"/>
          <w:lang w:val="es-DO"/>
        </w:rPr>
        <w:t>mplementó</w:t>
      </w:r>
      <w:r w:rsidRPr="00CF7E5C">
        <w:rPr>
          <w:rFonts w:ascii="Times New Roman" w:eastAsia="Calibri" w:hAnsi="Times New Roman" w:cs="Times New Roman"/>
          <w:color w:val="4C4747"/>
          <w:spacing w:val="20"/>
          <w:sz w:val="24"/>
          <w:szCs w:val="24"/>
          <w:lang w:val="es-DO"/>
        </w:rPr>
        <w:t xml:space="preserve"> ag</w:t>
      </w:r>
      <w:r w:rsidR="00C35965" w:rsidRPr="00CF7E5C">
        <w:rPr>
          <w:rFonts w:ascii="Times New Roman" w:eastAsia="Calibri" w:hAnsi="Times New Roman" w:cs="Times New Roman"/>
          <w:color w:val="4C4747"/>
          <w:spacing w:val="20"/>
          <w:sz w:val="24"/>
          <w:szCs w:val="24"/>
          <w:lang w:val="es-DO"/>
        </w:rPr>
        <w:t>regar información más completa</w:t>
      </w:r>
      <w:r w:rsidRPr="00CF7E5C">
        <w:rPr>
          <w:rFonts w:ascii="Times New Roman" w:eastAsia="Calibri" w:hAnsi="Times New Roman" w:cs="Times New Roman"/>
          <w:color w:val="4C4747"/>
          <w:spacing w:val="20"/>
          <w:sz w:val="24"/>
          <w:szCs w:val="24"/>
          <w:lang w:val="es-DO"/>
        </w:rPr>
        <w:t xml:space="preserve"> y detallada de cada colaborador </w:t>
      </w:r>
      <w:r w:rsidR="00C075F5" w:rsidRPr="00CF7E5C">
        <w:rPr>
          <w:rFonts w:ascii="Times New Roman" w:eastAsia="Calibri" w:hAnsi="Times New Roman" w:cs="Times New Roman"/>
          <w:color w:val="4C4747"/>
          <w:spacing w:val="20"/>
          <w:sz w:val="24"/>
          <w:szCs w:val="24"/>
          <w:lang w:val="es-DO"/>
        </w:rPr>
        <w:t xml:space="preserve">y colaboradora </w:t>
      </w:r>
      <w:r w:rsidRPr="00CF7E5C">
        <w:rPr>
          <w:rFonts w:ascii="Times New Roman" w:eastAsia="Calibri" w:hAnsi="Times New Roman" w:cs="Times New Roman"/>
          <w:color w:val="4C4747"/>
          <w:spacing w:val="20"/>
          <w:sz w:val="24"/>
          <w:szCs w:val="24"/>
          <w:lang w:val="es-DO"/>
        </w:rPr>
        <w:t>como son: tipo d</w:t>
      </w:r>
      <w:r w:rsidR="00C35965" w:rsidRPr="00CF7E5C">
        <w:rPr>
          <w:rFonts w:ascii="Times New Roman" w:eastAsia="Calibri" w:hAnsi="Times New Roman" w:cs="Times New Roman"/>
          <w:color w:val="4C4747"/>
          <w:spacing w:val="20"/>
          <w:sz w:val="24"/>
          <w:szCs w:val="24"/>
          <w:lang w:val="es-DO"/>
        </w:rPr>
        <w:t>e sangre, enfermedad que padece y otros.</w:t>
      </w:r>
      <w:r w:rsidRPr="00CF7E5C">
        <w:rPr>
          <w:rFonts w:ascii="Times New Roman" w:eastAsia="Calibri" w:hAnsi="Times New Roman" w:cs="Times New Roman"/>
          <w:color w:val="4C4747"/>
          <w:spacing w:val="20"/>
          <w:sz w:val="24"/>
          <w:szCs w:val="24"/>
          <w:lang w:val="es-DO"/>
        </w:rPr>
        <w:t xml:space="preserve"> </w:t>
      </w:r>
    </w:p>
    <w:p w14:paraId="4D86557B" w14:textId="6E2CA740" w:rsidR="00C356F0" w:rsidRPr="00CF7E5C" w:rsidRDefault="00524306" w:rsidP="00A02BDE">
      <w:pPr>
        <w:pStyle w:val="Prrafodelista"/>
        <w:numPr>
          <w:ilvl w:val="0"/>
          <w:numId w:val="49"/>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E</w:t>
      </w:r>
      <w:r w:rsidR="00C356F0" w:rsidRPr="00CF7E5C">
        <w:rPr>
          <w:rFonts w:ascii="Times New Roman" w:eastAsia="Calibri" w:hAnsi="Times New Roman" w:cs="Times New Roman"/>
          <w:color w:val="4C4747"/>
          <w:spacing w:val="20"/>
          <w:sz w:val="24"/>
          <w:szCs w:val="24"/>
          <w:lang w:val="es-DO"/>
        </w:rPr>
        <w:t>misión y entrega  de certificaciones a los colaboradores</w:t>
      </w:r>
      <w:r w:rsidR="00C35965" w:rsidRPr="00CF7E5C">
        <w:rPr>
          <w:rFonts w:ascii="Times New Roman" w:eastAsia="Calibri" w:hAnsi="Times New Roman" w:cs="Times New Roman"/>
          <w:color w:val="4C4747"/>
          <w:spacing w:val="20"/>
          <w:sz w:val="24"/>
          <w:szCs w:val="24"/>
          <w:lang w:val="es-DO"/>
        </w:rPr>
        <w:t xml:space="preserve"> y las colaboradoras</w:t>
      </w:r>
      <w:r w:rsidR="00C356F0" w:rsidRPr="00CF7E5C">
        <w:rPr>
          <w:rFonts w:ascii="Times New Roman" w:eastAsia="Calibri" w:hAnsi="Times New Roman" w:cs="Times New Roman"/>
          <w:color w:val="4C4747"/>
          <w:spacing w:val="20"/>
          <w:sz w:val="24"/>
          <w:szCs w:val="24"/>
          <w:lang w:val="es-DO"/>
        </w:rPr>
        <w:t xml:space="preserve"> en tiempo reco</w:t>
      </w:r>
      <w:r w:rsidRPr="00CF7E5C">
        <w:rPr>
          <w:rFonts w:ascii="Times New Roman" w:eastAsia="Calibri" w:hAnsi="Times New Roman" w:cs="Times New Roman"/>
          <w:color w:val="4C4747"/>
          <w:spacing w:val="20"/>
          <w:sz w:val="24"/>
          <w:szCs w:val="24"/>
          <w:lang w:val="es-DO"/>
        </w:rPr>
        <w:t>rd</w:t>
      </w:r>
      <w:r w:rsidR="00C356F0" w:rsidRPr="00CF7E5C">
        <w:rPr>
          <w:rFonts w:ascii="Times New Roman" w:eastAsia="Calibri" w:hAnsi="Times New Roman" w:cs="Times New Roman"/>
          <w:color w:val="4C4747"/>
          <w:spacing w:val="20"/>
          <w:sz w:val="24"/>
          <w:szCs w:val="24"/>
          <w:lang w:val="es-DO"/>
        </w:rPr>
        <w:t xml:space="preserve">; </w:t>
      </w:r>
    </w:p>
    <w:p w14:paraId="139546C1" w14:textId="3D2A9BD4" w:rsidR="00C356F0" w:rsidRPr="00CF7E5C" w:rsidRDefault="00C35965" w:rsidP="00A02BDE">
      <w:pPr>
        <w:pStyle w:val="Prrafodelista"/>
        <w:numPr>
          <w:ilvl w:val="0"/>
          <w:numId w:val="49"/>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Acuerdos de d</w:t>
      </w:r>
      <w:r w:rsidR="00C356F0" w:rsidRPr="00CF7E5C">
        <w:rPr>
          <w:rFonts w:ascii="Times New Roman" w:eastAsia="Calibri" w:hAnsi="Times New Roman" w:cs="Times New Roman"/>
          <w:color w:val="4C4747"/>
          <w:spacing w:val="20"/>
          <w:sz w:val="24"/>
          <w:szCs w:val="24"/>
          <w:lang w:val="es-DO"/>
        </w:rPr>
        <w:t>esempeño de colaboradores elaborados bajo los lineamientos establecidos por el Ministerio de Administración Pública</w:t>
      </w:r>
      <w:r w:rsidRPr="00CF7E5C">
        <w:rPr>
          <w:rFonts w:ascii="Times New Roman" w:eastAsia="Calibri" w:hAnsi="Times New Roman" w:cs="Times New Roman"/>
          <w:color w:val="4C4747"/>
          <w:spacing w:val="20"/>
          <w:sz w:val="24"/>
          <w:szCs w:val="24"/>
          <w:lang w:val="es-DO"/>
        </w:rPr>
        <w:t>,</w:t>
      </w:r>
      <w:r w:rsidR="00C356F0" w:rsidRPr="00CF7E5C">
        <w:rPr>
          <w:rFonts w:ascii="Times New Roman" w:eastAsia="Calibri" w:hAnsi="Times New Roman" w:cs="Times New Roman"/>
          <w:color w:val="4C4747"/>
          <w:spacing w:val="20"/>
          <w:sz w:val="24"/>
          <w:szCs w:val="24"/>
          <w:lang w:val="es-DO"/>
        </w:rPr>
        <w:t xml:space="preserve"> MAP.</w:t>
      </w:r>
    </w:p>
    <w:p w14:paraId="60C82424" w14:textId="77777777" w:rsidR="00C356F0" w:rsidRPr="00CF7E5C" w:rsidRDefault="00C356F0" w:rsidP="00CF7E5C">
      <w:p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Levantamiento de estadísticas  de colaboradores por grupo ocupacional y sexo:</w:t>
      </w:r>
    </w:p>
    <w:p w14:paraId="76E418EE" w14:textId="77777777" w:rsidR="003D5694" w:rsidRDefault="003D5694" w:rsidP="003D5694">
      <w:pPr>
        <w:spacing w:line="360" w:lineRule="auto"/>
        <w:jc w:val="both"/>
        <w:rPr>
          <w:rFonts w:ascii="Times New Roman" w:eastAsia="Calibri" w:hAnsi="Times New Roman" w:cs="Times New Roman"/>
          <w:color w:val="767171"/>
          <w:spacing w:val="20"/>
          <w:sz w:val="24"/>
          <w:szCs w:val="24"/>
          <w:lang w:val="es-DO"/>
        </w:rPr>
      </w:pPr>
    </w:p>
    <w:p w14:paraId="7A709F14" w14:textId="77777777" w:rsidR="00F65C89" w:rsidRDefault="00F65C89" w:rsidP="003D5694">
      <w:pPr>
        <w:spacing w:line="360" w:lineRule="auto"/>
        <w:jc w:val="both"/>
        <w:rPr>
          <w:rFonts w:ascii="Times New Roman" w:eastAsia="Calibri" w:hAnsi="Times New Roman" w:cs="Times New Roman"/>
          <w:color w:val="767171"/>
          <w:spacing w:val="20"/>
          <w:sz w:val="24"/>
          <w:szCs w:val="24"/>
          <w:lang w:val="es-DO"/>
        </w:rPr>
      </w:pPr>
    </w:p>
    <w:p w14:paraId="4D93C4A4" w14:textId="77777777" w:rsidR="00F65C89" w:rsidRDefault="00F65C89" w:rsidP="003D5694">
      <w:pPr>
        <w:spacing w:line="360" w:lineRule="auto"/>
        <w:jc w:val="both"/>
        <w:rPr>
          <w:rFonts w:ascii="Times New Roman" w:eastAsia="Calibri" w:hAnsi="Times New Roman" w:cs="Times New Roman"/>
          <w:color w:val="767171"/>
          <w:spacing w:val="20"/>
          <w:sz w:val="24"/>
          <w:szCs w:val="24"/>
          <w:lang w:val="es-DO"/>
        </w:rPr>
      </w:pPr>
    </w:p>
    <w:p w14:paraId="38EBA384" w14:textId="77777777" w:rsidR="00F65C89" w:rsidRDefault="00F65C89" w:rsidP="003D5694">
      <w:pPr>
        <w:spacing w:line="360" w:lineRule="auto"/>
        <w:jc w:val="both"/>
        <w:rPr>
          <w:rFonts w:ascii="Times New Roman" w:eastAsia="Calibri" w:hAnsi="Times New Roman" w:cs="Times New Roman"/>
          <w:color w:val="767171"/>
          <w:spacing w:val="20"/>
          <w:sz w:val="24"/>
          <w:szCs w:val="24"/>
          <w:lang w:val="es-DO"/>
        </w:rPr>
      </w:pPr>
    </w:p>
    <w:p w14:paraId="42ECD3EC" w14:textId="77777777" w:rsidR="00F65C89" w:rsidRDefault="00F65C89" w:rsidP="003D5694">
      <w:pPr>
        <w:spacing w:line="360" w:lineRule="auto"/>
        <w:jc w:val="both"/>
        <w:rPr>
          <w:rFonts w:ascii="Times New Roman" w:eastAsia="Calibri" w:hAnsi="Times New Roman" w:cs="Times New Roman"/>
          <w:color w:val="767171"/>
          <w:spacing w:val="20"/>
          <w:sz w:val="24"/>
          <w:szCs w:val="24"/>
          <w:lang w:val="es-DO"/>
        </w:rPr>
      </w:pPr>
    </w:p>
    <w:p w14:paraId="128ADDD4" w14:textId="77777777" w:rsidR="00F65C89" w:rsidRDefault="00F65C89" w:rsidP="003D5694">
      <w:pPr>
        <w:spacing w:line="360" w:lineRule="auto"/>
        <w:jc w:val="both"/>
        <w:rPr>
          <w:rFonts w:ascii="Times New Roman" w:eastAsia="Calibri" w:hAnsi="Times New Roman" w:cs="Times New Roman"/>
          <w:color w:val="767171"/>
          <w:spacing w:val="20"/>
          <w:sz w:val="24"/>
          <w:szCs w:val="24"/>
          <w:lang w:val="es-DO"/>
        </w:rPr>
      </w:pPr>
    </w:p>
    <w:tbl>
      <w:tblPr>
        <w:tblW w:w="6856" w:type="dxa"/>
        <w:tblCellMar>
          <w:top w:w="15" w:type="dxa"/>
          <w:bottom w:w="15" w:type="dxa"/>
        </w:tblCellMar>
        <w:tblLook w:val="04A0" w:firstRow="1" w:lastRow="0" w:firstColumn="1" w:lastColumn="0" w:noHBand="0" w:noVBand="1"/>
      </w:tblPr>
      <w:tblGrid>
        <w:gridCol w:w="3874"/>
        <w:gridCol w:w="1336"/>
        <w:gridCol w:w="1410"/>
        <w:gridCol w:w="1243"/>
      </w:tblGrid>
      <w:tr w:rsidR="003D5694" w:rsidRPr="00376423" w14:paraId="57281CAC" w14:textId="77777777" w:rsidTr="00A4233F">
        <w:trPr>
          <w:trHeight w:val="285"/>
        </w:trPr>
        <w:tc>
          <w:tcPr>
            <w:tcW w:w="6856" w:type="dxa"/>
            <w:gridSpan w:val="4"/>
            <w:tcBorders>
              <w:top w:val="nil"/>
              <w:left w:val="single" w:sz="4" w:space="0" w:color="auto"/>
              <w:bottom w:val="nil"/>
              <w:right w:val="nil"/>
            </w:tcBorders>
            <w:shd w:val="clear" w:color="auto" w:fill="002060"/>
            <w:noWrap/>
            <w:vAlign w:val="bottom"/>
            <w:hideMark/>
          </w:tcPr>
          <w:p w14:paraId="28015BB6" w14:textId="77777777" w:rsidR="003D5694" w:rsidRPr="003D5694" w:rsidRDefault="003D5694" w:rsidP="003D5694">
            <w:pPr>
              <w:spacing w:after="0" w:line="240" w:lineRule="auto"/>
              <w:jc w:val="center"/>
              <w:rPr>
                <w:rFonts w:ascii="Times New Roman" w:eastAsia="Calibri" w:hAnsi="Times New Roman" w:cs="Times New Roman"/>
                <w:color w:val="FFFFFF" w:themeColor="background1"/>
                <w:spacing w:val="20"/>
                <w:sz w:val="24"/>
                <w:szCs w:val="24"/>
                <w:lang w:val="es-DO"/>
              </w:rPr>
            </w:pPr>
            <w:r w:rsidRPr="003D5694">
              <w:rPr>
                <w:rFonts w:ascii="Times New Roman" w:eastAsia="Calibri" w:hAnsi="Times New Roman" w:cs="Times New Roman"/>
                <w:color w:val="FFFFFF" w:themeColor="background1"/>
                <w:spacing w:val="20"/>
                <w:sz w:val="24"/>
                <w:szCs w:val="24"/>
                <w:lang w:val="es-DO"/>
              </w:rPr>
              <w:lastRenderedPageBreak/>
              <w:t>Reporte hasta el 30 de noviembre 2022</w:t>
            </w:r>
          </w:p>
        </w:tc>
      </w:tr>
      <w:tr w:rsidR="003D5694" w:rsidRPr="003D5694" w14:paraId="2E1994BA" w14:textId="77777777" w:rsidTr="00A4233F">
        <w:trPr>
          <w:trHeight w:val="285"/>
        </w:trPr>
        <w:tc>
          <w:tcPr>
            <w:tcW w:w="3874"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8E0DE3B" w14:textId="77777777" w:rsidR="003D5694" w:rsidRPr="003D5694" w:rsidRDefault="003D5694" w:rsidP="003D5694">
            <w:pPr>
              <w:spacing w:after="0" w:line="240" w:lineRule="auto"/>
              <w:jc w:val="center"/>
              <w:rPr>
                <w:rFonts w:ascii="Times New Roman" w:eastAsia="Calibri" w:hAnsi="Times New Roman" w:cs="Times New Roman"/>
                <w:color w:val="FFFFFF" w:themeColor="background1"/>
                <w:spacing w:val="20"/>
                <w:sz w:val="24"/>
                <w:szCs w:val="24"/>
                <w:lang w:val="es-DO"/>
              </w:rPr>
            </w:pPr>
            <w:r w:rsidRPr="003D5694">
              <w:rPr>
                <w:rFonts w:ascii="Times New Roman" w:eastAsia="Calibri" w:hAnsi="Times New Roman" w:cs="Times New Roman"/>
                <w:color w:val="FFFFFF" w:themeColor="background1"/>
                <w:spacing w:val="20"/>
                <w:sz w:val="24"/>
                <w:szCs w:val="24"/>
                <w:lang w:val="es-DO"/>
              </w:rPr>
              <w:t>Grupo ocupacional</w:t>
            </w:r>
          </w:p>
        </w:tc>
        <w:tc>
          <w:tcPr>
            <w:tcW w:w="1336"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25BA5EEB" w14:textId="77777777" w:rsidR="003D5694" w:rsidRPr="003D5694" w:rsidRDefault="003D5694" w:rsidP="003D5694">
            <w:pPr>
              <w:spacing w:after="0" w:line="240" w:lineRule="auto"/>
              <w:jc w:val="center"/>
              <w:rPr>
                <w:rFonts w:ascii="Times New Roman" w:eastAsia="Calibri" w:hAnsi="Times New Roman" w:cs="Times New Roman"/>
                <w:color w:val="FFFFFF" w:themeColor="background1"/>
                <w:spacing w:val="20"/>
                <w:sz w:val="24"/>
                <w:szCs w:val="24"/>
                <w:lang w:val="es-DO"/>
              </w:rPr>
            </w:pPr>
            <w:r w:rsidRPr="003D5694">
              <w:rPr>
                <w:rFonts w:ascii="Times New Roman" w:eastAsia="Calibri" w:hAnsi="Times New Roman" w:cs="Times New Roman"/>
                <w:color w:val="FFFFFF" w:themeColor="background1"/>
                <w:spacing w:val="20"/>
                <w:sz w:val="24"/>
                <w:szCs w:val="24"/>
                <w:lang w:val="es-DO"/>
              </w:rPr>
              <w:t>Femenino</w:t>
            </w:r>
          </w:p>
        </w:tc>
        <w:tc>
          <w:tcPr>
            <w:tcW w:w="141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79D81CE8" w14:textId="77777777" w:rsidR="003D5694" w:rsidRPr="003D5694" w:rsidRDefault="003D5694" w:rsidP="003D5694">
            <w:pPr>
              <w:spacing w:after="0" w:line="240" w:lineRule="auto"/>
              <w:jc w:val="center"/>
              <w:rPr>
                <w:rFonts w:ascii="Times New Roman" w:eastAsia="Calibri" w:hAnsi="Times New Roman" w:cs="Times New Roman"/>
                <w:color w:val="FFFFFF" w:themeColor="background1"/>
                <w:spacing w:val="20"/>
                <w:sz w:val="24"/>
                <w:szCs w:val="24"/>
                <w:lang w:val="es-DO"/>
              </w:rPr>
            </w:pPr>
            <w:r w:rsidRPr="003D5694">
              <w:rPr>
                <w:rFonts w:ascii="Times New Roman" w:eastAsia="Calibri" w:hAnsi="Times New Roman" w:cs="Times New Roman"/>
                <w:color w:val="FFFFFF" w:themeColor="background1"/>
                <w:spacing w:val="20"/>
                <w:sz w:val="24"/>
                <w:szCs w:val="24"/>
                <w:lang w:val="es-DO"/>
              </w:rPr>
              <w:t>Masculino</w:t>
            </w:r>
          </w:p>
        </w:tc>
        <w:tc>
          <w:tcPr>
            <w:tcW w:w="236"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72D9F1AE" w14:textId="77777777" w:rsidR="003D5694" w:rsidRPr="003D5694" w:rsidRDefault="003D5694" w:rsidP="003D5694">
            <w:pPr>
              <w:spacing w:after="0" w:line="240" w:lineRule="auto"/>
              <w:jc w:val="center"/>
              <w:rPr>
                <w:rFonts w:ascii="Times New Roman" w:eastAsia="Calibri" w:hAnsi="Times New Roman" w:cs="Times New Roman"/>
                <w:color w:val="FFFFFF" w:themeColor="background1"/>
                <w:spacing w:val="20"/>
                <w:sz w:val="24"/>
                <w:szCs w:val="24"/>
                <w:lang w:val="es-DO"/>
              </w:rPr>
            </w:pPr>
            <w:r w:rsidRPr="003D5694">
              <w:rPr>
                <w:rFonts w:ascii="Times New Roman" w:eastAsia="Calibri" w:hAnsi="Times New Roman" w:cs="Times New Roman"/>
                <w:color w:val="FFFFFF" w:themeColor="background1"/>
                <w:spacing w:val="20"/>
                <w:sz w:val="24"/>
                <w:szCs w:val="24"/>
                <w:lang w:val="es-DO"/>
              </w:rPr>
              <w:t>Cantidad</w:t>
            </w:r>
          </w:p>
        </w:tc>
      </w:tr>
      <w:tr w:rsidR="003D5694" w:rsidRPr="003D5694" w14:paraId="373F6C91" w14:textId="77777777" w:rsidTr="00A4233F">
        <w:trPr>
          <w:trHeight w:val="285"/>
        </w:trPr>
        <w:tc>
          <w:tcPr>
            <w:tcW w:w="3874" w:type="dxa"/>
            <w:tcBorders>
              <w:top w:val="single" w:sz="4" w:space="0" w:color="auto"/>
              <w:left w:val="single" w:sz="4" w:space="0" w:color="auto"/>
              <w:bottom w:val="single" w:sz="4" w:space="0" w:color="auto"/>
              <w:right w:val="single" w:sz="4" w:space="0" w:color="auto"/>
            </w:tcBorders>
            <w:noWrap/>
            <w:vAlign w:val="bottom"/>
            <w:hideMark/>
          </w:tcPr>
          <w:p w14:paraId="266B686E" w14:textId="3300B50D" w:rsidR="003D5694" w:rsidRPr="00C62BB6" w:rsidRDefault="003D5694" w:rsidP="005A11A8">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Apoyo administrativo</w:t>
            </w:r>
          </w:p>
        </w:tc>
        <w:tc>
          <w:tcPr>
            <w:tcW w:w="1336" w:type="dxa"/>
            <w:tcBorders>
              <w:top w:val="single" w:sz="4" w:space="0" w:color="auto"/>
              <w:left w:val="single" w:sz="4" w:space="0" w:color="auto"/>
              <w:bottom w:val="single" w:sz="4" w:space="0" w:color="auto"/>
              <w:right w:val="single" w:sz="4" w:space="0" w:color="auto"/>
            </w:tcBorders>
            <w:noWrap/>
            <w:vAlign w:val="bottom"/>
            <w:hideMark/>
          </w:tcPr>
          <w:p w14:paraId="01921B08"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88</w:t>
            </w:r>
          </w:p>
        </w:tc>
        <w:tc>
          <w:tcPr>
            <w:tcW w:w="1410" w:type="dxa"/>
            <w:tcBorders>
              <w:top w:val="single" w:sz="4" w:space="0" w:color="auto"/>
              <w:left w:val="single" w:sz="4" w:space="0" w:color="auto"/>
              <w:bottom w:val="single" w:sz="4" w:space="0" w:color="auto"/>
              <w:right w:val="single" w:sz="4" w:space="0" w:color="auto"/>
            </w:tcBorders>
            <w:noWrap/>
            <w:vAlign w:val="bottom"/>
            <w:hideMark/>
          </w:tcPr>
          <w:p w14:paraId="5D23B7EE"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61</w:t>
            </w:r>
          </w:p>
        </w:tc>
        <w:tc>
          <w:tcPr>
            <w:tcW w:w="236" w:type="dxa"/>
            <w:tcBorders>
              <w:top w:val="single" w:sz="4" w:space="0" w:color="auto"/>
              <w:left w:val="single" w:sz="4" w:space="0" w:color="auto"/>
              <w:bottom w:val="single" w:sz="4" w:space="0" w:color="auto"/>
              <w:right w:val="single" w:sz="4" w:space="0" w:color="auto"/>
            </w:tcBorders>
            <w:noWrap/>
            <w:vAlign w:val="bottom"/>
            <w:hideMark/>
          </w:tcPr>
          <w:p w14:paraId="3E53FDE1"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149</w:t>
            </w:r>
          </w:p>
        </w:tc>
      </w:tr>
      <w:tr w:rsidR="003D5694" w:rsidRPr="003D5694" w14:paraId="230A4085" w14:textId="77777777" w:rsidTr="00A4233F">
        <w:trPr>
          <w:trHeight w:val="285"/>
        </w:trPr>
        <w:tc>
          <w:tcPr>
            <w:tcW w:w="3874" w:type="dxa"/>
            <w:tcBorders>
              <w:top w:val="single" w:sz="4" w:space="0" w:color="auto"/>
              <w:left w:val="single" w:sz="4" w:space="0" w:color="auto"/>
              <w:bottom w:val="single" w:sz="4" w:space="0" w:color="auto"/>
              <w:right w:val="single" w:sz="4" w:space="0" w:color="auto"/>
            </w:tcBorders>
            <w:noWrap/>
            <w:vAlign w:val="bottom"/>
            <w:hideMark/>
          </w:tcPr>
          <w:p w14:paraId="1734C9A0" w14:textId="3DF3DF3E" w:rsidR="003D5694" w:rsidRPr="00C62BB6" w:rsidRDefault="003D5694" w:rsidP="005A11A8">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Dirección</w:t>
            </w:r>
          </w:p>
        </w:tc>
        <w:tc>
          <w:tcPr>
            <w:tcW w:w="1336" w:type="dxa"/>
            <w:tcBorders>
              <w:top w:val="single" w:sz="4" w:space="0" w:color="auto"/>
              <w:left w:val="single" w:sz="4" w:space="0" w:color="auto"/>
              <w:bottom w:val="single" w:sz="4" w:space="0" w:color="auto"/>
              <w:right w:val="single" w:sz="4" w:space="0" w:color="auto"/>
            </w:tcBorders>
            <w:noWrap/>
            <w:vAlign w:val="bottom"/>
            <w:hideMark/>
          </w:tcPr>
          <w:p w14:paraId="5F27B585"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35</w:t>
            </w:r>
          </w:p>
        </w:tc>
        <w:tc>
          <w:tcPr>
            <w:tcW w:w="1410" w:type="dxa"/>
            <w:tcBorders>
              <w:top w:val="single" w:sz="4" w:space="0" w:color="auto"/>
              <w:left w:val="single" w:sz="4" w:space="0" w:color="auto"/>
              <w:bottom w:val="single" w:sz="4" w:space="0" w:color="auto"/>
              <w:right w:val="single" w:sz="4" w:space="0" w:color="auto"/>
            </w:tcBorders>
            <w:noWrap/>
            <w:vAlign w:val="bottom"/>
            <w:hideMark/>
          </w:tcPr>
          <w:p w14:paraId="116BAA94"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37</w:t>
            </w:r>
          </w:p>
        </w:tc>
        <w:tc>
          <w:tcPr>
            <w:tcW w:w="236" w:type="dxa"/>
            <w:tcBorders>
              <w:top w:val="single" w:sz="4" w:space="0" w:color="auto"/>
              <w:left w:val="single" w:sz="4" w:space="0" w:color="auto"/>
              <w:bottom w:val="single" w:sz="4" w:space="0" w:color="auto"/>
              <w:right w:val="single" w:sz="4" w:space="0" w:color="auto"/>
            </w:tcBorders>
            <w:noWrap/>
            <w:vAlign w:val="bottom"/>
            <w:hideMark/>
          </w:tcPr>
          <w:p w14:paraId="6A7B9B86"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72</w:t>
            </w:r>
          </w:p>
        </w:tc>
      </w:tr>
      <w:tr w:rsidR="003D5694" w:rsidRPr="003D5694" w14:paraId="38650978" w14:textId="77777777" w:rsidTr="00A4233F">
        <w:trPr>
          <w:trHeight w:val="285"/>
        </w:trPr>
        <w:tc>
          <w:tcPr>
            <w:tcW w:w="3874" w:type="dxa"/>
            <w:tcBorders>
              <w:top w:val="single" w:sz="4" w:space="0" w:color="auto"/>
              <w:left w:val="single" w:sz="4" w:space="0" w:color="auto"/>
              <w:bottom w:val="single" w:sz="4" w:space="0" w:color="auto"/>
              <w:right w:val="single" w:sz="4" w:space="0" w:color="auto"/>
            </w:tcBorders>
            <w:noWrap/>
            <w:vAlign w:val="bottom"/>
            <w:hideMark/>
          </w:tcPr>
          <w:p w14:paraId="5B59E3D0" w14:textId="4DC5DF02" w:rsidR="003D5694" w:rsidRPr="00C62BB6" w:rsidRDefault="003D5694" w:rsidP="005A11A8">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Grupo ocupacional no asignado</w:t>
            </w:r>
          </w:p>
        </w:tc>
        <w:tc>
          <w:tcPr>
            <w:tcW w:w="1336" w:type="dxa"/>
            <w:tcBorders>
              <w:top w:val="single" w:sz="4" w:space="0" w:color="auto"/>
              <w:left w:val="single" w:sz="4" w:space="0" w:color="auto"/>
              <w:bottom w:val="single" w:sz="4" w:space="0" w:color="auto"/>
              <w:right w:val="single" w:sz="4" w:space="0" w:color="auto"/>
            </w:tcBorders>
            <w:noWrap/>
            <w:vAlign w:val="bottom"/>
            <w:hideMark/>
          </w:tcPr>
          <w:p w14:paraId="228596EE"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w:t>
            </w:r>
          </w:p>
        </w:tc>
        <w:tc>
          <w:tcPr>
            <w:tcW w:w="1410" w:type="dxa"/>
            <w:tcBorders>
              <w:top w:val="single" w:sz="4" w:space="0" w:color="auto"/>
              <w:left w:val="single" w:sz="4" w:space="0" w:color="auto"/>
              <w:bottom w:val="single" w:sz="4" w:space="0" w:color="auto"/>
              <w:right w:val="single" w:sz="4" w:space="0" w:color="auto"/>
            </w:tcBorders>
            <w:noWrap/>
            <w:vAlign w:val="bottom"/>
            <w:hideMark/>
          </w:tcPr>
          <w:p w14:paraId="79FBDF4E"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4</w:t>
            </w:r>
          </w:p>
        </w:tc>
        <w:tc>
          <w:tcPr>
            <w:tcW w:w="236" w:type="dxa"/>
            <w:tcBorders>
              <w:top w:val="single" w:sz="4" w:space="0" w:color="auto"/>
              <w:left w:val="single" w:sz="4" w:space="0" w:color="auto"/>
              <w:bottom w:val="single" w:sz="4" w:space="0" w:color="auto"/>
              <w:right w:val="single" w:sz="4" w:space="0" w:color="auto"/>
            </w:tcBorders>
            <w:noWrap/>
            <w:vAlign w:val="bottom"/>
            <w:hideMark/>
          </w:tcPr>
          <w:p w14:paraId="4EB2B20A"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w:t>
            </w:r>
          </w:p>
        </w:tc>
      </w:tr>
      <w:tr w:rsidR="003D5694" w:rsidRPr="003D5694" w14:paraId="769FF09D" w14:textId="77777777" w:rsidTr="00A4233F">
        <w:trPr>
          <w:trHeight w:val="285"/>
        </w:trPr>
        <w:tc>
          <w:tcPr>
            <w:tcW w:w="3874" w:type="dxa"/>
            <w:tcBorders>
              <w:top w:val="single" w:sz="4" w:space="0" w:color="auto"/>
              <w:left w:val="single" w:sz="4" w:space="0" w:color="auto"/>
              <w:bottom w:val="single" w:sz="4" w:space="0" w:color="auto"/>
              <w:right w:val="single" w:sz="4" w:space="0" w:color="auto"/>
            </w:tcBorders>
            <w:noWrap/>
            <w:vAlign w:val="bottom"/>
            <w:hideMark/>
          </w:tcPr>
          <w:p w14:paraId="17290049" w14:textId="687E3D81" w:rsidR="003D5694" w:rsidRPr="00C62BB6" w:rsidRDefault="003D5694" w:rsidP="005A11A8">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Profesionales</w:t>
            </w:r>
          </w:p>
        </w:tc>
        <w:tc>
          <w:tcPr>
            <w:tcW w:w="1336" w:type="dxa"/>
            <w:tcBorders>
              <w:top w:val="single" w:sz="4" w:space="0" w:color="auto"/>
              <w:left w:val="single" w:sz="4" w:space="0" w:color="auto"/>
              <w:bottom w:val="single" w:sz="4" w:space="0" w:color="auto"/>
              <w:right w:val="single" w:sz="4" w:space="0" w:color="auto"/>
            </w:tcBorders>
            <w:noWrap/>
            <w:vAlign w:val="bottom"/>
            <w:hideMark/>
          </w:tcPr>
          <w:p w14:paraId="1AFCB322"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154</w:t>
            </w:r>
          </w:p>
        </w:tc>
        <w:tc>
          <w:tcPr>
            <w:tcW w:w="1410" w:type="dxa"/>
            <w:tcBorders>
              <w:top w:val="single" w:sz="4" w:space="0" w:color="auto"/>
              <w:left w:val="single" w:sz="4" w:space="0" w:color="auto"/>
              <w:bottom w:val="single" w:sz="4" w:space="0" w:color="auto"/>
              <w:right w:val="single" w:sz="4" w:space="0" w:color="auto"/>
            </w:tcBorders>
            <w:noWrap/>
            <w:vAlign w:val="bottom"/>
            <w:hideMark/>
          </w:tcPr>
          <w:p w14:paraId="6B70E52F"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135</w:t>
            </w:r>
          </w:p>
        </w:tc>
        <w:tc>
          <w:tcPr>
            <w:tcW w:w="236" w:type="dxa"/>
            <w:tcBorders>
              <w:top w:val="single" w:sz="4" w:space="0" w:color="auto"/>
              <w:left w:val="single" w:sz="4" w:space="0" w:color="auto"/>
              <w:bottom w:val="single" w:sz="4" w:space="0" w:color="auto"/>
              <w:right w:val="single" w:sz="4" w:space="0" w:color="auto"/>
            </w:tcBorders>
            <w:noWrap/>
            <w:vAlign w:val="bottom"/>
            <w:hideMark/>
          </w:tcPr>
          <w:p w14:paraId="65152100"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289</w:t>
            </w:r>
          </w:p>
        </w:tc>
      </w:tr>
      <w:tr w:rsidR="003D5694" w:rsidRPr="003D5694" w14:paraId="6C86B028" w14:textId="77777777" w:rsidTr="00A4233F">
        <w:trPr>
          <w:trHeight w:val="285"/>
        </w:trPr>
        <w:tc>
          <w:tcPr>
            <w:tcW w:w="3874" w:type="dxa"/>
            <w:tcBorders>
              <w:top w:val="single" w:sz="4" w:space="0" w:color="auto"/>
              <w:left w:val="single" w:sz="4" w:space="0" w:color="auto"/>
              <w:bottom w:val="single" w:sz="4" w:space="0" w:color="auto"/>
              <w:right w:val="single" w:sz="4" w:space="0" w:color="auto"/>
            </w:tcBorders>
            <w:noWrap/>
            <w:vAlign w:val="bottom"/>
            <w:hideMark/>
          </w:tcPr>
          <w:p w14:paraId="70DE9B49" w14:textId="7E51E05E" w:rsidR="003D5694" w:rsidRPr="00C62BB6" w:rsidRDefault="003D5694" w:rsidP="005A11A8">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Servicios generales</w:t>
            </w:r>
          </w:p>
        </w:tc>
        <w:tc>
          <w:tcPr>
            <w:tcW w:w="1336" w:type="dxa"/>
            <w:tcBorders>
              <w:top w:val="single" w:sz="4" w:space="0" w:color="auto"/>
              <w:left w:val="single" w:sz="4" w:space="0" w:color="auto"/>
              <w:bottom w:val="single" w:sz="4" w:space="0" w:color="auto"/>
              <w:right w:val="single" w:sz="4" w:space="0" w:color="auto"/>
            </w:tcBorders>
            <w:noWrap/>
            <w:vAlign w:val="bottom"/>
            <w:hideMark/>
          </w:tcPr>
          <w:p w14:paraId="26F84139"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33</w:t>
            </w:r>
          </w:p>
        </w:tc>
        <w:tc>
          <w:tcPr>
            <w:tcW w:w="1410" w:type="dxa"/>
            <w:tcBorders>
              <w:top w:val="single" w:sz="4" w:space="0" w:color="auto"/>
              <w:left w:val="single" w:sz="4" w:space="0" w:color="auto"/>
              <w:bottom w:val="single" w:sz="4" w:space="0" w:color="auto"/>
              <w:right w:val="single" w:sz="4" w:space="0" w:color="auto"/>
            </w:tcBorders>
            <w:noWrap/>
            <w:vAlign w:val="bottom"/>
            <w:hideMark/>
          </w:tcPr>
          <w:p w14:paraId="1CEAEB5F"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50</w:t>
            </w:r>
          </w:p>
        </w:tc>
        <w:tc>
          <w:tcPr>
            <w:tcW w:w="236" w:type="dxa"/>
            <w:tcBorders>
              <w:top w:val="single" w:sz="4" w:space="0" w:color="auto"/>
              <w:left w:val="single" w:sz="4" w:space="0" w:color="auto"/>
              <w:bottom w:val="single" w:sz="4" w:space="0" w:color="auto"/>
              <w:right w:val="single" w:sz="4" w:space="0" w:color="auto"/>
            </w:tcBorders>
            <w:noWrap/>
            <w:vAlign w:val="bottom"/>
            <w:hideMark/>
          </w:tcPr>
          <w:p w14:paraId="7B544FCF"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83</w:t>
            </w:r>
          </w:p>
        </w:tc>
      </w:tr>
      <w:tr w:rsidR="003D5694" w:rsidRPr="003D5694" w14:paraId="307EB83A" w14:textId="77777777" w:rsidTr="00A4233F">
        <w:trPr>
          <w:trHeight w:val="285"/>
        </w:trPr>
        <w:tc>
          <w:tcPr>
            <w:tcW w:w="3874" w:type="dxa"/>
            <w:tcBorders>
              <w:top w:val="single" w:sz="4" w:space="0" w:color="auto"/>
              <w:left w:val="single" w:sz="4" w:space="0" w:color="auto"/>
              <w:bottom w:val="single" w:sz="4" w:space="0" w:color="auto"/>
              <w:right w:val="single" w:sz="4" w:space="0" w:color="auto"/>
            </w:tcBorders>
            <w:noWrap/>
            <w:vAlign w:val="bottom"/>
            <w:hideMark/>
          </w:tcPr>
          <w:p w14:paraId="0620E765" w14:textId="3B5F5B1D" w:rsidR="003D5694" w:rsidRPr="00C62BB6" w:rsidRDefault="003D5694" w:rsidP="005A11A8">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Técnicos</w:t>
            </w:r>
          </w:p>
        </w:tc>
        <w:tc>
          <w:tcPr>
            <w:tcW w:w="1336" w:type="dxa"/>
            <w:tcBorders>
              <w:top w:val="single" w:sz="4" w:space="0" w:color="auto"/>
              <w:left w:val="single" w:sz="4" w:space="0" w:color="auto"/>
              <w:bottom w:val="single" w:sz="4" w:space="0" w:color="auto"/>
              <w:right w:val="single" w:sz="4" w:space="0" w:color="auto"/>
            </w:tcBorders>
            <w:noWrap/>
            <w:vAlign w:val="bottom"/>
            <w:hideMark/>
          </w:tcPr>
          <w:p w14:paraId="3759C0B8"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w:t>
            </w:r>
          </w:p>
        </w:tc>
        <w:tc>
          <w:tcPr>
            <w:tcW w:w="1410" w:type="dxa"/>
            <w:tcBorders>
              <w:top w:val="single" w:sz="4" w:space="0" w:color="auto"/>
              <w:left w:val="single" w:sz="4" w:space="0" w:color="auto"/>
              <w:bottom w:val="single" w:sz="4" w:space="0" w:color="auto"/>
              <w:right w:val="single" w:sz="4" w:space="0" w:color="auto"/>
            </w:tcBorders>
            <w:noWrap/>
            <w:vAlign w:val="bottom"/>
            <w:hideMark/>
          </w:tcPr>
          <w:p w14:paraId="09432113"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27</w:t>
            </w:r>
          </w:p>
        </w:tc>
        <w:tc>
          <w:tcPr>
            <w:tcW w:w="236" w:type="dxa"/>
            <w:tcBorders>
              <w:top w:val="single" w:sz="4" w:space="0" w:color="auto"/>
              <w:left w:val="single" w:sz="4" w:space="0" w:color="auto"/>
              <w:bottom w:val="single" w:sz="4" w:space="0" w:color="auto"/>
              <w:right w:val="single" w:sz="4" w:space="0" w:color="auto"/>
            </w:tcBorders>
            <w:noWrap/>
            <w:vAlign w:val="bottom"/>
            <w:hideMark/>
          </w:tcPr>
          <w:p w14:paraId="6F587B4A"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29</w:t>
            </w:r>
          </w:p>
        </w:tc>
      </w:tr>
      <w:tr w:rsidR="003D5694" w:rsidRPr="003D5694" w14:paraId="5080D46B" w14:textId="77777777" w:rsidTr="00A4233F">
        <w:trPr>
          <w:trHeight w:val="285"/>
        </w:trPr>
        <w:tc>
          <w:tcPr>
            <w:tcW w:w="3874" w:type="dxa"/>
            <w:tcBorders>
              <w:top w:val="single" w:sz="4" w:space="0" w:color="auto"/>
              <w:left w:val="single" w:sz="4" w:space="0" w:color="auto"/>
              <w:bottom w:val="single" w:sz="4" w:space="0" w:color="auto"/>
              <w:right w:val="single" w:sz="4" w:space="0" w:color="auto"/>
            </w:tcBorders>
            <w:noWrap/>
            <w:vAlign w:val="bottom"/>
            <w:hideMark/>
          </w:tcPr>
          <w:p w14:paraId="086E43BE" w14:textId="77777777" w:rsidR="003D5694" w:rsidRPr="00C62BB6" w:rsidRDefault="003D5694" w:rsidP="005A11A8">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Total</w:t>
            </w:r>
          </w:p>
        </w:tc>
        <w:tc>
          <w:tcPr>
            <w:tcW w:w="1336" w:type="dxa"/>
            <w:tcBorders>
              <w:top w:val="single" w:sz="4" w:space="0" w:color="auto"/>
              <w:left w:val="single" w:sz="4" w:space="0" w:color="auto"/>
              <w:bottom w:val="single" w:sz="4" w:space="0" w:color="auto"/>
              <w:right w:val="single" w:sz="4" w:space="0" w:color="auto"/>
            </w:tcBorders>
            <w:noWrap/>
            <w:vAlign w:val="bottom"/>
            <w:hideMark/>
          </w:tcPr>
          <w:p w14:paraId="09298C1F"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313</w:t>
            </w:r>
          </w:p>
        </w:tc>
        <w:tc>
          <w:tcPr>
            <w:tcW w:w="1410" w:type="dxa"/>
            <w:tcBorders>
              <w:top w:val="single" w:sz="4" w:space="0" w:color="auto"/>
              <w:left w:val="single" w:sz="4" w:space="0" w:color="auto"/>
              <w:bottom w:val="single" w:sz="4" w:space="0" w:color="auto"/>
              <w:right w:val="single" w:sz="4" w:space="0" w:color="auto"/>
            </w:tcBorders>
            <w:noWrap/>
            <w:vAlign w:val="bottom"/>
            <w:hideMark/>
          </w:tcPr>
          <w:p w14:paraId="19F1284D"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314</w:t>
            </w:r>
          </w:p>
        </w:tc>
        <w:tc>
          <w:tcPr>
            <w:tcW w:w="236" w:type="dxa"/>
            <w:tcBorders>
              <w:top w:val="single" w:sz="4" w:space="0" w:color="auto"/>
              <w:left w:val="single" w:sz="4" w:space="0" w:color="auto"/>
              <w:bottom w:val="single" w:sz="4" w:space="0" w:color="auto"/>
              <w:right w:val="single" w:sz="4" w:space="0" w:color="auto"/>
            </w:tcBorders>
            <w:noWrap/>
            <w:vAlign w:val="bottom"/>
            <w:hideMark/>
          </w:tcPr>
          <w:p w14:paraId="53A3DDCD" w14:textId="77777777" w:rsidR="003D5694" w:rsidRPr="00C62BB6" w:rsidRDefault="003D5694" w:rsidP="005A11A8">
            <w:pPr>
              <w:spacing w:after="0" w:line="360" w:lineRule="auto"/>
              <w:jc w:val="right"/>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627</w:t>
            </w:r>
          </w:p>
        </w:tc>
      </w:tr>
    </w:tbl>
    <w:p w14:paraId="25E99AA1" w14:textId="77777777" w:rsidR="00C356F0" w:rsidRPr="00C62BB6" w:rsidRDefault="00C356F0" w:rsidP="003D5694">
      <w:pPr>
        <w:pStyle w:val="Prrafodelista"/>
        <w:spacing w:before="240" w:line="360" w:lineRule="auto"/>
        <w:ind w:left="0"/>
        <w:jc w:val="both"/>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Dirección de Gestión Humana, Sistema Gazella.</w:t>
      </w:r>
    </w:p>
    <w:p w14:paraId="0DDDCE96" w14:textId="129E36AF" w:rsidR="00C356F0" w:rsidRPr="00C62BB6" w:rsidRDefault="00AF0C58" w:rsidP="003D5694">
      <w:pPr>
        <w:spacing w:before="24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Se ha</w:t>
      </w:r>
      <w:r w:rsidR="00C356F0" w:rsidRPr="00C62BB6">
        <w:rPr>
          <w:rFonts w:ascii="Times New Roman" w:eastAsia="Calibri" w:hAnsi="Times New Roman" w:cs="Times New Roman"/>
          <w:color w:val="4C4747"/>
          <w:spacing w:val="20"/>
          <w:sz w:val="24"/>
          <w:szCs w:val="24"/>
          <w:lang w:val="es-DO"/>
        </w:rPr>
        <w:t xml:space="preserve"> propuesto la regularización, actualización y elaboración de las políticas </w:t>
      </w:r>
      <w:r w:rsidRPr="00C62BB6">
        <w:rPr>
          <w:rFonts w:ascii="Times New Roman" w:eastAsia="Calibri" w:hAnsi="Times New Roman" w:cs="Times New Roman"/>
          <w:color w:val="4C4747"/>
          <w:spacing w:val="20"/>
          <w:sz w:val="24"/>
          <w:szCs w:val="24"/>
          <w:lang w:val="es-DO"/>
        </w:rPr>
        <w:t>y procedimientos institucional</w:t>
      </w:r>
      <w:r w:rsidR="00D9747B" w:rsidRPr="00C62BB6">
        <w:rPr>
          <w:rFonts w:ascii="Times New Roman" w:eastAsia="Calibri" w:hAnsi="Times New Roman" w:cs="Times New Roman"/>
          <w:color w:val="4C4747"/>
          <w:spacing w:val="20"/>
          <w:sz w:val="24"/>
          <w:szCs w:val="24"/>
          <w:lang w:val="es-DO"/>
        </w:rPr>
        <w:t>es</w:t>
      </w:r>
      <w:r w:rsidRPr="00C62BB6">
        <w:rPr>
          <w:rFonts w:ascii="Times New Roman" w:eastAsia="Calibri" w:hAnsi="Times New Roman" w:cs="Times New Roman"/>
          <w:color w:val="4C4747"/>
          <w:spacing w:val="20"/>
          <w:sz w:val="24"/>
          <w:szCs w:val="24"/>
          <w:lang w:val="es-DO"/>
        </w:rPr>
        <w:t xml:space="preserve">. </w:t>
      </w:r>
      <w:r w:rsidR="00C356F0" w:rsidRPr="00C62BB6">
        <w:rPr>
          <w:rFonts w:ascii="Times New Roman" w:eastAsia="Calibri" w:hAnsi="Times New Roman" w:cs="Times New Roman"/>
          <w:color w:val="4C4747"/>
          <w:spacing w:val="20"/>
          <w:sz w:val="24"/>
          <w:szCs w:val="24"/>
          <w:lang w:val="es-DO"/>
        </w:rPr>
        <w:t xml:space="preserve">Dentro de las actualizaciones </w:t>
      </w:r>
      <w:r w:rsidRPr="00C62BB6">
        <w:rPr>
          <w:rFonts w:ascii="Times New Roman" w:eastAsia="Calibri" w:hAnsi="Times New Roman" w:cs="Times New Roman"/>
          <w:color w:val="4C4747"/>
          <w:spacing w:val="20"/>
          <w:sz w:val="24"/>
          <w:szCs w:val="24"/>
          <w:lang w:val="es-DO"/>
        </w:rPr>
        <w:t>se tiene</w:t>
      </w:r>
      <w:r w:rsidR="00C356F0" w:rsidRPr="00C62BB6">
        <w:rPr>
          <w:rFonts w:ascii="Times New Roman" w:eastAsia="Calibri" w:hAnsi="Times New Roman" w:cs="Times New Roman"/>
          <w:color w:val="4C4747"/>
          <w:spacing w:val="20"/>
          <w:sz w:val="24"/>
          <w:szCs w:val="24"/>
          <w:lang w:val="es-DO"/>
        </w:rPr>
        <w:t xml:space="preserve"> las siguientes: ochos políticas </w:t>
      </w:r>
      <w:r w:rsidRPr="00C62BB6">
        <w:rPr>
          <w:rFonts w:ascii="Times New Roman" w:eastAsia="Calibri" w:hAnsi="Times New Roman" w:cs="Times New Roman"/>
          <w:color w:val="4C4747"/>
          <w:spacing w:val="20"/>
          <w:sz w:val="24"/>
          <w:szCs w:val="24"/>
          <w:lang w:val="es-DO"/>
        </w:rPr>
        <w:t>y</w:t>
      </w:r>
      <w:r w:rsidR="00C356F0" w:rsidRPr="00C62BB6">
        <w:rPr>
          <w:rFonts w:ascii="Times New Roman" w:eastAsia="Calibri" w:hAnsi="Times New Roman" w:cs="Times New Roman"/>
          <w:color w:val="4C4747"/>
          <w:spacing w:val="20"/>
          <w:sz w:val="24"/>
          <w:szCs w:val="24"/>
          <w:lang w:val="es-DO"/>
        </w:rPr>
        <w:t xml:space="preserve"> </w:t>
      </w:r>
      <w:r w:rsidR="00D9747B" w:rsidRPr="00C62BB6">
        <w:rPr>
          <w:rFonts w:ascii="Times New Roman" w:eastAsia="Calibri" w:hAnsi="Times New Roman" w:cs="Times New Roman"/>
          <w:color w:val="4C4747"/>
          <w:spacing w:val="20"/>
          <w:sz w:val="24"/>
          <w:szCs w:val="24"/>
          <w:lang w:val="es-DO"/>
        </w:rPr>
        <w:t xml:space="preserve">siete </w:t>
      </w:r>
      <w:r w:rsidR="00C356F0" w:rsidRPr="00C62BB6">
        <w:rPr>
          <w:rFonts w:ascii="Times New Roman" w:eastAsia="Calibri" w:hAnsi="Times New Roman" w:cs="Times New Roman"/>
          <w:color w:val="4C4747"/>
          <w:spacing w:val="20"/>
          <w:sz w:val="24"/>
          <w:szCs w:val="24"/>
          <w:lang w:val="es-DO"/>
        </w:rPr>
        <w:t xml:space="preserve"> procedimientos.</w:t>
      </w:r>
    </w:p>
    <w:p w14:paraId="114AF788" w14:textId="196B59C2" w:rsidR="00C356F0" w:rsidRPr="00C62BB6" w:rsidRDefault="0056687C" w:rsidP="00C356F0">
      <w:pPr>
        <w:spacing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Políticas</w:t>
      </w:r>
    </w:p>
    <w:p w14:paraId="0406E83D" w14:textId="34F4C135" w:rsidR="00C356F0" w:rsidRPr="00CF7E5C" w:rsidRDefault="00AF0C58" w:rsidP="00A02BDE">
      <w:pPr>
        <w:pStyle w:val="Prrafodelista"/>
        <w:numPr>
          <w:ilvl w:val="0"/>
          <w:numId w:val="46"/>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Política a</w:t>
      </w:r>
      <w:r w:rsidR="00524306" w:rsidRPr="00CF7E5C">
        <w:rPr>
          <w:rFonts w:ascii="Times New Roman" w:eastAsia="Calibri" w:hAnsi="Times New Roman" w:cs="Times New Roman"/>
          <w:color w:val="4C4747"/>
          <w:spacing w:val="20"/>
          <w:sz w:val="24"/>
          <w:szCs w:val="24"/>
          <w:lang w:val="es-DO"/>
        </w:rPr>
        <w:t>dmisión y selección</w:t>
      </w:r>
    </w:p>
    <w:p w14:paraId="180818BF" w14:textId="2CA4E014" w:rsidR="00C356F0" w:rsidRPr="00CF7E5C" w:rsidRDefault="00AF0C58" w:rsidP="00A02BDE">
      <w:pPr>
        <w:pStyle w:val="Prrafodelista"/>
        <w:numPr>
          <w:ilvl w:val="0"/>
          <w:numId w:val="46"/>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Política e</w:t>
      </w:r>
      <w:r w:rsidR="00524306" w:rsidRPr="00CF7E5C">
        <w:rPr>
          <w:rFonts w:ascii="Times New Roman" w:eastAsia="Calibri" w:hAnsi="Times New Roman" w:cs="Times New Roman"/>
          <w:color w:val="4C4747"/>
          <w:spacing w:val="20"/>
          <w:sz w:val="24"/>
          <w:szCs w:val="24"/>
          <w:lang w:val="es-DO"/>
        </w:rPr>
        <w:t>valuación del desempeño</w:t>
      </w:r>
    </w:p>
    <w:p w14:paraId="09AA0DCA" w14:textId="4C35203A" w:rsidR="00C356F0" w:rsidRPr="00CF7E5C" w:rsidRDefault="00C356F0" w:rsidP="00A02BDE">
      <w:pPr>
        <w:pStyle w:val="Prrafodelista"/>
        <w:numPr>
          <w:ilvl w:val="0"/>
          <w:numId w:val="46"/>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Política terminación relación laboral </w:t>
      </w:r>
    </w:p>
    <w:p w14:paraId="5BDFACE9" w14:textId="474CE223" w:rsidR="00C356F0" w:rsidRPr="00CF7E5C" w:rsidRDefault="006C7929" w:rsidP="00A02BDE">
      <w:pPr>
        <w:pStyle w:val="Prrafodelista"/>
        <w:numPr>
          <w:ilvl w:val="0"/>
          <w:numId w:val="46"/>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Política</w:t>
      </w:r>
      <w:r w:rsidR="00C356F0" w:rsidRPr="00CF7E5C">
        <w:rPr>
          <w:rFonts w:ascii="Times New Roman" w:eastAsia="Calibri" w:hAnsi="Times New Roman" w:cs="Times New Roman"/>
          <w:color w:val="4C4747"/>
          <w:spacing w:val="20"/>
          <w:sz w:val="24"/>
          <w:szCs w:val="24"/>
          <w:lang w:val="es-DO"/>
        </w:rPr>
        <w:t xml:space="preserve"> de complemento alimenticio </w:t>
      </w:r>
    </w:p>
    <w:p w14:paraId="2EF95F21" w14:textId="7D5F590A" w:rsidR="00C356F0" w:rsidRPr="00CF7E5C" w:rsidRDefault="006C7929" w:rsidP="00A02BDE">
      <w:pPr>
        <w:pStyle w:val="Prrafodelista"/>
        <w:numPr>
          <w:ilvl w:val="0"/>
          <w:numId w:val="46"/>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Política</w:t>
      </w:r>
      <w:r w:rsidR="00653B74" w:rsidRPr="00CF7E5C">
        <w:rPr>
          <w:rFonts w:ascii="Times New Roman" w:eastAsia="Calibri" w:hAnsi="Times New Roman" w:cs="Times New Roman"/>
          <w:color w:val="4C4747"/>
          <w:spacing w:val="20"/>
          <w:sz w:val="24"/>
          <w:szCs w:val="24"/>
          <w:lang w:val="es-DO"/>
        </w:rPr>
        <w:t xml:space="preserve"> </w:t>
      </w:r>
      <w:r w:rsidR="00C356F0" w:rsidRPr="00CF7E5C">
        <w:rPr>
          <w:rFonts w:ascii="Times New Roman" w:eastAsia="Calibri" w:hAnsi="Times New Roman" w:cs="Times New Roman"/>
          <w:color w:val="4C4747"/>
          <w:spacing w:val="20"/>
          <w:sz w:val="24"/>
          <w:szCs w:val="24"/>
          <w:lang w:val="es-DO"/>
        </w:rPr>
        <w:t xml:space="preserve">Permisos y licencias </w:t>
      </w:r>
    </w:p>
    <w:p w14:paraId="2210DC90" w14:textId="4F02C856" w:rsidR="00653B74" w:rsidRPr="00CF7E5C" w:rsidRDefault="006C7929" w:rsidP="00A02BDE">
      <w:pPr>
        <w:pStyle w:val="Prrafodelista"/>
        <w:numPr>
          <w:ilvl w:val="0"/>
          <w:numId w:val="46"/>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Política</w:t>
      </w:r>
      <w:r w:rsidR="00653B74" w:rsidRPr="00CF7E5C">
        <w:rPr>
          <w:rFonts w:ascii="Times New Roman" w:eastAsia="Calibri" w:hAnsi="Times New Roman" w:cs="Times New Roman"/>
          <w:color w:val="4C4747"/>
          <w:spacing w:val="20"/>
          <w:sz w:val="24"/>
          <w:szCs w:val="24"/>
          <w:lang w:val="es-DO"/>
        </w:rPr>
        <w:t xml:space="preserve"> subsidio estudiantil para hijos/as hijastros/as niños tutelados y colaboradores</w:t>
      </w:r>
    </w:p>
    <w:p w14:paraId="7326E783" w14:textId="39AA2844" w:rsidR="00C356F0" w:rsidRPr="00CF7E5C" w:rsidRDefault="006C7929" w:rsidP="00A02BDE">
      <w:pPr>
        <w:pStyle w:val="Prrafodelista"/>
        <w:numPr>
          <w:ilvl w:val="0"/>
          <w:numId w:val="46"/>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Política</w:t>
      </w:r>
      <w:r w:rsidR="00524306" w:rsidRPr="00CF7E5C">
        <w:rPr>
          <w:rFonts w:ascii="Times New Roman" w:eastAsia="Calibri" w:hAnsi="Times New Roman" w:cs="Times New Roman"/>
          <w:color w:val="4C4747"/>
          <w:spacing w:val="20"/>
          <w:sz w:val="24"/>
          <w:szCs w:val="24"/>
          <w:lang w:val="es-DO"/>
        </w:rPr>
        <w:t xml:space="preserve"> </w:t>
      </w:r>
      <w:r w:rsidR="00653B74" w:rsidRPr="00CF7E5C">
        <w:rPr>
          <w:rFonts w:ascii="Times New Roman" w:eastAsia="Calibri" w:hAnsi="Times New Roman" w:cs="Times New Roman"/>
          <w:color w:val="4C4747"/>
          <w:spacing w:val="20"/>
          <w:sz w:val="24"/>
          <w:szCs w:val="24"/>
          <w:lang w:val="es-DO"/>
        </w:rPr>
        <w:t>i</w:t>
      </w:r>
      <w:r w:rsidR="00C356F0" w:rsidRPr="00CF7E5C">
        <w:rPr>
          <w:rFonts w:ascii="Times New Roman" w:eastAsia="Calibri" w:hAnsi="Times New Roman" w:cs="Times New Roman"/>
          <w:color w:val="4C4747"/>
          <w:spacing w:val="20"/>
          <w:sz w:val="24"/>
          <w:szCs w:val="24"/>
          <w:lang w:val="es-DO"/>
        </w:rPr>
        <w:t xml:space="preserve">ncentivo por desempeño </w:t>
      </w:r>
    </w:p>
    <w:p w14:paraId="03521931" w14:textId="1885D98E" w:rsidR="0056687C" w:rsidRPr="00CF7E5C" w:rsidRDefault="006C7929" w:rsidP="00A02BDE">
      <w:pPr>
        <w:pStyle w:val="Prrafodelista"/>
        <w:numPr>
          <w:ilvl w:val="0"/>
          <w:numId w:val="46"/>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Política</w:t>
      </w:r>
      <w:r w:rsidR="00524306" w:rsidRPr="00CF7E5C">
        <w:rPr>
          <w:rFonts w:ascii="Times New Roman" w:eastAsia="Calibri" w:hAnsi="Times New Roman" w:cs="Times New Roman"/>
          <w:color w:val="4C4747"/>
          <w:spacing w:val="20"/>
          <w:sz w:val="24"/>
          <w:szCs w:val="24"/>
          <w:lang w:val="es-DO"/>
        </w:rPr>
        <w:t xml:space="preserve"> p</w:t>
      </w:r>
      <w:r w:rsidR="003D5694" w:rsidRPr="00CF7E5C">
        <w:rPr>
          <w:rFonts w:ascii="Times New Roman" w:eastAsia="Calibri" w:hAnsi="Times New Roman" w:cs="Times New Roman"/>
          <w:color w:val="4C4747"/>
          <w:spacing w:val="20"/>
          <w:sz w:val="24"/>
          <w:szCs w:val="24"/>
          <w:lang w:val="es-DO"/>
        </w:rPr>
        <w:t>rogramas de pasantía</w:t>
      </w:r>
    </w:p>
    <w:p w14:paraId="473BEDED" w14:textId="4E3FDEC5" w:rsidR="00C356F0" w:rsidRPr="00C62BB6" w:rsidRDefault="0056687C" w:rsidP="003D5694">
      <w:pPr>
        <w:spacing w:before="240"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 xml:space="preserve">Procedimientos </w:t>
      </w:r>
    </w:p>
    <w:p w14:paraId="61237C68" w14:textId="34AEA363" w:rsidR="00C356F0" w:rsidRPr="00CF7E5C" w:rsidRDefault="00C356F0" w:rsidP="00A02BDE">
      <w:pPr>
        <w:pStyle w:val="Prrafodelista"/>
        <w:numPr>
          <w:ilvl w:val="0"/>
          <w:numId w:val="47"/>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Procedimiento entorno y clima organizacional  </w:t>
      </w:r>
    </w:p>
    <w:p w14:paraId="29687D6C" w14:textId="2ABEECA6" w:rsidR="00C356F0" w:rsidRPr="00CF7E5C" w:rsidRDefault="00C356F0" w:rsidP="00A02BDE">
      <w:pPr>
        <w:pStyle w:val="Prrafodelista"/>
        <w:numPr>
          <w:ilvl w:val="0"/>
          <w:numId w:val="47"/>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Procedimiento afiliación de los colaboradores a los seguros </w:t>
      </w:r>
    </w:p>
    <w:p w14:paraId="28A05155" w14:textId="7989746B" w:rsidR="00C356F0" w:rsidRPr="00CF7E5C" w:rsidRDefault="00C356F0" w:rsidP="00A02BDE">
      <w:pPr>
        <w:pStyle w:val="Prrafodelista"/>
        <w:numPr>
          <w:ilvl w:val="0"/>
          <w:numId w:val="47"/>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lastRenderedPageBreak/>
        <w:t xml:space="preserve">Procedimiento solicitud de certificaciones laborales </w:t>
      </w:r>
    </w:p>
    <w:p w14:paraId="295CED17" w14:textId="29441E17" w:rsidR="00C356F0" w:rsidRPr="00CF7E5C" w:rsidRDefault="00C356F0" w:rsidP="00A02BDE">
      <w:pPr>
        <w:pStyle w:val="Prrafodelista"/>
        <w:numPr>
          <w:ilvl w:val="0"/>
          <w:numId w:val="47"/>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Procedimiento solicitud y aprobación de vacaciones</w:t>
      </w:r>
    </w:p>
    <w:p w14:paraId="6D006292" w14:textId="35431D84" w:rsidR="00C356F0" w:rsidRPr="00CF7E5C" w:rsidRDefault="00C356F0" w:rsidP="00A02BDE">
      <w:pPr>
        <w:pStyle w:val="Prrafodelista"/>
        <w:numPr>
          <w:ilvl w:val="0"/>
          <w:numId w:val="47"/>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Procedimiento de admisión y selección </w:t>
      </w:r>
    </w:p>
    <w:p w14:paraId="42D2655D" w14:textId="6AD01D87" w:rsidR="00C356F0" w:rsidRPr="00CF7E5C" w:rsidRDefault="00C356F0" w:rsidP="00A02BDE">
      <w:pPr>
        <w:pStyle w:val="Prrafodelista"/>
        <w:numPr>
          <w:ilvl w:val="0"/>
          <w:numId w:val="47"/>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Procedimiento de preparación y pago de la nomina </w:t>
      </w:r>
    </w:p>
    <w:p w14:paraId="1C877109" w14:textId="4D09B64F" w:rsidR="00C356F0" w:rsidRPr="00CF7E5C" w:rsidRDefault="00D9747B" w:rsidP="00A02BDE">
      <w:pPr>
        <w:pStyle w:val="Prrafodelista"/>
        <w:numPr>
          <w:ilvl w:val="0"/>
          <w:numId w:val="47"/>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Procedimiento c</w:t>
      </w:r>
      <w:r w:rsidR="00C356F0" w:rsidRPr="00CF7E5C">
        <w:rPr>
          <w:rFonts w:ascii="Times New Roman" w:eastAsia="Calibri" w:hAnsi="Times New Roman" w:cs="Times New Roman"/>
          <w:color w:val="4C4747"/>
          <w:spacing w:val="20"/>
          <w:sz w:val="24"/>
          <w:szCs w:val="24"/>
          <w:lang w:val="es-DO"/>
        </w:rPr>
        <w:t xml:space="preserve">ustodia de expediente de los colaboradores </w:t>
      </w:r>
    </w:p>
    <w:p w14:paraId="40DA1C17" w14:textId="614264E5" w:rsidR="00C356F0" w:rsidRPr="00C62BB6" w:rsidRDefault="00A4332B" w:rsidP="00C356F0">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Se</w:t>
      </w:r>
      <w:r w:rsidR="00C356F0" w:rsidRPr="00C62BB6">
        <w:rPr>
          <w:rFonts w:ascii="Times New Roman" w:eastAsia="Calibri" w:hAnsi="Times New Roman" w:cs="Times New Roman"/>
          <w:color w:val="4C4747"/>
          <w:spacing w:val="20"/>
          <w:sz w:val="24"/>
          <w:szCs w:val="24"/>
          <w:lang w:val="es-DO"/>
        </w:rPr>
        <w:t xml:space="preserve"> ha dado seguimiento continuo a las siguientes actividades:</w:t>
      </w:r>
    </w:p>
    <w:p w14:paraId="0A74871C" w14:textId="48BEBD5C" w:rsidR="00C356F0" w:rsidRPr="00CF7E5C" w:rsidRDefault="00C356F0" w:rsidP="00A02BDE">
      <w:pPr>
        <w:pStyle w:val="Prrafodelista"/>
        <w:numPr>
          <w:ilvl w:val="0"/>
          <w:numId w:val="48"/>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Indicadores del Sistema de Monitoreo de Administración Pública </w:t>
      </w:r>
      <w:r w:rsidR="00AF0C58" w:rsidRPr="00CF7E5C">
        <w:rPr>
          <w:rFonts w:ascii="Times New Roman" w:eastAsia="Calibri" w:hAnsi="Times New Roman" w:cs="Times New Roman"/>
          <w:color w:val="4C4747"/>
          <w:spacing w:val="20"/>
          <w:sz w:val="24"/>
          <w:szCs w:val="24"/>
          <w:lang w:val="es-DO"/>
        </w:rPr>
        <w:t>(</w:t>
      </w:r>
      <w:r w:rsidRPr="00CF7E5C">
        <w:rPr>
          <w:rFonts w:ascii="Times New Roman" w:eastAsia="Calibri" w:hAnsi="Times New Roman" w:cs="Times New Roman"/>
          <w:color w:val="4C4747"/>
          <w:spacing w:val="20"/>
          <w:sz w:val="24"/>
          <w:szCs w:val="24"/>
          <w:lang w:val="es-DO"/>
        </w:rPr>
        <w:t>SISMAP</w:t>
      </w:r>
      <w:r w:rsidR="00AF0C58" w:rsidRPr="00CF7E5C">
        <w:rPr>
          <w:rFonts w:ascii="Times New Roman" w:eastAsia="Calibri" w:hAnsi="Times New Roman" w:cs="Times New Roman"/>
          <w:color w:val="4C4747"/>
          <w:spacing w:val="20"/>
          <w:sz w:val="24"/>
          <w:szCs w:val="24"/>
          <w:lang w:val="es-DO"/>
        </w:rPr>
        <w:t>)</w:t>
      </w:r>
      <w:r w:rsidRPr="00CF7E5C">
        <w:rPr>
          <w:rFonts w:ascii="Times New Roman" w:eastAsia="Calibri" w:hAnsi="Times New Roman" w:cs="Times New Roman"/>
          <w:color w:val="4C4747"/>
          <w:spacing w:val="20"/>
          <w:sz w:val="24"/>
          <w:szCs w:val="24"/>
          <w:lang w:val="es-DO"/>
        </w:rPr>
        <w:t xml:space="preserve"> </w:t>
      </w:r>
    </w:p>
    <w:p w14:paraId="336FEE1A" w14:textId="4057D7E8" w:rsidR="00C356F0" w:rsidRPr="00CF7E5C" w:rsidRDefault="00C356F0" w:rsidP="00A02BDE">
      <w:pPr>
        <w:pStyle w:val="Prrafodelista"/>
        <w:numPr>
          <w:ilvl w:val="0"/>
          <w:numId w:val="48"/>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Registro y control de la TSS y actualización de las solicitudes en el portal </w:t>
      </w:r>
      <w:r w:rsidR="00AF0C58" w:rsidRPr="00CF7E5C">
        <w:rPr>
          <w:rFonts w:ascii="Times New Roman" w:eastAsia="Calibri" w:hAnsi="Times New Roman" w:cs="Times New Roman"/>
          <w:color w:val="4C4747"/>
          <w:spacing w:val="20"/>
          <w:sz w:val="24"/>
          <w:szCs w:val="24"/>
          <w:lang w:val="es-DO"/>
        </w:rPr>
        <w:t>(</w:t>
      </w:r>
      <w:r w:rsidRPr="00CF7E5C">
        <w:rPr>
          <w:rFonts w:ascii="Times New Roman" w:eastAsia="Calibri" w:hAnsi="Times New Roman" w:cs="Times New Roman"/>
          <w:color w:val="4C4747"/>
          <w:spacing w:val="20"/>
          <w:sz w:val="24"/>
          <w:szCs w:val="24"/>
          <w:lang w:val="es-DO"/>
        </w:rPr>
        <w:t>SIURPLUS</w:t>
      </w:r>
      <w:r w:rsidR="00AF0C58" w:rsidRPr="00CF7E5C">
        <w:rPr>
          <w:rFonts w:ascii="Times New Roman" w:eastAsia="Calibri" w:hAnsi="Times New Roman" w:cs="Times New Roman"/>
          <w:color w:val="4C4747"/>
          <w:spacing w:val="20"/>
          <w:sz w:val="24"/>
          <w:szCs w:val="24"/>
          <w:lang w:val="es-DO"/>
        </w:rPr>
        <w:t>)</w:t>
      </w:r>
    </w:p>
    <w:p w14:paraId="680E265F" w14:textId="53CCB436" w:rsidR="00C356F0" w:rsidRPr="00CF7E5C" w:rsidRDefault="00C356F0" w:rsidP="00A02BDE">
      <w:pPr>
        <w:pStyle w:val="Prrafodelista"/>
        <w:numPr>
          <w:ilvl w:val="0"/>
          <w:numId w:val="48"/>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Licencias médicas de más 4 días</w:t>
      </w:r>
      <w:r w:rsidR="00AF0C58" w:rsidRPr="00CF7E5C">
        <w:rPr>
          <w:rFonts w:ascii="Times New Roman" w:eastAsia="Calibri" w:hAnsi="Times New Roman" w:cs="Times New Roman"/>
          <w:color w:val="4C4747"/>
          <w:spacing w:val="20"/>
          <w:sz w:val="24"/>
          <w:szCs w:val="24"/>
          <w:lang w:val="es-DO"/>
        </w:rPr>
        <w:t xml:space="preserve"> cargadas en el portal SIURPLUS</w:t>
      </w:r>
    </w:p>
    <w:p w14:paraId="3EEDF5AE" w14:textId="3C3A06A4" w:rsidR="00C356F0" w:rsidRPr="00CF7E5C" w:rsidRDefault="00D9747B" w:rsidP="00A02BDE">
      <w:pPr>
        <w:pStyle w:val="Prrafodelista"/>
        <w:numPr>
          <w:ilvl w:val="0"/>
          <w:numId w:val="48"/>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 xml:space="preserve">Dar seguimiento </w:t>
      </w:r>
      <w:r w:rsidR="00C356F0" w:rsidRPr="00CF7E5C">
        <w:rPr>
          <w:rFonts w:ascii="Times New Roman" w:eastAsia="Calibri" w:hAnsi="Times New Roman" w:cs="Times New Roman"/>
          <w:color w:val="4C4747"/>
          <w:spacing w:val="20"/>
          <w:sz w:val="24"/>
          <w:szCs w:val="24"/>
          <w:lang w:val="es-DO"/>
        </w:rPr>
        <w:t xml:space="preserve">a los colaboradores </w:t>
      </w:r>
      <w:r w:rsidRPr="00CF7E5C">
        <w:rPr>
          <w:rFonts w:ascii="Times New Roman" w:eastAsia="Calibri" w:hAnsi="Times New Roman" w:cs="Times New Roman"/>
          <w:color w:val="4C4747"/>
          <w:spacing w:val="20"/>
          <w:sz w:val="24"/>
          <w:szCs w:val="24"/>
          <w:lang w:val="es-DO"/>
        </w:rPr>
        <w:t xml:space="preserve">para que tomen </w:t>
      </w:r>
      <w:r w:rsidR="00C356F0" w:rsidRPr="00CF7E5C">
        <w:rPr>
          <w:rFonts w:ascii="Times New Roman" w:eastAsia="Calibri" w:hAnsi="Times New Roman" w:cs="Times New Roman"/>
          <w:color w:val="4C4747"/>
          <w:spacing w:val="20"/>
          <w:sz w:val="24"/>
          <w:szCs w:val="24"/>
          <w:lang w:val="es-DO"/>
        </w:rPr>
        <w:t>sus vacaciones de acuerdo a lo que está establecido en la  política institucional</w:t>
      </w:r>
    </w:p>
    <w:p w14:paraId="49F6DADE" w14:textId="21A0434D" w:rsidR="00C356F0" w:rsidRPr="00A4233F" w:rsidRDefault="00E86F9C" w:rsidP="00A4332B">
      <w:pPr>
        <w:spacing w:before="24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Riesgo</w:t>
      </w:r>
      <w:r w:rsidR="00AF0C58" w:rsidRPr="00A4233F">
        <w:rPr>
          <w:rFonts w:ascii="Times New Roman" w:eastAsia="Calibri" w:hAnsi="Times New Roman" w:cs="Times New Roman"/>
          <w:b/>
          <w:color w:val="4C4747"/>
          <w:spacing w:val="20"/>
          <w:sz w:val="24"/>
          <w:szCs w:val="24"/>
          <w:lang w:val="es-DO"/>
        </w:rPr>
        <w:t xml:space="preserve"> l</w:t>
      </w:r>
      <w:r w:rsidRPr="00A4233F">
        <w:rPr>
          <w:rFonts w:ascii="Times New Roman" w:eastAsia="Calibri" w:hAnsi="Times New Roman" w:cs="Times New Roman"/>
          <w:b/>
          <w:color w:val="4C4747"/>
          <w:spacing w:val="20"/>
          <w:sz w:val="24"/>
          <w:szCs w:val="24"/>
          <w:lang w:val="es-DO"/>
        </w:rPr>
        <w:t>aboral</w:t>
      </w:r>
    </w:p>
    <w:p w14:paraId="1E375B81" w14:textId="2CF9196D" w:rsidR="00C356F0" w:rsidRPr="00A4233F" w:rsidRDefault="00AF0C58"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ha</w:t>
      </w:r>
      <w:r w:rsidR="00C356F0" w:rsidRPr="00A4233F">
        <w:rPr>
          <w:rFonts w:ascii="Times New Roman" w:eastAsia="Calibri" w:hAnsi="Times New Roman" w:cs="Times New Roman"/>
          <w:color w:val="4C4747"/>
          <w:spacing w:val="20"/>
          <w:sz w:val="24"/>
          <w:szCs w:val="24"/>
          <w:lang w:val="es-DO"/>
        </w:rPr>
        <w:t xml:space="preserve"> mantenido </w:t>
      </w:r>
      <w:r w:rsidR="00653B74" w:rsidRPr="00A4233F">
        <w:rPr>
          <w:rFonts w:ascii="Times New Roman" w:eastAsia="Calibri" w:hAnsi="Times New Roman" w:cs="Times New Roman"/>
          <w:color w:val="4C4747"/>
          <w:spacing w:val="20"/>
          <w:sz w:val="24"/>
          <w:szCs w:val="24"/>
          <w:lang w:val="es-DO"/>
        </w:rPr>
        <w:t xml:space="preserve">el cuidado </w:t>
      </w:r>
      <w:r w:rsidR="00C356F0" w:rsidRPr="00A4233F">
        <w:rPr>
          <w:rFonts w:ascii="Times New Roman" w:eastAsia="Calibri" w:hAnsi="Times New Roman" w:cs="Times New Roman"/>
          <w:color w:val="4C4747"/>
          <w:spacing w:val="20"/>
          <w:sz w:val="24"/>
          <w:szCs w:val="24"/>
          <w:lang w:val="es-DO"/>
        </w:rPr>
        <w:t xml:space="preserve">de manera continuada </w:t>
      </w:r>
      <w:r w:rsidR="00653B74" w:rsidRPr="00A4233F">
        <w:rPr>
          <w:rFonts w:ascii="Times New Roman" w:eastAsia="Calibri" w:hAnsi="Times New Roman" w:cs="Times New Roman"/>
          <w:color w:val="4C4747"/>
          <w:spacing w:val="20"/>
          <w:sz w:val="24"/>
          <w:szCs w:val="24"/>
          <w:lang w:val="es-DO"/>
        </w:rPr>
        <w:t xml:space="preserve">de </w:t>
      </w:r>
      <w:r w:rsidR="00C356F0" w:rsidRPr="00A4233F">
        <w:rPr>
          <w:rFonts w:ascii="Times New Roman" w:eastAsia="Calibri" w:hAnsi="Times New Roman" w:cs="Times New Roman"/>
          <w:color w:val="4C4747"/>
          <w:spacing w:val="20"/>
          <w:sz w:val="24"/>
          <w:szCs w:val="24"/>
          <w:lang w:val="es-DO"/>
        </w:rPr>
        <w:t xml:space="preserve">la salud de </w:t>
      </w:r>
      <w:r w:rsidRPr="00A4233F">
        <w:rPr>
          <w:rFonts w:ascii="Times New Roman" w:eastAsia="Calibri" w:hAnsi="Times New Roman" w:cs="Times New Roman"/>
          <w:color w:val="4C4747"/>
          <w:spacing w:val="20"/>
          <w:sz w:val="24"/>
          <w:szCs w:val="24"/>
          <w:lang w:val="es-DO"/>
        </w:rPr>
        <w:t>los</w:t>
      </w:r>
      <w:r w:rsidR="00C356F0" w:rsidRPr="00A4233F">
        <w:rPr>
          <w:rFonts w:ascii="Times New Roman" w:eastAsia="Calibri" w:hAnsi="Times New Roman" w:cs="Times New Roman"/>
          <w:color w:val="4C4747"/>
          <w:spacing w:val="20"/>
          <w:sz w:val="24"/>
          <w:szCs w:val="24"/>
          <w:lang w:val="es-DO"/>
        </w:rPr>
        <w:t xml:space="preserve"> colaboradores </w:t>
      </w:r>
      <w:r w:rsidRPr="00A4233F">
        <w:rPr>
          <w:rFonts w:ascii="Times New Roman" w:eastAsia="Calibri" w:hAnsi="Times New Roman" w:cs="Times New Roman"/>
          <w:color w:val="4C4747"/>
          <w:spacing w:val="20"/>
          <w:sz w:val="24"/>
          <w:szCs w:val="24"/>
          <w:lang w:val="es-DO"/>
        </w:rPr>
        <w:t xml:space="preserve">y las colaboradoras </w:t>
      </w:r>
      <w:r w:rsidR="00C356F0" w:rsidRPr="00A4233F">
        <w:rPr>
          <w:rFonts w:ascii="Times New Roman" w:eastAsia="Calibri" w:hAnsi="Times New Roman" w:cs="Times New Roman"/>
          <w:color w:val="4C4747"/>
          <w:spacing w:val="20"/>
          <w:sz w:val="24"/>
          <w:szCs w:val="24"/>
          <w:lang w:val="es-DO"/>
        </w:rPr>
        <w:t xml:space="preserve">en ese sentido, </w:t>
      </w:r>
      <w:r w:rsidRPr="00A4233F">
        <w:rPr>
          <w:rFonts w:ascii="Times New Roman" w:eastAsia="Calibri" w:hAnsi="Times New Roman" w:cs="Times New Roman"/>
          <w:color w:val="4C4747"/>
          <w:spacing w:val="20"/>
          <w:sz w:val="24"/>
          <w:szCs w:val="24"/>
          <w:lang w:val="es-DO"/>
        </w:rPr>
        <w:t>el INDOTEL cuenta</w:t>
      </w:r>
      <w:r w:rsidR="00C356F0" w:rsidRPr="00A4233F">
        <w:rPr>
          <w:rFonts w:ascii="Times New Roman" w:eastAsia="Calibri" w:hAnsi="Times New Roman" w:cs="Times New Roman"/>
          <w:color w:val="4C4747"/>
          <w:spacing w:val="20"/>
          <w:sz w:val="24"/>
          <w:szCs w:val="24"/>
          <w:lang w:val="es-DO"/>
        </w:rPr>
        <w:t xml:space="preserve"> con un dispensario médico para asistir</w:t>
      </w:r>
      <w:r w:rsidRPr="00A4233F">
        <w:rPr>
          <w:rFonts w:ascii="Times New Roman" w:eastAsia="Calibri" w:hAnsi="Times New Roman" w:cs="Times New Roman"/>
          <w:color w:val="4C4747"/>
          <w:spacing w:val="20"/>
          <w:sz w:val="24"/>
          <w:szCs w:val="24"/>
          <w:lang w:val="es-DO"/>
        </w:rPr>
        <w:t xml:space="preserve"> a los colaboradores y las colaboradoras</w:t>
      </w:r>
      <w:r w:rsidR="00C356F0" w:rsidRPr="00A4233F">
        <w:rPr>
          <w:rFonts w:ascii="Times New Roman" w:eastAsia="Calibri" w:hAnsi="Times New Roman" w:cs="Times New Roman"/>
          <w:color w:val="4C4747"/>
          <w:spacing w:val="20"/>
          <w:sz w:val="24"/>
          <w:szCs w:val="24"/>
          <w:lang w:val="es-DO"/>
        </w:rPr>
        <w:t xml:space="preserve"> en caso de presentar cualquier situación de salud. </w:t>
      </w:r>
    </w:p>
    <w:p w14:paraId="4CBE2A12" w14:textId="14DC1272" w:rsidR="00C356F0" w:rsidRPr="00A4233F" w:rsidRDefault="00481014"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Con el </w:t>
      </w:r>
      <w:r w:rsidR="00C356F0" w:rsidRPr="00A4233F">
        <w:rPr>
          <w:rFonts w:ascii="Times New Roman" w:eastAsia="Calibri" w:hAnsi="Times New Roman" w:cs="Times New Roman"/>
          <w:color w:val="4C4747"/>
          <w:spacing w:val="20"/>
          <w:sz w:val="24"/>
          <w:szCs w:val="24"/>
          <w:lang w:val="es-DO"/>
        </w:rPr>
        <w:t xml:space="preserve">propósito de </w:t>
      </w:r>
      <w:r w:rsidR="00050E66" w:rsidRPr="00A4233F">
        <w:rPr>
          <w:rFonts w:ascii="Times New Roman" w:eastAsia="Calibri" w:hAnsi="Times New Roman" w:cs="Times New Roman"/>
          <w:color w:val="4C4747"/>
          <w:spacing w:val="20"/>
          <w:sz w:val="24"/>
          <w:szCs w:val="24"/>
          <w:lang w:val="es-DO"/>
        </w:rPr>
        <w:t>garantizar</w:t>
      </w:r>
      <w:r w:rsidRPr="00A4233F">
        <w:rPr>
          <w:rFonts w:ascii="Times New Roman" w:eastAsia="Calibri" w:hAnsi="Times New Roman" w:cs="Times New Roman"/>
          <w:color w:val="4C4747"/>
          <w:spacing w:val="20"/>
          <w:sz w:val="24"/>
          <w:szCs w:val="24"/>
          <w:lang w:val="es-DO"/>
        </w:rPr>
        <w:t xml:space="preserve"> </w:t>
      </w:r>
      <w:r w:rsidR="00C356F0" w:rsidRPr="00A4233F">
        <w:rPr>
          <w:rFonts w:ascii="Times New Roman" w:eastAsia="Calibri" w:hAnsi="Times New Roman" w:cs="Times New Roman"/>
          <w:color w:val="4C4747"/>
          <w:spacing w:val="20"/>
          <w:sz w:val="24"/>
          <w:szCs w:val="24"/>
          <w:lang w:val="es-DO"/>
        </w:rPr>
        <w:t xml:space="preserve">la seguridad y el riesgo laboral </w:t>
      </w:r>
      <w:r w:rsidR="00AF0C58" w:rsidRPr="00A4233F">
        <w:rPr>
          <w:rFonts w:ascii="Times New Roman" w:eastAsia="Calibri" w:hAnsi="Times New Roman" w:cs="Times New Roman"/>
          <w:color w:val="4C4747"/>
          <w:spacing w:val="20"/>
          <w:sz w:val="24"/>
          <w:szCs w:val="24"/>
          <w:lang w:val="es-DO"/>
        </w:rPr>
        <w:t>se está</w:t>
      </w:r>
      <w:r w:rsidR="00C356F0" w:rsidRPr="00A4233F">
        <w:rPr>
          <w:rFonts w:ascii="Times New Roman" w:eastAsia="Calibri" w:hAnsi="Times New Roman" w:cs="Times New Roman"/>
          <w:color w:val="4C4747"/>
          <w:spacing w:val="20"/>
          <w:sz w:val="24"/>
          <w:szCs w:val="24"/>
          <w:lang w:val="es-DO"/>
        </w:rPr>
        <w:t xml:space="preserve"> concluyendo con los trabajos de elaboración de la Política Seguridad y Riesgo Laboral. </w:t>
      </w:r>
    </w:p>
    <w:p w14:paraId="3660D5F2" w14:textId="29A21C8B" w:rsidR="00C356F0" w:rsidRPr="00A4233F" w:rsidRDefault="00050E66"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Disponemos del Comité </w:t>
      </w:r>
      <w:r w:rsidR="00C356F0" w:rsidRPr="00A4233F">
        <w:rPr>
          <w:rFonts w:ascii="Times New Roman" w:eastAsia="Calibri" w:hAnsi="Times New Roman" w:cs="Times New Roman"/>
          <w:color w:val="4C4747"/>
          <w:spacing w:val="20"/>
          <w:sz w:val="24"/>
          <w:szCs w:val="24"/>
          <w:lang w:val="es-DO"/>
        </w:rPr>
        <w:t xml:space="preserve">de Seguridad y Salud en el Trabajo, tanto en la sede principal, Centro INDOTEL, y Almacén V Centenario, este comité  </w:t>
      </w:r>
      <w:r w:rsidR="00481014" w:rsidRPr="00A4233F">
        <w:rPr>
          <w:rFonts w:ascii="Times New Roman" w:eastAsia="Calibri" w:hAnsi="Times New Roman" w:cs="Times New Roman"/>
          <w:color w:val="4C4747"/>
          <w:spacing w:val="20"/>
          <w:sz w:val="24"/>
          <w:szCs w:val="24"/>
          <w:lang w:val="es-DO"/>
        </w:rPr>
        <w:t>desarrolla una ardua labor en la</w:t>
      </w:r>
      <w:r w:rsidR="00C356F0" w:rsidRPr="00A4233F">
        <w:rPr>
          <w:rFonts w:ascii="Times New Roman" w:eastAsia="Calibri" w:hAnsi="Times New Roman" w:cs="Times New Roman"/>
          <w:color w:val="4C4747"/>
          <w:spacing w:val="20"/>
          <w:sz w:val="24"/>
          <w:szCs w:val="24"/>
          <w:lang w:val="es-DO"/>
        </w:rPr>
        <w:t>s siguientes áreas:</w:t>
      </w:r>
    </w:p>
    <w:p w14:paraId="615AFAFD" w14:textId="58BDE486" w:rsidR="00C356F0" w:rsidRPr="00CF7E5C" w:rsidRDefault="00C356F0" w:rsidP="00A02BDE">
      <w:pPr>
        <w:pStyle w:val="Prrafodelista"/>
        <w:numPr>
          <w:ilvl w:val="0"/>
          <w:numId w:val="45"/>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lastRenderedPageBreak/>
        <w:t>Canalizar cualquier riesgo de salud</w:t>
      </w:r>
      <w:r w:rsidR="00380CFC" w:rsidRPr="00CF7E5C">
        <w:rPr>
          <w:rFonts w:ascii="Times New Roman" w:eastAsia="Calibri" w:hAnsi="Times New Roman" w:cs="Times New Roman"/>
          <w:color w:val="4C4747"/>
          <w:spacing w:val="20"/>
          <w:sz w:val="24"/>
          <w:szCs w:val="24"/>
          <w:lang w:val="es-DO"/>
        </w:rPr>
        <w:t xml:space="preserve"> o</w:t>
      </w:r>
      <w:r w:rsidRPr="00CF7E5C">
        <w:rPr>
          <w:rFonts w:ascii="Times New Roman" w:eastAsia="Calibri" w:hAnsi="Times New Roman" w:cs="Times New Roman"/>
          <w:color w:val="4C4747"/>
          <w:spacing w:val="20"/>
          <w:sz w:val="24"/>
          <w:szCs w:val="24"/>
          <w:lang w:val="es-DO"/>
        </w:rPr>
        <w:t xml:space="preserve"> </w:t>
      </w:r>
      <w:r w:rsidR="00380CFC" w:rsidRPr="00CF7E5C">
        <w:rPr>
          <w:rFonts w:ascii="Times New Roman" w:eastAsia="Calibri" w:hAnsi="Times New Roman" w:cs="Times New Roman"/>
          <w:color w:val="4C4747"/>
          <w:spacing w:val="20"/>
          <w:sz w:val="24"/>
          <w:szCs w:val="24"/>
          <w:lang w:val="es-DO"/>
        </w:rPr>
        <w:t xml:space="preserve">sugerencia que apoye la información y prevención de la salud </w:t>
      </w:r>
      <w:r w:rsidRPr="00CF7E5C">
        <w:rPr>
          <w:rFonts w:ascii="Times New Roman" w:eastAsia="Calibri" w:hAnsi="Times New Roman" w:cs="Times New Roman"/>
          <w:color w:val="4C4747"/>
          <w:spacing w:val="20"/>
          <w:sz w:val="24"/>
          <w:szCs w:val="24"/>
          <w:lang w:val="es-DO"/>
        </w:rPr>
        <w:t xml:space="preserve">de </w:t>
      </w:r>
      <w:r w:rsidR="008274B3" w:rsidRPr="00CF7E5C">
        <w:rPr>
          <w:rFonts w:ascii="Times New Roman" w:eastAsia="Calibri" w:hAnsi="Times New Roman" w:cs="Times New Roman"/>
          <w:color w:val="4C4747"/>
          <w:spacing w:val="20"/>
          <w:sz w:val="24"/>
          <w:szCs w:val="24"/>
          <w:lang w:val="es-DO"/>
        </w:rPr>
        <w:t>los</w:t>
      </w:r>
      <w:r w:rsidRPr="00CF7E5C">
        <w:rPr>
          <w:rFonts w:ascii="Times New Roman" w:eastAsia="Calibri" w:hAnsi="Times New Roman" w:cs="Times New Roman"/>
          <w:color w:val="4C4747"/>
          <w:spacing w:val="20"/>
          <w:sz w:val="24"/>
          <w:szCs w:val="24"/>
          <w:lang w:val="es-DO"/>
        </w:rPr>
        <w:t xml:space="preserve"> colaboradores</w:t>
      </w:r>
      <w:r w:rsidR="008274B3" w:rsidRPr="00CF7E5C">
        <w:rPr>
          <w:rFonts w:ascii="Times New Roman" w:eastAsia="Calibri" w:hAnsi="Times New Roman" w:cs="Times New Roman"/>
          <w:color w:val="4C4747"/>
          <w:spacing w:val="20"/>
          <w:sz w:val="24"/>
          <w:szCs w:val="24"/>
          <w:lang w:val="es-DO"/>
        </w:rPr>
        <w:t xml:space="preserve"> y las colaboradoras</w:t>
      </w:r>
      <w:r w:rsidRPr="00CF7E5C">
        <w:rPr>
          <w:rFonts w:ascii="Times New Roman" w:eastAsia="Calibri" w:hAnsi="Times New Roman" w:cs="Times New Roman"/>
          <w:color w:val="4C4747"/>
          <w:spacing w:val="20"/>
          <w:sz w:val="24"/>
          <w:szCs w:val="24"/>
          <w:lang w:val="es-DO"/>
        </w:rPr>
        <w:t>;</w:t>
      </w:r>
    </w:p>
    <w:p w14:paraId="2A7ACB29" w14:textId="72FE490A" w:rsidR="00C356F0" w:rsidRPr="00CF7E5C" w:rsidRDefault="00C356F0" w:rsidP="00A02BDE">
      <w:pPr>
        <w:pStyle w:val="Prrafodelista"/>
        <w:numPr>
          <w:ilvl w:val="0"/>
          <w:numId w:val="45"/>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Informar de manera periódica el protocolo establecido por la institución de acuerdo a lo instruido por los organismos oficiales, en relación al manejo y control</w:t>
      </w:r>
      <w:r w:rsidR="00380CFC" w:rsidRPr="00CF7E5C">
        <w:rPr>
          <w:rFonts w:ascii="Times New Roman" w:eastAsia="Calibri" w:hAnsi="Times New Roman" w:cs="Times New Roman"/>
          <w:color w:val="4C4747"/>
          <w:spacing w:val="20"/>
          <w:sz w:val="24"/>
          <w:szCs w:val="24"/>
          <w:lang w:val="es-DO"/>
        </w:rPr>
        <w:t xml:space="preserve"> de cualquier fenómeno natural;</w:t>
      </w:r>
    </w:p>
    <w:p w14:paraId="43D0A65B" w14:textId="29F9E621" w:rsidR="00C356F0" w:rsidRPr="00CF7E5C" w:rsidRDefault="00050E66" w:rsidP="00A02BDE">
      <w:pPr>
        <w:pStyle w:val="Prrafodelista"/>
        <w:numPr>
          <w:ilvl w:val="0"/>
          <w:numId w:val="45"/>
        </w:numPr>
        <w:spacing w:line="360" w:lineRule="auto"/>
        <w:jc w:val="both"/>
        <w:rPr>
          <w:rFonts w:ascii="Times New Roman" w:eastAsia="Calibri" w:hAnsi="Times New Roman" w:cs="Times New Roman"/>
          <w:color w:val="4C4747"/>
          <w:spacing w:val="20"/>
          <w:sz w:val="24"/>
          <w:szCs w:val="24"/>
          <w:lang w:val="es-DO"/>
        </w:rPr>
      </w:pPr>
      <w:r w:rsidRPr="00CF7E5C">
        <w:rPr>
          <w:rFonts w:ascii="Times New Roman" w:eastAsia="Calibri" w:hAnsi="Times New Roman" w:cs="Times New Roman"/>
          <w:color w:val="4C4747"/>
          <w:spacing w:val="20"/>
          <w:sz w:val="24"/>
          <w:szCs w:val="24"/>
          <w:lang w:val="es-DO"/>
        </w:rPr>
        <w:t>Otorgar c</w:t>
      </w:r>
      <w:r w:rsidR="00380CFC" w:rsidRPr="00CF7E5C">
        <w:rPr>
          <w:rFonts w:ascii="Times New Roman" w:eastAsia="Calibri" w:hAnsi="Times New Roman" w:cs="Times New Roman"/>
          <w:color w:val="4C4747"/>
          <w:spacing w:val="20"/>
          <w:sz w:val="24"/>
          <w:szCs w:val="24"/>
          <w:lang w:val="es-DO"/>
        </w:rPr>
        <w:t>apacitaciones al personal de la institución sobre riesgos laborales y fenómenos naturales</w:t>
      </w:r>
      <w:r w:rsidR="00C356F0" w:rsidRPr="00CF7E5C">
        <w:rPr>
          <w:rFonts w:ascii="Times New Roman" w:eastAsia="Calibri" w:hAnsi="Times New Roman" w:cs="Times New Roman"/>
          <w:color w:val="4C4747"/>
          <w:spacing w:val="20"/>
          <w:sz w:val="24"/>
          <w:szCs w:val="24"/>
          <w:lang w:val="es-DO"/>
        </w:rPr>
        <w:t xml:space="preserve">. </w:t>
      </w:r>
    </w:p>
    <w:p w14:paraId="3BE94F0D" w14:textId="74B13300" w:rsidR="00270838" w:rsidRPr="00C62BB6" w:rsidRDefault="00270838" w:rsidP="00C356F0">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El jueves 03 de noviembre se realizó la participación del simulacro nacional de acuerdo con los requerimientos realizados por el Centro de Operaciones de Eme</w:t>
      </w:r>
      <w:r w:rsidR="00050E66" w:rsidRPr="00C62BB6">
        <w:rPr>
          <w:rFonts w:ascii="Times New Roman" w:eastAsia="Calibri" w:hAnsi="Times New Roman" w:cs="Times New Roman"/>
          <w:color w:val="4C4747"/>
          <w:spacing w:val="20"/>
          <w:sz w:val="24"/>
          <w:szCs w:val="24"/>
          <w:lang w:val="es-DO"/>
        </w:rPr>
        <w:t>rgencia (COE), logrando disminuir el tiempo de evacuación del año pasado</w:t>
      </w:r>
      <w:r w:rsidRPr="00C62BB6">
        <w:rPr>
          <w:rFonts w:ascii="Times New Roman" w:eastAsia="Calibri" w:hAnsi="Times New Roman" w:cs="Times New Roman"/>
          <w:color w:val="4C4747"/>
          <w:spacing w:val="20"/>
          <w:sz w:val="24"/>
          <w:szCs w:val="24"/>
          <w:lang w:val="es-DO"/>
        </w:rPr>
        <w:t>.</w:t>
      </w:r>
    </w:p>
    <w:p w14:paraId="658E5888" w14:textId="77777777" w:rsidR="00C356F0" w:rsidRPr="00A4233F" w:rsidRDefault="00C356F0" w:rsidP="00A4332B">
      <w:pPr>
        <w:spacing w:before="24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SISMAP</w:t>
      </w:r>
    </w:p>
    <w:p w14:paraId="20E75650" w14:textId="5D96FF81" w:rsidR="00C356F0" w:rsidRPr="00A4233F" w:rsidRDefault="00C356F0"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El INDOTEL ha venido realizando mejoras con el objetivo de reflejar avances en cada uno de los indicadores del Sistema de Monitoreo de Administración Pública (SISMAP). En ese sentido, se ha incrementado el porcentaje en cuanto a la P</w:t>
      </w:r>
      <w:r w:rsidR="00270838" w:rsidRPr="00A4233F">
        <w:rPr>
          <w:rFonts w:ascii="Times New Roman" w:eastAsia="Calibri" w:hAnsi="Times New Roman" w:cs="Times New Roman"/>
          <w:color w:val="4C4747"/>
          <w:spacing w:val="20"/>
          <w:sz w:val="24"/>
          <w:szCs w:val="24"/>
          <w:lang w:val="es-DO"/>
        </w:rPr>
        <w:t>lanificación de RRHH, plan de c</w:t>
      </w:r>
      <w:r w:rsidRPr="00A4233F">
        <w:rPr>
          <w:rFonts w:ascii="Times New Roman" w:eastAsia="Calibri" w:hAnsi="Times New Roman" w:cs="Times New Roman"/>
          <w:color w:val="4C4747"/>
          <w:spacing w:val="20"/>
          <w:sz w:val="24"/>
          <w:szCs w:val="24"/>
          <w:lang w:val="es-DO"/>
        </w:rPr>
        <w:t xml:space="preserve">apacitación, implementación del Sistema de Seguridad y Salud en el Trabajo en la Administración Pública, </w:t>
      </w:r>
      <w:r w:rsidR="0025439D" w:rsidRPr="00A4233F">
        <w:rPr>
          <w:rFonts w:ascii="Times New Roman" w:eastAsia="Calibri" w:hAnsi="Times New Roman" w:cs="Times New Roman"/>
          <w:color w:val="4C4747"/>
          <w:spacing w:val="20"/>
          <w:sz w:val="24"/>
          <w:szCs w:val="24"/>
          <w:lang w:val="es-DO"/>
        </w:rPr>
        <w:t>encuesta de clima l</w:t>
      </w:r>
      <w:r w:rsidRPr="00A4233F">
        <w:rPr>
          <w:rFonts w:ascii="Times New Roman" w:eastAsia="Calibri" w:hAnsi="Times New Roman" w:cs="Times New Roman"/>
          <w:color w:val="4C4747"/>
          <w:spacing w:val="20"/>
          <w:sz w:val="24"/>
          <w:szCs w:val="24"/>
          <w:lang w:val="es-DO"/>
        </w:rPr>
        <w:t xml:space="preserve">aboral, entre otros. </w:t>
      </w:r>
    </w:p>
    <w:p w14:paraId="6BEBE12B" w14:textId="4B2DCF78" w:rsidR="00C356F0" w:rsidRPr="00C62BB6" w:rsidRDefault="00C356F0" w:rsidP="00C356F0">
      <w:pPr>
        <w:spacing w:line="360" w:lineRule="auto"/>
        <w:jc w:val="both"/>
        <w:rPr>
          <w:rFonts w:ascii="Times New Roman" w:eastAsia="Calibri" w:hAnsi="Times New Roman" w:cs="Times New Roman"/>
          <w:color w:val="4C4747"/>
          <w:spacing w:val="20"/>
          <w:sz w:val="24"/>
          <w:szCs w:val="24"/>
          <w:lang w:val="es-DO"/>
        </w:rPr>
      </w:pPr>
    </w:p>
    <w:p w14:paraId="7D0C6F6D" w14:textId="77777777" w:rsidR="006C7929" w:rsidRDefault="006C7929" w:rsidP="00C356F0">
      <w:pPr>
        <w:spacing w:line="360" w:lineRule="auto"/>
        <w:jc w:val="both"/>
        <w:rPr>
          <w:rFonts w:ascii="Times New Roman" w:eastAsia="Calibri" w:hAnsi="Times New Roman" w:cs="Times New Roman"/>
          <w:color w:val="4C4747"/>
          <w:spacing w:val="20"/>
          <w:sz w:val="24"/>
          <w:szCs w:val="24"/>
          <w:lang w:val="es-DO"/>
        </w:rPr>
      </w:pPr>
    </w:p>
    <w:p w14:paraId="4400B59F" w14:textId="77777777" w:rsidR="00A4233F" w:rsidRDefault="00A4233F" w:rsidP="00C356F0">
      <w:pPr>
        <w:spacing w:line="360" w:lineRule="auto"/>
        <w:jc w:val="both"/>
        <w:rPr>
          <w:rFonts w:ascii="Times New Roman" w:eastAsia="Calibri" w:hAnsi="Times New Roman" w:cs="Times New Roman"/>
          <w:color w:val="4C4747"/>
          <w:spacing w:val="20"/>
          <w:sz w:val="24"/>
          <w:szCs w:val="24"/>
          <w:lang w:val="es-DO"/>
        </w:rPr>
      </w:pPr>
    </w:p>
    <w:p w14:paraId="6A447352" w14:textId="77777777" w:rsidR="00A4233F" w:rsidRPr="00C62BB6" w:rsidRDefault="00A4233F" w:rsidP="00C356F0">
      <w:pPr>
        <w:spacing w:line="360" w:lineRule="auto"/>
        <w:jc w:val="both"/>
        <w:rPr>
          <w:rFonts w:ascii="Times New Roman" w:eastAsia="Calibri" w:hAnsi="Times New Roman" w:cs="Times New Roman"/>
          <w:color w:val="4C4747"/>
          <w:spacing w:val="20"/>
          <w:sz w:val="24"/>
          <w:szCs w:val="24"/>
          <w:lang w:val="es-DO"/>
        </w:rPr>
      </w:pPr>
    </w:p>
    <w:p w14:paraId="611BA919" w14:textId="77777777" w:rsidR="006C7929" w:rsidRPr="00C62BB6" w:rsidRDefault="006C7929" w:rsidP="00C356F0">
      <w:pPr>
        <w:spacing w:line="360" w:lineRule="auto"/>
        <w:jc w:val="both"/>
        <w:rPr>
          <w:rFonts w:ascii="Times New Roman" w:eastAsia="Calibri" w:hAnsi="Times New Roman" w:cs="Times New Roman"/>
          <w:color w:val="4C4747"/>
          <w:spacing w:val="20"/>
          <w:sz w:val="24"/>
          <w:szCs w:val="24"/>
          <w:lang w:val="es-DO"/>
        </w:rPr>
      </w:pPr>
    </w:p>
    <w:p w14:paraId="5601F8A6" w14:textId="6E185DA9" w:rsidR="00771386" w:rsidRPr="00C62BB6" w:rsidRDefault="00A75CDE" w:rsidP="00771386">
      <w:pPr>
        <w:keepNext/>
        <w:spacing w:before="240" w:after="60"/>
        <w:jc w:val="both"/>
        <w:outlineLvl w:val="2"/>
        <w:rPr>
          <w:rFonts w:ascii="Times New Roman" w:eastAsia="Times New Roman" w:hAnsi="Times New Roman" w:cs="Times New Roman"/>
          <w:b/>
          <w:bCs/>
          <w:color w:val="4C4747"/>
          <w:sz w:val="24"/>
          <w:szCs w:val="28"/>
          <w:lang w:val="es-DO" w:eastAsia="es-DO"/>
        </w:rPr>
      </w:pPr>
      <w:bookmarkStart w:id="24" w:name="_Toc79678422"/>
      <w:bookmarkStart w:id="25" w:name="_Toc122425245"/>
      <w:r w:rsidRPr="00C62BB6">
        <w:rPr>
          <w:rFonts w:ascii="Times New Roman" w:eastAsia="Times New Roman" w:hAnsi="Times New Roman" w:cs="Times New Roman"/>
          <w:b/>
          <w:bCs/>
          <w:color w:val="4C4747"/>
          <w:sz w:val="24"/>
          <w:szCs w:val="28"/>
          <w:lang w:val="es-DO" w:eastAsia="es-DO"/>
        </w:rPr>
        <w:lastRenderedPageBreak/>
        <w:t xml:space="preserve">4.3 </w:t>
      </w:r>
      <w:r w:rsidR="00771386" w:rsidRPr="00C62BB6">
        <w:rPr>
          <w:rFonts w:ascii="Times New Roman" w:eastAsia="Times New Roman" w:hAnsi="Times New Roman" w:cs="Times New Roman"/>
          <w:b/>
          <w:bCs/>
          <w:color w:val="4C4747"/>
          <w:sz w:val="24"/>
          <w:szCs w:val="28"/>
          <w:lang w:val="es-DO" w:eastAsia="es-DO"/>
        </w:rPr>
        <w:t>Desempeño de los Procesos Jurídicos</w:t>
      </w:r>
      <w:bookmarkEnd w:id="24"/>
      <w:bookmarkEnd w:id="25"/>
    </w:p>
    <w:p w14:paraId="68031611" w14:textId="77777777" w:rsidR="00771386" w:rsidRPr="00C62BB6" w:rsidRDefault="00771386" w:rsidP="00771386">
      <w:pPr>
        <w:pStyle w:val="Sinespaciado"/>
        <w:rPr>
          <w:color w:val="4C4747"/>
          <w:lang w:val="es-DO"/>
        </w:rPr>
      </w:pPr>
    </w:p>
    <w:p w14:paraId="4C98B85E" w14:textId="17ACDA47" w:rsidR="00871F2C" w:rsidRPr="00A4233F" w:rsidRDefault="006D62FE" w:rsidP="00943FA5">
      <w:pPr>
        <w:pStyle w:val="Ttulo4"/>
        <w:rPr>
          <w:color w:val="4C4747"/>
          <w:spacing w:val="20"/>
          <w:szCs w:val="24"/>
          <w:lang w:val="es-DO"/>
        </w:rPr>
      </w:pPr>
      <w:r w:rsidRPr="00A4233F">
        <w:rPr>
          <w:rFonts w:ascii="Times New Roman" w:hAnsi="Times New Roman" w:cs="Times New Roman"/>
          <w:b/>
          <w:i w:val="0"/>
          <w:color w:val="4C4747"/>
          <w:sz w:val="24"/>
          <w:szCs w:val="24"/>
          <w:lang w:val="es-DO" w:eastAsia="es-DO"/>
        </w:rPr>
        <w:t xml:space="preserve">4.3.1 </w:t>
      </w:r>
      <w:r w:rsidR="00771386" w:rsidRPr="00A4233F">
        <w:rPr>
          <w:rFonts w:ascii="Times New Roman" w:hAnsi="Times New Roman" w:cs="Times New Roman"/>
          <w:b/>
          <w:i w:val="0"/>
          <w:color w:val="4C4747"/>
          <w:sz w:val="24"/>
          <w:szCs w:val="24"/>
          <w:lang w:val="es-DO" w:eastAsia="es-DO"/>
        </w:rPr>
        <w:t>Cumplimiento y Sanciones</w:t>
      </w:r>
    </w:p>
    <w:p w14:paraId="21EAC76B" w14:textId="26C210BB" w:rsidR="00871F2C" w:rsidRPr="00A4233F" w:rsidRDefault="00C612FC" w:rsidP="00A4332B">
      <w:pPr>
        <w:spacing w:before="240"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En </w:t>
      </w:r>
      <w:r w:rsidR="00481014" w:rsidRPr="00A4233F">
        <w:rPr>
          <w:rFonts w:ascii="Times New Roman" w:eastAsia="Calibri" w:hAnsi="Times New Roman" w:cs="Times New Roman"/>
          <w:color w:val="4C4747"/>
          <w:spacing w:val="20"/>
          <w:sz w:val="24"/>
          <w:szCs w:val="24"/>
          <w:lang w:val="es-DO"/>
        </w:rPr>
        <w:t xml:space="preserve">el </w:t>
      </w:r>
      <w:r w:rsidRPr="00A4233F">
        <w:rPr>
          <w:rFonts w:ascii="Times New Roman" w:eastAsia="Calibri" w:hAnsi="Times New Roman" w:cs="Times New Roman"/>
          <w:color w:val="4C4747"/>
          <w:spacing w:val="20"/>
          <w:sz w:val="24"/>
          <w:szCs w:val="24"/>
          <w:lang w:val="es-DO"/>
        </w:rPr>
        <w:t>INDOTEL se</w:t>
      </w:r>
      <w:r w:rsidR="00871F2C" w:rsidRPr="00A4233F">
        <w:rPr>
          <w:rFonts w:ascii="Times New Roman" w:eastAsia="Calibri" w:hAnsi="Times New Roman" w:cs="Times New Roman"/>
          <w:color w:val="4C4747"/>
          <w:spacing w:val="20"/>
          <w:sz w:val="24"/>
          <w:szCs w:val="24"/>
          <w:lang w:val="es-DO"/>
        </w:rPr>
        <w:t xml:space="preserve"> promueve acciones de vigilancia acorde a</w:t>
      </w:r>
      <w:r w:rsidRPr="00A4233F">
        <w:rPr>
          <w:rFonts w:ascii="Times New Roman" w:eastAsia="Calibri" w:hAnsi="Times New Roman" w:cs="Times New Roman"/>
          <w:color w:val="4C4747"/>
          <w:spacing w:val="20"/>
          <w:sz w:val="24"/>
          <w:szCs w:val="24"/>
          <w:lang w:val="es-DO"/>
        </w:rPr>
        <w:t>l plan de cumplimiento</w:t>
      </w:r>
      <w:r w:rsidR="00871F2C" w:rsidRPr="00A4233F">
        <w:rPr>
          <w:rFonts w:ascii="Times New Roman" w:eastAsia="Calibri" w:hAnsi="Times New Roman" w:cs="Times New Roman"/>
          <w:color w:val="4C4747"/>
          <w:spacing w:val="20"/>
          <w:sz w:val="24"/>
          <w:szCs w:val="24"/>
          <w:lang w:val="es-DO"/>
        </w:rPr>
        <w:t>, la realización de investigaciones de incumplimiento, estudios regulatorios, análisis de denuncias, etc., que constituyen instrumentos para identificar la existencia de posibles vulneraciones a la ley y los reglamentos que la complementan, en cuyo caso requiere la adopción de m</w:t>
      </w:r>
      <w:r w:rsidR="00A4332B" w:rsidRPr="00A4233F">
        <w:rPr>
          <w:rFonts w:ascii="Times New Roman" w:eastAsia="Calibri" w:hAnsi="Times New Roman" w:cs="Times New Roman"/>
          <w:color w:val="4C4747"/>
          <w:spacing w:val="20"/>
          <w:sz w:val="24"/>
          <w:szCs w:val="24"/>
          <w:lang w:val="es-DO"/>
        </w:rPr>
        <w:t>edidas correctivas pertinentes.</w:t>
      </w:r>
    </w:p>
    <w:p w14:paraId="28464C69" w14:textId="0A259228" w:rsidR="00871F2C" w:rsidRPr="00A4233F" w:rsidRDefault="00871F2C" w:rsidP="00A4332B">
      <w:pPr>
        <w:spacing w:before="240"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Sobre la base de lo anteriormente señalado, INDOTEL, en el ejercicio de las funciones de vigilancia y control del cumplimiento del marco normativo y regulatorio vigente ha procedido a identificar en toda la geografía nacional, mediante labores de supervisión a los operadores y prestadoras de servicios públicos de telecomunicaciones, los operadores que se encuentran prestando servicios al margen del marco normativo y reglamentario,  promoviendo en consecuencia la adopción de las medidas correctivas pertinentes, acordes con los títulos habilitantes emitidos para la prestación de los servicios autorizados y los textos legal</w:t>
      </w:r>
      <w:r w:rsidR="00A4332B" w:rsidRPr="00A4233F">
        <w:rPr>
          <w:rFonts w:ascii="Times New Roman" w:eastAsia="Calibri" w:hAnsi="Times New Roman" w:cs="Times New Roman"/>
          <w:color w:val="4C4747"/>
          <w:spacing w:val="20"/>
          <w:sz w:val="24"/>
          <w:szCs w:val="24"/>
          <w:lang w:val="es-DO"/>
        </w:rPr>
        <w:t>es y reglamentarios aplicables.</w:t>
      </w:r>
    </w:p>
    <w:p w14:paraId="2BEE1F2E" w14:textId="318952A7" w:rsidR="00871F2C" w:rsidRPr="00A4233F" w:rsidRDefault="00871F2C" w:rsidP="00A4332B">
      <w:pPr>
        <w:spacing w:before="240"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En dicho sentido, dentro de las labores ejecutadas a los fines precedidos, vale señalarse las siguientes actuaciones: </w:t>
      </w:r>
    </w:p>
    <w:p w14:paraId="12384535" w14:textId="77777777" w:rsidR="008D55B2" w:rsidRPr="00C62BB6" w:rsidRDefault="008D55B2" w:rsidP="00871F2C">
      <w:pPr>
        <w:spacing w:line="276" w:lineRule="auto"/>
        <w:rPr>
          <w:rFonts w:ascii="Times New Roman" w:eastAsia="Calibri" w:hAnsi="Times New Roman" w:cs="Times New Roman"/>
          <w:color w:val="4C4747"/>
          <w:spacing w:val="20"/>
          <w:sz w:val="24"/>
          <w:szCs w:val="24"/>
          <w:lang w:val="es-DO"/>
        </w:rPr>
      </w:pPr>
    </w:p>
    <w:p w14:paraId="78CD30EC" w14:textId="77777777" w:rsidR="00A4332B" w:rsidRPr="00C62BB6" w:rsidRDefault="00A4332B" w:rsidP="00871F2C">
      <w:pPr>
        <w:spacing w:line="276" w:lineRule="auto"/>
        <w:rPr>
          <w:rFonts w:ascii="Times New Roman" w:eastAsia="Calibri" w:hAnsi="Times New Roman" w:cs="Times New Roman"/>
          <w:color w:val="4C4747"/>
          <w:spacing w:val="20"/>
          <w:sz w:val="24"/>
          <w:szCs w:val="24"/>
          <w:lang w:val="es-DO"/>
        </w:rPr>
      </w:pPr>
    </w:p>
    <w:p w14:paraId="72DAC17F" w14:textId="77777777" w:rsidR="00A4332B" w:rsidRPr="00C62BB6" w:rsidRDefault="00A4332B" w:rsidP="00871F2C">
      <w:pPr>
        <w:spacing w:line="276" w:lineRule="auto"/>
        <w:rPr>
          <w:rFonts w:ascii="Times New Roman" w:eastAsia="Calibri" w:hAnsi="Times New Roman" w:cs="Times New Roman"/>
          <w:color w:val="4C4747"/>
          <w:spacing w:val="20"/>
          <w:sz w:val="24"/>
          <w:szCs w:val="24"/>
          <w:lang w:val="es-DO"/>
        </w:rPr>
      </w:pPr>
    </w:p>
    <w:p w14:paraId="4D3E1767" w14:textId="77777777" w:rsidR="00A4332B" w:rsidRPr="00C62BB6" w:rsidRDefault="00A4332B" w:rsidP="00871F2C">
      <w:pPr>
        <w:spacing w:line="276" w:lineRule="auto"/>
        <w:rPr>
          <w:rFonts w:ascii="Times New Roman" w:eastAsia="Calibri" w:hAnsi="Times New Roman" w:cs="Times New Roman"/>
          <w:color w:val="4C4747"/>
          <w:spacing w:val="20"/>
          <w:sz w:val="24"/>
          <w:szCs w:val="24"/>
          <w:lang w:val="es-DO"/>
        </w:rPr>
      </w:pPr>
    </w:p>
    <w:p w14:paraId="6214A468" w14:textId="77777777" w:rsidR="00A4332B" w:rsidRDefault="00A4332B" w:rsidP="00871F2C">
      <w:pPr>
        <w:spacing w:line="276" w:lineRule="auto"/>
        <w:rPr>
          <w:rFonts w:ascii="Times New Roman" w:eastAsia="Calibri" w:hAnsi="Times New Roman" w:cs="Times New Roman"/>
          <w:color w:val="767171"/>
          <w:spacing w:val="20"/>
          <w:sz w:val="24"/>
          <w:szCs w:val="24"/>
          <w:lang w:val="es-DO"/>
        </w:rPr>
      </w:pPr>
    </w:p>
    <w:p w14:paraId="4CF40964" w14:textId="77777777" w:rsidR="00A4332B" w:rsidRPr="00943FA5" w:rsidRDefault="00A4332B" w:rsidP="00871F2C">
      <w:pPr>
        <w:spacing w:line="276" w:lineRule="auto"/>
        <w:rPr>
          <w:rFonts w:ascii="Times New Roman" w:eastAsia="Calibri" w:hAnsi="Times New Roman" w:cs="Times New Roman"/>
          <w:color w:val="767171"/>
          <w:spacing w:val="20"/>
          <w:sz w:val="24"/>
          <w:szCs w:val="24"/>
          <w:lang w:val="es-DO"/>
        </w:rPr>
      </w:pPr>
    </w:p>
    <w:tbl>
      <w:tblPr>
        <w:tblStyle w:val="Tablaconcuadrcula"/>
        <w:tblW w:w="8005" w:type="dxa"/>
        <w:tblLook w:val="04A0" w:firstRow="1" w:lastRow="0" w:firstColumn="1" w:lastColumn="0" w:noHBand="0" w:noVBand="1"/>
      </w:tblPr>
      <w:tblGrid>
        <w:gridCol w:w="1337"/>
        <w:gridCol w:w="5139"/>
        <w:gridCol w:w="1529"/>
      </w:tblGrid>
      <w:tr w:rsidR="00871F2C" w:rsidRPr="008E6046" w14:paraId="1E8B71D5" w14:textId="77777777" w:rsidTr="00943FA5">
        <w:tc>
          <w:tcPr>
            <w:tcW w:w="8005" w:type="dxa"/>
            <w:gridSpan w:val="3"/>
            <w:shd w:val="clear" w:color="auto" w:fill="002060"/>
            <w:vAlign w:val="center"/>
          </w:tcPr>
          <w:p w14:paraId="63A85B0F" w14:textId="58501F63" w:rsidR="00871F2C" w:rsidRPr="00C62BB6" w:rsidRDefault="008D55B2" w:rsidP="0083303F">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lastRenderedPageBreak/>
              <w:t>Casos i</w:t>
            </w:r>
            <w:r w:rsidR="00871F2C" w:rsidRPr="00C62BB6">
              <w:rPr>
                <w:rFonts w:ascii="Times New Roman" w:eastAsia="Calibri" w:hAnsi="Times New Roman" w:cs="Times New Roman"/>
                <w:b/>
                <w:color w:val="FFFFFF" w:themeColor="background1"/>
                <w:spacing w:val="20"/>
                <w:sz w:val="24"/>
                <w:szCs w:val="24"/>
                <w:lang w:val="es-DO"/>
              </w:rPr>
              <w:t>nstruidos por la Gerencia de Cumplimiento</w:t>
            </w:r>
          </w:p>
          <w:p w14:paraId="4CBA34E1" w14:textId="2F3BF7CB" w:rsidR="00871F2C" w:rsidRPr="00C62BB6" w:rsidRDefault="008D55B2" w:rsidP="0083303F">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Enero - n</w:t>
            </w:r>
            <w:r w:rsidR="00871F2C" w:rsidRPr="00C62BB6">
              <w:rPr>
                <w:rFonts w:ascii="Times New Roman" w:eastAsia="Calibri" w:hAnsi="Times New Roman" w:cs="Times New Roman"/>
                <w:b/>
                <w:color w:val="FFFFFF" w:themeColor="background1"/>
                <w:spacing w:val="20"/>
                <w:sz w:val="24"/>
                <w:szCs w:val="24"/>
                <w:lang w:val="es-DO"/>
              </w:rPr>
              <w:t>oviembre de 2022</w:t>
            </w:r>
          </w:p>
        </w:tc>
      </w:tr>
      <w:tr w:rsidR="00871F2C" w:rsidRPr="008E6046" w14:paraId="3D93C814" w14:textId="77777777" w:rsidTr="00A4332B">
        <w:tc>
          <w:tcPr>
            <w:tcW w:w="1255" w:type="dxa"/>
            <w:shd w:val="clear" w:color="auto" w:fill="002060"/>
            <w:vAlign w:val="center"/>
          </w:tcPr>
          <w:p w14:paraId="669AC6E7" w14:textId="77777777" w:rsidR="00871F2C" w:rsidRPr="00C62BB6" w:rsidRDefault="00871F2C" w:rsidP="0083303F">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Cantidad de Casos</w:t>
            </w:r>
          </w:p>
        </w:tc>
        <w:tc>
          <w:tcPr>
            <w:tcW w:w="5220" w:type="dxa"/>
            <w:shd w:val="clear" w:color="auto" w:fill="002060"/>
            <w:vAlign w:val="center"/>
          </w:tcPr>
          <w:p w14:paraId="5ACD738B" w14:textId="77777777" w:rsidR="00871F2C" w:rsidRPr="00C62BB6" w:rsidRDefault="00871F2C" w:rsidP="0083303F">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Tipo de Incumplimiento</w:t>
            </w:r>
          </w:p>
        </w:tc>
        <w:tc>
          <w:tcPr>
            <w:tcW w:w="1530" w:type="dxa"/>
            <w:shd w:val="clear" w:color="auto" w:fill="002060"/>
            <w:vAlign w:val="center"/>
          </w:tcPr>
          <w:p w14:paraId="16D67D5B" w14:textId="77777777" w:rsidR="00871F2C" w:rsidRPr="00C62BB6" w:rsidRDefault="00871F2C" w:rsidP="0083303F">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Estatus</w:t>
            </w:r>
          </w:p>
        </w:tc>
      </w:tr>
      <w:tr w:rsidR="00C62BB6" w:rsidRPr="00C62BB6" w14:paraId="157A6DEA" w14:textId="77777777" w:rsidTr="00A4332B">
        <w:tc>
          <w:tcPr>
            <w:tcW w:w="1255" w:type="dxa"/>
          </w:tcPr>
          <w:p w14:paraId="696F6DB2"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p>
          <w:p w14:paraId="72D03BF9"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w:t>
            </w:r>
          </w:p>
        </w:tc>
        <w:tc>
          <w:tcPr>
            <w:tcW w:w="5220" w:type="dxa"/>
          </w:tcPr>
          <w:p w14:paraId="3999B864" w14:textId="77777777" w:rsidR="00871F2C" w:rsidRPr="00C62BB6" w:rsidRDefault="00871F2C"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Ausencia de violación al marco legal y reglamentario vigente</w:t>
            </w:r>
          </w:p>
        </w:tc>
        <w:tc>
          <w:tcPr>
            <w:tcW w:w="1530" w:type="dxa"/>
            <w:vAlign w:val="center"/>
          </w:tcPr>
          <w:p w14:paraId="5943B4C2"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Concluido</w:t>
            </w:r>
          </w:p>
        </w:tc>
      </w:tr>
      <w:tr w:rsidR="00C62BB6" w:rsidRPr="00C62BB6" w14:paraId="55202D2A" w14:textId="77777777" w:rsidTr="00A4332B">
        <w:tc>
          <w:tcPr>
            <w:tcW w:w="1255" w:type="dxa"/>
          </w:tcPr>
          <w:p w14:paraId="14D77204"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p>
          <w:p w14:paraId="283DCC49"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w:t>
            </w:r>
          </w:p>
        </w:tc>
        <w:tc>
          <w:tcPr>
            <w:tcW w:w="5220" w:type="dxa"/>
          </w:tcPr>
          <w:p w14:paraId="65D2D546" w14:textId="24EE2E24" w:rsidR="00871F2C" w:rsidRPr="00C62BB6" w:rsidRDefault="00871F2C"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fldChar w:fldCharType="begin"/>
            </w:r>
            <w:r w:rsidRPr="00C62BB6">
              <w:rPr>
                <w:rFonts w:ascii="Times New Roman" w:eastAsia="Calibri" w:hAnsi="Times New Roman" w:cs="Times New Roman"/>
                <w:color w:val="4C4747"/>
                <w:spacing w:val="20"/>
                <w:sz w:val="24"/>
                <w:szCs w:val="24"/>
                <w:lang w:val="es-DO"/>
              </w:rPr>
              <w:instrText xml:space="preserve"> LINK Word.Document.12 "C:\\Users\\calcantara\\Downloads\\gerencia de cumplimiento.docx" "OLE_LINK1" \a \r  \* MERGEFORMAT </w:instrText>
            </w:r>
            <w:r w:rsidRPr="00C62BB6">
              <w:rPr>
                <w:rFonts w:ascii="Times New Roman" w:eastAsia="Calibri" w:hAnsi="Times New Roman" w:cs="Times New Roman"/>
                <w:color w:val="4C4747"/>
                <w:spacing w:val="20"/>
                <w:sz w:val="24"/>
                <w:szCs w:val="24"/>
                <w:lang w:val="es-DO"/>
              </w:rPr>
              <w:fldChar w:fldCharType="separate"/>
            </w:r>
            <w:r w:rsidRPr="00C62BB6">
              <w:rPr>
                <w:rFonts w:ascii="Times New Roman" w:eastAsia="Calibri" w:hAnsi="Times New Roman" w:cs="Times New Roman"/>
                <w:color w:val="4C4747"/>
                <w:spacing w:val="20"/>
                <w:sz w:val="24"/>
                <w:szCs w:val="24"/>
                <w:lang w:val="es-DO"/>
              </w:rPr>
              <w:t xml:space="preserve">Solicitud de información a las grandes prestadoras concerniente a calidad </w:t>
            </w:r>
            <w:r w:rsidRPr="00C62BB6">
              <w:rPr>
                <w:rFonts w:ascii="Times New Roman" w:eastAsia="Calibri" w:hAnsi="Times New Roman" w:cs="Times New Roman"/>
                <w:color w:val="4C4747"/>
                <w:spacing w:val="20"/>
                <w:sz w:val="24"/>
                <w:szCs w:val="24"/>
                <w:lang w:val="es-DO"/>
              </w:rPr>
              <w:fldChar w:fldCharType="end"/>
            </w:r>
          </w:p>
        </w:tc>
        <w:tc>
          <w:tcPr>
            <w:tcW w:w="1530" w:type="dxa"/>
          </w:tcPr>
          <w:p w14:paraId="644CC694" w14:textId="77777777" w:rsidR="00871F2C" w:rsidRPr="00C62BB6" w:rsidRDefault="00871F2C" w:rsidP="00943FA5">
            <w:pPr>
              <w:spacing w:line="360" w:lineRule="auto"/>
              <w:jc w:val="center"/>
              <w:rPr>
                <w:rFonts w:ascii="Times New Roman" w:eastAsia="Calibri" w:hAnsi="Times New Roman" w:cs="Times New Roman"/>
                <w:color w:val="4C4747"/>
                <w:spacing w:val="20"/>
                <w:sz w:val="24"/>
                <w:szCs w:val="24"/>
                <w:lang w:val="es-DO"/>
              </w:rPr>
            </w:pPr>
          </w:p>
          <w:p w14:paraId="706B0809" w14:textId="4B334E5A" w:rsidR="00871F2C" w:rsidRPr="00C62BB6" w:rsidRDefault="00871F2C"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Concluidos</w:t>
            </w:r>
          </w:p>
        </w:tc>
      </w:tr>
      <w:tr w:rsidR="00C62BB6" w:rsidRPr="00C62BB6" w14:paraId="4457BD18" w14:textId="77777777" w:rsidTr="00A4332B">
        <w:tc>
          <w:tcPr>
            <w:tcW w:w="1255" w:type="dxa"/>
          </w:tcPr>
          <w:p w14:paraId="4E7193AD"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p>
          <w:p w14:paraId="763B3181"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9</w:t>
            </w:r>
          </w:p>
        </w:tc>
        <w:tc>
          <w:tcPr>
            <w:tcW w:w="5220" w:type="dxa"/>
          </w:tcPr>
          <w:p w14:paraId="57E72403" w14:textId="0A51A07A" w:rsidR="00871F2C" w:rsidRPr="00C62BB6" w:rsidRDefault="00871F2C"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Cartas de advertencia para el cumplimiento del reglamento de activación de servicios SIM</w:t>
            </w:r>
          </w:p>
        </w:tc>
        <w:tc>
          <w:tcPr>
            <w:tcW w:w="1530" w:type="dxa"/>
          </w:tcPr>
          <w:p w14:paraId="595D748F"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p>
          <w:p w14:paraId="714D7A3F" w14:textId="1F0A2FF0"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Concluido</w:t>
            </w:r>
            <w:r w:rsidR="00653B74" w:rsidRPr="00C62BB6">
              <w:rPr>
                <w:rFonts w:ascii="Times New Roman" w:eastAsia="Calibri" w:hAnsi="Times New Roman" w:cs="Times New Roman"/>
                <w:color w:val="4C4747"/>
                <w:spacing w:val="20"/>
                <w:sz w:val="24"/>
                <w:szCs w:val="24"/>
                <w:lang w:val="es-DO"/>
              </w:rPr>
              <w:t>s</w:t>
            </w:r>
          </w:p>
        </w:tc>
      </w:tr>
      <w:tr w:rsidR="00C62BB6" w:rsidRPr="00C62BB6" w14:paraId="0F1C3D3C" w14:textId="77777777" w:rsidTr="006C7929">
        <w:tc>
          <w:tcPr>
            <w:tcW w:w="1255" w:type="dxa"/>
          </w:tcPr>
          <w:p w14:paraId="74FE2572"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p>
          <w:p w14:paraId="54EF7D8D" w14:textId="77777777" w:rsidR="00871F2C" w:rsidRPr="00C62BB6" w:rsidRDefault="00871F2C" w:rsidP="00943FA5">
            <w:pPr>
              <w:spacing w:line="360" w:lineRule="auto"/>
              <w:jc w:val="center"/>
              <w:rPr>
                <w:rFonts w:ascii="Times New Roman" w:eastAsia="Calibri" w:hAnsi="Times New Roman" w:cs="Times New Roman"/>
                <w:color w:val="4C4747"/>
                <w:spacing w:val="20"/>
                <w:sz w:val="24"/>
                <w:szCs w:val="24"/>
                <w:lang w:val="es-DO"/>
              </w:rPr>
            </w:pPr>
          </w:p>
          <w:p w14:paraId="02B05CDF"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13</w:t>
            </w:r>
          </w:p>
        </w:tc>
        <w:tc>
          <w:tcPr>
            <w:tcW w:w="5220" w:type="dxa"/>
          </w:tcPr>
          <w:p w14:paraId="49BB37EF" w14:textId="78862143" w:rsidR="00871F2C" w:rsidRPr="00C62BB6" w:rsidRDefault="00871F2C"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Cartas de advertencias por uso del espectro sin la debida autorización y el movimiento de antenas sin autorización.</w:t>
            </w:r>
          </w:p>
        </w:tc>
        <w:tc>
          <w:tcPr>
            <w:tcW w:w="1530" w:type="dxa"/>
            <w:vAlign w:val="center"/>
          </w:tcPr>
          <w:p w14:paraId="5BBA24A2" w14:textId="77777777" w:rsidR="00871F2C" w:rsidRPr="00C62BB6" w:rsidRDefault="00871F2C" w:rsidP="006C7929">
            <w:pPr>
              <w:spacing w:before="24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Concluidos</w:t>
            </w:r>
          </w:p>
        </w:tc>
      </w:tr>
      <w:tr w:rsidR="00C62BB6" w:rsidRPr="00C62BB6" w14:paraId="552494B1" w14:textId="77777777" w:rsidTr="00A4332B">
        <w:tc>
          <w:tcPr>
            <w:tcW w:w="1255" w:type="dxa"/>
          </w:tcPr>
          <w:p w14:paraId="4965ED3B"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p>
          <w:p w14:paraId="664AC061"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w:t>
            </w:r>
          </w:p>
          <w:p w14:paraId="5CC3422C"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p>
        </w:tc>
        <w:tc>
          <w:tcPr>
            <w:tcW w:w="5220" w:type="dxa"/>
          </w:tcPr>
          <w:p w14:paraId="10028435" w14:textId="4CB70957" w:rsidR="00871F2C" w:rsidRPr="00C62BB6" w:rsidRDefault="00871F2C"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Revocación de autorizaciones de frecuencias</w:t>
            </w:r>
          </w:p>
        </w:tc>
        <w:tc>
          <w:tcPr>
            <w:tcW w:w="1530" w:type="dxa"/>
          </w:tcPr>
          <w:p w14:paraId="4B968F23"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p>
          <w:p w14:paraId="69FE2028" w14:textId="77777777" w:rsidR="00871F2C" w:rsidRPr="00C62BB6" w:rsidRDefault="00871F2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Concluido</w:t>
            </w:r>
          </w:p>
        </w:tc>
      </w:tr>
    </w:tbl>
    <w:p w14:paraId="1A2E8D23" w14:textId="163EAE3D" w:rsidR="00871F2C" w:rsidRPr="00C62BB6" w:rsidRDefault="00871F2C" w:rsidP="00A4332B">
      <w:pPr>
        <w:spacing w:before="240" w:line="36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Gerencia de Cumplimiento, Direcc</w:t>
      </w:r>
      <w:r w:rsidR="00A4332B" w:rsidRPr="00C62BB6">
        <w:rPr>
          <w:rFonts w:ascii="Times New Roman" w:eastAsia="Calibri" w:hAnsi="Times New Roman" w:cs="Times New Roman"/>
          <w:color w:val="4C4747"/>
          <w:spacing w:val="20"/>
          <w:sz w:val="18"/>
          <w:szCs w:val="24"/>
          <w:lang w:val="es-DO"/>
        </w:rPr>
        <w:t>ión de Cumplimiento y Sanciones</w:t>
      </w:r>
    </w:p>
    <w:p w14:paraId="2A9DF652" w14:textId="77777777" w:rsidR="008D55B2" w:rsidRPr="00C62BB6" w:rsidRDefault="00871F2C" w:rsidP="00A4332B">
      <w:pPr>
        <w:spacing w:before="240"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El INDOTEL, conforme los términos de la Ley General de Telecomunicaciones, núm. 153-98, está facultado para aplicar el régimen sancionador ante la comisión de las faltas administrativas previstas en dicho texto de ley por parte de aquellos administrados que se encuentren realizando actividades reguladas por las disposiciones legales vigentes en materia de telecomunicaciones sin poseer las autorizaciones requeridas por dicho texto </w:t>
      </w:r>
      <w:r w:rsidR="00714ED7" w:rsidRPr="00C62BB6">
        <w:rPr>
          <w:rFonts w:ascii="Times New Roman" w:eastAsia="Calibri" w:hAnsi="Times New Roman" w:cs="Times New Roman"/>
          <w:color w:val="4C4747"/>
          <w:spacing w:val="20"/>
          <w:sz w:val="24"/>
          <w:szCs w:val="24"/>
          <w:lang w:val="es-DO"/>
        </w:rPr>
        <w:t>de ley; contra quien aun</w:t>
      </w:r>
      <w:r w:rsidRPr="00C62BB6">
        <w:rPr>
          <w:rFonts w:ascii="Times New Roman" w:eastAsia="Calibri" w:hAnsi="Times New Roman" w:cs="Times New Roman"/>
          <w:color w:val="4C4747"/>
          <w:spacing w:val="20"/>
          <w:sz w:val="24"/>
          <w:szCs w:val="24"/>
          <w:lang w:val="es-DO"/>
        </w:rPr>
        <w:t xml:space="preserve"> contando con la concesión o la licencia realicen actividades </w:t>
      </w:r>
    </w:p>
    <w:p w14:paraId="3D5C5D7B" w14:textId="315A5987" w:rsidR="00871F2C" w:rsidRPr="00C62BB6" w:rsidRDefault="00871F2C" w:rsidP="00871F2C">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contrarias a la ley; contra las cocesionarias que operan sin pagar los Derecho de Uso correspondien</w:t>
      </w:r>
      <w:r w:rsidR="00714ED7" w:rsidRPr="00C62BB6">
        <w:rPr>
          <w:rFonts w:ascii="Times New Roman" w:eastAsia="Calibri" w:hAnsi="Times New Roman" w:cs="Times New Roman"/>
          <w:color w:val="4C4747"/>
          <w:spacing w:val="20"/>
          <w:sz w:val="24"/>
          <w:szCs w:val="24"/>
          <w:lang w:val="es-DO"/>
        </w:rPr>
        <w:t>tes</w:t>
      </w:r>
      <w:r w:rsidRPr="00C62BB6">
        <w:rPr>
          <w:rFonts w:ascii="Times New Roman" w:eastAsia="Calibri" w:hAnsi="Times New Roman" w:cs="Times New Roman"/>
          <w:color w:val="4C4747"/>
          <w:spacing w:val="20"/>
          <w:sz w:val="24"/>
          <w:szCs w:val="24"/>
          <w:lang w:val="es-DO"/>
        </w:rPr>
        <w:t xml:space="preserve"> </w:t>
      </w:r>
      <w:r w:rsidR="00714ED7" w:rsidRPr="00C62BB6">
        <w:rPr>
          <w:rFonts w:ascii="Times New Roman" w:eastAsia="Calibri" w:hAnsi="Times New Roman" w:cs="Times New Roman"/>
          <w:color w:val="4C4747"/>
          <w:spacing w:val="20"/>
          <w:sz w:val="24"/>
          <w:szCs w:val="24"/>
          <w:lang w:val="es-DO"/>
        </w:rPr>
        <w:t>o</w:t>
      </w:r>
      <w:r w:rsidRPr="00C62BB6">
        <w:rPr>
          <w:rFonts w:ascii="Times New Roman" w:eastAsia="Calibri" w:hAnsi="Times New Roman" w:cs="Times New Roman"/>
          <w:color w:val="4C4747"/>
          <w:spacing w:val="20"/>
          <w:sz w:val="24"/>
          <w:szCs w:val="24"/>
          <w:lang w:val="es-DO"/>
        </w:rPr>
        <w:t xml:space="preserve"> contra los </w:t>
      </w:r>
      <w:r w:rsidR="00714ED7" w:rsidRPr="00C62BB6">
        <w:rPr>
          <w:rFonts w:ascii="Times New Roman" w:eastAsia="Calibri" w:hAnsi="Times New Roman" w:cs="Times New Roman"/>
          <w:color w:val="4C4747"/>
          <w:spacing w:val="20"/>
          <w:sz w:val="24"/>
          <w:szCs w:val="24"/>
          <w:lang w:val="es-DO"/>
        </w:rPr>
        <w:t xml:space="preserve">usuarios </w:t>
      </w:r>
      <w:r w:rsidRPr="00C62BB6">
        <w:rPr>
          <w:rFonts w:ascii="Times New Roman" w:eastAsia="Calibri" w:hAnsi="Times New Roman" w:cs="Times New Roman"/>
          <w:color w:val="4C4747"/>
          <w:spacing w:val="20"/>
          <w:sz w:val="24"/>
          <w:szCs w:val="24"/>
          <w:lang w:val="es-DO"/>
        </w:rPr>
        <w:t xml:space="preserve">que realicen una mala utilización de los servicios de telecomunicaciones, así como </w:t>
      </w:r>
      <w:r w:rsidRPr="00C62BB6">
        <w:rPr>
          <w:rFonts w:ascii="Times New Roman" w:eastAsia="Calibri" w:hAnsi="Times New Roman" w:cs="Times New Roman"/>
          <w:color w:val="4C4747"/>
          <w:spacing w:val="20"/>
          <w:sz w:val="24"/>
          <w:szCs w:val="24"/>
          <w:lang w:val="es-DO"/>
        </w:rPr>
        <w:lastRenderedPageBreak/>
        <w:t>su emp</w:t>
      </w:r>
      <w:r w:rsidR="00A4332B" w:rsidRPr="00C62BB6">
        <w:rPr>
          <w:rFonts w:ascii="Times New Roman" w:eastAsia="Calibri" w:hAnsi="Times New Roman" w:cs="Times New Roman"/>
          <w:color w:val="4C4747"/>
          <w:spacing w:val="20"/>
          <w:sz w:val="24"/>
          <w:szCs w:val="24"/>
          <w:lang w:val="es-DO"/>
        </w:rPr>
        <w:t xml:space="preserve">leo en perjuicio de terceros.  </w:t>
      </w:r>
    </w:p>
    <w:p w14:paraId="1B7B041D" w14:textId="77777777" w:rsidR="00871F2C" w:rsidRPr="00A4233F" w:rsidRDefault="00871F2C" w:rsidP="00A4332B">
      <w:pPr>
        <w:spacing w:before="240"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este contexto INDOTEL ha realizado operativos a nivel nacional con el propósito de identificar presuntos infractores del régimen legal y regulatorio de los servicios públicos de telecomunicaciones, confirmando así el incumplimiento por parte de los distintos operadores autorizados y no autorizados de dichos servicios respecto de los cuales  procedemos a destacar lo siguiente:</w:t>
      </w:r>
    </w:p>
    <w:p w14:paraId="59598A80" w14:textId="77777777" w:rsidR="00871F2C" w:rsidRPr="00943FA5" w:rsidRDefault="00871F2C" w:rsidP="00871F2C">
      <w:pPr>
        <w:spacing w:line="276" w:lineRule="auto"/>
        <w:rPr>
          <w:rFonts w:ascii="Times New Roman" w:eastAsia="Calibri" w:hAnsi="Times New Roman" w:cs="Times New Roman"/>
          <w:color w:val="767171"/>
          <w:spacing w:val="20"/>
          <w:sz w:val="24"/>
          <w:szCs w:val="24"/>
          <w:lang w:val="es-DO"/>
        </w:rPr>
      </w:pPr>
    </w:p>
    <w:tbl>
      <w:tblPr>
        <w:tblStyle w:val="Tablaconcuadrcula"/>
        <w:tblW w:w="0" w:type="auto"/>
        <w:tblLook w:val="04A0" w:firstRow="1" w:lastRow="0" w:firstColumn="1" w:lastColumn="0" w:noHBand="0" w:noVBand="1"/>
      </w:tblPr>
      <w:tblGrid>
        <w:gridCol w:w="1337"/>
        <w:gridCol w:w="5048"/>
        <w:gridCol w:w="1525"/>
      </w:tblGrid>
      <w:tr w:rsidR="00871F2C" w:rsidRPr="00376423" w14:paraId="7523F00B" w14:textId="77777777" w:rsidTr="00B855AA">
        <w:trPr>
          <w:tblHeader/>
        </w:trPr>
        <w:tc>
          <w:tcPr>
            <w:tcW w:w="7910" w:type="dxa"/>
            <w:gridSpan w:val="3"/>
            <w:shd w:val="clear" w:color="auto" w:fill="002060"/>
          </w:tcPr>
          <w:p w14:paraId="5B2332A8" w14:textId="174AD9B1" w:rsidR="00871F2C" w:rsidRPr="00C62BB6" w:rsidRDefault="00871F2C" w:rsidP="0083303F">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Casos</w:t>
            </w:r>
            <w:r w:rsidR="008D55B2" w:rsidRPr="00C62BB6">
              <w:rPr>
                <w:rFonts w:ascii="Times New Roman" w:eastAsia="Calibri" w:hAnsi="Times New Roman" w:cs="Times New Roman"/>
                <w:b/>
                <w:color w:val="FFFFFF" w:themeColor="background1"/>
                <w:spacing w:val="20"/>
                <w:sz w:val="24"/>
                <w:szCs w:val="24"/>
                <w:lang w:val="es-DO"/>
              </w:rPr>
              <w:t xml:space="preserve"> vinculados a i</w:t>
            </w:r>
            <w:r w:rsidRPr="00C62BB6">
              <w:rPr>
                <w:rFonts w:ascii="Times New Roman" w:eastAsia="Calibri" w:hAnsi="Times New Roman" w:cs="Times New Roman"/>
                <w:b/>
                <w:color w:val="FFFFFF" w:themeColor="background1"/>
                <w:spacing w:val="20"/>
                <w:sz w:val="24"/>
                <w:szCs w:val="24"/>
                <w:lang w:val="es-DO"/>
              </w:rPr>
              <w:t>nfracciones</w:t>
            </w:r>
          </w:p>
          <w:p w14:paraId="705B2EEB" w14:textId="5B8382C0" w:rsidR="00871F2C" w:rsidRPr="00C62BB6" w:rsidRDefault="008D55B2" w:rsidP="0083303F">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Enero - n</w:t>
            </w:r>
            <w:r w:rsidR="00871F2C" w:rsidRPr="00C62BB6">
              <w:rPr>
                <w:rFonts w:ascii="Times New Roman" w:eastAsia="Calibri" w:hAnsi="Times New Roman" w:cs="Times New Roman"/>
                <w:b/>
                <w:color w:val="FFFFFF" w:themeColor="background1"/>
                <w:spacing w:val="20"/>
                <w:sz w:val="24"/>
                <w:szCs w:val="24"/>
                <w:lang w:val="es-DO"/>
              </w:rPr>
              <w:t xml:space="preserve">oviembre de 2022 </w:t>
            </w:r>
          </w:p>
        </w:tc>
      </w:tr>
      <w:tr w:rsidR="00871F2C" w:rsidRPr="008E6046" w14:paraId="442475A6" w14:textId="77777777" w:rsidTr="00513ACC">
        <w:trPr>
          <w:trHeight w:val="665"/>
          <w:tblHeader/>
        </w:trPr>
        <w:tc>
          <w:tcPr>
            <w:tcW w:w="1255" w:type="dxa"/>
            <w:shd w:val="clear" w:color="auto" w:fill="002060"/>
          </w:tcPr>
          <w:p w14:paraId="7EBCCDCE" w14:textId="77777777" w:rsidR="00871F2C" w:rsidRPr="00C62BB6" w:rsidRDefault="00871F2C" w:rsidP="0083303F">
            <w:pPr>
              <w:spacing w:line="360" w:lineRule="auto"/>
              <w:jc w:val="center"/>
              <w:rPr>
                <w:rFonts w:ascii="Times New Roman" w:eastAsia="Calibri" w:hAnsi="Times New Roman" w:cs="Times New Roman"/>
                <w:b/>
                <w:color w:val="76717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Cantidad de Casos</w:t>
            </w:r>
          </w:p>
        </w:tc>
        <w:tc>
          <w:tcPr>
            <w:tcW w:w="5130" w:type="dxa"/>
            <w:shd w:val="clear" w:color="auto" w:fill="002060"/>
          </w:tcPr>
          <w:p w14:paraId="2C3042C3" w14:textId="77777777" w:rsidR="00871F2C" w:rsidRPr="00C62BB6" w:rsidRDefault="00871F2C" w:rsidP="0083303F">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Tipo de Infracción/Falta</w:t>
            </w:r>
          </w:p>
        </w:tc>
        <w:tc>
          <w:tcPr>
            <w:tcW w:w="1525" w:type="dxa"/>
            <w:shd w:val="clear" w:color="auto" w:fill="002060"/>
          </w:tcPr>
          <w:p w14:paraId="527DEE1B" w14:textId="77777777" w:rsidR="00871F2C" w:rsidRPr="00C62BB6" w:rsidRDefault="00871F2C" w:rsidP="0083303F">
            <w:pPr>
              <w:spacing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Estatus</w:t>
            </w:r>
          </w:p>
        </w:tc>
      </w:tr>
      <w:tr w:rsidR="00C62BB6" w:rsidRPr="00C62BB6" w14:paraId="79992676" w14:textId="77777777" w:rsidTr="006C7929">
        <w:tc>
          <w:tcPr>
            <w:tcW w:w="1255" w:type="dxa"/>
          </w:tcPr>
          <w:p w14:paraId="45C2341A"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p>
          <w:p w14:paraId="46559845"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p>
          <w:p w14:paraId="5CBF6C33"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p>
          <w:p w14:paraId="36A6D843"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p>
          <w:p w14:paraId="39C36638"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w:t>
            </w:r>
          </w:p>
        </w:tc>
        <w:tc>
          <w:tcPr>
            <w:tcW w:w="5130" w:type="dxa"/>
          </w:tcPr>
          <w:p w14:paraId="1835510E" w14:textId="77777777" w:rsidR="00871F2C" w:rsidRPr="00C62BB6" w:rsidRDefault="00871F2C" w:rsidP="0083303F">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Falta muy grave y grave por la prestación del servicio de radiodifusión sonora sin la correspondiente concesión y uso indebido del espectro radioeléctrico, violación de los literales d) y b) de los artículos 105 y 106 de la Ley General de Telecomunicaciones, núm. 153-98.</w:t>
            </w:r>
          </w:p>
        </w:tc>
        <w:tc>
          <w:tcPr>
            <w:tcW w:w="1525" w:type="dxa"/>
            <w:vAlign w:val="center"/>
          </w:tcPr>
          <w:p w14:paraId="09B51922" w14:textId="77777777" w:rsidR="00871F2C" w:rsidRPr="00C62BB6" w:rsidRDefault="00871F2C" w:rsidP="006C7929">
            <w:pPr>
              <w:spacing w:line="360" w:lineRule="auto"/>
              <w:rPr>
                <w:rFonts w:ascii="Times New Roman" w:eastAsia="Calibri" w:hAnsi="Times New Roman" w:cs="Times New Roman"/>
                <w:color w:val="4C4747"/>
                <w:spacing w:val="20"/>
                <w:sz w:val="24"/>
                <w:szCs w:val="24"/>
                <w:lang w:val="es-DO"/>
              </w:rPr>
            </w:pPr>
          </w:p>
          <w:p w14:paraId="0391DD4F" w14:textId="77777777" w:rsidR="00871F2C" w:rsidRPr="00C62BB6" w:rsidRDefault="00871F2C" w:rsidP="006C7929">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Concluidos</w:t>
            </w:r>
          </w:p>
          <w:p w14:paraId="0DE3DCC5" w14:textId="77777777" w:rsidR="00871F2C" w:rsidRPr="00C62BB6" w:rsidRDefault="00871F2C" w:rsidP="006C7929">
            <w:pPr>
              <w:spacing w:line="360" w:lineRule="auto"/>
              <w:jc w:val="center"/>
              <w:rPr>
                <w:rFonts w:ascii="Times New Roman" w:eastAsia="Calibri" w:hAnsi="Times New Roman" w:cs="Times New Roman"/>
                <w:color w:val="4C4747"/>
                <w:spacing w:val="20"/>
                <w:sz w:val="24"/>
                <w:szCs w:val="24"/>
                <w:lang w:val="es-DO"/>
              </w:rPr>
            </w:pPr>
          </w:p>
        </w:tc>
      </w:tr>
      <w:tr w:rsidR="00C62BB6" w:rsidRPr="00C62BB6" w14:paraId="77516E42" w14:textId="77777777" w:rsidTr="006C7929">
        <w:tc>
          <w:tcPr>
            <w:tcW w:w="1255" w:type="dxa"/>
          </w:tcPr>
          <w:p w14:paraId="03658637"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p>
          <w:p w14:paraId="68DA9D82"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p>
          <w:p w14:paraId="25D9608A"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p>
          <w:p w14:paraId="1F595F95"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14</w:t>
            </w:r>
          </w:p>
        </w:tc>
        <w:tc>
          <w:tcPr>
            <w:tcW w:w="5130" w:type="dxa"/>
          </w:tcPr>
          <w:p w14:paraId="42B49B9D" w14:textId="6855F3E3" w:rsidR="00871F2C" w:rsidRPr="00C62BB6" w:rsidRDefault="00871F2C" w:rsidP="0083303F">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Falta muy grave, por reventa del servicio de internet sin encontrarse inscritos en el Registro Especial para reventa de servicios públicos de telecomunicaciones</w:t>
            </w:r>
            <w:r w:rsidR="00B855AA" w:rsidRPr="00C62BB6">
              <w:rPr>
                <w:rFonts w:ascii="Times New Roman" w:eastAsia="Calibri" w:hAnsi="Times New Roman" w:cs="Times New Roman"/>
                <w:color w:val="4C4747"/>
                <w:spacing w:val="20"/>
                <w:sz w:val="24"/>
                <w:szCs w:val="24"/>
                <w:lang w:val="es-DO"/>
              </w:rPr>
              <w:t>.</w:t>
            </w:r>
          </w:p>
        </w:tc>
        <w:tc>
          <w:tcPr>
            <w:tcW w:w="1525" w:type="dxa"/>
            <w:vAlign w:val="center"/>
          </w:tcPr>
          <w:p w14:paraId="42FCCD01" w14:textId="77777777" w:rsidR="00871F2C" w:rsidRPr="00C62BB6" w:rsidRDefault="00871F2C" w:rsidP="006C7929">
            <w:pPr>
              <w:spacing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Concluidos</w:t>
            </w:r>
          </w:p>
        </w:tc>
      </w:tr>
      <w:tr w:rsidR="00C62BB6" w:rsidRPr="00C62BB6" w14:paraId="40A7AF84" w14:textId="77777777" w:rsidTr="006C7929">
        <w:tc>
          <w:tcPr>
            <w:tcW w:w="1255" w:type="dxa"/>
          </w:tcPr>
          <w:p w14:paraId="09FFE473"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p>
          <w:p w14:paraId="38EBB6AA"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p>
          <w:p w14:paraId="45CB7C03" w14:textId="77777777" w:rsidR="00871F2C" w:rsidRPr="00C62BB6" w:rsidRDefault="00871F2C" w:rsidP="0083303F">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w:t>
            </w:r>
          </w:p>
        </w:tc>
        <w:tc>
          <w:tcPr>
            <w:tcW w:w="5130" w:type="dxa"/>
          </w:tcPr>
          <w:p w14:paraId="2A615A47" w14:textId="447A290D" w:rsidR="00871F2C" w:rsidRPr="00C62BB6" w:rsidRDefault="00871F2C" w:rsidP="0083303F">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Falta muy grave, por el incumplimiento en el pago del Derecho de U</w:t>
            </w:r>
            <w:r w:rsidR="00714ED7" w:rsidRPr="00C62BB6">
              <w:rPr>
                <w:rFonts w:ascii="Times New Roman" w:eastAsia="Calibri" w:hAnsi="Times New Roman" w:cs="Times New Roman"/>
                <w:color w:val="4C4747"/>
                <w:spacing w:val="20"/>
                <w:sz w:val="24"/>
                <w:szCs w:val="24"/>
                <w:lang w:val="es-DO"/>
              </w:rPr>
              <w:t>so del espectro radioeléctrico</w:t>
            </w:r>
            <w:r w:rsidR="00B855AA" w:rsidRPr="00C62BB6">
              <w:rPr>
                <w:rFonts w:ascii="Times New Roman" w:eastAsia="Calibri" w:hAnsi="Times New Roman" w:cs="Times New Roman"/>
                <w:color w:val="4C4747"/>
                <w:spacing w:val="20"/>
                <w:sz w:val="24"/>
                <w:szCs w:val="24"/>
                <w:lang w:val="es-DO"/>
              </w:rPr>
              <w:t>.</w:t>
            </w:r>
            <w:r w:rsidRPr="00C62BB6">
              <w:rPr>
                <w:rFonts w:ascii="Times New Roman" w:eastAsia="Calibri" w:hAnsi="Times New Roman" w:cs="Times New Roman"/>
                <w:color w:val="4C4747"/>
                <w:spacing w:val="20"/>
                <w:sz w:val="24"/>
                <w:szCs w:val="24"/>
                <w:lang w:val="es-DO"/>
              </w:rPr>
              <w:t xml:space="preserve"> </w:t>
            </w:r>
          </w:p>
        </w:tc>
        <w:tc>
          <w:tcPr>
            <w:tcW w:w="1525" w:type="dxa"/>
            <w:vAlign w:val="center"/>
          </w:tcPr>
          <w:p w14:paraId="67158BF9" w14:textId="6A7FF831" w:rsidR="00871F2C" w:rsidRPr="00C62BB6" w:rsidRDefault="00871F2C" w:rsidP="006C7929">
            <w:pPr>
              <w:spacing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Concluidos</w:t>
            </w:r>
          </w:p>
        </w:tc>
      </w:tr>
    </w:tbl>
    <w:p w14:paraId="76ACA559" w14:textId="2F370A8C" w:rsidR="00714ED7" w:rsidRPr="00C62BB6" w:rsidRDefault="00871F2C" w:rsidP="00A4332B">
      <w:pPr>
        <w:spacing w:line="36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Gerencia de Sanciones, Direcc</w:t>
      </w:r>
      <w:r w:rsidR="00A4332B" w:rsidRPr="00C62BB6">
        <w:rPr>
          <w:rFonts w:ascii="Times New Roman" w:eastAsia="Calibri" w:hAnsi="Times New Roman" w:cs="Times New Roman"/>
          <w:color w:val="4C4747"/>
          <w:spacing w:val="20"/>
          <w:sz w:val="18"/>
          <w:szCs w:val="24"/>
          <w:lang w:val="es-DO"/>
        </w:rPr>
        <w:t>ión de Cumplimiento y Sanciones</w:t>
      </w:r>
    </w:p>
    <w:p w14:paraId="6D9C59D9" w14:textId="77777777" w:rsidR="00A4332B" w:rsidRPr="00C62BB6" w:rsidRDefault="00A4332B" w:rsidP="00A4332B">
      <w:pPr>
        <w:spacing w:line="360" w:lineRule="auto"/>
        <w:rPr>
          <w:rFonts w:ascii="Times New Roman" w:eastAsia="Calibri" w:hAnsi="Times New Roman" w:cs="Times New Roman"/>
          <w:color w:val="4C4747"/>
          <w:spacing w:val="20"/>
          <w:sz w:val="18"/>
          <w:szCs w:val="24"/>
          <w:lang w:val="es-DO"/>
        </w:rPr>
      </w:pPr>
    </w:p>
    <w:p w14:paraId="222FD47E" w14:textId="77777777" w:rsidR="00A4332B" w:rsidRPr="00C62BB6" w:rsidRDefault="00A4332B" w:rsidP="00A4332B">
      <w:pPr>
        <w:spacing w:line="360" w:lineRule="auto"/>
        <w:rPr>
          <w:rFonts w:ascii="Times New Roman" w:eastAsia="Calibri" w:hAnsi="Times New Roman" w:cs="Times New Roman"/>
          <w:color w:val="4C4747"/>
          <w:spacing w:val="20"/>
          <w:sz w:val="18"/>
          <w:szCs w:val="24"/>
          <w:lang w:val="es-DO"/>
        </w:rPr>
      </w:pPr>
    </w:p>
    <w:p w14:paraId="14D0A563" w14:textId="5D3E95EE" w:rsidR="00641CAA" w:rsidRPr="00C62BB6" w:rsidRDefault="006D62FE" w:rsidP="00641CAA">
      <w:pPr>
        <w:pStyle w:val="Ttulo4"/>
        <w:rPr>
          <w:rFonts w:ascii="Times New Roman" w:hAnsi="Times New Roman" w:cs="Times New Roman"/>
          <w:b/>
          <w:i w:val="0"/>
          <w:color w:val="4C4747"/>
          <w:sz w:val="24"/>
          <w:szCs w:val="24"/>
          <w:lang w:val="es-DO" w:eastAsia="es-DO"/>
        </w:rPr>
      </w:pPr>
      <w:r w:rsidRPr="00C62BB6">
        <w:rPr>
          <w:rFonts w:ascii="Times New Roman" w:hAnsi="Times New Roman" w:cs="Times New Roman"/>
          <w:b/>
          <w:i w:val="0"/>
          <w:color w:val="4C4747"/>
          <w:sz w:val="24"/>
          <w:szCs w:val="24"/>
          <w:lang w:val="es-DO" w:eastAsia="es-DO"/>
        </w:rPr>
        <w:lastRenderedPageBreak/>
        <w:t xml:space="preserve">4.3.2 </w:t>
      </w:r>
      <w:r w:rsidR="00641CAA" w:rsidRPr="00C62BB6">
        <w:rPr>
          <w:rFonts w:ascii="Times New Roman" w:hAnsi="Times New Roman" w:cs="Times New Roman"/>
          <w:b/>
          <w:i w:val="0"/>
          <w:color w:val="4C4747"/>
          <w:sz w:val="24"/>
          <w:szCs w:val="24"/>
          <w:lang w:val="es-DO" w:eastAsia="es-DO"/>
        </w:rPr>
        <w:t>Aspectos Jurídicos</w:t>
      </w:r>
    </w:p>
    <w:p w14:paraId="23659677" w14:textId="77777777" w:rsidR="00641CAA" w:rsidRPr="00C62BB6" w:rsidRDefault="00641CAA" w:rsidP="00641CAA">
      <w:pPr>
        <w:pStyle w:val="Sinespaciado"/>
        <w:rPr>
          <w:color w:val="4C4747"/>
          <w:lang w:val="es-DO"/>
        </w:rPr>
      </w:pPr>
    </w:p>
    <w:p w14:paraId="1A8D6E91" w14:textId="7ABEA6E6" w:rsidR="00FE3890" w:rsidRPr="00A4233F" w:rsidRDefault="00C356F0" w:rsidP="00FE3890">
      <w:pPr>
        <w:spacing w:after="0" w:line="360" w:lineRule="auto"/>
        <w:ind w:right="-717"/>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La Dirección Jurídica del INDOTEL tiene como rol principal asesorar a la máxima autoridad y demás áreas de la institución en la elaboración de estudios e interpretación de leyes, decretos, ordenanzas, contratos o cualquier otro aspecto legal, asimismo, está a cargo de la gestión de todos los procesos judiciales y administrativos de carácter legal</w:t>
      </w:r>
      <w:r w:rsidR="000B5292" w:rsidRPr="00A4233F">
        <w:rPr>
          <w:rFonts w:ascii="Times New Roman" w:eastAsia="Calibri" w:hAnsi="Times New Roman" w:cs="Times New Roman"/>
          <w:color w:val="4C4747"/>
          <w:spacing w:val="20"/>
          <w:sz w:val="24"/>
          <w:szCs w:val="24"/>
          <w:lang w:val="es-DO"/>
        </w:rPr>
        <w:t xml:space="preserve"> </w:t>
      </w:r>
      <w:r w:rsidR="00A4332B" w:rsidRPr="00A4233F">
        <w:rPr>
          <w:rFonts w:ascii="Times New Roman" w:eastAsia="Calibri" w:hAnsi="Times New Roman" w:cs="Times New Roman"/>
          <w:color w:val="4C4747"/>
          <w:spacing w:val="20"/>
          <w:sz w:val="24"/>
          <w:szCs w:val="24"/>
          <w:lang w:val="es-DO"/>
        </w:rPr>
        <w:t>que envuelven a la institución.</w:t>
      </w:r>
    </w:p>
    <w:p w14:paraId="177BAAAC" w14:textId="6A718396" w:rsidR="00C356F0" w:rsidRPr="00A4233F" w:rsidRDefault="000B5292" w:rsidP="00A4332B">
      <w:pPr>
        <w:spacing w:before="240" w:after="0" w:line="360" w:lineRule="auto"/>
        <w:ind w:right="-717"/>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Tiene</w:t>
      </w:r>
      <w:r w:rsidR="00C356F0" w:rsidRPr="00A4233F">
        <w:rPr>
          <w:rFonts w:ascii="Times New Roman" w:eastAsia="Calibri" w:hAnsi="Times New Roman" w:cs="Times New Roman"/>
          <w:color w:val="4C4747"/>
          <w:spacing w:val="20"/>
          <w:sz w:val="24"/>
          <w:szCs w:val="24"/>
          <w:lang w:val="es-DO"/>
        </w:rPr>
        <w:t xml:space="preserve"> un papel activo en la instrumentación de normas, reglamentos y</w:t>
      </w:r>
      <w:r w:rsidR="00FE3890" w:rsidRPr="00A4233F">
        <w:rPr>
          <w:rFonts w:ascii="Times New Roman" w:eastAsia="Calibri" w:hAnsi="Times New Roman" w:cs="Times New Roman"/>
          <w:color w:val="4C4747"/>
          <w:spacing w:val="20"/>
          <w:sz w:val="24"/>
          <w:szCs w:val="24"/>
          <w:lang w:val="es-DO"/>
        </w:rPr>
        <w:t xml:space="preserve"> </w:t>
      </w:r>
      <w:r w:rsidR="00C356F0" w:rsidRPr="00A4233F">
        <w:rPr>
          <w:rFonts w:ascii="Times New Roman" w:eastAsia="Calibri" w:hAnsi="Times New Roman" w:cs="Times New Roman"/>
          <w:color w:val="4C4747"/>
          <w:spacing w:val="20"/>
          <w:sz w:val="24"/>
          <w:szCs w:val="24"/>
          <w:lang w:val="es-DO"/>
        </w:rPr>
        <w:t>resoluciones, tanto de alcance general como de alcance particular, dictadas por sus distintas instancias, participa en la revisión de los mecanismos de selección para las contrataciones en las que participa el INDOTEL, así como en la gestión de sus casos y elaboración de proyectos.</w:t>
      </w:r>
    </w:p>
    <w:p w14:paraId="4B04EA2C" w14:textId="6E20D745" w:rsidR="00C356F0" w:rsidRPr="00A4233F" w:rsidRDefault="00C356F0" w:rsidP="00943FA5">
      <w:pPr>
        <w:spacing w:before="240" w:after="0" w:line="360" w:lineRule="auto"/>
        <w:ind w:right="-717"/>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este período fueron recibidos y atendidos los casos reflejad</w:t>
      </w:r>
      <w:r w:rsidR="008D55B2" w:rsidRPr="00A4233F">
        <w:rPr>
          <w:rFonts w:ascii="Times New Roman" w:eastAsia="Calibri" w:hAnsi="Times New Roman" w:cs="Times New Roman"/>
          <w:color w:val="4C4747"/>
          <w:spacing w:val="20"/>
          <w:sz w:val="24"/>
          <w:szCs w:val="24"/>
          <w:lang w:val="es-DO"/>
        </w:rPr>
        <w:t>os en el cuadro a continuación:</w:t>
      </w:r>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6445"/>
        <w:gridCol w:w="1560"/>
      </w:tblGrid>
      <w:tr w:rsidR="00C356F0" w:rsidRPr="00376423" w14:paraId="3E17BEB7" w14:textId="77777777" w:rsidTr="00943FA5">
        <w:trPr>
          <w:jc w:val="center"/>
        </w:trPr>
        <w:tc>
          <w:tcPr>
            <w:tcW w:w="8005"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16987673"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 xml:space="preserve">Solicitudes atendidas </w:t>
            </w:r>
          </w:p>
          <w:p w14:paraId="7204D2CC" w14:textId="6A954884" w:rsidR="00C356F0" w:rsidRPr="00C62BB6" w:rsidRDefault="008D55B2" w:rsidP="00C356F0">
            <w:pPr>
              <w:spacing w:after="0" w:line="360" w:lineRule="auto"/>
              <w:jc w:val="center"/>
              <w:rPr>
                <w:rFonts w:ascii="Times New Roman" w:eastAsia="Calibri" w:hAnsi="Times New Roman" w:cs="Times New Roman"/>
                <w:b/>
                <w:color w:val="76717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Enero - n</w:t>
            </w:r>
            <w:r w:rsidR="00C356F0" w:rsidRPr="00C62BB6">
              <w:rPr>
                <w:rFonts w:ascii="Times New Roman" w:eastAsia="Calibri" w:hAnsi="Times New Roman" w:cs="Times New Roman"/>
                <w:b/>
                <w:color w:val="FFFFFF" w:themeColor="background1"/>
                <w:spacing w:val="20"/>
                <w:sz w:val="24"/>
                <w:szCs w:val="24"/>
                <w:lang w:val="es-DO"/>
              </w:rPr>
              <w:t>oviembre de 2022</w:t>
            </w:r>
          </w:p>
        </w:tc>
      </w:tr>
      <w:tr w:rsidR="00C356F0" w:rsidRPr="008E6046" w14:paraId="63470D55" w14:textId="77777777" w:rsidTr="00943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436"/>
          <w:jc w:val="center"/>
        </w:trPr>
        <w:tc>
          <w:tcPr>
            <w:tcW w:w="6445" w:type="dxa"/>
            <w:tcBorders>
              <w:top w:val="nil"/>
              <w:left w:val="nil"/>
              <w:bottom w:val="single" w:sz="4" w:space="0" w:color="auto"/>
              <w:right w:val="single" w:sz="4" w:space="0" w:color="FFFFFF"/>
            </w:tcBorders>
            <w:shd w:val="clear" w:color="auto" w:fill="002060"/>
            <w:noWrap/>
            <w:vAlign w:val="center"/>
            <w:hideMark/>
          </w:tcPr>
          <w:p w14:paraId="7D4234DF"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Tipos de Solicitudes</w:t>
            </w:r>
          </w:p>
        </w:tc>
        <w:tc>
          <w:tcPr>
            <w:tcW w:w="1560" w:type="dxa"/>
            <w:tcBorders>
              <w:top w:val="nil"/>
              <w:left w:val="single" w:sz="4" w:space="0" w:color="FFFFFF"/>
              <w:bottom w:val="single" w:sz="4" w:space="0" w:color="auto"/>
              <w:right w:val="single" w:sz="4" w:space="0" w:color="FFFFFF"/>
            </w:tcBorders>
            <w:shd w:val="clear" w:color="auto" w:fill="002060"/>
            <w:noWrap/>
            <w:vAlign w:val="center"/>
            <w:hideMark/>
          </w:tcPr>
          <w:p w14:paraId="6FF34911"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Concluidas</w:t>
            </w:r>
          </w:p>
        </w:tc>
      </w:tr>
      <w:tr w:rsidR="00C356F0" w:rsidRPr="005A11A8" w14:paraId="6744D96F" w14:textId="77777777" w:rsidTr="00943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316"/>
          <w:jc w:val="center"/>
        </w:trPr>
        <w:tc>
          <w:tcPr>
            <w:tcW w:w="644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D74EF8"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Amparada en la Ley de Libre Acceso Núm. 200-04</w:t>
            </w:r>
          </w:p>
        </w:tc>
        <w:tc>
          <w:tcPr>
            <w:tcW w:w="15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FD58CF"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35</w:t>
            </w:r>
          </w:p>
        </w:tc>
      </w:tr>
      <w:tr w:rsidR="00C356F0" w:rsidRPr="005A11A8" w14:paraId="414D4549" w14:textId="77777777" w:rsidTr="00943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316"/>
          <w:jc w:val="center"/>
        </w:trPr>
        <w:tc>
          <w:tcPr>
            <w:tcW w:w="644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56682A"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Certificaciones</w:t>
            </w:r>
          </w:p>
        </w:tc>
        <w:tc>
          <w:tcPr>
            <w:tcW w:w="15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E7023A"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57</w:t>
            </w:r>
          </w:p>
        </w:tc>
      </w:tr>
      <w:tr w:rsidR="00C356F0" w:rsidRPr="005A11A8" w14:paraId="430E2D2A" w14:textId="77777777" w:rsidTr="00943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316"/>
          <w:jc w:val="center"/>
        </w:trPr>
        <w:tc>
          <w:tcPr>
            <w:tcW w:w="644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67CFAB"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Demandas Laborales</w:t>
            </w:r>
          </w:p>
        </w:tc>
        <w:tc>
          <w:tcPr>
            <w:tcW w:w="15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96BE45"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w:t>
            </w:r>
          </w:p>
        </w:tc>
      </w:tr>
      <w:tr w:rsidR="00C356F0" w:rsidRPr="005A11A8" w14:paraId="34D0D3C6" w14:textId="77777777" w:rsidTr="00943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316"/>
          <w:jc w:val="center"/>
        </w:trPr>
        <w:tc>
          <w:tcPr>
            <w:tcW w:w="644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E784C5"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Solicitud de Información</w:t>
            </w:r>
          </w:p>
        </w:tc>
        <w:tc>
          <w:tcPr>
            <w:tcW w:w="15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DD2B3E"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32</w:t>
            </w:r>
          </w:p>
        </w:tc>
      </w:tr>
      <w:tr w:rsidR="00E279ED" w:rsidRPr="00E279ED" w14:paraId="075E249C" w14:textId="77777777" w:rsidTr="00943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316"/>
          <w:jc w:val="center"/>
        </w:trPr>
        <w:tc>
          <w:tcPr>
            <w:tcW w:w="644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591C49"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Solicitud Intervención del Órgano Regulador </w:t>
            </w:r>
          </w:p>
        </w:tc>
        <w:tc>
          <w:tcPr>
            <w:tcW w:w="15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9EEFB0"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w:t>
            </w:r>
          </w:p>
        </w:tc>
      </w:tr>
      <w:tr w:rsidR="00E279ED" w:rsidRPr="00E279ED" w14:paraId="69CF93F7" w14:textId="77777777" w:rsidTr="00943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316"/>
          <w:jc w:val="center"/>
        </w:trPr>
        <w:tc>
          <w:tcPr>
            <w:tcW w:w="644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AF16D7" w14:textId="77777777" w:rsidR="00C356F0" w:rsidRPr="00C62BB6"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Total solicitudes</w:t>
            </w:r>
          </w:p>
        </w:tc>
        <w:tc>
          <w:tcPr>
            <w:tcW w:w="15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0C0959"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140</w:t>
            </w:r>
          </w:p>
        </w:tc>
      </w:tr>
    </w:tbl>
    <w:p w14:paraId="5B6C55A7" w14:textId="77777777" w:rsidR="00C356F0" w:rsidRPr="00C62BB6" w:rsidRDefault="00C356F0" w:rsidP="00C356F0">
      <w:pPr>
        <w:spacing w:after="0" w:line="360" w:lineRule="auto"/>
        <w:ind w:right="-1"/>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Matriz Seguimiento de Casos Dirección Jurídica</w:t>
      </w:r>
    </w:p>
    <w:p w14:paraId="661EC939" w14:textId="77777777" w:rsidR="00C356F0" w:rsidRPr="00C62BB6" w:rsidRDefault="00C356F0" w:rsidP="00C356F0">
      <w:pPr>
        <w:spacing w:after="0" w:line="360" w:lineRule="auto"/>
        <w:ind w:right="-1"/>
        <w:rPr>
          <w:rFonts w:ascii="Times New Roman" w:eastAsia="Calibri" w:hAnsi="Times New Roman" w:cs="Times New Roman"/>
          <w:color w:val="4C4747"/>
          <w:spacing w:val="20"/>
          <w:sz w:val="24"/>
          <w:szCs w:val="24"/>
          <w:lang w:val="es-DO"/>
        </w:rPr>
      </w:pPr>
    </w:p>
    <w:p w14:paraId="012A10B0" w14:textId="01B8DB11" w:rsidR="00C356F0" w:rsidRPr="00C62BB6"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En adición a estas acciones, </w:t>
      </w:r>
      <w:r w:rsidR="000B5292" w:rsidRPr="00C62BB6">
        <w:rPr>
          <w:rFonts w:ascii="Times New Roman" w:eastAsia="Calibri" w:hAnsi="Times New Roman" w:cs="Times New Roman"/>
          <w:color w:val="4C4747"/>
          <w:spacing w:val="20"/>
          <w:sz w:val="24"/>
          <w:szCs w:val="24"/>
          <w:lang w:val="es-DO"/>
        </w:rPr>
        <w:t xml:space="preserve">en INDOTEL </w:t>
      </w:r>
      <w:r w:rsidRPr="00C62BB6">
        <w:rPr>
          <w:rFonts w:ascii="Times New Roman" w:eastAsia="Calibri" w:hAnsi="Times New Roman" w:cs="Times New Roman"/>
          <w:color w:val="4C4747"/>
          <w:spacing w:val="20"/>
          <w:sz w:val="24"/>
          <w:szCs w:val="24"/>
          <w:lang w:val="es-DO"/>
        </w:rPr>
        <w:t>con miras a dar seguimiento y respuesta a los casos y requerimientos asignados durante el periodo enero a noviembre 2022, fueron elaborados los s</w:t>
      </w:r>
      <w:r w:rsidR="008D55B2" w:rsidRPr="00C62BB6">
        <w:rPr>
          <w:rFonts w:ascii="Times New Roman" w:eastAsia="Calibri" w:hAnsi="Times New Roman" w:cs="Times New Roman"/>
          <w:color w:val="4C4747"/>
          <w:spacing w:val="20"/>
          <w:sz w:val="24"/>
          <w:szCs w:val="24"/>
          <w:lang w:val="es-DO"/>
        </w:rPr>
        <w:t>iguientes documentos:</w:t>
      </w: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4068"/>
        <w:gridCol w:w="3757"/>
      </w:tblGrid>
      <w:tr w:rsidR="00C356F0" w:rsidRPr="00376423" w14:paraId="2771892F" w14:textId="77777777" w:rsidTr="00943FA5">
        <w:trPr>
          <w:tblHeader/>
        </w:trPr>
        <w:tc>
          <w:tcPr>
            <w:tcW w:w="7825"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45CED806"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lastRenderedPageBreak/>
              <w:t>Documentos elaborados</w:t>
            </w:r>
          </w:p>
          <w:p w14:paraId="2B423ED7"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Enero – Noviembre de 2022</w:t>
            </w:r>
          </w:p>
        </w:tc>
      </w:tr>
      <w:tr w:rsidR="00C356F0" w:rsidRPr="008E6046" w14:paraId="6321A073" w14:textId="77777777" w:rsidTr="00943FA5">
        <w:trPr>
          <w:trHeight w:val="418"/>
          <w:tblHeader/>
        </w:trPr>
        <w:tc>
          <w:tcPr>
            <w:tcW w:w="4068" w:type="dxa"/>
            <w:tcBorders>
              <w:top w:val="single" w:sz="4" w:space="0" w:color="auto"/>
              <w:left w:val="single" w:sz="4" w:space="0" w:color="auto"/>
              <w:bottom w:val="single" w:sz="4" w:space="0" w:color="auto"/>
              <w:right w:val="single" w:sz="4" w:space="0" w:color="auto"/>
            </w:tcBorders>
            <w:shd w:val="clear" w:color="auto" w:fill="002060"/>
          </w:tcPr>
          <w:p w14:paraId="49A8AA10" w14:textId="77777777" w:rsidR="00C356F0" w:rsidRPr="00C62BB6" w:rsidRDefault="00C356F0" w:rsidP="00C356F0">
            <w:pPr>
              <w:spacing w:after="0" w:line="240" w:lineRule="auto"/>
              <w:jc w:val="center"/>
              <w:rPr>
                <w:rFonts w:ascii="Times New Roman" w:eastAsia="Calibri" w:hAnsi="Times New Roman" w:cs="Times New Roman"/>
                <w:b/>
                <w:color w:val="767171"/>
                <w:spacing w:val="20"/>
                <w:sz w:val="24"/>
                <w:szCs w:val="24"/>
                <w:lang w:val="es-DO"/>
              </w:rPr>
            </w:pPr>
          </w:p>
          <w:p w14:paraId="6691076B" w14:textId="77777777" w:rsidR="00C356F0" w:rsidRPr="00C62BB6" w:rsidRDefault="00C356F0" w:rsidP="00C356F0">
            <w:pPr>
              <w:spacing w:after="0" w:line="24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Tipo de Documento</w:t>
            </w:r>
          </w:p>
          <w:p w14:paraId="64D68B61" w14:textId="77777777" w:rsidR="00C356F0" w:rsidRPr="00C62BB6" w:rsidRDefault="00C356F0" w:rsidP="00C356F0">
            <w:pPr>
              <w:spacing w:after="0" w:line="240" w:lineRule="auto"/>
              <w:jc w:val="center"/>
              <w:rPr>
                <w:rFonts w:ascii="Times New Roman" w:eastAsia="Calibri" w:hAnsi="Times New Roman" w:cs="Times New Roman"/>
                <w:b/>
                <w:color w:val="767171"/>
                <w:spacing w:val="20"/>
                <w:sz w:val="24"/>
                <w:szCs w:val="24"/>
                <w:lang w:val="es-DO"/>
              </w:rPr>
            </w:pPr>
          </w:p>
        </w:tc>
        <w:tc>
          <w:tcPr>
            <w:tcW w:w="3757" w:type="dxa"/>
            <w:tcBorders>
              <w:top w:val="single" w:sz="4" w:space="0" w:color="auto"/>
              <w:left w:val="single" w:sz="4" w:space="0" w:color="auto"/>
              <w:bottom w:val="single" w:sz="4" w:space="0" w:color="auto"/>
              <w:right w:val="single" w:sz="4" w:space="0" w:color="auto"/>
            </w:tcBorders>
            <w:shd w:val="clear" w:color="auto" w:fill="002060"/>
          </w:tcPr>
          <w:p w14:paraId="15ADFD94" w14:textId="77777777" w:rsidR="00C356F0" w:rsidRPr="00C62BB6" w:rsidRDefault="00C356F0" w:rsidP="00C356F0">
            <w:pPr>
              <w:spacing w:after="0" w:line="240" w:lineRule="auto"/>
              <w:jc w:val="center"/>
              <w:rPr>
                <w:rFonts w:ascii="Times New Roman" w:eastAsia="Calibri" w:hAnsi="Times New Roman" w:cs="Times New Roman"/>
                <w:b/>
                <w:color w:val="FFFFFF" w:themeColor="background1"/>
                <w:spacing w:val="20"/>
                <w:sz w:val="24"/>
                <w:szCs w:val="24"/>
                <w:lang w:val="es-DO"/>
              </w:rPr>
            </w:pPr>
          </w:p>
          <w:p w14:paraId="4EE5DB79" w14:textId="77777777" w:rsidR="00C356F0" w:rsidRPr="00C62BB6" w:rsidRDefault="00C356F0" w:rsidP="00C356F0">
            <w:pPr>
              <w:spacing w:after="0" w:line="24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Cantidad</w:t>
            </w:r>
          </w:p>
        </w:tc>
      </w:tr>
      <w:tr w:rsidR="00C356F0" w:rsidRPr="00C62BB6" w14:paraId="68A1D4F5" w14:textId="77777777" w:rsidTr="00943FA5">
        <w:trPr>
          <w:trHeight w:val="359"/>
          <w:tblHead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1C154069"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Instancias</w:t>
            </w:r>
          </w:p>
          <w:p w14:paraId="7654AD72"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p>
        </w:tc>
        <w:tc>
          <w:tcPr>
            <w:tcW w:w="3757" w:type="dxa"/>
            <w:tcBorders>
              <w:top w:val="single" w:sz="4" w:space="0" w:color="auto"/>
              <w:left w:val="single" w:sz="4" w:space="0" w:color="auto"/>
              <w:bottom w:val="single" w:sz="4" w:space="0" w:color="auto"/>
              <w:right w:val="single" w:sz="4" w:space="0" w:color="auto"/>
            </w:tcBorders>
            <w:shd w:val="clear" w:color="auto" w:fill="auto"/>
            <w:hideMark/>
          </w:tcPr>
          <w:p w14:paraId="298EDC30"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116</w:t>
            </w:r>
          </w:p>
        </w:tc>
      </w:tr>
      <w:tr w:rsidR="00C356F0" w:rsidRPr="00C62BB6" w14:paraId="0FAB71AA" w14:textId="77777777" w:rsidTr="00943FA5">
        <w:trPr>
          <w:trHeight w:val="412"/>
          <w:tblHead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2373ABB3"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Informes Legales </w:t>
            </w:r>
          </w:p>
          <w:p w14:paraId="278EACB3"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p>
        </w:tc>
        <w:tc>
          <w:tcPr>
            <w:tcW w:w="3757" w:type="dxa"/>
            <w:tcBorders>
              <w:top w:val="single" w:sz="4" w:space="0" w:color="auto"/>
              <w:left w:val="single" w:sz="4" w:space="0" w:color="auto"/>
              <w:bottom w:val="single" w:sz="4" w:space="0" w:color="auto"/>
              <w:right w:val="single" w:sz="4" w:space="0" w:color="auto"/>
            </w:tcBorders>
            <w:shd w:val="clear" w:color="auto" w:fill="auto"/>
            <w:hideMark/>
          </w:tcPr>
          <w:p w14:paraId="27840B1F"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33</w:t>
            </w:r>
          </w:p>
        </w:tc>
      </w:tr>
      <w:tr w:rsidR="00C356F0" w:rsidRPr="00C62BB6" w14:paraId="5F0710AB" w14:textId="77777777" w:rsidTr="00943FA5">
        <w:trPr>
          <w:trHeight w:val="141"/>
          <w:tblHead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3F345296"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Escritos de Defensa</w:t>
            </w:r>
          </w:p>
          <w:p w14:paraId="55511770"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p>
        </w:tc>
        <w:tc>
          <w:tcPr>
            <w:tcW w:w="3757" w:type="dxa"/>
            <w:tcBorders>
              <w:top w:val="single" w:sz="4" w:space="0" w:color="auto"/>
              <w:left w:val="single" w:sz="4" w:space="0" w:color="auto"/>
              <w:bottom w:val="single" w:sz="4" w:space="0" w:color="auto"/>
              <w:right w:val="single" w:sz="4" w:space="0" w:color="auto"/>
            </w:tcBorders>
            <w:shd w:val="clear" w:color="auto" w:fill="auto"/>
            <w:hideMark/>
          </w:tcPr>
          <w:p w14:paraId="22FD0073"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60</w:t>
            </w:r>
          </w:p>
        </w:tc>
      </w:tr>
      <w:tr w:rsidR="00C356F0" w:rsidRPr="00C62BB6" w14:paraId="2C18007D" w14:textId="77777777" w:rsidTr="00943FA5">
        <w:trPr>
          <w:trHeight w:val="350"/>
          <w:tblHead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2D17689B"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Comunicaciones</w:t>
            </w:r>
          </w:p>
          <w:p w14:paraId="7614DF24"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p>
        </w:tc>
        <w:tc>
          <w:tcPr>
            <w:tcW w:w="3757" w:type="dxa"/>
            <w:tcBorders>
              <w:top w:val="single" w:sz="4" w:space="0" w:color="auto"/>
              <w:left w:val="single" w:sz="4" w:space="0" w:color="auto"/>
              <w:bottom w:val="single" w:sz="4" w:space="0" w:color="auto"/>
              <w:right w:val="single" w:sz="4" w:space="0" w:color="auto"/>
            </w:tcBorders>
            <w:shd w:val="clear" w:color="auto" w:fill="auto"/>
            <w:hideMark/>
          </w:tcPr>
          <w:p w14:paraId="19C16A4E"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3,068</w:t>
            </w:r>
          </w:p>
        </w:tc>
      </w:tr>
      <w:tr w:rsidR="00E279ED" w:rsidRPr="00C62BB6" w14:paraId="16F91CE0" w14:textId="77777777" w:rsidTr="00943FA5">
        <w:trPr>
          <w:trHeight w:val="332"/>
          <w:tblHead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2FD78032"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Memorandos</w:t>
            </w:r>
          </w:p>
          <w:p w14:paraId="795DCE42"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p>
        </w:tc>
        <w:tc>
          <w:tcPr>
            <w:tcW w:w="3757" w:type="dxa"/>
            <w:tcBorders>
              <w:top w:val="single" w:sz="4" w:space="0" w:color="auto"/>
              <w:left w:val="single" w:sz="4" w:space="0" w:color="auto"/>
              <w:bottom w:val="single" w:sz="4" w:space="0" w:color="auto"/>
              <w:right w:val="single" w:sz="4" w:space="0" w:color="auto"/>
            </w:tcBorders>
            <w:shd w:val="clear" w:color="auto" w:fill="auto"/>
            <w:hideMark/>
          </w:tcPr>
          <w:p w14:paraId="1EBEC0DA" w14:textId="77777777" w:rsidR="00C356F0" w:rsidRPr="00A4233F" w:rsidRDefault="00C356F0" w:rsidP="00C356F0">
            <w:pPr>
              <w:spacing w:after="0" w:line="24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551</w:t>
            </w:r>
          </w:p>
        </w:tc>
      </w:tr>
    </w:tbl>
    <w:p w14:paraId="6DD58142" w14:textId="3EFEC59B" w:rsidR="00C356F0" w:rsidRPr="00C62BB6" w:rsidRDefault="00C356F0" w:rsidP="00C356F0">
      <w:pPr>
        <w:spacing w:after="0" w:line="36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Sistema de Gestión Interna y Matriz de</w:t>
      </w:r>
      <w:r w:rsidR="000B5292" w:rsidRPr="00C62BB6">
        <w:rPr>
          <w:rFonts w:ascii="Times New Roman" w:eastAsia="Calibri" w:hAnsi="Times New Roman" w:cs="Times New Roman"/>
          <w:color w:val="4C4747"/>
          <w:spacing w:val="20"/>
          <w:sz w:val="18"/>
          <w:szCs w:val="24"/>
          <w:lang w:val="es-DO"/>
        </w:rPr>
        <w:t xml:space="preserve"> Seguimiento Casos Dirección </w:t>
      </w:r>
      <w:r w:rsidRPr="00C62BB6">
        <w:rPr>
          <w:rFonts w:ascii="Times New Roman" w:eastAsia="Calibri" w:hAnsi="Times New Roman" w:cs="Times New Roman"/>
          <w:color w:val="4C4747"/>
          <w:spacing w:val="20"/>
          <w:sz w:val="18"/>
          <w:szCs w:val="24"/>
          <w:lang w:val="es-DO"/>
        </w:rPr>
        <w:t>Jurídica</w:t>
      </w:r>
    </w:p>
    <w:p w14:paraId="32CCB08C" w14:textId="77777777" w:rsidR="00C356F0" w:rsidRPr="005A11A8" w:rsidRDefault="00C356F0" w:rsidP="00C356F0">
      <w:pPr>
        <w:spacing w:after="0" w:line="360" w:lineRule="auto"/>
        <w:rPr>
          <w:rFonts w:ascii="Times New Roman" w:eastAsia="Calibri" w:hAnsi="Times New Roman" w:cs="Times New Roman"/>
          <w:color w:val="4C4747"/>
          <w:spacing w:val="20"/>
          <w:sz w:val="24"/>
          <w:szCs w:val="24"/>
          <w:lang w:val="es-DO"/>
        </w:rPr>
      </w:pPr>
    </w:p>
    <w:p w14:paraId="719DB02A" w14:textId="3A5DE3F3" w:rsidR="00C356F0" w:rsidRPr="00A4233F"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e</w:t>
      </w:r>
      <w:r w:rsidR="000B5292" w:rsidRPr="00A4233F">
        <w:rPr>
          <w:rFonts w:ascii="Times New Roman" w:eastAsia="Calibri" w:hAnsi="Times New Roman" w:cs="Times New Roman"/>
          <w:color w:val="4C4747"/>
          <w:spacing w:val="20"/>
          <w:sz w:val="24"/>
          <w:szCs w:val="24"/>
          <w:lang w:val="es-DO"/>
        </w:rPr>
        <w:t>se sentido, durante el periodo enero-n</w:t>
      </w:r>
      <w:r w:rsidRPr="00A4233F">
        <w:rPr>
          <w:rFonts w:ascii="Times New Roman" w:eastAsia="Calibri" w:hAnsi="Times New Roman" w:cs="Times New Roman"/>
          <w:color w:val="4C4747"/>
          <w:spacing w:val="20"/>
          <w:sz w:val="24"/>
          <w:szCs w:val="24"/>
          <w:lang w:val="es-DO"/>
        </w:rPr>
        <w:t xml:space="preserve">oviembre de 2022, en lo referente a la elaboración de contratos correspondientes a las diferentes actividades administrativas que realiza el INDOTEL, se encuentran 354 en total. </w:t>
      </w:r>
    </w:p>
    <w:p w14:paraId="497C3C22" w14:textId="77777777" w:rsidR="00C356F0" w:rsidRPr="00C62BB6" w:rsidRDefault="00C356F0" w:rsidP="00C356F0">
      <w:pPr>
        <w:spacing w:after="0" w:line="360" w:lineRule="auto"/>
        <w:jc w:val="both"/>
        <w:rPr>
          <w:rFonts w:ascii="Times New Roman" w:eastAsia="Calibri" w:hAnsi="Times New Roman" w:cs="Times New Roman"/>
          <w:color w:val="4C4747"/>
          <w:spacing w:val="20"/>
          <w:sz w:val="24"/>
          <w:szCs w:val="24"/>
          <w:lang w:val="es-D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423"/>
        <w:gridCol w:w="2318"/>
        <w:gridCol w:w="4169"/>
      </w:tblGrid>
      <w:tr w:rsidR="00C356F0" w:rsidRPr="00376423" w14:paraId="7BFF66BA" w14:textId="77777777" w:rsidTr="00C32B33">
        <w:trPr>
          <w:tblHeader/>
          <w:jc w:val="center"/>
        </w:trPr>
        <w:tc>
          <w:tcPr>
            <w:tcW w:w="7910"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3E1BCE60"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lastRenderedPageBreak/>
              <w:t xml:space="preserve">Contratos Elaborados </w:t>
            </w:r>
          </w:p>
          <w:p w14:paraId="4BC9138A" w14:textId="77777777" w:rsidR="00C356F0" w:rsidRPr="00C62BB6" w:rsidRDefault="00C356F0" w:rsidP="00C356F0">
            <w:pPr>
              <w:spacing w:after="0" w:line="360" w:lineRule="auto"/>
              <w:jc w:val="center"/>
              <w:rPr>
                <w:rFonts w:ascii="Times New Roman" w:eastAsia="Calibri" w:hAnsi="Times New Roman" w:cs="Times New Roman"/>
                <w:b/>
                <w:color w:val="76717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Enero – Noviembre de 2022</w:t>
            </w:r>
          </w:p>
        </w:tc>
      </w:tr>
      <w:tr w:rsidR="00C356F0" w:rsidRPr="008E6046" w14:paraId="48A1CDD1" w14:textId="77777777" w:rsidTr="00C32B33">
        <w:tblPrEx>
          <w:shd w:val="clear" w:color="auto" w:fill="auto"/>
        </w:tblPrEx>
        <w:trPr>
          <w:tblHeader/>
          <w:jc w:val="center"/>
        </w:trPr>
        <w:tc>
          <w:tcPr>
            <w:tcW w:w="134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D60369"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Cantidad de Contratos</w:t>
            </w:r>
          </w:p>
        </w:tc>
        <w:tc>
          <w:tcPr>
            <w:tcW w:w="234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94D782A"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Naturaleza del  Contrato</w:t>
            </w:r>
          </w:p>
        </w:tc>
        <w:tc>
          <w:tcPr>
            <w:tcW w:w="422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C078C64"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Base Legal</w:t>
            </w:r>
          </w:p>
        </w:tc>
      </w:tr>
      <w:tr w:rsidR="00C62BB6" w:rsidRPr="00376423" w14:paraId="6BBC96F7" w14:textId="77777777" w:rsidTr="00C32B33">
        <w:tblPrEx>
          <w:shd w:val="clear" w:color="auto" w:fill="auto"/>
        </w:tblPrEx>
        <w:trPr>
          <w:tblHeader/>
          <w:jc w:val="center"/>
        </w:trPr>
        <w:tc>
          <w:tcPr>
            <w:tcW w:w="1345" w:type="dxa"/>
            <w:tcBorders>
              <w:top w:val="single" w:sz="4" w:space="0" w:color="auto"/>
              <w:left w:val="single" w:sz="4" w:space="0" w:color="auto"/>
              <w:bottom w:val="single" w:sz="4" w:space="0" w:color="auto"/>
              <w:right w:val="single" w:sz="4" w:space="0" w:color="auto"/>
            </w:tcBorders>
            <w:hideMark/>
          </w:tcPr>
          <w:p w14:paraId="02619D93"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63</w:t>
            </w:r>
          </w:p>
        </w:tc>
        <w:tc>
          <w:tcPr>
            <w:tcW w:w="2340" w:type="dxa"/>
            <w:tcBorders>
              <w:top w:val="single" w:sz="4" w:space="0" w:color="auto"/>
              <w:left w:val="single" w:sz="4" w:space="0" w:color="auto"/>
              <w:bottom w:val="single" w:sz="4" w:space="0" w:color="auto"/>
              <w:right w:val="single" w:sz="4" w:space="0" w:color="auto"/>
            </w:tcBorders>
            <w:hideMark/>
          </w:tcPr>
          <w:p w14:paraId="75E6D14A"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Obras, Bienes y Servicios</w:t>
            </w:r>
          </w:p>
        </w:tc>
        <w:tc>
          <w:tcPr>
            <w:tcW w:w="4225" w:type="dxa"/>
            <w:tcBorders>
              <w:top w:val="single" w:sz="4" w:space="0" w:color="auto"/>
              <w:left w:val="single" w:sz="4" w:space="0" w:color="auto"/>
              <w:bottom w:val="single" w:sz="4" w:space="0" w:color="auto"/>
              <w:right w:val="single" w:sz="4" w:space="0" w:color="auto"/>
            </w:tcBorders>
            <w:hideMark/>
          </w:tcPr>
          <w:p w14:paraId="32F7E944" w14:textId="77777777" w:rsidR="00C356F0" w:rsidRPr="00C62BB6"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Ley Núm. 340-06 sobre sobre Compras y Contrataciones de Bienes, Servicios, Obras y Concesiones y su Reglamento de aplicación Decreto Núm. 543-12</w:t>
            </w:r>
          </w:p>
        </w:tc>
      </w:tr>
      <w:tr w:rsidR="00C62BB6" w:rsidRPr="00376423" w14:paraId="1D596EEE" w14:textId="77777777" w:rsidTr="00C32B33">
        <w:tblPrEx>
          <w:shd w:val="clear" w:color="auto" w:fill="auto"/>
        </w:tblPrEx>
        <w:trPr>
          <w:tblHeader/>
          <w:jc w:val="center"/>
        </w:trPr>
        <w:tc>
          <w:tcPr>
            <w:tcW w:w="1345" w:type="dxa"/>
            <w:tcBorders>
              <w:top w:val="single" w:sz="4" w:space="0" w:color="auto"/>
              <w:left w:val="single" w:sz="4" w:space="0" w:color="auto"/>
              <w:bottom w:val="single" w:sz="4" w:space="0" w:color="auto"/>
              <w:right w:val="single" w:sz="4" w:space="0" w:color="auto"/>
            </w:tcBorders>
            <w:hideMark/>
          </w:tcPr>
          <w:p w14:paraId="3CF86396"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27</w:t>
            </w:r>
          </w:p>
        </w:tc>
        <w:tc>
          <w:tcPr>
            <w:tcW w:w="2340" w:type="dxa"/>
            <w:tcBorders>
              <w:top w:val="single" w:sz="4" w:space="0" w:color="auto"/>
              <w:left w:val="single" w:sz="4" w:space="0" w:color="auto"/>
              <w:bottom w:val="single" w:sz="4" w:space="0" w:color="auto"/>
              <w:right w:val="single" w:sz="4" w:space="0" w:color="auto"/>
            </w:tcBorders>
            <w:hideMark/>
          </w:tcPr>
          <w:p w14:paraId="20115406"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Miembros de los Cuerpos Colegiados del INDOTEL</w:t>
            </w:r>
          </w:p>
        </w:tc>
        <w:tc>
          <w:tcPr>
            <w:tcW w:w="4225" w:type="dxa"/>
            <w:tcBorders>
              <w:top w:val="single" w:sz="4" w:space="0" w:color="auto"/>
              <w:left w:val="single" w:sz="4" w:space="0" w:color="auto"/>
              <w:bottom w:val="single" w:sz="4" w:space="0" w:color="auto"/>
              <w:right w:val="single" w:sz="4" w:space="0" w:color="auto"/>
            </w:tcBorders>
            <w:hideMark/>
          </w:tcPr>
          <w:p w14:paraId="53D13E8C" w14:textId="77777777" w:rsidR="00C356F0" w:rsidRPr="00C62BB6"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Ley General de las Telecomunicaciones, Núm. 153-98</w:t>
            </w:r>
          </w:p>
        </w:tc>
      </w:tr>
      <w:tr w:rsidR="00C62BB6" w:rsidRPr="00376423" w14:paraId="7F488576" w14:textId="77777777" w:rsidTr="00C32B33">
        <w:tblPrEx>
          <w:shd w:val="clear" w:color="auto" w:fill="auto"/>
        </w:tblPrEx>
        <w:trPr>
          <w:tblHeader/>
          <w:jc w:val="center"/>
        </w:trPr>
        <w:tc>
          <w:tcPr>
            <w:tcW w:w="1345" w:type="dxa"/>
            <w:tcBorders>
              <w:top w:val="single" w:sz="4" w:space="0" w:color="auto"/>
              <w:left w:val="single" w:sz="4" w:space="0" w:color="auto"/>
              <w:bottom w:val="single" w:sz="4" w:space="0" w:color="auto"/>
              <w:right w:val="single" w:sz="4" w:space="0" w:color="auto"/>
            </w:tcBorders>
          </w:tcPr>
          <w:p w14:paraId="0B0173C9"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81</w:t>
            </w:r>
          </w:p>
        </w:tc>
        <w:tc>
          <w:tcPr>
            <w:tcW w:w="2340" w:type="dxa"/>
            <w:tcBorders>
              <w:top w:val="single" w:sz="4" w:space="0" w:color="auto"/>
              <w:left w:val="single" w:sz="4" w:space="0" w:color="auto"/>
              <w:bottom w:val="single" w:sz="4" w:space="0" w:color="auto"/>
              <w:right w:val="single" w:sz="4" w:space="0" w:color="auto"/>
            </w:tcBorders>
          </w:tcPr>
          <w:p w14:paraId="51C398E5"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Facilitadores Programa Canasta Digital Social</w:t>
            </w:r>
          </w:p>
        </w:tc>
        <w:tc>
          <w:tcPr>
            <w:tcW w:w="4225" w:type="dxa"/>
            <w:tcBorders>
              <w:top w:val="single" w:sz="4" w:space="0" w:color="auto"/>
              <w:left w:val="single" w:sz="4" w:space="0" w:color="auto"/>
              <w:bottom w:val="single" w:sz="4" w:space="0" w:color="auto"/>
              <w:right w:val="single" w:sz="4" w:space="0" w:color="auto"/>
            </w:tcBorders>
          </w:tcPr>
          <w:p w14:paraId="57CD6FD8" w14:textId="77777777" w:rsidR="00C356F0" w:rsidRPr="00C62BB6"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Ley General de las Telecomunicaciones, Núm. 153-98</w:t>
            </w:r>
          </w:p>
        </w:tc>
      </w:tr>
      <w:tr w:rsidR="00C62BB6" w:rsidRPr="00376423" w14:paraId="2EF9346A" w14:textId="77777777" w:rsidTr="00C32B33">
        <w:tblPrEx>
          <w:shd w:val="clear" w:color="auto" w:fill="auto"/>
        </w:tblPrEx>
        <w:trPr>
          <w:tblHeader/>
          <w:jc w:val="center"/>
        </w:trPr>
        <w:tc>
          <w:tcPr>
            <w:tcW w:w="1345" w:type="dxa"/>
            <w:tcBorders>
              <w:top w:val="single" w:sz="4" w:space="0" w:color="auto"/>
              <w:left w:val="single" w:sz="4" w:space="0" w:color="auto"/>
              <w:bottom w:val="single" w:sz="4" w:space="0" w:color="auto"/>
              <w:right w:val="single" w:sz="4" w:space="0" w:color="auto"/>
            </w:tcBorders>
          </w:tcPr>
          <w:p w14:paraId="1C34F176"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53</w:t>
            </w:r>
          </w:p>
        </w:tc>
        <w:tc>
          <w:tcPr>
            <w:tcW w:w="2340" w:type="dxa"/>
            <w:tcBorders>
              <w:top w:val="single" w:sz="4" w:space="0" w:color="auto"/>
              <w:left w:val="single" w:sz="4" w:space="0" w:color="auto"/>
              <w:bottom w:val="single" w:sz="4" w:space="0" w:color="auto"/>
              <w:right w:val="single" w:sz="4" w:space="0" w:color="auto"/>
            </w:tcBorders>
          </w:tcPr>
          <w:p w14:paraId="361FFD6E"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Supervisores Programa Canasta Digital Social</w:t>
            </w:r>
          </w:p>
        </w:tc>
        <w:tc>
          <w:tcPr>
            <w:tcW w:w="4225" w:type="dxa"/>
            <w:tcBorders>
              <w:top w:val="single" w:sz="4" w:space="0" w:color="auto"/>
              <w:left w:val="single" w:sz="4" w:space="0" w:color="auto"/>
              <w:bottom w:val="single" w:sz="4" w:space="0" w:color="auto"/>
              <w:right w:val="single" w:sz="4" w:space="0" w:color="auto"/>
            </w:tcBorders>
          </w:tcPr>
          <w:p w14:paraId="044A3C55" w14:textId="77777777" w:rsidR="00C356F0" w:rsidRPr="00C62BB6"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Ley General de las Telecomunicaciones, Núm. 153-98</w:t>
            </w:r>
          </w:p>
        </w:tc>
      </w:tr>
      <w:tr w:rsidR="00C62BB6" w:rsidRPr="00376423" w14:paraId="435E04E1" w14:textId="77777777" w:rsidTr="00C32B33">
        <w:tblPrEx>
          <w:shd w:val="clear" w:color="auto" w:fill="auto"/>
        </w:tblPrEx>
        <w:trPr>
          <w:tblHeader/>
          <w:jc w:val="center"/>
        </w:trPr>
        <w:tc>
          <w:tcPr>
            <w:tcW w:w="1345" w:type="dxa"/>
            <w:tcBorders>
              <w:top w:val="single" w:sz="4" w:space="0" w:color="auto"/>
              <w:left w:val="single" w:sz="4" w:space="0" w:color="auto"/>
              <w:bottom w:val="single" w:sz="4" w:space="0" w:color="auto"/>
              <w:right w:val="single" w:sz="4" w:space="0" w:color="auto"/>
            </w:tcBorders>
            <w:hideMark/>
          </w:tcPr>
          <w:p w14:paraId="295C8E71"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4</w:t>
            </w:r>
          </w:p>
        </w:tc>
        <w:tc>
          <w:tcPr>
            <w:tcW w:w="2340" w:type="dxa"/>
            <w:tcBorders>
              <w:top w:val="single" w:sz="4" w:space="0" w:color="auto"/>
              <w:left w:val="single" w:sz="4" w:space="0" w:color="auto"/>
              <w:bottom w:val="single" w:sz="4" w:space="0" w:color="auto"/>
              <w:right w:val="single" w:sz="4" w:space="0" w:color="auto"/>
            </w:tcBorders>
            <w:hideMark/>
          </w:tcPr>
          <w:p w14:paraId="5ED146E9"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Contratos de asesoría legal</w:t>
            </w:r>
          </w:p>
        </w:tc>
        <w:tc>
          <w:tcPr>
            <w:tcW w:w="4225" w:type="dxa"/>
            <w:tcBorders>
              <w:top w:val="single" w:sz="4" w:space="0" w:color="auto"/>
              <w:left w:val="single" w:sz="4" w:space="0" w:color="auto"/>
              <w:bottom w:val="single" w:sz="4" w:space="0" w:color="auto"/>
              <w:right w:val="single" w:sz="4" w:space="0" w:color="auto"/>
            </w:tcBorders>
            <w:hideMark/>
          </w:tcPr>
          <w:p w14:paraId="1D9A4BE3" w14:textId="77777777" w:rsidR="00C356F0" w:rsidRPr="00C62BB6"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Ley General de las Telecomunicaciones, Núm. 153-98</w:t>
            </w:r>
          </w:p>
        </w:tc>
      </w:tr>
      <w:tr w:rsidR="00C62BB6" w:rsidRPr="00376423" w14:paraId="2DE25B16" w14:textId="77777777" w:rsidTr="00C32B33">
        <w:tblPrEx>
          <w:shd w:val="clear" w:color="auto" w:fill="auto"/>
        </w:tblPrEx>
        <w:trPr>
          <w:tblHeader/>
          <w:jc w:val="center"/>
        </w:trPr>
        <w:tc>
          <w:tcPr>
            <w:tcW w:w="1345" w:type="dxa"/>
            <w:tcBorders>
              <w:top w:val="single" w:sz="4" w:space="0" w:color="auto"/>
              <w:left w:val="single" w:sz="4" w:space="0" w:color="auto"/>
              <w:bottom w:val="single" w:sz="4" w:space="0" w:color="auto"/>
              <w:right w:val="single" w:sz="4" w:space="0" w:color="auto"/>
            </w:tcBorders>
            <w:hideMark/>
          </w:tcPr>
          <w:p w14:paraId="08EDF52C" w14:textId="77777777" w:rsidR="00C356F0" w:rsidRPr="00C62BB6"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126</w:t>
            </w:r>
          </w:p>
        </w:tc>
        <w:tc>
          <w:tcPr>
            <w:tcW w:w="2340" w:type="dxa"/>
            <w:tcBorders>
              <w:top w:val="single" w:sz="4" w:space="0" w:color="auto"/>
              <w:left w:val="single" w:sz="4" w:space="0" w:color="auto"/>
              <w:bottom w:val="single" w:sz="4" w:space="0" w:color="auto"/>
              <w:right w:val="single" w:sz="4" w:space="0" w:color="auto"/>
            </w:tcBorders>
            <w:hideMark/>
          </w:tcPr>
          <w:p w14:paraId="2BE34CC3" w14:textId="77777777" w:rsidR="00C356F0" w:rsidRPr="00C62BB6" w:rsidRDefault="00C356F0" w:rsidP="00C356F0">
            <w:pPr>
              <w:spacing w:after="0" w:line="360" w:lineRule="auto"/>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Contratos de servicios de publicidad</w:t>
            </w:r>
          </w:p>
        </w:tc>
        <w:tc>
          <w:tcPr>
            <w:tcW w:w="4225" w:type="dxa"/>
            <w:tcBorders>
              <w:top w:val="single" w:sz="4" w:space="0" w:color="auto"/>
              <w:left w:val="single" w:sz="4" w:space="0" w:color="auto"/>
              <w:bottom w:val="single" w:sz="4" w:space="0" w:color="auto"/>
              <w:right w:val="single" w:sz="4" w:space="0" w:color="auto"/>
            </w:tcBorders>
            <w:hideMark/>
          </w:tcPr>
          <w:p w14:paraId="4A049C05" w14:textId="77777777" w:rsidR="00C356F0" w:rsidRPr="00C62BB6"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Ley Núm. 340-06 sobre sobre Compras y Contrataciones de Bienes, Servicios, Obras y Concesiones, y su Reglamento de aplicación Decreto Núm. 543-12</w:t>
            </w:r>
          </w:p>
        </w:tc>
      </w:tr>
    </w:tbl>
    <w:p w14:paraId="5CEC9282" w14:textId="618D6101" w:rsidR="00C356F0" w:rsidRPr="00C62BB6" w:rsidRDefault="00C356F0" w:rsidP="00C356F0">
      <w:pPr>
        <w:spacing w:after="0" w:line="360" w:lineRule="auto"/>
        <w:jc w:val="both"/>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color w:val="4C4747"/>
          <w:spacing w:val="20"/>
          <w:sz w:val="18"/>
          <w:szCs w:val="24"/>
          <w:lang w:val="es-DO"/>
        </w:rPr>
        <w:t xml:space="preserve"> </w:t>
      </w: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Matriz </w:t>
      </w:r>
      <w:r w:rsidR="00C32B33" w:rsidRPr="00C62BB6">
        <w:rPr>
          <w:rFonts w:ascii="Times New Roman" w:eastAsia="Calibri" w:hAnsi="Times New Roman" w:cs="Times New Roman"/>
          <w:color w:val="4C4747"/>
          <w:spacing w:val="20"/>
          <w:sz w:val="18"/>
          <w:szCs w:val="24"/>
          <w:lang w:val="es-DO"/>
        </w:rPr>
        <w:t xml:space="preserve">de casos Gerencia de Contratos </w:t>
      </w:r>
    </w:p>
    <w:p w14:paraId="5267D355" w14:textId="1546330A" w:rsidR="000B5292" w:rsidRPr="00A4233F" w:rsidRDefault="00C32B33" w:rsidP="00C32B33">
      <w:pPr>
        <w:spacing w:before="240"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continúa</w:t>
      </w:r>
      <w:r w:rsidR="00C356F0" w:rsidRPr="00A4233F">
        <w:rPr>
          <w:rFonts w:ascii="Times New Roman" w:eastAsia="Calibri" w:hAnsi="Times New Roman" w:cs="Times New Roman"/>
          <w:color w:val="4C4747"/>
          <w:spacing w:val="20"/>
          <w:sz w:val="24"/>
          <w:szCs w:val="24"/>
          <w:lang w:val="es-DO"/>
        </w:rPr>
        <w:t xml:space="preserve"> realizando los trabajos encaminados a regularizar la titularidad de los inmuebles propiedad del INDOTEL, con la </w:t>
      </w:r>
      <w:r w:rsidR="00C356F0" w:rsidRPr="00A4233F">
        <w:rPr>
          <w:rFonts w:ascii="Times New Roman" w:eastAsia="Calibri" w:hAnsi="Times New Roman" w:cs="Times New Roman"/>
          <w:color w:val="4C4747"/>
          <w:spacing w:val="20"/>
          <w:sz w:val="24"/>
          <w:szCs w:val="24"/>
          <w:lang w:val="es-DO"/>
        </w:rPr>
        <w:lastRenderedPageBreak/>
        <w:t xml:space="preserve">finalidad de obtener los Certificados de Título de dichos inmuebles. Estas acciones consisten en dar seguimiento a los procesos técnicos, como son </w:t>
      </w:r>
      <w:r w:rsidR="000B5292" w:rsidRPr="00A4233F">
        <w:rPr>
          <w:rFonts w:ascii="Times New Roman" w:eastAsia="Calibri" w:hAnsi="Times New Roman" w:cs="Times New Roman"/>
          <w:color w:val="4C4747"/>
          <w:spacing w:val="20"/>
          <w:sz w:val="24"/>
          <w:szCs w:val="24"/>
          <w:lang w:val="es-DO"/>
        </w:rPr>
        <w:t>subdivisiones</w:t>
      </w:r>
      <w:r w:rsidR="00C356F0" w:rsidRPr="00A4233F">
        <w:rPr>
          <w:rFonts w:ascii="Times New Roman" w:eastAsia="Calibri" w:hAnsi="Times New Roman" w:cs="Times New Roman"/>
          <w:color w:val="4C4747"/>
          <w:spacing w:val="20"/>
          <w:sz w:val="24"/>
          <w:szCs w:val="24"/>
          <w:lang w:val="es-DO"/>
        </w:rPr>
        <w:t xml:space="preserve">, saneamientos y de manera judicial, por ante el Tribunal Superior de Tierras. </w:t>
      </w:r>
    </w:p>
    <w:p w14:paraId="6F155E9C" w14:textId="30E5F937" w:rsidR="008D55B2" w:rsidRPr="00A4233F" w:rsidRDefault="00C356F0" w:rsidP="00C32B33">
      <w:pPr>
        <w:spacing w:before="240"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Asimismo, obtuvimos por parte del Ministerio de la Vivienda, la donación de una porción dentro de la Parcela 6-A, D</w:t>
      </w:r>
      <w:r w:rsidR="008D55B2" w:rsidRPr="00A4233F">
        <w:rPr>
          <w:rFonts w:ascii="Times New Roman" w:eastAsia="Calibri" w:hAnsi="Times New Roman" w:cs="Times New Roman"/>
          <w:color w:val="4C4747"/>
          <w:spacing w:val="20"/>
          <w:sz w:val="24"/>
          <w:szCs w:val="24"/>
          <w:lang w:val="es-DO"/>
        </w:rPr>
        <w:t>C. 2/2, Provincia de La Romana.</w:t>
      </w:r>
    </w:p>
    <w:p w14:paraId="3065C9EE" w14:textId="5D832463" w:rsidR="008D55B2" w:rsidRPr="00A4233F" w:rsidRDefault="00C356F0" w:rsidP="00C32B33">
      <w:pPr>
        <w:spacing w:before="240"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Como parte de la ejecución de las actividades legales que conllevan los procesos de contratación pública realizados por el INDOTEL, la Dirección Jurídica genera diferentes documentos, tales como Dictámenes Jurídicos, Informes, las Resoluciones del Comité de Compras y Contrataciones, entre otro</w:t>
      </w:r>
      <w:r w:rsidR="00C32B33" w:rsidRPr="00A4233F">
        <w:rPr>
          <w:rFonts w:ascii="Times New Roman" w:eastAsia="Calibri" w:hAnsi="Times New Roman" w:cs="Times New Roman"/>
          <w:color w:val="4C4747"/>
          <w:spacing w:val="20"/>
          <w:sz w:val="24"/>
          <w:szCs w:val="24"/>
          <w:lang w:val="es-DO"/>
        </w:rPr>
        <w:t>s:</w:t>
      </w:r>
    </w:p>
    <w:p w14:paraId="4C006BA1" w14:textId="77777777" w:rsidR="008D55B2" w:rsidRPr="00943FA5" w:rsidRDefault="008D55B2" w:rsidP="00C356F0">
      <w:pPr>
        <w:spacing w:after="0" w:line="360" w:lineRule="auto"/>
        <w:jc w:val="center"/>
        <w:rPr>
          <w:rFonts w:ascii="Times New Roman" w:eastAsia="Calibri" w:hAnsi="Times New Roman" w:cs="Times New Roman"/>
          <w:color w:val="767171"/>
          <w:spacing w:val="20"/>
          <w:sz w:val="24"/>
          <w:szCs w:val="24"/>
          <w:lang w:val="es-DO"/>
        </w:rPr>
      </w:pPr>
    </w:p>
    <w:tbl>
      <w:tblPr>
        <w:tblW w:w="7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337"/>
        <w:gridCol w:w="2909"/>
        <w:gridCol w:w="3733"/>
      </w:tblGrid>
      <w:tr w:rsidR="00C356F0" w:rsidRPr="00376423" w14:paraId="3DFCA92D" w14:textId="77777777" w:rsidTr="00943FA5">
        <w:tc>
          <w:tcPr>
            <w:tcW w:w="7979"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295D5F32"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Procesos de Contratación Pública</w:t>
            </w:r>
          </w:p>
          <w:p w14:paraId="7E19C738"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Enero – Noviembre de 2022</w:t>
            </w:r>
          </w:p>
        </w:tc>
      </w:tr>
      <w:tr w:rsidR="00C356F0" w:rsidRPr="008E6046" w14:paraId="31AAC14E" w14:textId="77777777" w:rsidTr="00943FA5">
        <w:tblPrEx>
          <w:jc w:val="center"/>
          <w:shd w:val="clear" w:color="auto" w:fill="auto"/>
        </w:tblPrEx>
        <w:trPr>
          <w:jc w:val="center"/>
        </w:trPr>
        <w:tc>
          <w:tcPr>
            <w:tcW w:w="124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ED54D5"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Cantidad</w:t>
            </w:r>
          </w:p>
        </w:tc>
        <w:tc>
          <w:tcPr>
            <w:tcW w:w="29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9DC3BE1" w14:textId="77777777" w:rsidR="00C356F0" w:rsidRPr="00C62BB6" w:rsidRDefault="00C356F0" w:rsidP="00C356F0">
            <w:pPr>
              <w:spacing w:after="0" w:line="360" w:lineRule="auto"/>
              <w:ind w:right="-107"/>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Documento</w:t>
            </w:r>
          </w:p>
        </w:tc>
        <w:tc>
          <w:tcPr>
            <w:tcW w:w="379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0F2120A" w14:textId="77777777" w:rsidR="00C356F0" w:rsidRPr="00C62BB6" w:rsidRDefault="00C356F0" w:rsidP="00C356F0">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 xml:space="preserve">Base Legal </w:t>
            </w:r>
          </w:p>
        </w:tc>
      </w:tr>
      <w:tr w:rsidR="00C356F0" w:rsidRPr="00376423" w14:paraId="2380F318" w14:textId="77777777" w:rsidTr="00943FA5">
        <w:tblPrEx>
          <w:jc w:val="center"/>
          <w:shd w:val="clear" w:color="auto" w:fill="auto"/>
        </w:tblPrEx>
        <w:trPr>
          <w:jc w:val="center"/>
        </w:trPr>
        <w:tc>
          <w:tcPr>
            <w:tcW w:w="1243" w:type="dxa"/>
            <w:tcBorders>
              <w:top w:val="single" w:sz="4" w:space="0" w:color="auto"/>
              <w:left w:val="single" w:sz="4" w:space="0" w:color="auto"/>
              <w:bottom w:val="single" w:sz="4" w:space="0" w:color="auto"/>
              <w:right w:val="single" w:sz="4" w:space="0" w:color="auto"/>
            </w:tcBorders>
            <w:hideMark/>
          </w:tcPr>
          <w:p w14:paraId="7EC6A599" w14:textId="77777777" w:rsidR="00C356F0" w:rsidRPr="00A4233F"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29</w:t>
            </w:r>
          </w:p>
        </w:tc>
        <w:tc>
          <w:tcPr>
            <w:tcW w:w="2942" w:type="dxa"/>
            <w:tcBorders>
              <w:top w:val="single" w:sz="4" w:space="0" w:color="auto"/>
              <w:left w:val="single" w:sz="4" w:space="0" w:color="auto"/>
              <w:bottom w:val="single" w:sz="4" w:space="0" w:color="auto"/>
              <w:right w:val="single" w:sz="4" w:space="0" w:color="auto"/>
            </w:tcBorders>
            <w:hideMark/>
          </w:tcPr>
          <w:p w14:paraId="25CBDDBD" w14:textId="77777777" w:rsidR="00C356F0" w:rsidRPr="00A4233F" w:rsidRDefault="00C356F0" w:rsidP="00C356F0">
            <w:pPr>
              <w:spacing w:after="0" w:line="360" w:lineRule="auto"/>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Dictámenes Jurídicos</w:t>
            </w:r>
          </w:p>
        </w:tc>
        <w:tc>
          <w:tcPr>
            <w:tcW w:w="3794" w:type="dxa"/>
            <w:tcBorders>
              <w:top w:val="single" w:sz="4" w:space="0" w:color="auto"/>
              <w:left w:val="single" w:sz="4" w:space="0" w:color="auto"/>
              <w:bottom w:val="single" w:sz="4" w:space="0" w:color="auto"/>
              <w:right w:val="single" w:sz="4" w:space="0" w:color="auto"/>
            </w:tcBorders>
            <w:hideMark/>
          </w:tcPr>
          <w:p w14:paraId="19065894" w14:textId="77777777" w:rsidR="00C356F0" w:rsidRPr="00A4233F"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Ley Núm. 340-06 sobre Compras y Contrataciones de Bienes, Servicios, Obras y Concesiones, y su Reglamento de aplicación Decreto Núm. 543-12</w:t>
            </w:r>
          </w:p>
        </w:tc>
      </w:tr>
      <w:tr w:rsidR="00C62BB6" w:rsidRPr="00376423" w14:paraId="796FDA9E" w14:textId="77777777" w:rsidTr="00943FA5">
        <w:tblPrEx>
          <w:jc w:val="center"/>
          <w:shd w:val="clear" w:color="auto" w:fill="auto"/>
        </w:tblPrEx>
        <w:trPr>
          <w:trHeight w:val="1756"/>
          <w:jc w:val="center"/>
        </w:trPr>
        <w:tc>
          <w:tcPr>
            <w:tcW w:w="1243" w:type="dxa"/>
            <w:tcBorders>
              <w:top w:val="single" w:sz="4" w:space="0" w:color="auto"/>
              <w:left w:val="single" w:sz="4" w:space="0" w:color="auto"/>
              <w:bottom w:val="single" w:sz="4" w:space="0" w:color="auto"/>
              <w:right w:val="single" w:sz="4" w:space="0" w:color="auto"/>
            </w:tcBorders>
            <w:hideMark/>
          </w:tcPr>
          <w:p w14:paraId="24FAA494" w14:textId="77777777" w:rsidR="00C356F0" w:rsidRPr="00A4233F" w:rsidRDefault="00C356F0" w:rsidP="00C356F0">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73</w:t>
            </w:r>
          </w:p>
        </w:tc>
        <w:tc>
          <w:tcPr>
            <w:tcW w:w="2942" w:type="dxa"/>
            <w:tcBorders>
              <w:top w:val="single" w:sz="4" w:space="0" w:color="auto"/>
              <w:left w:val="single" w:sz="4" w:space="0" w:color="auto"/>
              <w:bottom w:val="single" w:sz="4" w:space="0" w:color="auto"/>
              <w:right w:val="single" w:sz="4" w:space="0" w:color="auto"/>
            </w:tcBorders>
            <w:hideMark/>
          </w:tcPr>
          <w:p w14:paraId="3E8898D5" w14:textId="77777777" w:rsidR="00C356F0" w:rsidRPr="00A4233F"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Resoluciones emitidas por el Comité de Compras y Contrataciones del INDOTEL</w:t>
            </w:r>
          </w:p>
        </w:tc>
        <w:tc>
          <w:tcPr>
            <w:tcW w:w="3794" w:type="dxa"/>
            <w:tcBorders>
              <w:top w:val="single" w:sz="4" w:space="0" w:color="auto"/>
              <w:left w:val="single" w:sz="4" w:space="0" w:color="auto"/>
              <w:bottom w:val="single" w:sz="4" w:space="0" w:color="auto"/>
              <w:right w:val="single" w:sz="4" w:space="0" w:color="auto"/>
            </w:tcBorders>
            <w:hideMark/>
          </w:tcPr>
          <w:p w14:paraId="195BFFC5" w14:textId="77777777" w:rsidR="00C356F0" w:rsidRPr="00A4233F" w:rsidRDefault="00C356F0" w:rsidP="00C356F0">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Ley Núm. 340-06 sobre Compras y Contrataciones de Bienes Servicios, Obras y Concesiones, y su Reglamento de aplicación Decreto Núm. 543-12</w:t>
            </w:r>
          </w:p>
        </w:tc>
      </w:tr>
    </w:tbl>
    <w:p w14:paraId="5322C620" w14:textId="1D77CF06" w:rsidR="00C356F0" w:rsidRPr="00C62BB6" w:rsidRDefault="00C356F0" w:rsidP="00C356F0">
      <w:pPr>
        <w:spacing w:after="0" w:line="360" w:lineRule="auto"/>
        <w:jc w:val="both"/>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Matriz de casos Gerencia de Contratos </w:t>
      </w:r>
    </w:p>
    <w:p w14:paraId="666BA264" w14:textId="77777777" w:rsidR="008D55B2" w:rsidRPr="005A11A8" w:rsidRDefault="008D55B2" w:rsidP="00C356F0">
      <w:pPr>
        <w:spacing w:after="0" w:line="360" w:lineRule="auto"/>
        <w:jc w:val="both"/>
        <w:rPr>
          <w:rFonts w:ascii="Times New Roman" w:eastAsia="Calibri" w:hAnsi="Times New Roman" w:cs="Times New Roman"/>
          <w:color w:val="4C4747"/>
          <w:spacing w:val="20"/>
          <w:sz w:val="18"/>
          <w:szCs w:val="24"/>
          <w:lang w:val="es-DO"/>
        </w:rPr>
      </w:pPr>
    </w:p>
    <w:p w14:paraId="1FD1F24D" w14:textId="79A785D7" w:rsidR="00FE3890" w:rsidRPr="00A4233F" w:rsidRDefault="00A75CDE" w:rsidP="00162A8A">
      <w:pPr>
        <w:keepNext/>
        <w:tabs>
          <w:tab w:val="left" w:pos="1620"/>
        </w:tabs>
        <w:spacing w:before="240" w:after="60"/>
        <w:jc w:val="both"/>
        <w:outlineLvl w:val="2"/>
        <w:rPr>
          <w:rFonts w:ascii="Times New Roman" w:eastAsia="Times New Roman" w:hAnsi="Times New Roman" w:cs="Times New Roman"/>
          <w:b/>
          <w:bCs/>
          <w:color w:val="4C4747"/>
          <w:sz w:val="24"/>
          <w:szCs w:val="28"/>
          <w:lang w:val="es-DO" w:eastAsia="es-DO"/>
        </w:rPr>
      </w:pPr>
      <w:bookmarkStart w:id="26" w:name="_Toc79678423"/>
      <w:bookmarkStart w:id="27" w:name="_Toc122425246"/>
      <w:r w:rsidRPr="00A4233F">
        <w:rPr>
          <w:rFonts w:ascii="Times New Roman" w:eastAsiaTheme="majorEastAsia" w:hAnsi="Times New Roman" w:cs="Times New Roman"/>
          <w:b/>
          <w:iCs/>
          <w:color w:val="4C4747"/>
          <w:sz w:val="24"/>
          <w:szCs w:val="24"/>
          <w:lang w:val="es-DO" w:eastAsia="es-DO"/>
        </w:rPr>
        <w:lastRenderedPageBreak/>
        <w:t>4.4</w:t>
      </w:r>
      <w:r w:rsidRPr="00A4233F">
        <w:rPr>
          <w:rFonts w:ascii="Times New Roman" w:eastAsia="Times New Roman" w:hAnsi="Times New Roman" w:cs="Times New Roman"/>
          <w:b/>
          <w:bCs/>
          <w:color w:val="4C4747"/>
          <w:sz w:val="24"/>
          <w:szCs w:val="28"/>
          <w:lang w:val="es-DO" w:eastAsia="es-DO"/>
        </w:rPr>
        <w:t xml:space="preserve"> </w:t>
      </w:r>
      <w:r w:rsidR="00641CAA" w:rsidRPr="00A4233F">
        <w:rPr>
          <w:rFonts w:ascii="Times New Roman" w:eastAsiaTheme="majorEastAsia" w:hAnsi="Times New Roman" w:cs="Times New Roman"/>
          <w:b/>
          <w:iCs/>
          <w:color w:val="4C4747"/>
          <w:sz w:val="24"/>
          <w:szCs w:val="24"/>
          <w:lang w:val="es-DO" w:eastAsia="es-DO"/>
        </w:rPr>
        <w:t>Desempeño de la Tecnología</w:t>
      </w:r>
      <w:bookmarkEnd w:id="26"/>
      <w:bookmarkEnd w:id="27"/>
    </w:p>
    <w:p w14:paraId="5337C03A" w14:textId="0FC55DD9" w:rsidR="00256209" w:rsidRPr="00A4233F" w:rsidRDefault="00C356F0" w:rsidP="00C32B33">
      <w:pPr>
        <w:spacing w:before="240"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El INDOTEL en busca de mejorar y fortalecer su infraestructura tecnológica, ha realizado actualizaciones y mejoras tanto en equipos software, sistemas a nivel de gestión, procedimientos en TI, así como también creación de políticas internas para mejorar la gestión de los recursos tecnológicos de la institución. Entre estas podemos mencionar las siguientes:</w:t>
      </w:r>
    </w:p>
    <w:p w14:paraId="7E9C581E" w14:textId="77777777" w:rsidR="00C356F0" w:rsidRPr="00A4233F" w:rsidRDefault="00C356F0" w:rsidP="00C32B33">
      <w:pPr>
        <w:spacing w:before="240" w:after="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 xml:space="preserve">Redes </w:t>
      </w:r>
    </w:p>
    <w:p w14:paraId="4EED7CA5" w14:textId="77777777" w:rsidR="00C356F0" w:rsidRPr="00A4233F" w:rsidRDefault="00C356F0" w:rsidP="00A02BDE">
      <w:pPr>
        <w:pStyle w:val="Prrafodelista"/>
        <w:numPr>
          <w:ilvl w:val="0"/>
          <w:numId w:val="18"/>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agregaron nuevas capas a nivel de seguridad informática mediante la implementación de SOPHOS AGENT.</w:t>
      </w:r>
    </w:p>
    <w:p w14:paraId="07D3A8A0" w14:textId="77777777" w:rsidR="00C356F0" w:rsidRPr="00A4233F" w:rsidRDefault="00C356F0" w:rsidP="00A02BDE">
      <w:pPr>
        <w:pStyle w:val="Prrafodelista"/>
        <w:numPr>
          <w:ilvl w:val="0"/>
          <w:numId w:val="18"/>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Internet simétrico, se implementó y mejoró la conectividad de los servicios, así como también se aumentó la velocidad y calidad de este.</w:t>
      </w:r>
    </w:p>
    <w:p w14:paraId="5DF8BE11" w14:textId="140EAAC3" w:rsidR="00C356F0" w:rsidRPr="00A4233F" w:rsidRDefault="00C356F0" w:rsidP="00A02BDE">
      <w:pPr>
        <w:pStyle w:val="Prrafodelista"/>
        <w:numPr>
          <w:ilvl w:val="0"/>
          <w:numId w:val="18"/>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Creación e imple</w:t>
      </w:r>
      <w:r w:rsidR="00256209" w:rsidRPr="00A4233F">
        <w:rPr>
          <w:rFonts w:ascii="Times New Roman" w:eastAsia="Calibri" w:hAnsi="Times New Roman" w:cs="Times New Roman"/>
          <w:color w:val="4C4747"/>
          <w:spacing w:val="20"/>
          <w:sz w:val="24"/>
          <w:szCs w:val="24"/>
          <w:lang w:val="es-DO"/>
        </w:rPr>
        <w:t>mentación de nuevas políticas (c</w:t>
      </w:r>
      <w:r w:rsidRPr="00A4233F">
        <w:rPr>
          <w:rFonts w:ascii="Times New Roman" w:eastAsia="Calibri" w:hAnsi="Times New Roman" w:cs="Times New Roman"/>
          <w:color w:val="4C4747"/>
          <w:spacing w:val="20"/>
          <w:sz w:val="24"/>
          <w:szCs w:val="24"/>
          <w:lang w:val="es-DO"/>
        </w:rPr>
        <w:t>ontrol de acceso, uso del internet).</w:t>
      </w:r>
    </w:p>
    <w:p w14:paraId="2AA07801" w14:textId="77777777" w:rsidR="00C356F0" w:rsidRPr="00A4233F" w:rsidRDefault="00C356F0" w:rsidP="00A02BDE">
      <w:pPr>
        <w:pStyle w:val="Prrafodelista"/>
        <w:numPr>
          <w:ilvl w:val="0"/>
          <w:numId w:val="18"/>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Adquisición de Network Access Control para gestionar el control de acceso de equipos a la red inalámbrica y cableada.</w:t>
      </w:r>
    </w:p>
    <w:p w14:paraId="6928926E" w14:textId="77777777" w:rsidR="00C356F0" w:rsidRPr="00A4233F" w:rsidRDefault="00C356F0" w:rsidP="00A02BDE">
      <w:pPr>
        <w:pStyle w:val="Prrafodelista"/>
        <w:numPr>
          <w:ilvl w:val="0"/>
          <w:numId w:val="18"/>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Adquisición de nuevos equipos de distribución e infraestructura (Switches). </w:t>
      </w:r>
    </w:p>
    <w:p w14:paraId="54867E85" w14:textId="7F705B5F" w:rsidR="00C356F0" w:rsidRPr="00A4233F" w:rsidRDefault="00256209" w:rsidP="00A02BDE">
      <w:pPr>
        <w:pStyle w:val="Prrafodelista"/>
        <w:numPr>
          <w:ilvl w:val="0"/>
          <w:numId w:val="18"/>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Adquisición </w:t>
      </w:r>
      <w:r w:rsidR="00C356F0" w:rsidRPr="00A4233F">
        <w:rPr>
          <w:rFonts w:ascii="Times New Roman" w:eastAsia="Calibri" w:hAnsi="Times New Roman" w:cs="Times New Roman"/>
          <w:color w:val="4C4747"/>
          <w:spacing w:val="20"/>
          <w:sz w:val="24"/>
          <w:szCs w:val="24"/>
          <w:lang w:val="es-DO"/>
        </w:rPr>
        <w:t xml:space="preserve">de Firewalls para agregar seguridad a la red. </w:t>
      </w:r>
    </w:p>
    <w:p w14:paraId="46B0981F" w14:textId="77777777" w:rsidR="00C356F0" w:rsidRPr="00A4233F" w:rsidRDefault="00C356F0" w:rsidP="00A02BDE">
      <w:pPr>
        <w:pStyle w:val="Prrafodelista"/>
        <w:numPr>
          <w:ilvl w:val="0"/>
          <w:numId w:val="19"/>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Adquisición de AP (Puntos de Acceso) para realizar la distribución de red entre pisos de la institución.</w:t>
      </w:r>
    </w:p>
    <w:p w14:paraId="7FC8B500" w14:textId="77777777" w:rsidR="00C356F0" w:rsidRPr="00A4233F" w:rsidRDefault="00C356F0" w:rsidP="00A02BDE">
      <w:pPr>
        <w:pStyle w:val="Prrafodelista"/>
        <w:numPr>
          <w:ilvl w:val="0"/>
          <w:numId w:val="19"/>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realizó una reestructuración a nivel de red de direccionamiento IP y VLANs.</w:t>
      </w:r>
    </w:p>
    <w:p w14:paraId="51D4B5BD" w14:textId="77777777" w:rsidR="00C356F0" w:rsidRPr="00A4233F" w:rsidRDefault="00C356F0" w:rsidP="00C32B33">
      <w:pPr>
        <w:spacing w:before="240" w:after="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Infraestructura</w:t>
      </w:r>
    </w:p>
    <w:p w14:paraId="684CED7F" w14:textId="77777777" w:rsidR="00C356F0" w:rsidRPr="00A4233F" w:rsidRDefault="00C356F0" w:rsidP="00A02BDE">
      <w:pPr>
        <w:pStyle w:val="Prrafodelista"/>
        <w:numPr>
          <w:ilvl w:val="0"/>
          <w:numId w:val="20"/>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Instalación de un Network Attached Storage (NAS) para backup en el Data Center del INDOTEL. </w:t>
      </w:r>
    </w:p>
    <w:p w14:paraId="6A40192B" w14:textId="77777777" w:rsidR="00C356F0" w:rsidRPr="00A4233F" w:rsidRDefault="00C356F0" w:rsidP="00A02BDE">
      <w:pPr>
        <w:pStyle w:val="Prrafodelista"/>
        <w:numPr>
          <w:ilvl w:val="0"/>
          <w:numId w:val="20"/>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Migración de Windows Server 2012 a Windows Server 2019 para mejorar la seguridad de la red y mejor uso de los recursos de hardware.</w:t>
      </w:r>
    </w:p>
    <w:p w14:paraId="38128660" w14:textId="1DF6CED5" w:rsidR="00C356F0" w:rsidRPr="00A4233F" w:rsidRDefault="00256209" w:rsidP="00A02BDE">
      <w:pPr>
        <w:pStyle w:val="Prrafodelista"/>
        <w:numPr>
          <w:ilvl w:val="0"/>
          <w:numId w:val="20"/>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Adquisición</w:t>
      </w:r>
      <w:r w:rsidR="00C356F0" w:rsidRPr="00A4233F">
        <w:rPr>
          <w:rFonts w:ascii="Times New Roman" w:eastAsia="Calibri" w:hAnsi="Times New Roman" w:cs="Times New Roman"/>
          <w:color w:val="4C4747"/>
          <w:spacing w:val="20"/>
          <w:sz w:val="24"/>
          <w:szCs w:val="24"/>
          <w:lang w:val="es-DO"/>
        </w:rPr>
        <w:t xml:space="preserve"> de UPS central 30KVA  (Sistema de energía interrumpida) y 6 UPS 3KVA para los cuartos de data.</w:t>
      </w:r>
    </w:p>
    <w:p w14:paraId="39B9DF1A" w14:textId="2069760E" w:rsidR="00C356F0" w:rsidRPr="00A4233F" w:rsidRDefault="00C356F0" w:rsidP="00A02BDE">
      <w:pPr>
        <w:pStyle w:val="Prrafodelista"/>
        <w:numPr>
          <w:ilvl w:val="0"/>
          <w:numId w:val="20"/>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Migración y cambio de versión del software BIOSTAR (Sistema Biométrico)</w:t>
      </w:r>
      <w:r w:rsidR="00256209" w:rsidRPr="00A4233F">
        <w:rPr>
          <w:rFonts w:ascii="Times New Roman" w:eastAsia="Calibri" w:hAnsi="Times New Roman" w:cs="Times New Roman"/>
          <w:color w:val="4C4747"/>
          <w:spacing w:val="20"/>
          <w:sz w:val="24"/>
          <w:szCs w:val="24"/>
          <w:lang w:val="es-DO"/>
        </w:rPr>
        <w:t>.</w:t>
      </w:r>
      <w:r w:rsidRPr="00A4233F">
        <w:rPr>
          <w:rFonts w:ascii="Times New Roman" w:eastAsia="Calibri" w:hAnsi="Times New Roman" w:cs="Times New Roman"/>
          <w:color w:val="4C4747"/>
          <w:spacing w:val="20"/>
          <w:sz w:val="24"/>
          <w:szCs w:val="24"/>
          <w:lang w:val="es-DO"/>
        </w:rPr>
        <w:t xml:space="preserve"> </w:t>
      </w:r>
    </w:p>
    <w:p w14:paraId="57FDD481" w14:textId="41437E39" w:rsidR="00C356F0" w:rsidRPr="00A4233F" w:rsidRDefault="00C356F0" w:rsidP="00A02BDE">
      <w:pPr>
        <w:pStyle w:val="Prrafodelista"/>
        <w:numPr>
          <w:ilvl w:val="0"/>
          <w:numId w:val="20"/>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Adquisición de Sistema de Hiperconvergencia para la centralización y reestructuración de los servidores.</w:t>
      </w:r>
    </w:p>
    <w:p w14:paraId="54494186" w14:textId="7248F29D" w:rsidR="00FE3890" w:rsidRPr="00A4233F" w:rsidRDefault="00C356F0" w:rsidP="00C32B33">
      <w:pPr>
        <w:spacing w:before="240" w:after="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Reestructuración de los Servicios Azure</w:t>
      </w:r>
    </w:p>
    <w:p w14:paraId="658A28E7" w14:textId="77777777" w:rsidR="00C356F0" w:rsidRPr="00A4233F"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Se realizó la optimización de los recursos en la nube, tales como: </w:t>
      </w:r>
    </w:p>
    <w:p w14:paraId="005021EE" w14:textId="77777777" w:rsidR="00C356F0" w:rsidRPr="00A4233F" w:rsidRDefault="00C356F0" w:rsidP="00A02BDE">
      <w:pPr>
        <w:pStyle w:val="Prrafodelista"/>
        <w:numPr>
          <w:ilvl w:val="0"/>
          <w:numId w:val="21"/>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Restructuración de Servidores virtuales</w:t>
      </w:r>
    </w:p>
    <w:p w14:paraId="1D324C2E" w14:textId="77777777" w:rsidR="00C356F0" w:rsidRPr="00A4233F" w:rsidRDefault="00C356F0" w:rsidP="00A02BDE">
      <w:pPr>
        <w:pStyle w:val="Prrafodelista"/>
        <w:numPr>
          <w:ilvl w:val="0"/>
          <w:numId w:val="21"/>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Readecuación de los servicios de respaldo de los servidores virtuales.</w:t>
      </w:r>
    </w:p>
    <w:p w14:paraId="2DA13457" w14:textId="77777777" w:rsidR="00C356F0" w:rsidRPr="00A4233F" w:rsidRDefault="00C356F0" w:rsidP="00A02BDE">
      <w:pPr>
        <w:pStyle w:val="Prrafodelista"/>
        <w:numPr>
          <w:ilvl w:val="0"/>
          <w:numId w:val="21"/>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Consolidación de Web Services y APIs para optimizar el uso, mejorar el control y el consumo de los recursos en la nube. </w:t>
      </w:r>
    </w:p>
    <w:p w14:paraId="19638B72" w14:textId="778603DB" w:rsidR="00FE3890" w:rsidRPr="00A4233F" w:rsidRDefault="00C356F0" w:rsidP="00A02BDE">
      <w:pPr>
        <w:pStyle w:val="Prrafodelista"/>
        <w:numPr>
          <w:ilvl w:val="0"/>
          <w:numId w:val="21"/>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realizó mejoras de seguridad con la instalación de un firewall virtual en la estructura de los servicios en la nube.</w:t>
      </w:r>
    </w:p>
    <w:p w14:paraId="6B72B182" w14:textId="77777777" w:rsidR="00C356F0" w:rsidRPr="00A4233F" w:rsidRDefault="00C356F0" w:rsidP="00C32B33">
      <w:pPr>
        <w:spacing w:before="240" w:after="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Soporte y Mesa de Ayuda</w:t>
      </w:r>
    </w:p>
    <w:p w14:paraId="2A10CBF4" w14:textId="77777777" w:rsidR="00C356F0" w:rsidRPr="00A4233F"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eficientizaron los recursos internos de los servicios de las plataformas tecnológicas, de acuerdo con los estándares de la industria, lo cual incluye:</w:t>
      </w:r>
    </w:p>
    <w:p w14:paraId="616D0FB4" w14:textId="77777777" w:rsidR="00C356F0" w:rsidRPr="00A4233F" w:rsidRDefault="00C356F0" w:rsidP="00A02BDE">
      <w:pPr>
        <w:pStyle w:val="Prrafodelista"/>
        <w:numPr>
          <w:ilvl w:val="0"/>
          <w:numId w:val="22"/>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Aumento en el porcentaje de casos resueltos frente a las incidencias reportadas por parte de los colaboradores. </w:t>
      </w:r>
    </w:p>
    <w:p w14:paraId="300051D8" w14:textId="77777777" w:rsidR="00C356F0" w:rsidRPr="00A4233F" w:rsidRDefault="00C356F0" w:rsidP="00A02BDE">
      <w:pPr>
        <w:pStyle w:val="Prrafodelista"/>
        <w:numPr>
          <w:ilvl w:val="0"/>
          <w:numId w:val="22"/>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Establecimiento de un número único de contacto para soporte.</w:t>
      </w:r>
    </w:p>
    <w:p w14:paraId="1750A310" w14:textId="77777777" w:rsidR="00C356F0" w:rsidRPr="00A4233F" w:rsidRDefault="00C356F0" w:rsidP="00A02BDE">
      <w:pPr>
        <w:pStyle w:val="Prrafodelista"/>
        <w:numPr>
          <w:ilvl w:val="0"/>
          <w:numId w:val="22"/>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Optimización del servicio de impresión. </w:t>
      </w:r>
    </w:p>
    <w:p w14:paraId="0B8C5D41" w14:textId="77777777" w:rsidR="00C356F0" w:rsidRPr="00A4233F" w:rsidRDefault="00C356F0" w:rsidP="00A02BDE">
      <w:pPr>
        <w:pStyle w:val="Prrafodelista"/>
        <w:numPr>
          <w:ilvl w:val="0"/>
          <w:numId w:val="22"/>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realizó mantenimiento general de todos los equipos de los usuarios finales de la institución.</w:t>
      </w:r>
    </w:p>
    <w:p w14:paraId="22E2422F" w14:textId="77777777" w:rsidR="00C356F0" w:rsidRPr="00A4233F" w:rsidRDefault="00C356F0" w:rsidP="00A02BDE">
      <w:pPr>
        <w:pStyle w:val="Prrafodelista"/>
        <w:numPr>
          <w:ilvl w:val="0"/>
          <w:numId w:val="22"/>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Concientización a los usuarios del uso de herramientas de Cloud para almacenar datos de la institución para mayor seguridad.</w:t>
      </w:r>
    </w:p>
    <w:p w14:paraId="5D11C80F" w14:textId="6BD33800" w:rsidR="00C356F0" w:rsidRPr="00A4233F" w:rsidRDefault="00C356F0" w:rsidP="00A02BDE">
      <w:pPr>
        <w:pStyle w:val="Prrafodelista"/>
        <w:numPr>
          <w:ilvl w:val="0"/>
          <w:numId w:val="22"/>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Migración de backups </w:t>
      </w:r>
      <w:r w:rsidR="00E27EB1" w:rsidRPr="00A4233F">
        <w:rPr>
          <w:rFonts w:ascii="Times New Roman" w:eastAsia="Calibri" w:hAnsi="Times New Roman" w:cs="Times New Roman"/>
          <w:color w:val="4C4747"/>
          <w:spacing w:val="20"/>
          <w:sz w:val="24"/>
          <w:szCs w:val="24"/>
          <w:lang w:val="es-DO"/>
        </w:rPr>
        <w:t>físicos</w:t>
      </w:r>
      <w:r w:rsidRPr="00A4233F">
        <w:rPr>
          <w:rFonts w:ascii="Times New Roman" w:eastAsia="Calibri" w:hAnsi="Times New Roman" w:cs="Times New Roman"/>
          <w:color w:val="4C4747"/>
          <w:spacing w:val="20"/>
          <w:sz w:val="24"/>
          <w:szCs w:val="24"/>
          <w:lang w:val="es-DO"/>
        </w:rPr>
        <w:t xml:space="preserve"> al servidor NAS.</w:t>
      </w:r>
    </w:p>
    <w:p w14:paraId="1AE95F1F" w14:textId="7B0A572C" w:rsidR="00FE3890" w:rsidRPr="00A4233F" w:rsidRDefault="00C356F0" w:rsidP="00A02BDE">
      <w:pPr>
        <w:pStyle w:val="Prrafodelista"/>
        <w:numPr>
          <w:ilvl w:val="0"/>
          <w:numId w:val="22"/>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Adquisición de 100 laptops para el reemplazo y/o actualización de equipos a los colaboradores</w:t>
      </w:r>
      <w:r w:rsidR="00E27EB1" w:rsidRPr="00A4233F">
        <w:rPr>
          <w:rFonts w:ascii="Times New Roman" w:eastAsia="Calibri" w:hAnsi="Times New Roman" w:cs="Times New Roman"/>
          <w:color w:val="4C4747"/>
          <w:spacing w:val="20"/>
          <w:sz w:val="24"/>
          <w:szCs w:val="24"/>
          <w:lang w:val="es-DO"/>
        </w:rPr>
        <w:t xml:space="preserve">  y las colaboradoras</w:t>
      </w:r>
      <w:r w:rsidRPr="00A4233F">
        <w:rPr>
          <w:rFonts w:ascii="Times New Roman" w:eastAsia="Calibri" w:hAnsi="Times New Roman" w:cs="Times New Roman"/>
          <w:color w:val="4C4747"/>
          <w:spacing w:val="20"/>
          <w:sz w:val="24"/>
          <w:szCs w:val="24"/>
          <w:lang w:val="es-DO"/>
        </w:rPr>
        <w:t xml:space="preserve"> para la mejora de su labor.</w:t>
      </w:r>
    </w:p>
    <w:p w14:paraId="1B212BF3" w14:textId="77777777" w:rsidR="00C356F0" w:rsidRPr="00A4233F" w:rsidRDefault="00C356F0" w:rsidP="00C32B33">
      <w:pPr>
        <w:spacing w:before="240"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Estas gráficas son parte de los reportes que brinda el sistema FreshDesk, donde podemos monitorear la frecuencia y el volumen de los tickets resueltos.</w:t>
      </w:r>
    </w:p>
    <w:p w14:paraId="629FD853" w14:textId="77777777" w:rsidR="00C356F0" w:rsidRPr="00C62BB6" w:rsidRDefault="00C356F0" w:rsidP="00C32B33">
      <w:pPr>
        <w:spacing w:before="240" w:after="0"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Tendencia de volumen de tickets</w:t>
      </w:r>
    </w:p>
    <w:p w14:paraId="7015C248" w14:textId="77777777" w:rsidR="00E27EB1" w:rsidRPr="00C62BB6" w:rsidRDefault="00E27EB1" w:rsidP="00943FA5">
      <w:pPr>
        <w:spacing w:after="0" w:line="360" w:lineRule="auto"/>
        <w:jc w:val="both"/>
        <w:rPr>
          <w:rFonts w:ascii="Times New Roman" w:eastAsia="Calibri" w:hAnsi="Times New Roman" w:cs="Times New Roman"/>
          <w:color w:val="4C4747"/>
          <w:spacing w:val="20"/>
          <w:sz w:val="24"/>
          <w:szCs w:val="24"/>
          <w:lang w:val="es-DO"/>
        </w:rPr>
      </w:pPr>
    </w:p>
    <w:p w14:paraId="51D1752C" w14:textId="7D278492" w:rsidR="00C356F0" w:rsidRPr="00E279ED"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E279ED">
        <w:rPr>
          <w:rFonts w:ascii="Times New Roman" w:eastAsia="Calibri" w:hAnsi="Times New Roman" w:cs="Times New Roman"/>
          <w:noProof/>
          <w:color w:val="4C4747"/>
          <w:spacing w:val="20"/>
          <w:sz w:val="24"/>
          <w:szCs w:val="24"/>
        </w:rPr>
        <w:drawing>
          <wp:inline distT="0" distB="0" distL="0" distR="0" wp14:anchorId="52AAD696" wp14:editId="3EAD3E61">
            <wp:extent cx="4947313" cy="1693470"/>
            <wp:effectExtent l="19050" t="19050" r="24765" b="21590"/>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56066" cy="1696466"/>
                    </a:xfrm>
                    <a:prstGeom prst="rect">
                      <a:avLst/>
                    </a:prstGeom>
                    <a:ln>
                      <a:solidFill>
                        <a:schemeClr val="bg1">
                          <a:lumMod val="50000"/>
                        </a:schemeClr>
                      </a:solidFill>
                    </a:ln>
                  </pic:spPr>
                </pic:pic>
              </a:graphicData>
            </a:graphic>
          </wp:inline>
        </w:drawing>
      </w:r>
    </w:p>
    <w:p w14:paraId="511EB693" w14:textId="77777777" w:rsidR="00E27EB1" w:rsidRPr="00C62BB6" w:rsidRDefault="00E27EB1" w:rsidP="00E27EB1">
      <w:pPr>
        <w:spacing w:after="0" w:line="360" w:lineRule="auto"/>
        <w:jc w:val="both"/>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FreshDesk, mesa de ayuda. Enero – Noviembre de 2022</w:t>
      </w:r>
    </w:p>
    <w:p w14:paraId="79A52F91" w14:textId="77777777" w:rsidR="00E27EB1" w:rsidRPr="00E279ED" w:rsidRDefault="00E27EB1" w:rsidP="00943FA5">
      <w:pPr>
        <w:spacing w:after="0" w:line="360" w:lineRule="auto"/>
        <w:jc w:val="both"/>
        <w:rPr>
          <w:rFonts w:ascii="Times New Roman" w:eastAsia="Calibri" w:hAnsi="Times New Roman" w:cs="Times New Roman"/>
          <w:color w:val="4C4747"/>
          <w:spacing w:val="20"/>
          <w:sz w:val="24"/>
          <w:szCs w:val="24"/>
          <w:lang w:val="es-DO"/>
        </w:rPr>
      </w:pPr>
    </w:p>
    <w:p w14:paraId="0184A70F" w14:textId="332D9465" w:rsidR="00C356F0" w:rsidRPr="00E279ED"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E279ED">
        <w:rPr>
          <w:rFonts w:ascii="Times New Roman" w:eastAsia="Calibri" w:hAnsi="Times New Roman" w:cs="Times New Roman"/>
          <w:noProof/>
          <w:color w:val="4C4747"/>
          <w:spacing w:val="20"/>
          <w:sz w:val="24"/>
          <w:szCs w:val="24"/>
        </w:rPr>
        <w:drawing>
          <wp:inline distT="0" distB="0" distL="0" distR="0" wp14:anchorId="67AF56BD" wp14:editId="64D3A6AD">
            <wp:extent cx="4960961" cy="1593818"/>
            <wp:effectExtent l="19050" t="19050" r="11430" b="26035"/>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64751" cy="1595035"/>
                    </a:xfrm>
                    <a:prstGeom prst="rect">
                      <a:avLst/>
                    </a:prstGeom>
                    <a:ln>
                      <a:solidFill>
                        <a:schemeClr val="bg1">
                          <a:lumMod val="50000"/>
                        </a:schemeClr>
                      </a:solidFill>
                    </a:ln>
                  </pic:spPr>
                </pic:pic>
              </a:graphicData>
            </a:graphic>
          </wp:inline>
        </w:drawing>
      </w:r>
    </w:p>
    <w:p w14:paraId="7661F806" w14:textId="77777777" w:rsidR="00E27EB1" w:rsidRPr="00C62BB6" w:rsidRDefault="00E27EB1" w:rsidP="00E27EB1">
      <w:pPr>
        <w:spacing w:after="0" w:line="360" w:lineRule="auto"/>
        <w:jc w:val="both"/>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FreshDesk, mesa de ayuda. Enero – Noviembre de 2022</w:t>
      </w:r>
    </w:p>
    <w:p w14:paraId="7D3F09A5" w14:textId="77777777" w:rsidR="00E27EB1" w:rsidRPr="00E279ED" w:rsidRDefault="00E27EB1" w:rsidP="00943FA5">
      <w:pPr>
        <w:spacing w:after="0" w:line="360" w:lineRule="auto"/>
        <w:jc w:val="both"/>
        <w:rPr>
          <w:rFonts w:ascii="Times New Roman" w:eastAsia="Calibri" w:hAnsi="Times New Roman" w:cs="Times New Roman"/>
          <w:color w:val="4C4747"/>
          <w:spacing w:val="20"/>
          <w:sz w:val="24"/>
          <w:szCs w:val="24"/>
          <w:lang w:val="es-DO"/>
        </w:rPr>
      </w:pPr>
    </w:p>
    <w:p w14:paraId="60E55FCE" w14:textId="77777777" w:rsidR="00C356F0" w:rsidRPr="00E279ED"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E279ED">
        <w:rPr>
          <w:rFonts w:ascii="Times New Roman" w:eastAsia="Calibri" w:hAnsi="Times New Roman" w:cs="Times New Roman"/>
          <w:noProof/>
          <w:color w:val="4C4747"/>
          <w:spacing w:val="20"/>
          <w:sz w:val="24"/>
          <w:szCs w:val="24"/>
        </w:rPr>
        <w:lastRenderedPageBreak/>
        <w:drawing>
          <wp:inline distT="0" distB="0" distL="0" distR="0" wp14:anchorId="1D8E621A" wp14:editId="012860EC">
            <wp:extent cx="4960620" cy="1982337"/>
            <wp:effectExtent l="19050" t="19050" r="11430" b="18415"/>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74089" cy="1987719"/>
                    </a:xfrm>
                    <a:prstGeom prst="rect">
                      <a:avLst/>
                    </a:prstGeom>
                    <a:ln>
                      <a:solidFill>
                        <a:schemeClr val="bg1">
                          <a:lumMod val="50000"/>
                        </a:schemeClr>
                      </a:solidFill>
                    </a:ln>
                  </pic:spPr>
                </pic:pic>
              </a:graphicData>
            </a:graphic>
          </wp:inline>
        </w:drawing>
      </w:r>
    </w:p>
    <w:p w14:paraId="13607B18" w14:textId="77777777" w:rsidR="00E27EB1" w:rsidRPr="00C62BB6" w:rsidRDefault="00C356F0" w:rsidP="00E27EB1">
      <w:pPr>
        <w:spacing w:after="0" w:line="360" w:lineRule="auto"/>
        <w:jc w:val="both"/>
        <w:rPr>
          <w:rFonts w:ascii="Times New Roman" w:eastAsia="Calibri" w:hAnsi="Times New Roman" w:cs="Times New Roman"/>
          <w:color w:val="4C4747"/>
          <w:spacing w:val="20"/>
          <w:sz w:val="24"/>
          <w:szCs w:val="24"/>
          <w:lang w:val="es-DO"/>
        </w:rPr>
      </w:pPr>
      <w:r w:rsidRPr="00E279ED">
        <w:rPr>
          <w:rFonts w:ascii="Times New Roman" w:eastAsia="Calibri" w:hAnsi="Times New Roman" w:cs="Times New Roman"/>
          <w:b/>
          <w:color w:val="4C4747"/>
          <w:spacing w:val="20"/>
          <w:sz w:val="24"/>
          <w:szCs w:val="24"/>
          <w:lang w:val="es-DO"/>
        </w:rPr>
        <w:t xml:space="preserve"> </w:t>
      </w:r>
      <w:r w:rsidR="00E27EB1" w:rsidRPr="00C62BB6">
        <w:rPr>
          <w:rFonts w:ascii="Times New Roman" w:eastAsia="Calibri" w:hAnsi="Times New Roman" w:cs="Times New Roman"/>
          <w:b/>
          <w:color w:val="4C4747"/>
          <w:spacing w:val="20"/>
          <w:sz w:val="18"/>
          <w:szCs w:val="24"/>
          <w:lang w:val="es-DO"/>
        </w:rPr>
        <w:t>Fuente:</w:t>
      </w:r>
      <w:r w:rsidR="00E27EB1" w:rsidRPr="00C62BB6">
        <w:rPr>
          <w:rFonts w:ascii="Times New Roman" w:eastAsia="Calibri" w:hAnsi="Times New Roman" w:cs="Times New Roman"/>
          <w:color w:val="4C4747"/>
          <w:spacing w:val="20"/>
          <w:sz w:val="18"/>
          <w:szCs w:val="24"/>
          <w:lang w:val="es-DO"/>
        </w:rPr>
        <w:t xml:space="preserve"> FreshDesk, mesa de ayuda. Enero – Noviembre de 2022</w:t>
      </w:r>
    </w:p>
    <w:p w14:paraId="14BD0D31" w14:textId="77777777" w:rsidR="00C356F0" w:rsidRPr="00C62BB6" w:rsidRDefault="00C356F0" w:rsidP="00943FA5">
      <w:pPr>
        <w:spacing w:after="0" w:line="360" w:lineRule="auto"/>
        <w:jc w:val="both"/>
        <w:rPr>
          <w:rFonts w:ascii="Times New Roman" w:eastAsia="Calibri" w:hAnsi="Times New Roman" w:cs="Times New Roman"/>
          <w:color w:val="4C4747"/>
          <w:spacing w:val="20"/>
          <w:sz w:val="24"/>
          <w:szCs w:val="24"/>
          <w:lang w:val="es-DO"/>
        </w:rPr>
      </w:pPr>
    </w:p>
    <w:p w14:paraId="05F2DF6A" w14:textId="051AE992" w:rsidR="00FE3890" w:rsidRPr="00A4233F" w:rsidRDefault="00C356F0" w:rsidP="00943FA5">
      <w:pPr>
        <w:spacing w:after="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Sistemas y Aplicaciones</w:t>
      </w:r>
    </w:p>
    <w:p w14:paraId="7796DA25" w14:textId="77777777"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Se implementó la herramienta de Azure Devops para la gestión de software, la cual ayudó a la documentación de repositorios de los proyectos internamente desarrollados en la institución. </w:t>
      </w:r>
    </w:p>
    <w:p w14:paraId="713BB7B9" w14:textId="58F88649"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Se realizó el rediseño de la </w:t>
      </w:r>
      <w:r w:rsidR="008D55B2" w:rsidRPr="00A4233F">
        <w:rPr>
          <w:rFonts w:ascii="Times New Roman" w:eastAsia="Calibri" w:hAnsi="Times New Roman" w:cs="Times New Roman"/>
          <w:color w:val="4C4747"/>
          <w:spacing w:val="20"/>
          <w:sz w:val="24"/>
          <w:szCs w:val="24"/>
          <w:lang w:val="es-DO"/>
        </w:rPr>
        <w:t>App</w:t>
      </w:r>
      <w:r w:rsidRPr="00A4233F">
        <w:rPr>
          <w:rFonts w:ascii="Times New Roman" w:eastAsia="Calibri" w:hAnsi="Times New Roman" w:cs="Times New Roman"/>
          <w:color w:val="4C4747"/>
          <w:spacing w:val="20"/>
          <w:sz w:val="24"/>
          <w:szCs w:val="24"/>
          <w:lang w:val="es-DO"/>
        </w:rPr>
        <w:t xml:space="preserve"> móvil del INDOTEL.</w:t>
      </w:r>
    </w:p>
    <w:p w14:paraId="1B041ED5" w14:textId="0AE1423B"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strike/>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Se realizaron reportes e indicadores interactivos para el proyecto de Conectar a los No Conectados del </w:t>
      </w:r>
      <w:r w:rsidR="00B855AA" w:rsidRPr="00A4233F">
        <w:rPr>
          <w:rFonts w:ascii="Times New Roman" w:eastAsia="Calibri" w:hAnsi="Times New Roman" w:cs="Times New Roman"/>
          <w:color w:val="4C4747"/>
          <w:spacing w:val="20"/>
          <w:sz w:val="24"/>
          <w:szCs w:val="24"/>
          <w:lang w:val="es-DO"/>
        </w:rPr>
        <w:t>Plan Bianual de Proyectos de Desarrollo 2021-</w:t>
      </w:r>
      <w:r w:rsidR="00481014" w:rsidRPr="00A4233F">
        <w:rPr>
          <w:rFonts w:ascii="Times New Roman" w:eastAsia="Calibri" w:hAnsi="Times New Roman" w:cs="Times New Roman"/>
          <w:color w:val="4C4747"/>
          <w:spacing w:val="20"/>
          <w:sz w:val="24"/>
          <w:szCs w:val="24"/>
          <w:lang w:val="es-DO"/>
        </w:rPr>
        <w:t>2022.</w:t>
      </w:r>
    </w:p>
    <w:p w14:paraId="081F9724" w14:textId="77777777"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realizó la migración de tecnología de los Portales Web del INDOTEL para fortalecer la seguridad.</w:t>
      </w:r>
    </w:p>
    <w:p w14:paraId="3EF5F7AD" w14:textId="34349850"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automatizó el proceso de solicitud de capacitaciones internas mediante la c</w:t>
      </w:r>
      <w:r w:rsidR="00E27EB1" w:rsidRPr="00A4233F">
        <w:rPr>
          <w:rFonts w:ascii="Times New Roman" w:eastAsia="Calibri" w:hAnsi="Times New Roman" w:cs="Times New Roman"/>
          <w:color w:val="4C4747"/>
          <w:spacing w:val="20"/>
          <w:sz w:val="24"/>
          <w:szCs w:val="24"/>
          <w:lang w:val="es-DO"/>
        </w:rPr>
        <w:t>reación de un módulo de c</w:t>
      </w:r>
      <w:r w:rsidRPr="00A4233F">
        <w:rPr>
          <w:rFonts w:ascii="Times New Roman" w:eastAsia="Calibri" w:hAnsi="Times New Roman" w:cs="Times New Roman"/>
          <w:color w:val="4C4747"/>
          <w:spacing w:val="20"/>
          <w:sz w:val="24"/>
          <w:szCs w:val="24"/>
          <w:lang w:val="es-DO"/>
        </w:rPr>
        <w:t>apaci</w:t>
      </w:r>
      <w:r w:rsidR="00E27EB1" w:rsidRPr="00A4233F">
        <w:rPr>
          <w:rFonts w:ascii="Times New Roman" w:eastAsia="Calibri" w:hAnsi="Times New Roman" w:cs="Times New Roman"/>
          <w:color w:val="4C4747"/>
          <w:spacing w:val="20"/>
          <w:sz w:val="24"/>
          <w:szCs w:val="24"/>
          <w:lang w:val="es-DO"/>
        </w:rPr>
        <w:t>taciones el cual permite a los directores, encargados y s</w:t>
      </w:r>
      <w:r w:rsidRPr="00A4233F">
        <w:rPr>
          <w:rFonts w:ascii="Times New Roman" w:eastAsia="Calibri" w:hAnsi="Times New Roman" w:cs="Times New Roman"/>
          <w:color w:val="4C4747"/>
          <w:spacing w:val="20"/>
          <w:sz w:val="24"/>
          <w:szCs w:val="24"/>
          <w:lang w:val="es-DO"/>
        </w:rPr>
        <w:t>upervisores solicitar capacitaciones para múltiple</w:t>
      </w:r>
      <w:r w:rsidR="00E27EB1" w:rsidRPr="00A4233F">
        <w:rPr>
          <w:rFonts w:ascii="Times New Roman" w:eastAsia="Calibri" w:hAnsi="Times New Roman" w:cs="Times New Roman"/>
          <w:color w:val="4C4747"/>
          <w:spacing w:val="20"/>
          <w:sz w:val="24"/>
          <w:szCs w:val="24"/>
          <w:lang w:val="es-DO"/>
        </w:rPr>
        <w:t>s colaboradores dentro de cada dirección y/o departamento.</w:t>
      </w:r>
    </w:p>
    <w:p w14:paraId="7D2B7924" w14:textId="60C3FA38"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encuentra en proceso de desarrollo el sistema de gestión interna ERP (Sistema de Planificación de Recursos)</w:t>
      </w:r>
      <w:r w:rsidR="00E27EB1" w:rsidRPr="00A4233F">
        <w:rPr>
          <w:rFonts w:ascii="Times New Roman" w:eastAsia="Calibri" w:hAnsi="Times New Roman" w:cs="Times New Roman"/>
          <w:color w:val="4C4747"/>
          <w:spacing w:val="20"/>
          <w:sz w:val="24"/>
          <w:szCs w:val="24"/>
          <w:lang w:val="es-DO"/>
        </w:rPr>
        <w:t>.</w:t>
      </w:r>
    </w:p>
    <w:p w14:paraId="07D35D5B" w14:textId="387FF740"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encuentra en proceso de desarrollo el Sistema de Manejo de clientes CRM (Cu</w:t>
      </w:r>
      <w:r w:rsidR="008D55B2" w:rsidRPr="00A4233F">
        <w:rPr>
          <w:rFonts w:ascii="Times New Roman" w:eastAsia="Calibri" w:hAnsi="Times New Roman" w:cs="Times New Roman"/>
          <w:color w:val="4C4747"/>
          <w:spacing w:val="20"/>
          <w:sz w:val="24"/>
          <w:szCs w:val="24"/>
          <w:lang w:val="es-DO"/>
        </w:rPr>
        <w:t>stomer Relationship M</w:t>
      </w:r>
      <w:r w:rsidR="00E27EB1" w:rsidRPr="00A4233F">
        <w:rPr>
          <w:rFonts w:ascii="Times New Roman" w:eastAsia="Calibri" w:hAnsi="Times New Roman" w:cs="Times New Roman"/>
          <w:color w:val="4C4747"/>
          <w:spacing w:val="20"/>
          <w:sz w:val="24"/>
          <w:szCs w:val="24"/>
          <w:lang w:val="es-DO"/>
        </w:rPr>
        <w:t>anagement).</w:t>
      </w:r>
    </w:p>
    <w:p w14:paraId="52B12886" w14:textId="77777777"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 xml:space="preserve">Se encuentra en proceso de Diseño y Desarrollo de Bodega de Datos de Gazella Office DWH. </w:t>
      </w:r>
    </w:p>
    <w:p w14:paraId="716C8CEB" w14:textId="0ABAE20C"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encuentra en proceso de desarrollo el Sistema</w:t>
      </w:r>
      <w:r w:rsidR="00E27EB1" w:rsidRPr="00A4233F">
        <w:rPr>
          <w:rFonts w:ascii="Times New Roman" w:eastAsia="Calibri" w:hAnsi="Times New Roman" w:cs="Times New Roman"/>
          <w:color w:val="4C4747"/>
          <w:spacing w:val="20"/>
          <w:sz w:val="24"/>
          <w:szCs w:val="24"/>
          <w:lang w:val="es-DO"/>
        </w:rPr>
        <w:t xml:space="preserve"> de Estadísticas de Gazella DMS.</w:t>
      </w:r>
    </w:p>
    <w:p w14:paraId="6C671751" w14:textId="77777777"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desarrolló una nueva aplicación y un nuevo portal de Series Negadas.</w:t>
      </w:r>
    </w:p>
    <w:p w14:paraId="49F679AF" w14:textId="77777777"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está desarrollando una aplicación web de consulta para las beneficiarias del Proyecto de Desarrollo Canasta Digital implementado con el Fondo de Desarrollo de las Telecomunicaciones.</w:t>
      </w:r>
    </w:p>
    <w:p w14:paraId="0FA700C6" w14:textId="77777777"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está desarrollando una aplicación para el manejo de las informaciones estadísticas que se reciben de las prestadoras, con la finalidad de que se automaticen los reportes estadísticos con la información recibida.</w:t>
      </w:r>
    </w:p>
    <w:p w14:paraId="14D56960" w14:textId="77777777"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está desarrollando un portal web como parte del proyecto de Televisión Terrestre Digital que servirá como vía de consulta por parte de los beneficiarios.</w:t>
      </w:r>
    </w:p>
    <w:p w14:paraId="5A383940" w14:textId="77777777"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lanzó una INTRANET que permita a los empleados tener acceso a todos los servicios que ofrece la institución a los colaboradores (incluye volantes de pagos, histórico de pagos, reporte de empleados en Power BI, solicitud de capacitaciones, solicitud de mensajería interna y externa, reserva de salones, consulta GSMA), todo esto referente al mismo empleado.</w:t>
      </w:r>
    </w:p>
    <w:p w14:paraId="2A3F039A" w14:textId="0646ED59" w:rsidR="00C356F0" w:rsidRPr="00A4233F" w:rsidRDefault="00C356F0" w:rsidP="00A02BDE">
      <w:pPr>
        <w:pStyle w:val="Prrafodelista"/>
        <w:numPr>
          <w:ilvl w:val="0"/>
          <w:numId w:val="23"/>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está desarrollando una aplicación móvil para uso del área de mensajería con el fin de eficientizar la recepción de la documentación enviada a través de los mensajeros externos e Internos</w:t>
      </w:r>
      <w:r w:rsidR="00F245FB" w:rsidRPr="00A4233F">
        <w:rPr>
          <w:rFonts w:ascii="Times New Roman" w:eastAsia="Calibri" w:hAnsi="Times New Roman" w:cs="Times New Roman"/>
          <w:color w:val="4C4747"/>
          <w:spacing w:val="20"/>
          <w:sz w:val="24"/>
          <w:szCs w:val="24"/>
          <w:lang w:val="es-DO"/>
        </w:rPr>
        <w:t>.</w:t>
      </w:r>
    </w:p>
    <w:p w14:paraId="7EB67B17" w14:textId="77777777" w:rsidR="00481014" w:rsidRDefault="00481014" w:rsidP="00481014">
      <w:pPr>
        <w:pStyle w:val="Prrafodelista"/>
        <w:spacing w:after="0" w:line="360" w:lineRule="auto"/>
        <w:jc w:val="both"/>
        <w:rPr>
          <w:rFonts w:ascii="Times New Roman" w:eastAsia="Calibri" w:hAnsi="Times New Roman" w:cs="Times New Roman"/>
          <w:color w:val="4C4747"/>
          <w:spacing w:val="20"/>
          <w:sz w:val="24"/>
          <w:szCs w:val="24"/>
          <w:lang w:val="es-DO"/>
        </w:rPr>
      </w:pPr>
    </w:p>
    <w:p w14:paraId="746CC05D" w14:textId="77777777" w:rsidR="00F65C89" w:rsidRDefault="00F65C89" w:rsidP="00481014">
      <w:pPr>
        <w:pStyle w:val="Prrafodelista"/>
        <w:spacing w:after="0" w:line="360" w:lineRule="auto"/>
        <w:jc w:val="both"/>
        <w:rPr>
          <w:rFonts w:ascii="Times New Roman" w:eastAsia="Calibri" w:hAnsi="Times New Roman" w:cs="Times New Roman"/>
          <w:color w:val="4C4747"/>
          <w:spacing w:val="20"/>
          <w:sz w:val="24"/>
          <w:szCs w:val="24"/>
          <w:lang w:val="es-DO"/>
        </w:rPr>
      </w:pPr>
    </w:p>
    <w:p w14:paraId="0B1CB264" w14:textId="77777777" w:rsidR="00F65C89" w:rsidRPr="00A4233F" w:rsidRDefault="00F65C89" w:rsidP="00481014">
      <w:pPr>
        <w:pStyle w:val="Prrafodelista"/>
        <w:spacing w:after="0" w:line="360" w:lineRule="auto"/>
        <w:jc w:val="both"/>
        <w:rPr>
          <w:rFonts w:ascii="Times New Roman" w:eastAsia="Calibri" w:hAnsi="Times New Roman" w:cs="Times New Roman"/>
          <w:color w:val="4C4747"/>
          <w:spacing w:val="20"/>
          <w:sz w:val="24"/>
          <w:szCs w:val="24"/>
          <w:lang w:val="es-DO"/>
        </w:rPr>
      </w:pPr>
    </w:p>
    <w:p w14:paraId="4E79EEAE" w14:textId="77777777" w:rsidR="00C356F0" w:rsidRPr="00A4233F" w:rsidRDefault="00C356F0" w:rsidP="00943FA5">
      <w:pPr>
        <w:spacing w:after="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lastRenderedPageBreak/>
        <w:t>Certificaciones NORTIC</w:t>
      </w:r>
    </w:p>
    <w:p w14:paraId="36C66AD8" w14:textId="77777777" w:rsidR="00C356F0" w:rsidRPr="00A4233F" w:rsidRDefault="00C356F0" w:rsidP="00A02BDE">
      <w:pPr>
        <w:pStyle w:val="Prrafodelista"/>
        <w:numPr>
          <w:ilvl w:val="0"/>
          <w:numId w:val="24"/>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NORTIC A3 se realizó la recertificación de la normativa.</w:t>
      </w:r>
    </w:p>
    <w:p w14:paraId="74FDADF1" w14:textId="77777777" w:rsidR="00C356F0" w:rsidRPr="00A4233F" w:rsidRDefault="00C356F0" w:rsidP="00A02BDE">
      <w:pPr>
        <w:pStyle w:val="Prrafodelista"/>
        <w:numPr>
          <w:ilvl w:val="0"/>
          <w:numId w:val="24"/>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NORTIC A2 se encuentra en proceso de recertificación. </w:t>
      </w:r>
    </w:p>
    <w:p w14:paraId="438277E6" w14:textId="339525B6" w:rsidR="003A41E6" w:rsidRPr="00A4233F" w:rsidRDefault="00C356F0" w:rsidP="00A02BDE">
      <w:pPr>
        <w:pStyle w:val="Prrafodelista"/>
        <w:numPr>
          <w:ilvl w:val="0"/>
          <w:numId w:val="24"/>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NORTIC A5 se encuentra en proceso de certificación.</w:t>
      </w:r>
    </w:p>
    <w:p w14:paraId="7C26E803" w14:textId="77777777" w:rsidR="00C356F0" w:rsidRPr="00A4233F" w:rsidRDefault="00C356F0" w:rsidP="00C32B33">
      <w:pPr>
        <w:spacing w:before="240" w:after="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 xml:space="preserve">Procedimientos de Gestión de TI </w:t>
      </w:r>
    </w:p>
    <w:p w14:paraId="7B9FC58E" w14:textId="77777777" w:rsidR="00C356F0" w:rsidRPr="00A4233F" w:rsidRDefault="00C356F0" w:rsidP="00A02BDE">
      <w:pPr>
        <w:pStyle w:val="Prrafodelista"/>
        <w:numPr>
          <w:ilvl w:val="0"/>
          <w:numId w:val="24"/>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Se realizó el Plan de Continuidad de Servicios de TI </w:t>
      </w:r>
    </w:p>
    <w:p w14:paraId="3B6ACC33" w14:textId="46AA16AD" w:rsidR="00C356F0" w:rsidRPr="00A4233F" w:rsidRDefault="00C356F0" w:rsidP="00A02BDE">
      <w:pPr>
        <w:pStyle w:val="Prrafodelista"/>
        <w:numPr>
          <w:ilvl w:val="0"/>
          <w:numId w:val="24"/>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conformó el CONT</w:t>
      </w:r>
      <w:r w:rsidR="0023702B" w:rsidRPr="00A4233F">
        <w:rPr>
          <w:rFonts w:ascii="Times New Roman" w:eastAsia="Calibri" w:hAnsi="Times New Roman" w:cs="Times New Roman"/>
          <w:color w:val="4C4747"/>
          <w:spacing w:val="20"/>
          <w:sz w:val="24"/>
          <w:szCs w:val="24"/>
          <w:lang w:val="es-DO"/>
        </w:rPr>
        <w:t>I (Comité de Continuidad en el S</w:t>
      </w:r>
      <w:r w:rsidRPr="00A4233F">
        <w:rPr>
          <w:rFonts w:ascii="Times New Roman" w:eastAsia="Calibri" w:hAnsi="Times New Roman" w:cs="Times New Roman"/>
          <w:color w:val="4C4747"/>
          <w:spacing w:val="20"/>
          <w:sz w:val="24"/>
          <w:szCs w:val="24"/>
          <w:lang w:val="es-DO"/>
        </w:rPr>
        <w:t>ervicio de TI)</w:t>
      </w:r>
    </w:p>
    <w:p w14:paraId="0B28A4DC" w14:textId="77777777" w:rsidR="00C356F0" w:rsidRPr="00A4233F" w:rsidRDefault="00C356F0" w:rsidP="00A02BDE">
      <w:pPr>
        <w:pStyle w:val="Prrafodelista"/>
        <w:numPr>
          <w:ilvl w:val="0"/>
          <w:numId w:val="24"/>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Se realizó una política para la Destrucción y Eliminación de equipos físicos. </w:t>
      </w:r>
    </w:p>
    <w:p w14:paraId="0634D699" w14:textId="0E840F88" w:rsidR="0023702B" w:rsidRPr="00A4233F" w:rsidRDefault="00C356F0" w:rsidP="00A02BDE">
      <w:pPr>
        <w:pStyle w:val="Prrafodelista"/>
        <w:numPr>
          <w:ilvl w:val="0"/>
          <w:numId w:val="24"/>
        </w:num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Creación de las políticas de usuario.</w:t>
      </w:r>
    </w:p>
    <w:p w14:paraId="37C78BD3" w14:textId="77777777" w:rsidR="00C356F0" w:rsidRPr="00A4233F" w:rsidRDefault="00C356F0" w:rsidP="00C32B33">
      <w:pPr>
        <w:spacing w:before="240" w:after="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Índice de Uso de TIC e Implementación de Gobierno Electrónico (ITICGE)</w:t>
      </w:r>
    </w:p>
    <w:p w14:paraId="7D4BEF19" w14:textId="77777777" w:rsidR="00C356F0" w:rsidRPr="00A4233F"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 continuación, detallamos los subindicadores del ITICGE y la calificación obtenida por la institución:</w:t>
      </w:r>
    </w:p>
    <w:p w14:paraId="65207CEE" w14:textId="77777777" w:rsidR="00C356F0" w:rsidRPr="00A4233F"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La institución obtuvo en la primera evaluación del año 2022 una puntuación de un 78.75 % a la fecha en el Índice de Uso de TIC para la implementación de Gobierno Electrónico. De acuerdo con las calificaciones publicadas este es el detalle del año:</w:t>
      </w:r>
    </w:p>
    <w:tbl>
      <w:tblPr>
        <w:tblW w:w="7910" w:type="dxa"/>
        <w:tblLayout w:type="fixed"/>
        <w:tblLook w:val="04A0" w:firstRow="1" w:lastRow="0" w:firstColumn="1" w:lastColumn="0" w:noHBand="0" w:noVBand="1"/>
      </w:tblPr>
      <w:tblGrid>
        <w:gridCol w:w="4580"/>
        <w:gridCol w:w="1710"/>
        <w:gridCol w:w="1620"/>
      </w:tblGrid>
      <w:tr w:rsidR="00C356F0" w:rsidRPr="00376423" w14:paraId="15802A18" w14:textId="77777777" w:rsidTr="00C32B33">
        <w:trPr>
          <w:trHeight w:val="457"/>
        </w:trPr>
        <w:tc>
          <w:tcPr>
            <w:tcW w:w="7910" w:type="dxa"/>
            <w:gridSpan w:val="3"/>
            <w:tcBorders>
              <w:top w:val="single" w:sz="8" w:space="0" w:color="auto"/>
              <w:left w:val="single" w:sz="8" w:space="0" w:color="auto"/>
              <w:bottom w:val="single" w:sz="8" w:space="0" w:color="auto"/>
              <w:right w:val="single" w:sz="8" w:space="0" w:color="auto"/>
            </w:tcBorders>
            <w:shd w:val="clear" w:color="auto" w:fill="002060"/>
          </w:tcPr>
          <w:p w14:paraId="2A659133" w14:textId="68D37E34" w:rsidR="00C356F0" w:rsidRPr="00C62BB6" w:rsidRDefault="00C356F0" w:rsidP="00C32B33">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Sistema de Medición Continua de Avance TI</w:t>
            </w:r>
            <w:r w:rsidR="00C32B33" w:rsidRPr="00C62BB6">
              <w:rPr>
                <w:rFonts w:ascii="Times New Roman" w:eastAsia="Calibri" w:hAnsi="Times New Roman" w:cs="Times New Roman"/>
                <w:b/>
                <w:color w:val="FFFFFF" w:themeColor="background1"/>
                <w:spacing w:val="20"/>
                <w:sz w:val="24"/>
                <w:szCs w:val="24"/>
                <w:lang w:val="es-DO"/>
              </w:rPr>
              <w:t xml:space="preserve">C y e-Gobierno </w:t>
            </w:r>
          </w:p>
        </w:tc>
      </w:tr>
      <w:tr w:rsidR="00C356F0" w:rsidRPr="00256209" w14:paraId="397C3B2B" w14:textId="77777777" w:rsidTr="00C62BB6">
        <w:trPr>
          <w:trHeight w:val="315"/>
        </w:trPr>
        <w:tc>
          <w:tcPr>
            <w:tcW w:w="4580" w:type="dxa"/>
            <w:tcBorders>
              <w:top w:val="single" w:sz="8" w:space="0" w:color="auto"/>
              <w:left w:val="single" w:sz="8" w:space="0" w:color="auto"/>
              <w:bottom w:val="single" w:sz="8" w:space="0" w:color="auto"/>
              <w:right w:val="single" w:sz="8" w:space="0" w:color="auto"/>
            </w:tcBorders>
            <w:shd w:val="clear" w:color="auto" w:fill="002060"/>
            <w:vAlign w:val="center"/>
          </w:tcPr>
          <w:p w14:paraId="70DBA904" w14:textId="77777777" w:rsidR="00C356F0" w:rsidRPr="00C62BB6" w:rsidRDefault="00C356F0" w:rsidP="00943FA5">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Sub-Indicador</w:t>
            </w:r>
          </w:p>
        </w:tc>
        <w:tc>
          <w:tcPr>
            <w:tcW w:w="1710" w:type="dxa"/>
            <w:tcBorders>
              <w:top w:val="nil"/>
              <w:left w:val="single" w:sz="8" w:space="0" w:color="auto"/>
              <w:bottom w:val="single" w:sz="8" w:space="0" w:color="auto"/>
              <w:right w:val="single" w:sz="8" w:space="0" w:color="auto"/>
            </w:tcBorders>
            <w:shd w:val="clear" w:color="auto" w:fill="002060"/>
            <w:vAlign w:val="center"/>
          </w:tcPr>
          <w:p w14:paraId="35EFF78A" w14:textId="77777777" w:rsidR="00C356F0" w:rsidRPr="00C62BB6" w:rsidRDefault="00C356F0" w:rsidP="00943FA5">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Puntuación</w:t>
            </w:r>
            <w:r w:rsidRPr="00C62BB6">
              <w:rPr>
                <w:rFonts w:ascii="Times New Roman" w:eastAsia="Calibri" w:hAnsi="Times New Roman" w:cs="Times New Roman"/>
                <w:b/>
                <w:color w:val="FFFFFF" w:themeColor="background1"/>
                <w:spacing w:val="20"/>
                <w:sz w:val="24"/>
                <w:szCs w:val="24"/>
                <w:lang w:val="es-DO"/>
              </w:rPr>
              <w:br/>
              <w:t xml:space="preserve"> ITICGE</w:t>
            </w:r>
          </w:p>
        </w:tc>
        <w:tc>
          <w:tcPr>
            <w:tcW w:w="1620" w:type="dxa"/>
            <w:tcBorders>
              <w:top w:val="nil"/>
              <w:left w:val="single" w:sz="8" w:space="0" w:color="auto"/>
              <w:bottom w:val="single" w:sz="8" w:space="0" w:color="auto"/>
              <w:right w:val="single" w:sz="8" w:space="0" w:color="auto"/>
            </w:tcBorders>
            <w:shd w:val="clear" w:color="auto" w:fill="002060"/>
            <w:vAlign w:val="center"/>
          </w:tcPr>
          <w:p w14:paraId="51F830FD" w14:textId="77777777" w:rsidR="00C356F0" w:rsidRPr="00C62BB6" w:rsidRDefault="00C356F0" w:rsidP="00943FA5">
            <w:pPr>
              <w:spacing w:after="0" w:line="360" w:lineRule="auto"/>
              <w:jc w:val="center"/>
              <w:rPr>
                <w:rFonts w:ascii="Times New Roman" w:eastAsia="Calibri" w:hAnsi="Times New Roman" w:cs="Times New Roman"/>
                <w:b/>
                <w:color w:val="FFFFFF" w:themeColor="background1"/>
                <w:spacing w:val="20"/>
                <w:sz w:val="24"/>
                <w:szCs w:val="24"/>
                <w:lang w:val="es-DO"/>
              </w:rPr>
            </w:pPr>
            <w:r w:rsidRPr="00C62BB6">
              <w:rPr>
                <w:rFonts w:ascii="Times New Roman" w:eastAsia="Calibri" w:hAnsi="Times New Roman" w:cs="Times New Roman"/>
                <w:b/>
                <w:color w:val="FFFFFF" w:themeColor="background1"/>
                <w:spacing w:val="20"/>
                <w:sz w:val="24"/>
                <w:szCs w:val="24"/>
                <w:lang w:val="es-DO"/>
              </w:rPr>
              <w:t>Puntuación INDOTEL</w:t>
            </w:r>
          </w:p>
        </w:tc>
      </w:tr>
      <w:tr w:rsidR="00C62BB6" w:rsidRPr="00C62BB6" w14:paraId="6FC017FA" w14:textId="77777777" w:rsidTr="00C62BB6">
        <w:trPr>
          <w:trHeight w:val="315"/>
        </w:trPr>
        <w:tc>
          <w:tcPr>
            <w:tcW w:w="4580" w:type="dxa"/>
            <w:tcBorders>
              <w:top w:val="single" w:sz="8" w:space="0" w:color="auto"/>
              <w:left w:val="single" w:sz="8" w:space="0" w:color="auto"/>
              <w:bottom w:val="single" w:sz="8" w:space="0" w:color="auto"/>
              <w:right w:val="single" w:sz="8" w:space="0" w:color="auto"/>
            </w:tcBorders>
            <w:vAlign w:val="center"/>
          </w:tcPr>
          <w:p w14:paraId="6DF6B19E" w14:textId="77777777" w:rsidR="00C356F0" w:rsidRPr="00A4233F"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Uso de las TIC</w:t>
            </w:r>
          </w:p>
        </w:tc>
        <w:tc>
          <w:tcPr>
            <w:tcW w:w="1710" w:type="dxa"/>
            <w:tcBorders>
              <w:top w:val="single" w:sz="8" w:space="0" w:color="auto"/>
              <w:left w:val="single" w:sz="8" w:space="0" w:color="auto"/>
              <w:bottom w:val="single" w:sz="8" w:space="0" w:color="auto"/>
              <w:right w:val="single" w:sz="8" w:space="0" w:color="auto"/>
            </w:tcBorders>
            <w:vAlign w:val="center"/>
          </w:tcPr>
          <w:p w14:paraId="2C08E1CD" w14:textId="77777777" w:rsidR="00C356F0" w:rsidRPr="00A4233F" w:rsidRDefault="00C356F0" w:rsidP="00E279ED">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25</w:t>
            </w:r>
          </w:p>
        </w:tc>
        <w:tc>
          <w:tcPr>
            <w:tcW w:w="1620" w:type="dxa"/>
            <w:tcBorders>
              <w:top w:val="single" w:sz="8" w:space="0" w:color="auto"/>
              <w:left w:val="single" w:sz="8" w:space="0" w:color="auto"/>
              <w:bottom w:val="single" w:sz="8" w:space="0" w:color="auto"/>
              <w:right w:val="single" w:sz="8" w:space="0" w:color="auto"/>
            </w:tcBorders>
            <w:vAlign w:val="center"/>
          </w:tcPr>
          <w:p w14:paraId="6BCB426C" w14:textId="77777777" w:rsidR="00C356F0" w:rsidRPr="00A4233F" w:rsidRDefault="00C356F0" w:rsidP="00E279ED">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19.00</w:t>
            </w:r>
          </w:p>
        </w:tc>
      </w:tr>
      <w:tr w:rsidR="00C62BB6" w:rsidRPr="00C62BB6" w14:paraId="7F5D3874" w14:textId="77777777" w:rsidTr="00C62BB6">
        <w:trPr>
          <w:trHeight w:val="375"/>
        </w:trPr>
        <w:tc>
          <w:tcPr>
            <w:tcW w:w="4580" w:type="dxa"/>
            <w:tcBorders>
              <w:top w:val="single" w:sz="8" w:space="0" w:color="auto"/>
              <w:left w:val="single" w:sz="8" w:space="0" w:color="auto"/>
              <w:bottom w:val="single" w:sz="8" w:space="0" w:color="auto"/>
              <w:right w:val="single" w:sz="8" w:space="0" w:color="auto"/>
            </w:tcBorders>
            <w:vAlign w:val="center"/>
          </w:tcPr>
          <w:p w14:paraId="3764BDA5" w14:textId="77777777" w:rsidR="00C356F0" w:rsidRPr="00A4233F"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Implementación de e-GOB</w:t>
            </w:r>
          </w:p>
        </w:tc>
        <w:tc>
          <w:tcPr>
            <w:tcW w:w="1710" w:type="dxa"/>
            <w:tcBorders>
              <w:top w:val="single" w:sz="8" w:space="0" w:color="auto"/>
              <w:left w:val="single" w:sz="8" w:space="0" w:color="auto"/>
              <w:bottom w:val="single" w:sz="8" w:space="0" w:color="auto"/>
              <w:right w:val="single" w:sz="8" w:space="0" w:color="auto"/>
            </w:tcBorders>
            <w:vAlign w:val="center"/>
          </w:tcPr>
          <w:p w14:paraId="2ECC251B" w14:textId="77777777" w:rsidR="00C356F0" w:rsidRPr="00A4233F" w:rsidRDefault="00C356F0" w:rsidP="00E279ED">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25</w:t>
            </w:r>
          </w:p>
        </w:tc>
        <w:tc>
          <w:tcPr>
            <w:tcW w:w="1620" w:type="dxa"/>
            <w:tcBorders>
              <w:top w:val="single" w:sz="8" w:space="0" w:color="auto"/>
              <w:left w:val="single" w:sz="8" w:space="0" w:color="auto"/>
              <w:bottom w:val="single" w:sz="8" w:space="0" w:color="auto"/>
              <w:right w:val="single" w:sz="8" w:space="0" w:color="auto"/>
            </w:tcBorders>
            <w:vAlign w:val="center"/>
          </w:tcPr>
          <w:p w14:paraId="68B83F31" w14:textId="77777777" w:rsidR="00C356F0" w:rsidRPr="00A4233F" w:rsidRDefault="00C356F0" w:rsidP="00E279ED">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13.80</w:t>
            </w:r>
          </w:p>
        </w:tc>
      </w:tr>
      <w:tr w:rsidR="00C62BB6" w:rsidRPr="00C62BB6" w14:paraId="357246F8" w14:textId="77777777" w:rsidTr="00C62BB6">
        <w:trPr>
          <w:trHeight w:val="345"/>
        </w:trPr>
        <w:tc>
          <w:tcPr>
            <w:tcW w:w="4580" w:type="dxa"/>
            <w:tcBorders>
              <w:top w:val="single" w:sz="8" w:space="0" w:color="auto"/>
              <w:left w:val="single" w:sz="8" w:space="0" w:color="auto"/>
              <w:bottom w:val="single" w:sz="8" w:space="0" w:color="auto"/>
              <w:right w:val="single" w:sz="8" w:space="0" w:color="auto"/>
            </w:tcBorders>
            <w:vAlign w:val="center"/>
          </w:tcPr>
          <w:p w14:paraId="364BAB6F" w14:textId="77777777" w:rsidR="00C356F0" w:rsidRPr="00A4233F"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Gobierno Abierto y e-Participación</w:t>
            </w:r>
          </w:p>
        </w:tc>
        <w:tc>
          <w:tcPr>
            <w:tcW w:w="1710" w:type="dxa"/>
            <w:tcBorders>
              <w:top w:val="single" w:sz="8" w:space="0" w:color="auto"/>
              <w:left w:val="single" w:sz="8" w:space="0" w:color="auto"/>
              <w:bottom w:val="single" w:sz="8" w:space="0" w:color="auto"/>
              <w:right w:val="single" w:sz="8" w:space="0" w:color="auto"/>
            </w:tcBorders>
            <w:vAlign w:val="center"/>
          </w:tcPr>
          <w:p w14:paraId="0FFC8D61" w14:textId="77777777" w:rsidR="00C356F0" w:rsidRPr="00A4233F" w:rsidRDefault="00C356F0" w:rsidP="00E279ED">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25</w:t>
            </w:r>
          </w:p>
        </w:tc>
        <w:tc>
          <w:tcPr>
            <w:tcW w:w="1620" w:type="dxa"/>
            <w:tcBorders>
              <w:top w:val="single" w:sz="8" w:space="0" w:color="auto"/>
              <w:left w:val="single" w:sz="8" w:space="0" w:color="auto"/>
              <w:bottom w:val="single" w:sz="8" w:space="0" w:color="auto"/>
              <w:right w:val="single" w:sz="8" w:space="0" w:color="auto"/>
            </w:tcBorders>
            <w:vAlign w:val="center"/>
          </w:tcPr>
          <w:p w14:paraId="66C883B9" w14:textId="77777777" w:rsidR="00C356F0" w:rsidRPr="00A4233F" w:rsidRDefault="00C356F0" w:rsidP="00E279ED">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23.95</w:t>
            </w:r>
          </w:p>
        </w:tc>
      </w:tr>
      <w:tr w:rsidR="00C62BB6" w:rsidRPr="00C62BB6" w14:paraId="177B12E0" w14:textId="77777777" w:rsidTr="00C62BB6">
        <w:trPr>
          <w:trHeight w:val="345"/>
        </w:trPr>
        <w:tc>
          <w:tcPr>
            <w:tcW w:w="4580" w:type="dxa"/>
            <w:tcBorders>
              <w:top w:val="single" w:sz="8" w:space="0" w:color="auto"/>
              <w:left w:val="single" w:sz="8" w:space="0" w:color="auto"/>
              <w:bottom w:val="single" w:sz="8" w:space="0" w:color="auto"/>
              <w:right w:val="single" w:sz="8" w:space="0" w:color="auto"/>
            </w:tcBorders>
            <w:vAlign w:val="center"/>
          </w:tcPr>
          <w:p w14:paraId="7C196E1C" w14:textId="77777777" w:rsidR="00C356F0" w:rsidRPr="00A4233F" w:rsidRDefault="00C356F0" w:rsidP="00943FA5">
            <w:pPr>
              <w:spacing w:after="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Desarrollo de e-Servicios</w:t>
            </w:r>
          </w:p>
        </w:tc>
        <w:tc>
          <w:tcPr>
            <w:tcW w:w="1710" w:type="dxa"/>
            <w:tcBorders>
              <w:top w:val="single" w:sz="8" w:space="0" w:color="auto"/>
              <w:left w:val="single" w:sz="8" w:space="0" w:color="auto"/>
              <w:bottom w:val="single" w:sz="8" w:space="0" w:color="auto"/>
              <w:right w:val="single" w:sz="8" w:space="0" w:color="auto"/>
            </w:tcBorders>
            <w:vAlign w:val="center"/>
          </w:tcPr>
          <w:p w14:paraId="76A21617" w14:textId="77777777" w:rsidR="00C356F0" w:rsidRPr="00A4233F" w:rsidRDefault="00C356F0" w:rsidP="00E279ED">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25</w:t>
            </w:r>
          </w:p>
        </w:tc>
        <w:tc>
          <w:tcPr>
            <w:tcW w:w="1620" w:type="dxa"/>
            <w:tcBorders>
              <w:top w:val="single" w:sz="8" w:space="0" w:color="auto"/>
              <w:left w:val="single" w:sz="8" w:space="0" w:color="auto"/>
              <w:bottom w:val="single" w:sz="8" w:space="0" w:color="auto"/>
              <w:right w:val="single" w:sz="8" w:space="0" w:color="auto"/>
            </w:tcBorders>
            <w:vAlign w:val="center"/>
          </w:tcPr>
          <w:p w14:paraId="43365C2D" w14:textId="77777777" w:rsidR="00C356F0" w:rsidRPr="00A4233F" w:rsidRDefault="00C356F0" w:rsidP="00E279ED">
            <w:pPr>
              <w:spacing w:after="0" w:line="360" w:lineRule="auto"/>
              <w:jc w:val="center"/>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22</w:t>
            </w:r>
          </w:p>
        </w:tc>
      </w:tr>
    </w:tbl>
    <w:p w14:paraId="7FF60D81" w14:textId="7CDC6411" w:rsidR="00C356F0" w:rsidRPr="00C62BB6" w:rsidRDefault="00C32B33" w:rsidP="00C32B33">
      <w:pPr>
        <w:spacing w:before="240" w:after="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r w:rsidR="00C356F0" w:rsidRPr="00C62BB6">
        <w:rPr>
          <w:rFonts w:ascii="Times New Roman" w:eastAsia="Calibri" w:hAnsi="Times New Roman" w:cs="Times New Roman"/>
          <w:b/>
          <w:color w:val="4C4747"/>
          <w:spacing w:val="20"/>
          <w:sz w:val="18"/>
          <w:szCs w:val="24"/>
          <w:lang w:val="es-DO"/>
        </w:rPr>
        <w:t>Fuente</w:t>
      </w:r>
      <w:r w:rsidR="00C356F0" w:rsidRPr="00C62BB6">
        <w:rPr>
          <w:rFonts w:ascii="Times New Roman" w:eastAsia="Calibri" w:hAnsi="Times New Roman" w:cs="Times New Roman"/>
          <w:color w:val="4C4747"/>
          <w:spacing w:val="20"/>
          <w:sz w:val="18"/>
          <w:szCs w:val="24"/>
          <w:lang w:val="es-DO"/>
        </w:rPr>
        <w:t>: Sistema de Medición Continua de Avance TIC y e-Gobierno</w:t>
      </w:r>
    </w:p>
    <w:p w14:paraId="08F2BDDC" w14:textId="77777777" w:rsidR="006E0C6F" w:rsidRDefault="006E0C6F" w:rsidP="006E0C6F">
      <w:pPr>
        <w:spacing w:line="360" w:lineRule="auto"/>
        <w:jc w:val="both"/>
        <w:rPr>
          <w:rFonts w:ascii="Times New Roman" w:eastAsia="Calibri" w:hAnsi="Times New Roman" w:cs="Times New Roman"/>
          <w:color w:val="FF0000"/>
          <w:spacing w:val="20"/>
          <w:sz w:val="24"/>
          <w:szCs w:val="24"/>
          <w:lang w:val="es-DO"/>
        </w:rPr>
      </w:pPr>
      <w:bookmarkStart w:id="28" w:name="_Toc79678424"/>
    </w:p>
    <w:p w14:paraId="61EAD919" w14:textId="2AC67F0B" w:rsidR="00641CAA" w:rsidRPr="00C62BB6" w:rsidRDefault="00A75CDE" w:rsidP="00C32B33">
      <w:pPr>
        <w:keepNext/>
        <w:spacing w:before="240" w:after="60"/>
        <w:jc w:val="both"/>
        <w:outlineLvl w:val="2"/>
        <w:rPr>
          <w:rFonts w:ascii="Times New Roman" w:eastAsia="Times New Roman" w:hAnsi="Times New Roman" w:cs="Times New Roman"/>
          <w:b/>
          <w:bCs/>
          <w:color w:val="4C4747"/>
          <w:sz w:val="24"/>
          <w:szCs w:val="28"/>
          <w:lang w:val="es-DO" w:eastAsia="es-DO"/>
        </w:rPr>
      </w:pPr>
      <w:bookmarkStart w:id="29" w:name="_Toc122425247"/>
      <w:r w:rsidRPr="00C62BB6">
        <w:rPr>
          <w:rFonts w:ascii="Times New Roman" w:eastAsia="Times New Roman" w:hAnsi="Times New Roman" w:cs="Times New Roman"/>
          <w:b/>
          <w:bCs/>
          <w:color w:val="4C4747"/>
          <w:sz w:val="24"/>
          <w:szCs w:val="28"/>
          <w:lang w:val="es-DO" w:eastAsia="es-DO"/>
        </w:rPr>
        <w:lastRenderedPageBreak/>
        <w:t xml:space="preserve">4.5 </w:t>
      </w:r>
      <w:r w:rsidR="00641CAA" w:rsidRPr="00C62BB6">
        <w:rPr>
          <w:rFonts w:ascii="Times New Roman" w:eastAsia="Times New Roman" w:hAnsi="Times New Roman" w:cs="Times New Roman"/>
          <w:b/>
          <w:bCs/>
          <w:color w:val="4C4747"/>
          <w:sz w:val="24"/>
          <w:szCs w:val="28"/>
          <w:lang w:val="es-DO" w:eastAsia="es-DO"/>
        </w:rPr>
        <w:t>Desempeño del Sistema de Planificación y Desarrollo Institucional</w:t>
      </w:r>
      <w:bookmarkEnd w:id="28"/>
      <w:bookmarkEnd w:id="29"/>
    </w:p>
    <w:p w14:paraId="49902BED" w14:textId="705DAC10" w:rsidR="00017EAE" w:rsidRPr="00A4233F" w:rsidRDefault="00017EAE" w:rsidP="00C32B33">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El redimensionamiento y reorientación de la institución ha conllevado un trabajo intenso en cuanto a la planificación institucional, toda vez que ha sido necesaria, además de la actividad de evaluación de los planes estratégicos y operativos, la propia formulación de estos, los cuales trazan las diferentes líneas de trabajo para los próximos años.</w:t>
      </w:r>
    </w:p>
    <w:p w14:paraId="705BF68A" w14:textId="7399F9AC" w:rsidR="00017EAE" w:rsidRPr="00A4233F" w:rsidRDefault="00017EAE" w:rsidP="00017EAE">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El desafío no ha sido menor. Ha implicado una mirada coherente a los planes de gobierno en aras de una verdadera alineación que facilite sinergias capaces de potenciar el impacto de las políticas públicas en el sector de las telecomunicaciones.</w:t>
      </w:r>
    </w:p>
    <w:p w14:paraId="197299A8" w14:textId="3707575B" w:rsidR="00017EAE" w:rsidRPr="00A4233F" w:rsidRDefault="00481014" w:rsidP="00017EAE">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En el año 2022 </w:t>
      </w:r>
      <w:r w:rsidR="00591C1B" w:rsidRPr="00A4233F">
        <w:rPr>
          <w:rFonts w:ascii="Times New Roman" w:eastAsia="Calibri" w:hAnsi="Times New Roman" w:cs="Times New Roman"/>
          <w:color w:val="4C4747"/>
          <w:spacing w:val="20"/>
          <w:sz w:val="24"/>
          <w:szCs w:val="24"/>
          <w:lang w:val="es-DO"/>
        </w:rPr>
        <w:t>cumplió</w:t>
      </w:r>
      <w:r w:rsidR="00017EAE" w:rsidRPr="00A4233F">
        <w:rPr>
          <w:rFonts w:ascii="Times New Roman" w:eastAsia="Calibri" w:hAnsi="Times New Roman" w:cs="Times New Roman"/>
          <w:color w:val="4C4747"/>
          <w:spacing w:val="20"/>
          <w:sz w:val="24"/>
          <w:szCs w:val="24"/>
          <w:lang w:val="es-DO"/>
        </w:rPr>
        <w:t xml:space="preserve"> con el seguimiento a la planificación operativa del presente año así como con </w:t>
      </w:r>
      <w:r w:rsidR="00FF04FC" w:rsidRPr="00A4233F">
        <w:rPr>
          <w:rFonts w:ascii="Times New Roman" w:eastAsia="Calibri" w:hAnsi="Times New Roman" w:cs="Times New Roman"/>
          <w:color w:val="4C4747"/>
          <w:spacing w:val="20"/>
          <w:sz w:val="24"/>
          <w:szCs w:val="24"/>
          <w:lang w:val="es-DO"/>
        </w:rPr>
        <w:t xml:space="preserve">el inicio de </w:t>
      </w:r>
      <w:r w:rsidR="00017EAE" w:rsidRPr="00A4233F">
        <w:rPr>
          <w:rFonts w:ascii="Times New Roman" w:eastAsia="Calibri" w:hAnsi="Times New Roman" w:cs="Times New Roman"/>
          <w:color w:val="4C4747"/>
          <w:spacing w:val="20"/>
          <w:sz w:val="24"/>
          <w:szCs w:val="24"/>
          <w:lang w:val="es-DO"/>
        </w:rPr>
        <w:t>la formulación del Plan Operativo Anual (POA) del próximo año 2023, alineado a la planificación estratégica institucional.</w:t>
      </w:r>
    </w:p>
    <w:p w14:paraId="32993373" w14:textId="5C11BD36" w:rsidR="00017EAE" w:rsidRPr="00A4233F" w:rsidRDefault="00017EAE" w:rsidP="00017EAE">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Por otro lado, se continuó el seguimiento al cumplimiento de los</w:t>
      </w:r>
      <w:r w:rsidR="00481014" w:rsidRPr="00A4233F">
        <w:rPr>
          <w:rFonts w:ascii="Times New Roman" w:eastAsia="Calibri" w:hAnsi="Times New Roman" w:cs="Times New Roman"/>
          <w:color w:val="4C4747"/>
          <w:spacing w:val="20"/>
          <w:sz w:val="24"/>
          <w:szCs w:val="24"/>
          <w:lang w:val="es-DO"/>
        </w:rPr>
        <w:t xml:space="preserve"> </w:t>
      </w:r>
      <w:r w:rsidRPr="00A4233F">
        <w:rPr>
          <w:rFonts w:ascii="Times New Roman" w:eastAsia="Calibri" w:hAnsi="Times New Roman" w:cs="Times New Roman"/>
          <w:color w:val="4C4747"/>
          <w:spacing w:val="20"/>
          <w:sz w:val="24"/>
          <w:szCs w:val="24"/>
          <w:lang w:val="es-DO"/>
        </w:rPr>
        <w:t>distintos indicadores de los sis</w:t>
      </w:r>
      <w:r w:rsidR="00FF04FC" w:rsidRPr="00A4233F">
        <w:rPr>
          <w:rFonts w:ascii="Times New Roman" w:eastAsia="Calibri" w:hAnsi="Times New Roman" w:cs="Times New Roman"/>
          <w:color w:val="4C4747"/>
          <w:spacing w:val="20"/>
          <w:sz w:val="24"/>
          <w:szCs w:val="24"/>
          <w:lang w:val="es-DO"/>
        </w:rPr>
        <w:t xml:space="preserve">temas de la gestión pública y </w:t>
      </w:r>
      <w:r w:rsidRPr="00A4233F">
        <w:rPr>
          <w:rFonts w:ascii="Times New Roman" w:eastAsia="Calibri" w:hAnsi="Times New Roman" w:cs="Times New Roman"/>
          <w:color w:val="4C4747"/>
          <w:spacing w:val="20"/>
          <w:sz w:val="24"/>
          <w:szCs w:val="24"/>
          <w:lang w:val="es-DO"/>
        </w:rPr>
        <w:t>la Carta Compromiso al Ciudadano.</w:t>
      </w:r>
    </w:p>
    <w:p w14:paraId="73CADF3A" w14:textId="7362B94B" w:rsidR="00CC742B" w:rsidRPr="00A4233F" w:rsidRDefault="00CC742B" w:rsidP="00017EAE">
      <w:pPr>
        <w:spacing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 xml:space="preserve">Recopilación y Publicación de las Estadísticas del Sector de las Telecomunicaciones </w:t>
      </w:r>
    </w:p>
    <w:p w14:paraId="001A5464" w14:textId="77777777" w:rsidR="00C32B33" w:rsidRPr="00A4233F" w:rsidRDefault="00CC742B" w:rsidP="00CC742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Luego de la entrada en vigencia de la Resolución Núm. 026-2021. Los indicadores estadísticos han mostrado un robustecimiento en materia de recolección de desagregaciones en los indicadores que se vienen a sumar a los ya existentes en la Resolución Núm. 141-10 la cual fue derogada. El procedimiento utilizado para la generación de los indicadores sobre el desempeño del sector de telecomunicaciones de la República Dominicana comprende tres fases: la gestión para la obtención de los datos, validación y análisis y la generación de resultados. </w:t>
      </w:r>
    </w:p>
    <w:p w14:paraId="0F570250" w14:textId="0F50528E" w:rsidR="00CC742B" w:rsidRPr="00A4233F" w:rsidRDefault="00CC742B" w:rsidP="00CC742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Los indicadores estadísticos del sector se recopilan a través de registros administrativos suministrados por las prestadoras de los diferentes servicios y los mismos son compilados por el Departamento de Estadísticas de acuerdo a los</w:t>
      </w:r>
      <w:r w:rsidR="00C32B33" w:rsidRPr="00A4233F">
        <w:rPr>
          <w:rFonts w:ascii="Times New Roman" w:eastAsia="Calibri" w:hAnsi="Times New Roman" w:cs="Times New Roman"/>
          <w:color w:val="4C4747"/>
          <w:spacing w:val="20"/>
          <w:sz w:val="24"/>
          <w:szCs w:val="24"/>
          <w:lang w:val="es-DO"/>
        </w:rPr>
        <w:t xml:space="preserve"> lineamientos de la Resolución número</w:t>
      </w:r>
      <w:r w:rsidRPr="00A4233F">
        <w:rPr>
          <w:rFonts w:ascii="Times New Roman" w:eastAsia="Calibri" w:hAnsi="Times New Roman" w:cs="Times New Roman"/>
          <w:color w:val="4C4747"/>
          <w:spacing w:val="20"/>
          <w:sz w:val="24"/>
          <w:szCs w:val="24"/>
          <w:lang w:val="es-DO"/>
        </w:rPr>
        <w:t xml:space="preserve"> 026-2021 normativa que regula la información y el plazo para la presentación de estadísticas al </w:t>
      </w:r>
      <w:r w:rsidR="00C32B33" w:rsidRPr="00A4233F">
        <w:rPr>
          <w:rFonts w:ascii="Times New Roman" w:eastAsia="Calibri" w:hAnsi="Times New Roman" w:cs="Times New Roman"/>
          <w:color w:val="4C4747"/>
          <w:spacing w:val="20"/>
          <w:sz w:val="24"/>
          <w:szCs w:val="24"/>
          <w:lang w:val="es-DO"/>
        </w:rPr>
        <w:t>INDOTEL,</w:t>
      </w:r>
      <w:r w:rsidRPr="00A4233F">
        <w:rPr>
          <w:rFonts w:ascii="Times New Roman" w:eastAsia="Calibri" w:hAnsi="Times New Roman" w:cs="Times New Roman"/>
          <w:color w:val="4C4747"/>
          <w:spacing w:val="20"/>
          <w:sz w:val="24"/>
          <w:szCs w:val="24"/>
          <w:lang w:val="es-DO"/>
        </w:rPr>
        <w:t xml:space="preserve"> con su entrada en vigencia el 31 de diciembre de 2021. </w:t>
      </w:r>
    </w:p>
    <w:p w14:paraId="177BC570" w14:textId="77777777" w:rsidR="00C32B33" w:rsidRPr="00A4233F" w:rsidRDefault="00CC742B" w:rsidP="00CC742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Para producir los resultados con indicadores estadísticos fiables, oportunos y robustos generados en los reportes e informes, se lleva a cabo una ardua labor de seguimiento al cumplimiento de la entrega de la información estadística, así como, una continua comunicación con las empresas del sector. </w:t>
      </w:r>
    </w:p>
    <w:p w14:paraId="61CD8FC5" w14:textId="3A3A25EE" w:rsidR="00CC742B" w:rsidRPr="00A4233F" w:rsidRDefault="00CC742B" w:rsidP="00CC742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Durante el periodo agotado del año 2022, se realizaron diversos acercamientos tanto con las prestadoras que presentan las estadísticas de manera irregular, como con las que nunca han entregado sus informaciones, con el fin de disponer de datos completos para plasmar la realidad del país en m</w:t>
      </w:r>
      <w:r w:rsidR="00C32B33" w:rsidRPr="00A4233F">
        <w:rPr>
          <w:rFonts w:ascii="Times New Roman" w:eastAsia="Calibri" w:hAnsi="Times New Roman" w:cs="Times New Roman"/>
          <w:color w:val="4C4747"/>
          <w:spacing w:val="20"/>
          <w:sz w:val="24"/>
          <w:szCs w:val="24"/>
          <w:lang w:val="es-DO"/>
        </w:rPr>
        <w:t xml:space="preserve">ateria de telecomunicaciones.  </w:t>
      </w:r>
    </w:p>
    <w:p w14:paraId="4043EF75" w14:textId="77777777" w:rsidR="00C32B33" w:rsidRPr="00A4233F" w:rsidRDefault="00CC742B" w:rsidP="00C32B33">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Dando seguimiento al programa de i</w:t>
      </w:r>
      <w:r w:rsidR="00C32B33" w:rsidRPr="00A4233F">
        <w:rPr>
          <w:rFonts w:ascii="Times New Roman" w:eastAsia="Calibri" w:hAnsi="Times New Roman" w:cs="Times New Roman"/>
          <w:color w:val="4C4747"/>
          <w:spacing w:val="20"/>
          <w:sz w:val="24"/>
          <w:szCs w:val="24"/>
          <w:lang w:val="es-DO"/>
        </w:rPr>
        <w:t>mplementación de la Resolución número</w:t>
      </w:r>
      <w:r w:rsidRPr="00A4233F">
        <w:rPr>
          <w:rFonts w:ascii="Times New Roman" w:eastAsia="Calibri" w:hAnsi="Times New Roman" w:cs="Times New Roman"/>
          <w:color w:val="4C4747"/>
          <w:spacing w:val="20"/>
          <w:sz w:val="24"/>
          <w:szCs w:val="24"/>
          <w:lang w:val="es-DO"/>
        </w:rPr>
        <w:t xml:space="preserve"> 026-2021, se mantienen en cumplimento las presta</w:t>
      </w:r>
      <w:r w:rsidR="00C32B33" w:rsidRPr="00A4233F">
        <w:rPr>
          <w:rFonts w:ascii="Times New Roman" w:eastAsia="Calibri" w:hAnsi="Times New Roman" w:cs="Times New Roman"/>
          <w:color w:val="4C4747"/>
          <w:spacing w:val="20"/>
          <w:sz w:val="24"/>
          <w:szCs w:val="24"/>
          <w:lang w:val="es-DO"/>
        </w:rPr>
        <w:t>doras que se mantenían bajo la Resolución número</w:t>
      </w:r>
      <w:r w:rsidRPr="00A4233F">
        <w:rPr>
          <w:rFonts w:ascii="Times New Roman" w:eastAsia="Calibri" w:hAnsi="Times New Roman" w:cs="Times New Roman"/>
          <w:color w:val="4C4747"/>
          <w:spacing w:val="20"/>
          <w:sz w:val="24"/>
          <w:szCs w:val="24"/>
          <w:lang w:val="es-DO"/>
        </w:rPr>
        <w:t xml:space="preserve"> 141-10 ya derogada. Se remitió un informe a la Dirección de Cumplimiento notificando los niveles de incumplimiento de las empresas que continúan con el rezago de entrega de información al </w:t>
      </w:r>
      <w:r w:rsidR="00C32B33" w:rsidRPr="00A4233F">
        <w:rPr>
          <w:rFonts w:ascii="Times New Roman" w:eastAsia="Calibri" w:hAnsi="Times New Roman" w:cs="Times New Roman"/>
          <w:color w:val="4C4747"/>
          <w:spacing w:val="20"/>
          <w:sz w:val="24"/>
          <w:szCs w:val="24"/>
          <w:lang w:val="es-DO"/>
        </w:rPr>
        <w:t>INDOTEL</w:t>
      </w:r>
      <w:r w:rsidRPr="00A4233F">
        <w:rPr>
          <w:rFonts w:ascii="Times New Roman" w:eastAsia="Calibri" w:hAnsi="Times New Roman" w:cs="Times New Roman"/>
          <w:color w:val="4C4747"/>
          <w:spacing w:val="20"/>
          <w:sz w:val="24"/>
          <w:szCs w:val="24"/>
          <w:lang w:val="es-DO"/>
        </w:rPr>
        <w:t xml:space="preserve">. </w:t>
      </w:r>
    </w:p>
    <w:p w14:paraId="26116909" w14:textId="09464382" w:rsidR="00CC742B" w:rsidRPr="00A4233F" w:rsidRDefault="00CC742B" w:rsidP="00C32B33">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En consecuencia, se enviaron comunicaciones de advertencia a doce prestadoras, con el riesgo de aplicárseles un proceso sancionador administrativo si no obtemperan al mandato.  </w:t>
      </w:r>
    </w:p>
    <w:p w14:paraId="67988A32" w14:textId="77777777" w:rsidR="00C32B33" w:rsidRPr="00A4233F" w:rsidRDefault="00C32B33" w:rsidP="00C32B33">
      <w:pPr>
        <w:spacing w:before="240" w:line="360" w:lineRule="auto"/>
        <w:jc w:val="both"/>
        <w:rPr>
          <w:rFonts w:ascii="Times New Roman" w:eastAsia="Calibri" w:hAnsi="Times New Roman" w:cs="Times New Roman"/>
          <w:color w:val="4C4747"/>
          <w:spacing w:val="20"/>
          <w:sz w:val="24"/>
          <w:szCs w:val="24"/>
          <w:lang w:val="es-DO"/>
        </w:rPr>
      </w:pPr>
    </w:p>
    <w:p w14:paraId="61FA944D" w14:textId="77777777" w:rsidR="00C32B33" w:rsidRPr="00A4233F" w:rsidRDefault="00C32B33" w:rsidP="00C32B33">
      <w:pPr>
        <w:spacing w:before="240" w:line="360" w:lineRule="auto"/>
        <w:jc w:val="both"/>
        <w:rPr>
          <w:rFonts w:ascii="Times New Roman" w:eastAsia="Calibri" w:hAnsi="Times New Roman" w:cs="Times New Roman"/>
          <w:color w:val="4C4747"/>
          <w:spacing w:val="20"/>
          <w:sz w:val="24"/>
          <w:szCs w:val="24"/>
          <w:lang w:val="es-DO"/>
        </w:rPr>
      </w:pPr>
    </w:p>
    <w:p w14:paraId="21619473" w14:textId="77777777" w:rsidR="00CC742B" w:rsidRPr="00A4233F" w:rsidRDefault="00CC742B" w:rsidP="00CC742B">
      <w:pPr>
        <w:pStyle w:val="Sinespaciado"/>
        <w:jc w:val="center"/>
        <w:rPr>
          <w:color w:val="4C4747"/>
          <w:lang w:val="es-DO"/>
        </w:rPr>
      </w:pPr>
      <w:r w:rsidRPr="00A4233F">
        <w:rPr>
          <w:color w:val="4C4747"/>
          <w:lang w:val="es-DO"/>
        </w:rPr>
        <w:lastRenderedPageBreak/>
        <w:t>Gráfico No. 1</w:t>
      </w:r>
    </w:p>
    <w:p w14:paraId="3788C9A9" w14:textId="14BEF087" w:rsidR="00CC742B" w:rsidRPr="00A4233F" w:rsidRDefault="00C32B33" w:rsidP="00CC742B">
      <w:pPr>
        <w:pStyle w:val="Sinespaciado"/>
        <w:jc w:val="center"/>
        <w:rPr>
          <w:color w:val="4C4747"/>
          <w:lang w:val="es-DO"/>
        </w:rPr>
      </w:pPr>
      <w:r w:rsidRPr="00A4233F">
        <w:rPr>
          <w:color w:val="4C4747"/>
          <w:lang w:val="es-DO"/>
        </w:rPr>
        <w:t>Estado de cumplimiento prestadoras en presentación e</w:t>
      </w:r>
      <w:r w:rsidR="00CC742B" w:rsidRPr="00A4233F">
        <w:rPr>
          <w:color w:val="4C4747"/>
          <w:lang w:val="es-DO"/>
        </w:rPr>
        <w:t>stadísticas</w:t>
      </w:r>
    </w:p>
    <w:p w14:paraId="027B96A2" w14:textId="0A907163" w:rsidR="00CC742B" w:rsidRPr="00A4233F" w:rsidRDefault="00C32B33" w:rsidP="00CC742B">
      <w:pPr>
        <w:pStyle w:val="Sinespaciado"/>
        <w:jc w:val="center"/>
        <w:rPr>
          <w:color w:val="4C4747"/>
          <w:lang w:val="es-DO"/>
        </w:rPr>
      </w:pPr>
      <w:r w:rsidRPr="00A4233F">
        <w:rPr>
          <w:color w:val="4C4747"/>
          <w:lang w:val="es-DO"/>
        </w:rPr>
        <w:t>n</w:t>
      </w:r>
      <w:r w:rsidR="00CC742B" w:rsidRPr="00A4233F">
        <w:rPr>
          <w:color w:val="4C4747"/>
          <w:lang w:val="es-DO"/>
        </w:rPr>
        <w:t>oviembre de 2022</w:t>
      </w:r>
    </w:p>
    <w:p w14:paraId="2EAF6D84" w14:textId="77777777" w:rsidR="00CC742B" w:rsidRPr="00C62BB6" w:rsidRDefault="00CC742B" w:rsidP="00CC742B">
      <w:pPr>
        <w:pStyle w:val="Sinespaciado"/>
        <w:jc w:val="center"/>
        <w:rPr>
          <w:color w:val="4C4747"/>
          <w:lang w:val="es-DO"/>
        </w:rPr>
      </w:pPr>
    </w:p>
    <w:p w14:paraId="4C2C1E0E" w14:textId="31B9ACD3" w:rsidR="00CC742B" w:rsidRPr="00C62BB6" w:rsidRDefault="00CC742B" w:rsidP="00CC742B">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hAnsi="Times New Roman" w:cs="Times New Roman"/>
          <w:noProof/>
          <w:color w:val="4C4747"/>
        </w:rPr>
        <w:drawing>
          <wp:inline distT="0" distB="0" distL="0" distR="0" wp14:anchorId="3B27ED13" wp14:editId="19104069">
            <wp:extent cx="5040172" cy="2962656"/>
            <wp:effectExtent l="0" t="0" r="825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BAB2C4" w14:textId="7E8EB375" w:rsidR="00CC742B" w:rsidRPr="00C62BB6" w:rsidRDefault="00C32B33" w:rsidP="00CC742B">
      <w:pPr>
        <w:spacing w:line="360" w:lineRule="auto"/>
        <w:jc w:val="both"/>
        <w:rPr>
          <w:rFonts w:ascii="Times New Roman" w:eastAsia="Calibri" w:hAnsi="Times New Roman" w:cs="Times New Roman"/>
          <w:b/>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00410EE5" w:rsidRPr="00C62BB6">
        <w:rPr>
          <w:rFonts w:ascii="Times New Roman" w:eastAsia="Calibri" w:hAnsi="Times New Roman" w:cs="Times New Roman"/>
          <w:b/>
          <w:color w:val="4C4747"/>
          <w:spacing w:val="20"/>
          <w:sz w:val="18"/>
          <w:szCs w:val="24"/>
          <w:lang w:val="es-DO"/>
        </w:rPr>
        <w:t xml:space="preserve"> </w:t>
      </w:r>
      <w:r w:rsidR="00410EE5" w:rsidRPr="00C62BB6">
        <w:rPr>
          <w:rFonts w:ascii="Times New Roman" w:eastAsia="Calibri" w:hAnsi="Times New Roman" w:cs="Times New Roman"/>
          <w:color w:val="4C4747"/>
          <w:spacing w:val="20"/>
          <w:sz w:val="18"/>
          <w:szCs w:val="24"/>
          <w:lang w:val="es-DO"/>
        </w:rPr>
        <w:t>Departamento de Estadística</w:t>
      </w:r>
      <w:r w:rsidR="00A4233F">
        <w:rPr>
          <w:rFonts w:ascii="Times New Roman" w:eastAsia="Calibri" w:hAnsi="Times New Roman" w:cs="Times New Roman"/>
          <w:color w:val="4C4747"/>
          <w:spacing w:val="20"/>
          <w:sz w:val="18"/>
          <w:szCs w:val="24"/>
          <w:lang w:val="es-DO"/>
        </w:rPr>
        <w:t>s</w:t>
      </w:r>
    </w:p>
    <w:p w14:paraId="5B448908" w14:textId="77777777" w:rsidR="00CC742B" w:rsidRPr="00BB4D02" w:rsidRDefault="00CC742B" w:rsidP="00A02BDE">
      <w:pPr>
        <w:pStyle w:val="Prrafodelista"/>
        <w:numPr>
          <w:ilvl w:val="0"/>
          <w:numId w:val="41"/>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Por otra parte, dentro de los aspectos a resaltar respecto a las funciones ejecutadas en el área durante el año 2022, podemos mencionar los siguientes: </w:t>
      </w:r>
    </w:p>
    <w:p w14:paraId="6F49CF58" w14:textId="4D156BBD" w:rsidR="00CC742B" w:rsidRPr="00BB4D02" w:rsidRDefault="00CC742B" w:rsidP="00A02BDE">
      <w:pPr>
        <w:pStyle w:val="Prrafodelista"/>
        <w:numPr>
          <w:ilvl w:val="0"/>
          <w:numId w:val="41"/>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Elaboración y difusión de los reportes de las estadísticas de telecomunicaciones: </w:t>
      </w:r>
    </w:p>
    <w:p w14:paraId="7DA46232" w14:textId="6912BEB5" w:rsidR="00CC742B" w:rsidRPr="00C62BB6" w:rsidRDefault="00CC742B" w:rsidP="00A02BDE">
      <w:pPr>
        <w:pStyle w:val="Prrafodelista"/>
        <w:numPr>
          <w:ilvl w:val="0"/>
          <w:numId w:val="44"/>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Trimestrales del</w:t>
      </w:r>
      <w:r w:rsidR="009D40B8" w:rsidRPr="00C62BB6">
        <w:rPr>
          <w:rFonts w:ascii="Times New Roman" w:eastAsia="Calibri" w:hAnsi="Times New Roman" w:cs="Times New Roman"/>
          <w:color w:val="4C4747"/>
          <w:spacing w:val="20"/>
          <w:sz w:val="24"/>
          <w:szCs w:val="24"/>
          <w:lang w:val="es-DO"/>
        </w:rPr>
        <w:t xml:space="preserve"> 2022, enero-marzo, abril-junio</w:t>
      </w:r>
    </w:p>
    <w:p w14:paraId="2658027D" w14:textId="661A9C40" w:rsidR="00CC742B" w:rsidRPr="00C62BB6" w:rsidRDefault="00CC742B" w:rsidP="00A02BDE">
      <w:pPr>
        <w:pStyle w:val="Prrafodelista"/>
        <w:numPr>
          <w:ilvl w:val="0"/>
          <w:numId w:val="44"/>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Se</w:t>
      </w:r>
      <w:r w:rsidR="009D40B8" w:rsidRPr="00C62BB6">
        <w:rPr>
          <w:rFonts w:ascii="Times New Roman" w:eastAsia="Calibri" w:hAnsi="Times New Roman" w:cs="Times New Roman"/>
          <w:color w:val="4C4747"/>
          <w:spacing w:val="20"/>
          <w:sz w:val="24"/>
          <w:szCs w:val="24"/>
          <w:lang w:val="es-DO"/>
        </w:rPr>
        <w:t>mestral julio-diciembre de 2021</w:t>
      </w:r>
    </w:p>
    <w:p w14:paraId="31C21AE5" w14:textId="77777777" w:rsidR="00410EE5" w:rsidRPr="00C62BB6" w:rsidRDefault="00CC742B" w:rsidP="00A02BDE">
      <w:pPr>
        <w:pStyle w:val="Prrafodelista"/>
        <w:numPr>
          <w:ilvl w:val="0"/>
          <w:numId w:val="44"/>
        </w:num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w:t>
      </w:r>
      <w:r w:rsidR="009D40B8" w:rsidRPr="00C62BB6">
        <w:rPr>
          <w:rFonts w:ascii="Times New Roman" w:eastAsia="Calibri" w:hAnsi="Times New Roman" w:cs="Times New Roman"/>
          <w:color w:val="4C4747"/>
          <w:spacing w:val="20"/>
          <w:sz w:val="24"/>
          <w:szCs w:val="24"/>
          <w:lang w:val="es-DO"/>
        </w:rPr>
        <w:t>nual de enero-diciembre de 2021</w:t>
      </w:r>
    </w:p>
    <w:p w14:paraId="6A103257" w14:textId="77777777" w:rsidR="00410EE5" w:rsidRPr="00BB4D02" w:rsidRDefault="00CC742B" w:rsidP="00A02BDE">
      <w:pPr>
        <w:pStyle w:val="Prrafodelista"/>
        <w:numPr>
          <w:ilvl w:val="0"/>
          <w:numId w:val="42"/>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Elaboración y difusión del “Informe de Desempeño de las Telecomunicaciones 2021”.</w:t>
      </w:r>
    </w:p>
    <w:p w14:paraId="22BB932C" w14:textId="77777777" w:rsidR="00410EE5" w:rsidRPr="00BB4D02" w:rsidRDefault="00CC742B" w:rsidP="00A02BDE">
      <w:pPr>
        <w:pStyle w:val="Prrafodelista"/>
        <w:numPr>
          <w:ilvl w:val="0"/>
          <w:numId w:val="42"/>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Nacional de Estadísticas, a realizarse en el año 2022, para el levantamiento de la situación actual de uso y acceso a las TIC como parte la Agenda Digital 2030.</w:t>
      </w:r>
    </w:p>
    <w:p w14:paraId="3F28B5F7" w14:textId="77777777" w:rsidR="00410EE5" w:rsidRPr="00BB4D02" w:rsidRDefault="00CC742B" w:rsidP="00A02BDE">
      <w:pPr>
        <w:pStyle w:val="Prrafodelista"/>
        <w:numPr>
          <w:ilvl w:val="0"/>
          <w:numId w:val="43"/>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lastRenderedPageBreak/>
        <w:t>Actualización y remisión a COMTELCA del informe “Iniciativas de la R.D. para la Reducción de la Brecha de Género en TIC.</w:t>
      </w:r>
    </w:p>
    <w:p w14:paraId="7FAA87E3" w14:textId="4BD08B83" w:rsidR="00CC742B" w:rsidRPr="00BB4D02" w:rsidRDefault="00CC742B" w:rsidP="00A02BDE">
      <w:pPr>
        <w:pStyle w:val="Prrafodelista"/>
        <w:numPr>
          <w:ilvl w:val="0"/>
          <w:numId w:val="43"/>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Elaboración y remisión a COMTELCA informe de “Iniciativas de la R.D para la Protección de Niños, Niñas y Adolescentes”.</w:t>
      </w:r>
    </w:p>
    <w:p w14:paraId="50A96E9E" w14:textId="77777777" w:rsidR="00591C1B" w:rsidRPr="00A4233F" w:rsidRDefault="00591C1B" w:rsidP="00410EE5">
      <w:pPr>
        <w:spacing w:before="24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Proyecto de Burocracia Cero</w:t>
      </w:r>
    </w:p>
    <w:p w14:paraId="63E3F953" w14:textId="4C475476" w:rsidR="00591C1B" w:rsidRPr="00A4233F" w:rsidRDefault="00591C1B" w:rsidP="00591C1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El Programa Burocracia Cero, fue</w:t>
      </w:r>
      <w:r w:rsidR="00410EE5" w:rsidRPr="00A4233F">
        <w:rPr>
          <w:rFonts w:ascii="Times New Roman" w:eastAsia="Calibri" w:hAnsi="Times New Roman" w:cs="Times New Roman"/>
          <w:color w:val="4C4747"/>
          <w:spacing w:val="20"/>
          <w:sz w:val="24"/>
          <w:szCs w:val="24"/>
          <w:lang w:val="es-DO"/>
        </w:rPr>
        <w:t xml:space="preserve"> creado mediante el Decreto número</w:t>
      </w:r>
      <w:r w:rsidRPr="00A4233F">
        <w:rPr>
          <w:rFonts w:ascii="Times New Roman" w:eastAsia="Calibri" w:hAnsi="Times New Roman" w:cs="Times New Roman"/>
          <w:color w:val="4C4747"/>
          <w:spacing w:val="20"/>
          <w:sz w:val="24"/>
          <w:szCs w:val="24"/>
          <w:lang w:val="es-DO"/>
        </w:rPr>
        <w:t xml:space="preserve"> 640-20 el cual busca dinamizar los trámites burocráticos en las instituciones estatales, al tiempo de eficientizar los servicios, elevar la eficiencia de la administración pública a través de marcos normativos claros, oportunos y transparentes, que permitan la simplificación de los trámites y servicios, así como la mejora de la calidad de las regulaciones.</w:t>
      </w:r>
    </w:p>
    <w:p w14:paraId="3CDA3098" w14:textId="205BCD28" w:rsidR="00591C1B" w:rsidRPr="00A4233F" w:rsidRDefault="00591C1B" w:rsidP="00591C1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Como parte del Programa Burocracia Cero, el </w:t>
      </w:r>
      <w:r w:rsidR="00410EE5" w:rsidRPr="00A4233F">
        <w:rPr>
          <w:rFonts w:ascii="Times New Roman" w:eastAsia="Calibri" w:hAnsi="Times New Roman" w:cs="Times New Roman"/>
          <w:color w:val="4C4747"/>
          <w:spacing w:val="20"/>
          <w:sz w:val="24"/>
          <w:szCs w:val="24"/>
          <w:lang w:val="es-DO"/>
        </w:rPr>
        <w:t>INDOTEL</w:t>
      </w:r>
      <w:r w:rsidRPr="00A4233F">
        <w:rPr>
          <w:rFonts w:ascii="Times New Roman" w:eastAsia="Calibri" w:hAnsi="Times New Roman" w:cs="Times New Roman"/>
          <w:color w:val="4C4747"/>
          <w:spacing w:val="20"/>
          <w:sz w:val="24"/>
          <w:szCs w:val="24"/>
          <w:lang w:val="es-DO"/>
        </w:rPr>
        <w:t xml:space="preserve"> ha trabajado de la mano tanto con la Oficina Gubernamental de Tecnologías de la Información y Comunicación (OGTIC)</w:t>
      </w:r>
      <w:r w:rsidR="00410EE5" w:rsidRPr="00A4233F">
        <w:rPr>
          <w:rFonts w:ascii="Times New Roman" w:eastAsia="Calibri" w:hAnsi="Times New Roman" w:cs="Times New Roman"/>
          <w:color w:val="4C4747"/>
          <w:spacing w:val="20"/>
          <w:sz w:val="24"/>
          <w:szCs w:val="24"/>
          <w:lang w:val="es-DO"/>
        </w:rPr>
        <w:t>,</w:t>
      </w:r>
      <w:r w:rsidRPr="00A4233F">
        <w:rPr>
          <w:rFonts w:ascii="Times New Roman" w:eastAsia="Calibri" w:hAnsi="Times New Roman" w:cs="Times New Roman"/>
          <w:color w:val="4C4747"/>
          <w:spacing w:val="20"/>
          <w:sz w:val="24"/>
          <w:szCs w:val="24"/>
          <w:lang w:val="es-DO"/>
        </w:rPr>
        <w:t xml:space="preserve"> como con Pro Dominicana en la inclusión de los servicios que estarán disponible en dichos portales.</w:t>
      </w:r>
    </w:p>
    <w:p w14:paraId="10E85844" w14:textId="77777777" w:rsidR="00410EE5" w:rsidRPr="00A4233F" w:rsidRDefault="00591C1B" w:rsidP="00591C1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En la primera fase del proyecto, en el </w:t>
      </w:r>
      <w:r w:rsidR="00410EE5" w:rsidRPr="00A4233F">
        <w:rPr>
          <w:rFonts w:ascii="Times New Roman" w:eastAsia="Calibri" w:hAnsi="Times New Roman" w:cs="Times New Roman"/>
          <w:color w:val="4C4747"/>
          <w:spacing w:val="20"/>
          <w:sz w:val="24"/>
          <w:szCs w:val="24"/>
          <w:lang w:val="es-DO"/>
        </w:rPr>
        <w:t>INDOTEL</w:t>
      </w:r>
      <w:r w:rsidRPr="00A4233F">
        <w:rPr>
          <w:rFonts w:ascii="Times New Roman" w:eastAsia="Calibri" w:hAnsi="Times New Roman" w:cs="Times New Roman"/>
          <w:color w:val="4C4747"/>
          <w:spacing w:val="20"/>
          <w:sz w:val="24"/>
          <w:szCs w:val="24"/>
          <w:lang w:val="es-DO"/>
        </w:rPr>
        <w:t xml:space="preserve">, se realizó el levantamiento de las necesidades requeridas a ser implementadas en los formularios digitales, actualización y elaboración de los procedimientos, elaboración de flujogramas de cada uno de los servicios, se actualizaron las fichas de los servicios, así como también las pruebas de calidad a las plataformas que serán utilizadas para realizar las solicitudes. </w:t>
      </w:r>
    </w:p>
    <w:p w14:paraId="33507FFF" w14:textId="5067F975" w:rsidR="00591C1B" w:rsidRPr="00A4233F" w:rsidRDefault="00591C1B" w:rsidP="00591C1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la actualidad, los trámites que serán cargados en los portales se encuentran en los procesos de adecuaciones finales por parte de los desarrolladores de la OGTIC y Pro Dominicana.</w:t>
      </w:r>
    </w:p>
    <w:p w14:paraId="089E3108" w14:textId="77777777" w:rsidR="00591C1B" w:rsidRPr="00A4233F" w:rsidRDefault="00591C1B" w:rsidP="00591C1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El ciudadano podrá solicitar el trámite a INDOTEL completando un formulario online incluyendo los requisitos necesarios. Al mismo tiempo, se indicará el costo de cada servicio en el portal.</w:t>
      </w:r>
    </w:p>
    <w:p w14:paraId="37CBBF39" w14:textId="77777777" w:rsidR="00591C1B" w:rsidRPr="00A4233F" w:rsidRDefault="00591C1B" w:rsidP="00591C1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 lo interno, el personal encargado de trabajar las solicitudes recibidas a través del portal seguirá realizando sus funciones como hasta ahora, con la novedad de que, a través del portal, deberán actualizar el porcentaje de avance, dar respuesta a la solicitud e interactuar con el ciudadano sobre requerimientos adicionales o correcciones.</w:t>
      </w:r>
    </w:p>
    <w:p w14:paraId="1E73B3D8" w14:textId="33FDCD9C" w:rsidR="00591C1B" w:rsidRPr="00A4233F" w:rsidRDefault="004E08E9" w:rsidP="00591C1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Fueron</w:t>
      </w:r>
      <w:r w:rsidR="00591C1B" w:rsidRPr="00A4233F">
        <w:rPr>
          <w:rFonts w:ascii="Times New Roman" w:eastAsia="Calibri" w:hAnsi="Times New Roman" w:cs="Times New Roman"/>
          <w:color w:val="4C4747"/>
          <w:spacing w:val="20"/>
          <w:sz w:val="24"/>
          <w:szCs w:val="24"/>
          <w:lang w:val="es-DO"/>
        </w:rPr>
        <w:t xml:space="preserve"> incluidos 7 trámites en el Portal de Servicios del Gobierno Dominicano de la Oficina Gubernamental de Tecnologías de la Información y Comunicación (OGTIC), los cuales son:</w:t>
      </w:r>
    </w:p>
    <w:p w14:paraId="57C7198B" w14:textId="5B2213D2" w:rsidR="00591C1B" w:rsidRPr="00BB4D02" w:rsidRDefault="00591C1B" w:rsidP="00A02BDE">
      <w:pPr>
        <w:pStyle w:val="Prrafodelista"/>
        <w:numPr>
          <w:ilvl w:val="0"/>
          <w:numId w:val="3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Solicitud de Concesión sin concurso público</w:t>
      </w:r>
    </w:p>
    <w:p w14:paraId="0C2BCC8E" w14:textId="6329FD25" w:rsidR="00591C1B" w:rsidRPr="00BB4D02" w:rsidRDefault="00591C1B" w:rsidP="00A02BDE">
      <w:pPr>
        <w:pStyle w:val="Prrafodelista"/>
        <w:numPr>
          <w:ilvl w:val="0"/>
          <w:numId w:val="3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Ampliación de Concesión</w:t>
      </w:r>
    </w:p>
    <w:p w14:paraId="07531C03" w14:textId="05B79241" w:rsidR="00591C1B" w:rsidRPr="00BB4D02" w:rsidRDefault="00591C1B" w:rsidP="00A02BDE">
      <w:pPr>
        <w:pStyle w:val="Prrafodelista"/>
        <w:numPr>
          <w:ilvl w:val="0"/>
          <w:numId w:val="3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Renovación de Concesión</w:t>
      </w:r>
    </w:p>
    <w:p w14:paraId="1A6649F4" w14:textId="7F9D5EF7" w:rsidR="00591C1B" w:rsidRPr="00BB4D02" w:rsidRDefault="00591C1B" w:rsidP="00A02BDE">
      <w:pPr>
        <w:pStyle w:val="Prrafodelista"/>
        <w:numPr>
          <w:ilvl w:val="0"/>
          <w:numId w:val="3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Inscripción en Registro Especial</w:t>
      </w:r>
    </w:p>
    <w:p w14:paraId="612FC538" w14:textId="31AB01CF" w:rsidR="00591C1B" w:rsidRPr="00BB4D02" w:rsidRDefault="00591C1B" w:rsidP="00A02BDE">
      <w:pPr>
        <w:pStyle w:val="Prrafodelista"/>
        <w:numPr>
          <w:ilvl w:val="0"/>
          <w:numId w:val="3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Certificaciones</w:t>
      </w:r>
    </w:p>
    <w:p w14:paraId="00ADDC4D" w14:textId="73FEC169" w:rsidR="00591C1B" w:rsidRPr="00BB4D02" w:rsidRDefault="00591C1B" w:rsidP="00A02BDE">
      <w:pPr>
        <w:pStyle w:val="Prrafodelista"/>
        <w:numPr>
          <w:ilvl w:val="0"/>
          <w:numId w:val="3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Licencia para usar frecuencias del espectro radioeléctrico que se encuentra vinculada a una autorización</w:t>
      </w:r>
    </w:p>
    <w:p w14:paraId="2AC59FA8" w14:textId="5090075F" w:rsidR="004E08E9" w:rsidRPr="00BB4D02" w:rsidRDefault="00591C1B" w:rsidP="00A02BDE">
      <w:pPr>
        <w:pStyle w:val="Prrafodelista"/>
        <w:numPr>
          <w:ilvl w:val="0"/>
          <w:numId w:val="3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Licencia e Inscripción para la operación de Servicios Móviles Aeronáuticos y operación de Servicios </w:t>
      </w:r>
      <w:r w:rsidR="00410EE5" w:rsidRPr="00BB4D02">
        <w:rPr>
          <w:rFonts w:ascii="Times New Roman" w:eastAsia="Calibri" w:hAnsi="Times New Roman" w:cs="Times New Roman"/>
          <w:color w:val="4C4747"/>
          <w:spacing w:val="20"/>
          <w:sz w:val="24"/>
          <w:szCs w:val="24"/>
          <w:lang w:val="es-DO"/>
        </w:rPr>
        <w:t>Privados de Radiocomunicaciones</w:t>
      </w:r>
    </w:p>
    <w:p w14:paraId="11754EA6" w14:textId="77777777" w:rsidR="00591C1B" w:rsidRPr="00A4233F" w:rsidRDefault="00591C1B" w:rsidP="00410EE5">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Fueron incluidos en el portal de Ventanilla Única de Inversión (VUI) de Pro Dominicana los siguientes tres trámites:</w:t>
      </w:r>
    </w:p>
    <w:p w14:paraId="5C56DE81" w14:textId="544AA035" w:rsidR="00591C1B" w:rsidRPr="00BB4D02" w:rsidRDefault="00591C1B" w:rsidP="00A02BDE">
      <w:pPr>
        <w:pStyle w:val="Prrafodelista"/>
        <w:numPr>
          <w:ilvl w:val="0"/>
          <w:numId w:val="40"/>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Inscripción en Registro Especial</w:t>
      </w:r>
    </w:p>
    <w:p w14:paraId="0BA2D2CC" w14:textId="52FED96F" w:rsidR="00591C1B" w:rsidRPr="00BB4D02" w:rsidRDefault="00591C1B" w:rsidP="00A02BDE">
      <w:pPr>
        <w:pStyle w:val="Prrafodelista"/>
        <w:numPr>
          <w:ilvl w:val="0"/>
          <w:numId w:val="40"/>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Solicitud de Concesión sin concurso público</w:t>
      </w:r>
    </w:p>
    <w:p w14:paraId="69FD760D" w14:textId="59CBAD0C" w:rsidR="00591C1B" w:rsidRPr="00BB4D02" w:rsidRDefault="00591C1B" w:rsidP="00A02BDE">
      <w:pPr>
        <w:pStyle w:val="Prrafodelista"/>
        <w:numPr>
          <w:ilvl w:val="0"/>
          <w:numId w:val="40"/>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Solicitud de Hom</w:t>
      </w:r>
      <w:r w:rsidR="00410EE5" w:rsidRPr="00BB4D02">
        <w:rPr>
          <w:rFonts w:ascii="Times New Roman" w:eastAsia="Calibri" w:hAnsi="Times New Roman" w:cs="Times New Roman"/>
          <w:color w:val="4C4747"/>
          <w:spacing w:val="20"/>
          <w:sz w:val="24"/>
          <w:szCs w:val="24"/>
          <w:lang w:val="es-DO"/>
        </w:rPr>
        <w:t>ologación de Equipos y Aparatos</w:t>
      </w:r>
    </w:p>
    <w:p w14:paraId="3BA6D100" w14:textId="77777777" w:rsidR="00591C1B" w:rsidRPr="00A4233F" w:rsidRDefault="00591C1B" w:rsidP="00591C1B">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En la segunda fase del programa se simplificarán los procesos de cada servicio, permitiendo así optimizar el flujo, disminuir pasos y eliminar los cuellos de botella.</w:t>
      </w:r>
    </w:p>
    <w:p w14:paraId="7A8ABC88" w14:textId="1C049F3E" w:rsidR="004E08E9" w:rsidRPr="00A4233F" w:rsidRDefault="00591C1B" w:rsidP="00A75CDE">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Luego de simplificados los procesos, se procederá a automatizar cada solicitud a través de las plataformas de la OGTIC y Pro Dominicana. Esto se reflejará en un ahorro significativo de tiempo de respuesta y recursos, ya que se utilizará una única plataforma, se disminuirá el uso del papel y se agilizará la manera en la que se interactúa entre las distintas áreas internas de la institución y con el ciudadano.</w:t>
      </w:r>
    </w:p>
    <w:p w14:paraId="785DC39E" w14:textId="77777777" w:rsidR="00A75CDE" w:rsidRPr="00C62BB6" w:rsidRDefault="00A75CDE" w:rsidP="00A75CDE">
      <w:pPr>
        <w:spacing w:line="360" w:lineRule="auto"/>
        <w:jc w:val="both"/>
        <w:rPr>
          <w:rFonts w:ascii="Times New Roman" w:eastAsia="Calibri" w:hAnsi="Times New Roman" w:cs="Times New Roman"/>
          <w:color w:val="4C4747"/>
          <w:spacing w:val="20"/>
          <w:sz w:val="24"/>
          <w:szCs w:val="24"/>
          <w:lang w:val="es-DO"/>
        </w:rPr>
      </w:pPr>
    </w:p>
    <w:p w14:paraId="7B968A50" w14:textId="00C5389F" w:rsidR="00641CAA" w:rsidRPr="00C62BB6" w:rsidRDefault="006D62FE" w:rsidP="00641CAA">
      <w:pPr>
        <w:keepNext/>
        <w:spacing w:after="0"/>
        <w:jc w:val="both"/>
        <w:outlineLvl w:val="3"/>
        <w:rPr>
          <w:rFonts w:ascii="Times New Roman" w:eastAsia="Times New Roman" w:hAnsi="Times New Roman" w:cs="Times New Roman"/>
          <w:b/>
          <w:bCs/>
          <w:color w:val="4C4747"/>
          <w:sz w:val="24"/>
          <w:szCs w:val="28"/>
          <w:lang w:val="es-DO" w:eastAsia="es-DO"/>
        </w:rPr>
      </w:pPr>
      <w:r w:rsidRPr="00C62BB6">
        <w:rPr>
          <w:rFonts w:ascii="Times New Roman" w:eastAsia="Times New Roman" w:hAnsi="Times New Roman" w:cs="Times New Roman"/>
          <w:b/>
          <w:bCs/>
          <w:color w:val="4C4747"/>
          <w:sz w:val="24"/>
          <w:szCs w:val="28"/>
          <w:lang w:val="es-DO" w:eastAsia="es-DO"/>
        </w:rPr>
        <w:t xml:space="preserve">4.5.1 </w:t>
      </w:r>
      <w:r w:rsidR="00641CAA" w:rsidRPr="00C62BB6">
        <w:rPr>
          <w:rFonts w:ascii="Times New Roman" w:eastAsia="Times New Roman" w:hAnsi="Times New Roman" w:cs="Times New Roman"/>
          <w:b/>
          <w:bCs/>
          <w:color w:val="4C4747"/>
          <w:sz w:val="24"/>
          <w:szCs w:val="28"/>
          <w:lang w:val="es-DO" w:eastAsia="es-DO"/>
        </w:rPr>
        <w:t>Normas Básicas de Control Interno (NOBACI)</w:t>
      </w:r>
    </w:p>
    <w:p w14:paraId="1CFB5681" w14:textId="77777777" w:rsidR="00641CAA" w:rsidRPr="00C62BB6" w:rsidRDefault="00641CAA" w:rsidP="00641CAA">
      <w:pPr>
        <w:pStyle w:val="Sinespaciado"/>
        <w:rPr>
          <w:color w:val="4C4747"/>
          <w:lang w:val="es-DO"/>
        </w:rPr>
      </w:pPr>
    </w:p>
    <w:p w14:paraId="4325725A" w14:textId="77777777" w:rsidR="00652417" w:rsidRPr="00A4233F" w:rsidRDefault="00652417" w:rsidP="00652417">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La Contraloría General de la República (CGR) es el órgano rector en materia de control interno en la administración pública. En este sentido ha implementado las Normas de Control Interno (NOBACI) las cuales cuentan con 5 matrices, denominadas: Ambiente de Control (AMC), Valoración y Administración de Riesgos (VAR), Actividades de Control (ADC), Información y Comunicación (IyC) y Monitoreo y Evaluación (MyE) en las cuales se desglosan los diferentes requerimientos que se necesitan para el control interno. </w:t>
      </w:r>
    </w:p>
    <w:p w14:paraId="2D94237A" w14:textId="79AB1286" w:rsidR="00652417" w:rsidRPr="00A4233F" w:rsidRDefault="00652417" w:rsidP="004E08E9">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La Contraloría General de la República emitió la Resolución No. 008-20, de fecha 14 de octubre de 2020, mediante la cual se dispone con efectividad al 30 de septiembre de 2020, la realización de un corte con la información de la NOBACI y la entrada en vigencia a partir del 1 de octubre de 2020 de las nuevas matrices de aut</w:t>
      </w:r>
      <w:r w:rsidR="00E07D8F" w:rsidRPr="00A4233F">
        <w:rPr>
          <w:rFonts w:ascii="Times New Roman" w:eastAsia="Calibri" w:hAnsi="Times New Roman" w:cs="Times New Roman"/>
          <w:color w:val="4C4747"/>
          <w:spacing w:val="20"/>
          <w:sz w:val="24"/>
          <w:szCs w:val="24"/>
          <w:lang w:val="es-DO"/>
        </w:rPr>
        <w:t>oevaluación</w:t>
      </w:r>
      <w:r w:rsidRPr="00A4233F">
        <w:rPr>
          <w:rFonts w:ascii="Times New Roman" w:eastAsia="Calibri" w:hAnsi="Times New Roman" w:cs="Times New Roman"/>
          <w:color w:val="4C4747"/>
          <w:spacing w:val="20"/>
          <w:sz w:val="24"/>
          <w:szCs w:val="24"/>
          <w:lang w:val="es-DO"/>
        </w:rPr>
        <w:t>.</w:t>
      </w:r>
    </w:p>
    <w:p w14:paraId="4F420F6D" w14:textId="60695AE4" w:rsidR="004E08E9" w:rsidRPr="00A4233F" w:rsidRDefault="00E07D8F" w:rsidP="00410EE5">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Para dar cumplimiento, </w:t>
      </w:r>
      <w:r w:rsidR="00652417" w:rsidRPr="00A4233F">
        <w:rPr>
          <w:rFonts w:ascii="Times New Roman" w:eastAsia="Calibri" w:hAnsi="Times New Roman" w:cs="Times New Roman"/>
          <w:color w:val="4C4747"/>
          <w:spacing w:val="20"/>
          <w:sz w:val="24"/>
          <w:szCs w:val="24"/>
          <w:lang w:val="es-DO"/>
        </w:rPr>
        <w:t xml:space="preserve">hemos ido trabajando </w:t>
      </w:r>
      <w:r w:rsidR="004E08E9" w:rsidRPr="00A4233F">
        <w:rPr>
          <w:rFonts w:ascii="Times New Roman" w:eastAsia="Calibri" w:hAnsi="Times New Roman" w:cs="Times New Roman"/>
          <w:color w:val="4C4747"/>
          <w:spacing w:val="20"/>
          <w:sz w:val="24"/>
          <w:szCs w:val="24"/>
          <w:lang w:val="es-DO"/>
        </w:rPr>
        <w:t xml:space="preserve">con el soporte de una Analista de la Contraloría General de la República </w:t>
      </w:r>
      <w:r w:rsidR="00652417" w:rsidRPr="00A4233F">
        <w:rPr>
          <w:rFonts w:ascii="Times New Roman" w:eastAsia="Calibri" w:hAnsi="Times New Roman" w:cs="Times New Roman"/>
          <w:color w:val="4C4747"/>
          <w:spacing w:val="20"/>
          <w:sz w:val="24"/>
          <w:szCs w:val="24"/>
          <w:lang w:val="es-DO"/>
        </w:rPr>
        <w:t>la actualización de políticas, procedimientos, guías, entre otros documentos existentes, así como también, creando aque</w:t>
      </w:r>
      <w:r w:rsidR="00410EE5" w:rsidRPr="00A4233F">
        <w:rPr>
          <w:rFonts w:ascii="Times New Roman" w:eastAsia="Calibri" w:hAnsi="Times New Roman" w:cs="Times New Roman"/>
          <w:color w:val="4C4747"/>
          <w:spacing w:val="20"/>
          <w:sz w:val="24"/>
          <w:szCs w:val="24"/>
          <w:lang w:val="es-DO"/>
        </w:rPr>
        <w:t>llos con los que no contábamos.</w:t>
      </w:r>
    </w:p>
    <w:p w14:paraId="46DF9BE5" w14:textId="2919E8D4" w:rsidR="00641CAA" w:rsidRPr="00A4233F" w:rsidRDefault="006D62FE" w:rsidP="00410EE5">
      <w:pPr>
        <w:keepNext/>
        <w:spacing w:before="240" w:after="0"/>
        <w:jc w:val="both"/>
        <w:outlineLvl w:val="3"/>
        <w:rPr>
          <w:rFonts w:ascii="Times New Roman" w:eastAsia="Times New Roman" w:hAnsi="Times New Roman" w:cs="Times New Roman"/>
          <w:b/>
          <w:bCs/>
          <w:color w:val="4C4747"/>
          <w:sz w:val="24"/>
          <w:szCs w:val="28"/>
          <w:lang w:val="es-DO" w:eastAsia="es-DO"/>
        </w:rPr>
      </w:pPr>
      <w:r w:rsidRPr="00A4233F">
        <w:rPr>
          <w:rFonts w:ascii="Times New Roman" w:eastAsia="Times New Roman" w:hAnsi="Times New Roman" w:cs="Times New Roman"/>
          <w:b/>
          <w:bCs/>
          <w:color w:val="4C4747"/>
          <w:sz w:val="24"/>
          <w:szCs w:val="28"/>
          <w:lang w:val="es-DO" w:eastAsia="es-DO"/>
        </w:rPr>
        <w:lastRenderedPageBreak/>
        <w:t xml:space="preserve">4.5.2 </w:t>
      </w:r>
      <w:r w:rsidR="00641CAA" w:rsidRPr="00A4233F">
        <w:rPr>
          <w:rFonts w:ascii="Times New Roman" w:eastAsia="Times New Roman" w:hAnsi="Times New Roman" w:cs="Times New Roman"/>
          <w:b/>
          <w:bCs/>
          <w:color w:val="4C4747"/>
          <w:sz w:val="24"/>
          <w:szCs w:val="28"/>
          <w:lang w:val="es-DO" w:eastAsia="es-DO"/>
        </w:rPr>
        <w:t>Resultados de los Sistemas de Calidad</w:t>
      </w:r>
    </w:p>
    <w:p w14:paraId="0841A525" w14:textId="77777777" w:rsidR="00641CAA" w:rsidRPr="00A4233F" w:rsidRDefault="00641CAA" w:rsidP="00641CAA">
      <w:pPr>
        <w:pStyle w:val="Sinespaciado"/>
        <w:rPr>
          <w:color w:val="4C4747"/>
          <w:highlight w:val="yellow"/>
          <w:lang w:val="es-DO"/>
        </w:rPr>
      </w:pPr>
    </w:p>
    <w:p w14:paraId="49DB47B8" w14:textId="77BA651A" w:rsidR="00E85EFE" w:rsidRPr="00A4233F" w:rsidRDefault="00E85EFE" w:rsidP="00410EE5">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En la institución </w:t>
      </w:r>
      <w:r w:rsidR="00410EE5" w:rsidRPr="00A4233F">
        <w:rPr>
          <w:rFonts w:ascii="Times New Roman" w:eastAsia="Calibri" w:hAnsi="Times New Roman" w:cs="Times New Roman"/>
          <w:color w:val="4C4747"/>
          <w:spacing w:val="20"/>
          <w:sz w:val="24"/>
          <w:szCs w:val="24"/>
          <w:lang w:val="es-DO"/>
        </w:rPr>
        <w:t>se lleva</w:t>
      </w:r>
      <w:r w:rsidRPr="00A4233F">
        <w:rPr>
          <w:rFonts w:ascii="Times New Roman" w:eastAsia="Calibri" w:hAnsi="Times New Roman" w:cs="Times New Roman"/>
          <w:color w:val="4C4747"/>
          <w:spacing w:val="20"/>
          <w:sz w:val="24"/>
          <w:szCs w:val="24"/>
          <w:lang w:val="es-DO"/>
        </w:rPr>
        <w:t xml:space="preserve"> a cabo una gestión por procesos. Realiza</w:t>
      </w:r>
      <w:r w:rsidR="00410EE5" w:rsidRPr="00A4233F">
        <w:rPr>
          <w:rFonts w:ascii="Times New Roman" w:eastAsia="Calibri" w:hAnsi="Times New Roman" w:cs="Times New Roman"/>
          <w:color w:val="4C4747"/>
          <w:spacing w:val="20"/>
          <w:sz w:val="24"/>
          <w:szCs w:val="24"/>
          <w:lang w:val="es-DO"/>
        </w:rPr>
        <w:t xml:space="preserve">ndo </w:t>
      </w:r>
      <w:r w:rsidRPr="00A4233F">
        <w:rPr>
          <w:rFonts w:ascii="Times New Roman" w:eastAsia="Calibri" w:hAnsi="Times New Roman" w:cs="Times New Roman"/>
          <w:color w:val="4C4747"/>
          <w:spacing w:val="20"/>
          <w:sz w:val="24"/>
          <w:szCs w:val="24"/>
          <w:lang w:val="es-DO"/>
        </w:rPr>
        <w:t xml:space="preserve">anualmente un autodiagnóstico utilizando la metodología CAF a través del cual </w:t>
      </w:r>
      <w:r w:rsidR="00410EE5" w:rsidRPr="00A4233F">
        <w:rPr>
          <w:rFonts w:ascii="Times New Roman" w:eastAsia="Calibri" w:hAnsi="Times New Roman" w:cs="Times New Roman"/>
          <w:color w:val="4C4747"/>
          <w:spacing w:val="20"/>
          <w:sz w:val="24"/>
          <w:szCs w:val="24"/>
          <w:lang w:val="es-DO"/>
        </w:rPr>
        <w:t>se identifica</w:t>
      </w:r>
      <w:r w:rsidRPr="00A4233F">
        <w:rPr>
          <w:rFonts w:ascii="Times New Roman" w:eastAsia="Calibri" w:hAnsi="Times New Roman" w:cs="Times New Roman"/>
          <w:color w:val="4C4747"/>
          <w:spacing w:val="20"/>
          <w:sz w:val="24"/>
          <w:szCs w:val="24"/>
          <w:lang w:val="es-DO"/>
        </w:rPr>
        <w:t xml:space="preserve"> los puntos fuertes y las áreas de mejoras para implementar las acciones necesarias para elevar la calidad de los servicios que ofre</w:t>
      </w:r>
      <w:r w:rsidR="00410EE5" w:rsidRPr="00A4233F">
        <w:rPr>
          <w:rFonts w:ascii="Times New Roman" w:eastAsia="Calibri" w:hAnsi="Times New Roman" w:cs="Times New Roman"/>
          <w:color w:val="4C4747"/>
          <w:spacing w:val="20"/>
          <w:sz w:val="24"/>
          <w:szCs w:val="24"/>
          <w:lang w:val="es-DO"/>
        </w:rPr>
        <w:t>cemos.</w:t>
      </w:r>
    </w:p>
    <w:p w14:paraId="53291E19" w14:textId="7412FF99" w:rsidR="00E85EFE" w:rsidRPr="00A4233F" w:rsidRDefault="00E85EFE" w:rsidP="00410EE5">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La metodología CAF requiere que se evalúen 9 Criterios y 28 Sub Criterios. Los primeros cinco Criterios son facilitadores a través de los cuales se evalúa lo que hace la organización y la manera en que son planteadas las tareas para alcanzar los resultados deseados y en los restantes cuatro Criterios, se evalúan los resultados y se mide la percepción de los emp</w:t>
      </w:r>
      <w:r w:rsidR="00410EE5" w:rsidRPr="00A4233F">
        <w:rPr>
          <w:rFonts w:ascii="Times New Roman" w:eastAsia="Calibri" w:hAnsi="Times New Roman" w:cs="Times New Roman"/>
          <w:color w:val="4C4747"/>
          <w:spacing w:val="20"/>
          <w:sz w:val="24"/>
          <w:szCs w:val="24"/>
          <w:lang w:val="es-DO"/>
        </w:rPr>
        <w:t>leados, clientes y la sociedad.</w:t>
      </w:r>
    </w:p>
    <w:p w14:paraId="1B35C6B8" w14:textId="29F7ED7D" w:rsidR="00410EE5" w:rsidRPr="00A4233F" w:rsidRDefault="00E07D8F" w:rsidP="00410EE5">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En el </w:t>
      </w:r>
      <w:r w:rsidR="00E85EFE" w:rsidRPr="00A4233F">
        <w:rPr>
          <w:rFonts w:ascii="Times New Roman" w:eastAsia="Calibri" w:hAnsi="Times New Roman" w:cs="Times New Roman"/>
          <w:color w:val="4C4747"/>
          <w:spacing w:val="20"/>
          <w:sz w:val="24"/>
          <w:szCs w:val="24"/>
          <w:lang w:val="es-DO"/>
        </w:rPr>
        <w:t xml:space="preserve">2022 fueron modificados los integrantes del </w:t>
      </w:r>
      <w:r w:rsidR="00513ACC" w:rsidRPr="00A4233F">
        <w:rPr>
          <w:rFonts w:ascii="Times New Roman" w:eastAsia="Calibri" w:hAnsi="Times New Roman" w:cs="Times New Roman"/>
          <w:color w:val="4C4747"/>
          <w:spacing w:val="20"/>
          <w:sz w:val="24"/>
          <w:szCs w:val="24"/>
          <w:lang w:val="es-DO"/>
        </w:rPr>
        <w:t>c</w:t>
      </w:r>
      <w:r w:rsidR="00E85EFE" w:rsidRPr="00A4233F">
        <w:rPr>
          <w:rFonts w:ascii="Times New Roman" w:eastAsia="Calibri" w:hAnsi="Times New Roman" w:cs="Times New Roman"/>
          <w:color w:val="4C4747"/>
          <w:spacing w:val="20"/>
          <w:sz w:val="24"/>
          <w:szCs w:val="24"/>
          <w:lang w:val="es-DO"/>
        </w:rPr>
        <w:t xml:space="preserve">omité de </w:t>
      </w:r>
      <w:r w:rsidR="00513ACC" w:rsidRPr="00A4233F">
        <w:rPr>
          <w:rFonts w:ascii="Times New Roman" w:eastAsia="Calibri" w:hAnsi="Times New Roman" w:cs="Times New Roman"/>
          <w:color w:val="4C4747"/>
          <w:spacing w:val="20"/>
          <w:sz w:val="24"/>
          <w:szCs w:val="24"/>
          <w:lang w:val="es-DO"/>
        </w:rPr>
        <w:t>c</w:t>
      </w:r>
      <w:r w:rsidR="003D78AE" w:rsidRPr="00A4233F">
        <w:rPr>
          <w:rFonts w:ascii="Times New Roman" w:eastAsia="Calibri" w:hAnsi="Times New Roman" w:cs="Times New Roman"/>
          <w:color w:val="4C4747"/>
          <w:spacing w:val="20"/>
          <w:sz w:val="24"/>
          <w:szCs w:val="24"/>
          <w:lang w:val="es-DO"/>
        </w:rPr>
        <w:t xml:space="preserve">alidad por lo que </w:t>
      </w:r>
      <w:r w:rsidR="00E85EFE" w:rsidRPr="00A4233F">
        <w:rPr>
          <w:rFonts w:ascii="Times New Roman" w:eastAsia="Calibri" w:hAnsi="Times New Roman" w:cs="Times New Roman"/>
          <w:color w:val="4C4747"/>
          <w:spacing w:val="20"/>
          <w:sz w:val="24"/>
          <w:szCs w:val="24"/>
          <w:lang w:val="es-DO"/>
        </w:rPr>
        <w:t>fue remitido al Ministerio de Administración Pública (MAP) los nombres de los nuevos integrantes</w:t>
      </w:r>
      <w:r w:rsidR="003D78AE" w:rsidRPr="00A4233F">
        <w:rPr>
          <w:rFonts w:ascii="Times New Roman" w:eastAsia="Calibri" w:hAnsi="Times New Roman" w:cs="Times New Roman"/>
          <w:color w:val="4C4747"/>
          <w:spacing w:val="20"/>
          <w:sz w:val="24"/>
          <w:szCs w:val="24"/>
          <w:lang w:val="es-DO"/>
        </w:rPr>
        <w:t>,</w:t>
      </w:r>
      <w:r w:rsidR="00E85EFE" w:rsidRPr="00A4233F">
        <w:rPr>
          <w:rFonts w:ascii="Times New Roman" w:eastAsia="Calibri" w:hAnsi="Times New Roman" w:cs="Times New Roman"/>
          <w:color w:val="4C4747"/>
          <w:spacing w:val="20"/>
          <w:sz w:val="24"/>
          <w:szCs w:val="24"/>
          <w:lang w:val="es-DO"/>
        </w:rPr>
        <w:t xml:space="preserve"> así como también fue elaborado el autodiagnóstico de la institución utilizando la metodología (CAF). </w:t>
      </w:r>
    </w:p>
    <w:p w14:paraId="76AE0495" w14:textId="77777777" w:rsidR="00410EE5" w:rsidRPr="00A4233F" w:rsidRDefault="00410EE5" w:rsidP="00410EE5">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Dentro de las evidencias que se dispone</w:t>
      </w:r>
      <w:r w:rsidR="00E85EFE" w:rsidRPr="00A4233F">
        <w:rPr>
          <w:rFonts w:ascii="Times New Roman" w:eastAsia="Calibri" w:hAnsi="Times New Roman" w:cs="Times New Roman"/>
          <w:color w:val="4C4747"/>
          <w:spacing w:val="20"/>
          <w:sz w:val="24"/>
          <w:szCs w:val="24"/>
          <w:lang w:val="es-DO"/>
        </w:rPr>
        <w:t xml:space="preserve"> para su cumplimiento se encuentran: Plan Estratégico Institucional (PEI), misión, visión, valores, la Comisión de </w:t>
      </w:r>
      <w:r w:rsidR="003D78AE" w:rsidRPr="00A4233F">
        <w:rPr>
          <w:rFonts w:ascii="Times New Roman" w:eastAsia="Calibri" w:hAnsi="Times New Roman" w:cs="Times New Roman"/>
          <w:color w:val="4C4747"/>
          <w:spacing w:val="20"/>
          <w:sz w:val="24"/>
          <w:szCs w:val="24"/>
          <w:lang w:val="es-DO"/>
        </w:rPr>
        <w:t>Integridad  y Cumplimiento Normativo</w:t>
      </w:r>
      <w:r w:rsidR="00E85EFE" w:rsidRPr="00A4233F">
        <w:rPr>
          <w:rFonts w:ascii="Times New Roman" w:eastAsia="Calibri" w:hAnsi="Times New Roman" w:cs="Times New Roman"/>
          <w:color w:val="4C4747"/>
          <w:spacing w:val="20"/>
          <w:sz w:val="24"/>
          <w:szCs w:val="24"/>
          <w:lang w:val="es-DO"/>
        </w:rPr>
        <w:t xml:space="preserve">,  la cual vela por la correcta conducta de los colaboradores y una Alta Dirección cuyo comportamiento se encuentran apegado a los valores institucionales. </w:t>
      </w:r>
    </w:p>
    <w:p w14:paraId="1706797D" w14:textId="557A76DB" w:rsidR="00382F19" w:rsidRPr="00A4233F" w:rsidRDefault="00410EE5" w:rsidP="00410EE5">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Se tiene identificado</w:t>
      </w:r>
      <w:r w:rsidR="00E85EFE" w:rsidRPr="00A4233F">
        <w:rPr>
          <w:rFonts w:ascii="Times New Roman" w:eastAsia="Calibri" w:hAnsi="Times New Roman" w:cs="Times New Roman"/>
          <w:color w:val="4C4747"/>
          <w:spacing w:val="20"/>
          <w:sz w:val="24"/>
          <w:szCs w:val="24"/>
          <w:lang w:val="es-DO"/>
        </w:rPr>
        <w:t xml:space="preserve"> los grupos de interés así como sus necesidades y expectativas. Disponemos documentados los procedimientos y políticas para gestionar los recursos humanos, firmamos acuerdos y convenios  con instituciones nacional</w:t>
      </w:r>
      <w:r w:rsidR="00382F19" w:rsidRPr="00A4233F">
        <w:rPr>
          <w:rFonts w:ascii="Times New Roman" w:eastAsia="Calibri" w:hAnsi="Times New Roman" w:cs="Times New Roman"/>
          <w:color w:val="4C4747"/>
          <w:spacing w:val="20"/>
          <w:sz w:val="24"/>
          <w:szCs w:val="24"/>
          <w:lang w:val="es-DO"/>
        </w:rPr>
        <w:t xml:space="preserve">es e internacionales, tanto del </w:t>
      </w:r>
    </w:p>
    <w:p w14:paraId="707DA6A9" w14:textId="6E6F7A5D" w:rsidR="00E85EFE" w:rsidRPr="00A4233F" w:rsidRDefault="00E85EFE" w:rsidP="00410EE5">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sector privado como del sector público, coordinamos mesas técnicas con el sector que regulamos para identificar sus necesidades y tenemos identificados los proc</w:t>
      </w:r>
      <w:r w:rsidR="00410EE5" w:rsidRPr="00A4233F">
        <w:rPr>
          <w:rFonts w:ascii="Times New Roman" w:eastAsia="Calibri" w:hAnsi="Times New Roman" w:cs="Times New Roman"/>
          <w:color w:val="4C4747"/>
          <w:spacing w:val="20"/>
          <w:sz w:val="24"/>
          <w:szCs w:val="24"/>
          <w:lang w:val="es-DO"/>
        </w:rPr>
        <w:t xml:space="preserve">esos claves de la institución. </w:t>
      </w:r>
    </w:p>
    <w:p w14:paraId="05711673" w14:textId="769BAE84" w:rsidR="00652417" w:rsidRPr="00A4233F" w:rsidRDefault="00E85EFE" w:rsidP="00916E17">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los últimos cuatro Criterios fueron evaluados los resultados orientados a los clientes, colaboradores y la responsabilidad social. Para su cumplimiento disponemos de una encuesta de satisfacción al cliente, una Carta Compromiso al Ciudadano, indicadores de las Mediciones del Sistema de Transparencia, encuesta de clima organizacional para verificar los resultados que está alcanzando la organización en relación con la satisfacción del personal, fueron llevados a cabo proyectos de desarrollo con la finalidad de cerrar la brecha digital de las telecomunicaciones y disponemos de indicadores de efectividad de los principales procesos.</w:t>
      </w:r>
    </w:p>
    <w:p w14:paraId="60AEE54D" w14:textId="6205E847" w:rsidR="00977D9C" w:rsidRPr="00A4233F" w:rsidRDefault="006D62FE" w:rsidP="00916E17">
      <w:pPr>
        <w:keepNext/>
        <w:spacing w:before="240" w:after="0"/>
        <w:jc w:val="both"/>
        <w:outlineLvl w:val="3"/>
        <w:rPr>
          <w:rFonts w:ascii="Times New Roman" w:eastAsia="Times New Roman" w:hAnsi="Times New Roman" w:cs="Times New Roman"/>
          <w:b/>
          <w:bCs/>
          <w:color w:val="4C4747"/>
          <w:sz w:val="24"/>
          <w:szCs w:val="28"/>
          <w:lang w:val="es-DO" w:eastAsia="es-DO"/>
        </w:rPr>
      </w:pPr>
      <w:r w:rsidRPr="00A4233F">
        <w:rPr>
          <w:rFonts w:ascii="Times New Roman" w:eastAsia="Times New Roman" w:hAnsi="Times New Roman" w:cs="Times New Roman"/>
          <w:b/>
          <w:bCs/>
          <w:color w:val="4C4747"/>
          <w:sz w:val="24"/>
          <w:szCs w:val="28"/>
          <w:lang w:val="es-DO" w:eastAsia="es-DO"/>
        </w:rPr>
        <w:t xml:space="preserve">4.5.3 </w:t>
      </w:r>
      <w:r w:rsidR="00977D9C" w:rsidRPr="00A4233F">
        <w:rPr>
          <w:rFonts w:ascii="Times New Roman" w:eastAsia="Times New Roman" w:hAnsi="Times New Roman" w:cs="Times New Roman"/>
          <w:b/>
          <w:bCs/>
          <w:color w:val="4C4747"/>
          <w:sz w:val="24"/>
          <w:szCs w:val="28"/>
          <w:lang w:val="es-DO" w:eastAsia="es-DO"/>
        </w:rPr>
        <w:t>Acciones para el Fortalecimiento Institucional</w:t>
      </w:r>
    </w:p>
    <w:p w14:paraId="309FA333" w14:textId="77777777" w:rsidR="00977D9C" w:rsidRPr="00A4233F" w:rsidRDefault="00977D9C" w:rsidP="00977D9C">
      <w:pPr>
        <w:pStyle w:val="Sinespaciado"/>
        <w:rPr>
          <w:color w:val="4C4747"/>
          <w:lang w:val="es-DO"/>
        </w:rPr>
      </w:pPr>
    </w:p>
    <w:p w14:paraId="40268A25" w14:textId="77777777" w:rsidR="00A75CDE" w:rsidRPr="00A4233F" w:rsidRDefault="00017EAE" w:rsidP="00977D9C">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e</w:t>
      </w:r>
      <w:r w:rsidR="00652417" w:rsidRPr="00A4233F">
        <w:rPr>
          <w:rFonts w:ascii="Times New Roman" w:eastAsia="Calibri" w:hAnsi="Times New Roman" w:cs="Times New Roman"/>
          <w:color w:val="4C4747"/>
          <w:spacing w:val="20"/>
          <w:sz w:val="24"/>
          <w:szCs w:val="24"/>
          <w:lang w:val="es-DO"/>
        </w:rPr>
        <w:t xml:space="preserve">l </w:t>
      </w:r>
      <w:r w:rsidRPr="00A4233F">
        <w:rPr>
          <w:rFonts w:ascii="Times New Roman" w:eastAsia="Calibri" w:hAnsi="Times New Roman" w:cs="Times New Roman"/>
          <w:color w:val="4C4747"/>
          <w:spacing w:val="20"/>
          <w:sz w:val="24"/>
          <w:szCs w:val="24"/>
          <w:lang w:val="es-DO"/>
        </w:rPr>
        <w:t>Plan Estratégico Instituci</w:t>
      </w:r>
      <w:r w:rsidR="008C215F" w:rsidRPr="00A4233F">
        <w:rPr>
          <w:rFonts w:ascii="Times New Roman" w:eastAsia="Calibri" w:hAnsi="Times New Roman" w:cs="Times New Roman"/>
          <w:color w:val="4C4747"/>
          <w:spacing w:val="20"/>
          <w:sz w:val="24"/>
          <w:szCs w:val="24"/>
          <w:lang w:val="es-DO"/>
        </w:rPr>
        <w:t xml:space="preserve">onal (PEI) 2021-2024 </w:t>
      </w:r>
      <w:r w:rsidR="00E85EFE" w:rsidRPr="00A4233F">
        <w:rPr>
          <w:rFonts w:ascii="Times New Roman" w:eastAsia="Calibri" w:hAnsi="Times New Roman" w:cs="Times New Roman"/>
          <w:color w:val="4C4747"/>
          <w:spacing w:val="20"/>
          <w:sz w:val="24"/>
          <w:szCs w:val="24"/>
          <w:lang w:val="es-DO"/>
        </w:rPr>
        <w:t xml:space="preserve">fueron definidos 4 </w:t>
      </w:r>
      <w:r w:rsidRPr="00A4233F">
        <w:rPr>
          <w:rFonts w:ascii="Times New Roman" w:eastAsia="Calibri" w:hAnsi="Times New Roman" w:cs="Times New Roman"/>
          <w:color w:val="4C4747"/>
          <w:spacing w:val="20"/>
          <w:sz w:val="24"/>
          <w:szCs w:val="24"/>
          <w:lang w:val="es-DO"/>
        </w:rPr>
        <w:t xml:space="preserve">Ejes Estratégicos, uno de ellos es el Eje de Fortalecimiento Institucional </w:t>
      </w:r>
      <w:r w:rsidR="00271397" w:rsidRPr="00A4233F">
        <w:rPr>
          <w:rFonts w:ascii="Times New Roman" w:eastAsia="Calibri" w:hAnsi="Times New Roman" w:cs="Times New Roman"/>
          <w:color w:val="4C4747"/>
          <w:spacing w:val="20"/>
          <w:sz w:val="24"/>
          <w:szCs w:val="24"/>
          <w:lang w:val="es-DO"/>
        </w:rPr>
        <w:t xml:space="preserve">que </w:t>
      </w:r>
      <w:r w:rsidRPr="00A4233F">
        <w:rPr>
          <w:rFonts w:ascii="Times New Roman" w:eastAsia="Calibri" w:hAnsi="Times New Roman" w:cs="Times New Roman"/>
          <w:color w:val="4C4747"/>
          <w:spacing w:val="20"/>
          <w:sz w:val="24"/>
          <w:szCs w:val="24"/>
          <w:lang w:val="es-DO"/>
        </w:rPr>
        <w:t>tiene como finalidad fortalecer las áreas de apoyo y transversales para eficientizar la gestión institucional</w:t>
      </w:r>
      <w:r w:rsidR="00E07D8F" w:rsidRPr="00A4233F">
        <w:rPr>
          <w:rFonts w:ascii="Times New Roman" w:eastAsia="Calibri" w:hAnsi="Times New Roman" w:cs="Times New Roman"/>
          <w:color w:val="4C4747"/>
          <w:spacing w:val="20"/>
          <w:sz w:val="24"/>
          <w:szCs w:val="24"/>
          <w:lang w:val="es-DO"/>
        </w:rPr>
        <w:t xml:space="preserve">. </w:t>
      </w:r>
      <w:r w:rsidRPr="00A4233F">
        <w:rPr>
          <w:rFonts w:ascii="Times New Roman" w:eastAsia="Calibri" w:hAnsi="Times New Roman" w:cs="Times New Roman"/>
          <w:color w:val="4C4747"/>
          <w:spacing w:val="20"/>
          <w:sz w:val="24"/>
          <w:szCs w:val="24"/>
          <w:lang w:val="es-DO"/>
        </w:rPr>
        <w:t>Las iniciativas llevadas a cabo por las áreas que impactan este Eje están siendo mencionadas en las diferentes secciones del presente acápite de “Resultados Áreas Transversales y de Apoyo”</w:t>
      </w:r>
      <w:r w:rsidR="00556352" w:rsidRPr="00A4233F">
        <w:rPr>
          <w:rFonts w:ascii="Times New Roman" w:eastAsia="Calibri" w:hAnsi="Times New Roman" w:cs="Times New Roman"/>
          <w:color w:val="4C4747"/>
          <w:spacing w:val="20"/>
          <w:sz w:val="24"/>
          <w:szCs w:val="24"/>
          <w:lang w:val="es-DO"/>
        </w:rPr>
        <w:t xml:space="preserve"> y el cumplimiento de las metas establecidas en este Eje se miden en la evaluación del Plan Operativo Anual (POA).</w:t>
      </w:r>
    </w:p>
    <w:p w14:paraId="753BD791" w14:textId="77777777" w:rsidR="00A75CDE" w:rsidRPr="00A4233F" w:rsidRDefault="00A75CDE" w:rsidP="00977D9C">
      <w:pPr>
        <w:spacing w:line="360" w:lineRule="auto"/>
        <w:jc w:val="both"/>
        <w:rPr>
          <w:rFonts w:ascii="Times New Roman" w:eastAsia="Calibri" w:hAnsi="Times New Roman" w:cs="Times New Roman"/>
          <w:color w:val="4C4747"/>
          <w:spacing w:val="20"/>
          <w:sz w:val="24"/>
          <w:szCs w:val="24"/>
          <w:lang w:val="es-DO"/>
        </w:rPr>
      </w:pPr>
    </w:p>
    <w:p w14:paraId="1644102E" w14:textId="77777777" w:rsidR="00A75CDE" w:rsidRPr="00A4233F" w:rsidRDefault="00556352" w:rsidP="00A75CDE">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 </w:t>
      </w:r>
    </w:p>
    <w:p w14:paraId="03F49745" w14:textId="77777777" w:rsidR="00A75CDE" w:rsidRPr="00A4233F" w:rsidRDefault="00A75CDE" w:rsidP="00A75CDE">
      <w:pPr>
        <w:spacing w:line="360" w:lineRule="auto"/>
        <w:jc w:val="both"/>
        <w:rPr>
          <w:rFonts w:ascii="Times New Roman" w:eastAsia="Calibri" w:hAnsi="Times New Roman" w:cs="Times New Roman"/>
          <w:color w:val="4C4747"/>
          <w:spacing w:val="20"/>
          <w:sz w:val="24"/>
          <w:szCs w:val="24"/>
          <w:lang w:val="es-DO"/>
        </w:rPr>
      </w:pPr>
    </w:p>
    <w:p w14:paraId="2D2CBAE5" w14:textId="77777777" w:rsidR="00790E59" w:rsidRPr="00A4233F" w:rsidRDefault="00790E59" w:rsidP="00A75CDE">
      <w:pPr>
        <w:spacing w:line="360" w:lineRule="auto"/>
        <w:jc w:val="both"/>
        <w:rPr>
          <w:rFonts w:ascii="Times New Roman" w:eastAsia="Calibri" w:hAnsi="Times New Roman" w:cs="Times New Roman"/>
          <w:color w:val="4C4747"/>
          <w:spacing w:val="20"/>
          <w:sz w:val="24"/>
          <w:szCs w:val="24"/>
          <w:lang w:val="es-DO"/>
        </w:rPr>
      </w:pPr>
    </w:p>
    <w:p w14:paraId="280AA042" w14:textId="77777777" w:rsidR="00790E59" w:rsidRPr="00A4233F" w:rsidRDefault="00790E59" w:rsidP="00A75CDE">
      <w:pPr>
        <w:spacing w:line="360" w:lineRule="auto"/>
        <w:jc w:val="both"/>
        <w:rPr>
          <w:rFonts w:ascii="Times New Roman" w:eastAsia="Calibri" w:hAnsi="Times New Roman" w:cs="Times New Roman"/>
          <w:color w:val="4C4747"/>
          <w:spacing w:val="20"/>
          <w:sz w:val="24"/>
          <w:szCs w:val="24"/>
          <w:lang w:val="es-DO"/>
        </w:rPr>
      </w:pPr>
    </w:p>
    <w:p w14:paraId="58D41D00" w14:textId="6F0BA7AE" w:rsidR="00A75CDE" w:rsidRPr="00A4233F" w:rsidRDefault="00E86F9C" w:rsidP="00A75CDE">
      <w:pPr>
        <w:spacing w:line="360" w:lineRule="auto"/>
        <w:jc w:val="both"/>
        <w:rPr>
          <w:rFonts w:ascii="Times New Roman" w:hAnsi="Times New Roman" w:cs="Times New Roman"/>
          <w:b/>
          <w:color w:val="4C4747"/>
          <w:sz w:val="24"/>
          <w:szCs w:val="24"/>
          <w:lang w:val="es-DO" w:eastAsia="es-DO"/>
        </w:rPr>
      </w:pPr>
      <w:r w:rsidRPr="00A4233F">
        <w:rPr>
          <w:rFonts w:ascii="Times New Roman" w:hAnsi="Times New Roman" w:cs="Times New Roman"/>
          <w:b/>
          <w:color w:val="4C4747"/>
          <w:sz w:val="24"/>
          <w:szCs w:val="24"/>
          <w:lang w:val="es-DO" w:eastAsia="es-DO"/>
        </w:rPr>
        <w:lastRenderedPageBreak/>
        <w:t xml:space="preserve">4.5.4 </w:t>
      </w:r>
      <w:r w:rsidR="00FF04FC" w:rsidRPr="00A4233F">
        <w:rPr>
          <w:rFonts w:ascii="Times New Roman" w:hAnsi="Times New Roman" w:cs="Times New Roman"/>
          <w:b/>
          <w:color w:val="4C4747"/>
          <w:sz w:val="24"/>
          <w:szCs w:val="24"/>
          <w:lang w:val="es-DO" w:eastAsia="es-DO"/>
        </w:rPr>
        <w:t>Equidad de Género</w:t>
      </w:r>
    </w:p>
    <w:p w14:paraId="78A51500" w14:textId="77777777" w:rsidR="00FE3890" w:rsidRPr="00A4233F" w:rsidRDefault="00FE3890" w:rsidP="00FE389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El INDOTEL, acogiéndose a la iniciativa del Ministerio de la Mujer de transversalizar el enfoque de género en la planificación nacional, se encuentra implementando el Sello de Igualdad de Género en  el sector público, el cual es un acelerador para el logro de la igualdad de género y de la Agenda 2030, que busca transformar las instituciones en sus dimensiones internas y externas, con la promoción de acciones encaminadas a eliminar brechas de género y aumentar la participación y las oportunidades laborales equitativas entre mujeres y hombres.</w:t>
      </w:r>
    </w:p>
    <w:p w14:paraId="70238D1E" w14:textId="77777777" w:rsidR="00FE3890" w:rsidRPr="00A4233F" w:rsidRDefault="00FE3890" w:rsidP="00FE389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A la fecha, nos encontramos en el proceso de ejecución del plan de acción para cumplir con los requerimientos establecidos por el Sello a través de las cinco dimensiones que se evalúan las cuales son: Planificación para la Igualdad, Capacidades y Arquitectura para la Igualdad de Género, Ambiente Laboral para la Igualdad de Género, Alianzas para la Igualdad e Impacto en las Políticas Públicas, las cuales tienen como finalidad impulsar el desarrollo de una cultura organizacional favorable para la igualdad de género.</w:t>
      </w:r>
    </w:p>
    <w:p w14:paraId="1EE9BC4D" w14:textId="77777777" w:rsidR="00FE3890" w:rsidRPr="00A4233F" w:rsidRDefault="00FE3890" w:rsidP="00FE389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Hemos dado inicio a la elaboración de cápsulas informativas sobre temas concernientes a la igualdad de género para ser incluidas en el boletín institucional.</w:t>
      </w:r>
    </w:p>
    <w:p w14:paraId="07E987F4" w14:textId="77777777" w:rsidR="00FE3890" w:rsidRPr="00A4233F" w:rsidRDefault="00FE3890" w:rsidP="00FE389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Con el objetivo de sensibilizar al personal del INDOTEL sobre temas relativos a la equidad de género y la inclusión, se han impartido una serie de encuentros formativos, algunos coordinados junto al Programa de las Naciones Unidas para el Desarrollo (PNUD) y el Ministerio de la Mujer:</w:t>
      </w:r>
    </w:p>
    <w:p w14:paraId="2511550A" w14:textId="75249D57" w:rsidR="00FE3890" w:rsidRPr="00A4233F" w:rsidRDefault="00916E17" w:rsidP="00A02BDE">
      <w:pPr>
        <w:pStyle w:val="Prrafodelista"/>
        <w:numPr>
          <w:ilvl w:val="0"/>
          <w:numId w:val="26"/>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w:t>
      </w:r>
      <w:r w:rsidR="00FE3890" w:rsidRPr="00A4233F">
        <w:rPr>
          <w:rFonts w:ascii="Times New Roman" w:eastAsia="Calibri" w:hAnsi="Times New Roman" w:cs="Times New Roman"/>
          <w:color w:val="4C4747"/>
          <w:spacing w:val="20"/>
          <w:sz w:val="24"/>
          <w:szCs w:val="24"/>
          <w:lang w:val="es-DO"/>
        </w:rPr>
        <w:t>C</w:t>
      </w:r>
      <w:r w:rsidRPr="00A4233F">
        <w:rPr>
          <w:rFonts w:ascii="Times New Roman" w:eastAsia="Calibri" w:hAnsi="Times New Roman" w:cs="Times New Roman"/>
          <w:color w:val="4C4747"/>
          <w:spacing w:val="20"/>
          <w:sz w:val="24"/>
          <w:szCs w:val="24"/>
          <w:lang w:val="es-DO"/>
        </w:rPr>
        <w:t>harla Sobre Sello de Igualdad”</w:t>
      </w:r>
    </w:p>
    <w:p w14:paraId="24F8195B" w14:textId="1CCA0EE6" w:rsidR="00FE3890" w:rsidRPr="00A4233F" w:rsidRDefault="00916E17" w:rsidP="00A02BDE">
      <w:pPr>
        <w:pStyle w:val="Prrafodelista"/>
        <w:numPr>
          <w:ilvl w:val="0"/>
          <w:numId w:val="26"/>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w:t>
      </w:r>
      <w:r w:rsidR="00FE3890" w:rsidRPr="00A4233F">
        <w:rPr>
          <w:rFonts w:ascii="Times New Roman" w:eastAsia="Calibri" w:hAnsi="Times New Roman" w:cs="Times New Roman"/>
          <w:color w:val="4C4747"/>
          <w:spacing w:val="20"/>
          <w:sz w:val="24"/>
          <w:szCs w:val="24"/>
          <w:lang w:val="es-DO"/>
        </w:rPr>
        <w:t>Medidas para abordar las Brechas Salari</w:t>
      </w:r>
      <w:r w:rsidRPr="00A4233F">
        <w:rPr>
          <w:rFonts w:ascii="Times New Roman" w:eastAsia="Calibri" w:hAnsi="Times New Roman" w:cs="Times New Roman"/>
          <w:color w:val="4C4747"/>
          <w:spacing w:val="20"/>
          <w:sz w:val="24"/>
          <w:szCs w:val="24"/>
          <w:lang w:val="es-DO"/>
        </w:rPr>
        <w:t>ales en el Sector Público”</w:t>
      </w:r>
      <w:r w:rsidR="00FE3890" w:rsidRPr="00A4233F">
        <w:rPr>
          <w:rFonts w:ascii="Times New Roman" w:eastAsia="Calibri" w:hAnsi="Times New Roman" w:cs="Times New Roman"/>
          <w:color w:val="4C4747"/>
          <w:spacing w:val="20"/>
          <w:sz w:val="24"/>
          <w:szCs w:val="24"/>
          <w:lang w:val="es-DO"/>
        </w:rPr>
        <w:t>, dirigido al personal, coordinado por el Ministerio de la Mujer.</w:t>
      </w:r>
    </w:p>
    <w:p w14:paraId="5CF17ECA" w14:textId="77777777" w:rsidR="00FE3890" w:rsidRDefault="00FE3890" w:rsidP="00FE389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el mes de septiembre se impartieron una serie de capacitaciones, las cuales buscaron promover en el personal directivo una mayor comprensión de las barreras estructurales que enfrentan diferentes grupos sociales en el país, así como incentivar las actitudes favorables a la diversidad, la igualdad de género, el respeto de los derechos humanos y la formulación de políticas públicas inclusivas. Las mismas fueron impartidas por personal técnico del Programa de las Naciones Unidas para el Desarrollo (PNUD), las cuales se detallan a continuación:</w:t>
      </w:r>
    </w:p>
    <w:p w14:paraId="3799F735" w14:textId="7D300E5A" w:rsidR="00FE3890" w:rsidRPr="00BB4D02" w:rsidRDefault="00FE3890" w:rsidP="00A02BDE">
      <w:pPr>
        <w:pStyle w:val="Prrafodelista"/>
        <w:numPr>
          <w:ilvl w:val="0"/>
          <w:numId w:val="38"/>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Fundamentos de los derechos humanos e inclusión de personas con VIH</w:t>
      </w:r>
    </w:p>
    <w:p w14:paraId="28AD6E58" w14:textId="6659A56C" w:rsidR="00FE3890" w:rsidRPr="00BB4D02" w:rsidRDefault="00FE3890" w:rsidP="00A02BDE">
      <w:pPr>
        <w:pStyle w:val="Prrafodelista"/>
        <w:numPr>
          <w:ilvl w:val="0"/>
          <w:numId w:val="38"/>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Introducción a la discapacidad: Concepto, terminología y análisis             </w:t>
      </w:r>
    </w:p>
    <w:p w14:paraId="206EE164" w14:textId="182C17BF" w:rsidR="00FE3890" w:rsidRPr="00BB4D02" w:rsidRDefault="00FE3890" w:rsidP="00A02BDE">
      <w:pPr>
        <w:pStyle w:val="Prrafodelista"/>
        <w:numPr>
          <w:ilvl w:val="0"/>
          <w:numId w:val="38"/>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Enfoque de género en las políticas públicas </w:t>
      </w:r>
    </w:p>
    <w:p w14:paraId="58C96E60" w14:textId="6E97C95C" w:rsidR="00FE3890" w:rsidRPr="00BB4D02" w:rsidRDefault="00FE3890" w:rsidP="00A02BDE">
      <w:pPr>
        <w:pStyle w:val="Prrafodelista"/>
        <w:numPr>
          <w:ilvl w:val="0"/>
          <w:numId w:val="38"/>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Enfoque de derechos humanos en la formulación de políticas públicas                                                                                   </w:t>
      </w:r>
    </w:p>
    <w:p w14:paraId="032389A3" w14:textId="5014B97E" w:rsidR="00556352" w:rsidRPr="00BB4D02" w:rsidRDefault="00FE3890" w:rsidP="00A02BDE">
      <w:pPr>
        <w:pStyle w:val="Prrafodelista"/>
        <w:numPr>
          <w:ilvl w:val="0"/>
          <w:numId w:val="38"/>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Derechos humanos e inclusió</w:t>
      </w:r>
      <w:r w:rsidR="00916E17" w:rsidRPr="00BB4D02">
        <w:rPr>
          <w:rFonts w:ascii="Times New Roman" w:eastAsia="Calibri" w:hAnsi="Times New Roman" w:cs="Times New Roman"/>
          <w:color w:val="4C4747"/>
          <w:spacing w:val="20"/>
          <w:sz w:val="24"/>
          <w:szCs w:val="24"/>
          <w:lang w:val="es-DO"/>
        </w:rPr>
        <w:t>n de personas LGBTI+</w:t>
      </w:r>
    </w:p>
    <w:p w14:paraId="00C7C053" w14:textId="3D879441" w:rsidR="00FE3890" w:rsidRPr="00A4233F" w:rsidRDefault="00FE3890" w:rsidP="00916E17">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el mes de noviembre se implement</w:t>
      </w:r>
      <w:r w:rsidR="00916E17" w:rsidRPr="00A4233F">
        <w:rPr>
          <w:rFonts w:ascii="Times New Roman" w:eastAsia="Calibri" w:hAnsi="Times New Roman" w:cs="Times New Roman"/>
          <w:color w:val="4C4747"/>
          <w:spacing w:val="20"/>
          <w:sz w:val="24"/>
          <w:szCs w:val="24"/>
          <w:lang w:val="es-DO"/>
        </w:rPr>
        <w:t>ó la “Campaña Tolerancia Cero”</w:t>
      </w:r>
      <w:r w:rsidRPr="00A4233F">
        <w:rPr>
          <w:rFonts w:ascii="Times New Roman" w:eastAsia="Calibri" w:hAnsi="Times New Roman" w:cs="Times New Roman"/>
          <w:color w:val="4C4747"/>
          <w:spacing w:val="20"/>
          <w:sz w:val="24"/>
          <w:szCs w:val="24"/>
          <w:lang w:val="es-DO"/>
        </w:rPr>
        <w:t xml:space="preserve">, con el objetivo de prevenir todo tipo de violencia en el ámbito laboral, las misma  incluyó capsulas informativas difundidas en las redes sociales y en los murales digitales de la institución, video de la posición de las máximas autoridades del </w:t>
      </w:r>
      <w:r w:rsidR="00916E17" w:rsidRPr="00A4233F">
        <w:rPr>
          <w:rFonts w:ascii="Times New Roman" w:eastAsia="Calibri" w:hAnsi="Times New Roman" w:cs="Times New Roman"/>
          <w:color w:val="4C4747"/>
          <w:spacing w:val="20"/>
          <w:sz w:val="24"/>
          <w:szCs w:val="24"/>
          <w:lang w:val="es-DO"/>
        </w:rPr>
        <w:t>INDOTEL</w:t>
      </w:r>
      <w:r w:rsidRPr="00A4233F">
        <w:rPr>
          <w:rFonts w:ascii="Times New Roman" w:eastAsia="Calibri" w:hAnsi="Times New Roman" w:cs="Times New Roman"/>
          <w:color w:val="4C4747"/>
          <w:spacing w:val="20"/>
          <w:sz w:val="24"/>
          <w:szCs w:val="24"/>
          <w:lang w:val="es-DO"/>
        </w:rPr>
        <w:t xml:space="preserve"> e informativos con respecto al tema,  difusión de los medios de denuncia y se culminó con una charla de Violencia y Acoso en el Trabajo impartido por personal técnico del Programa de las Naciones Unidas para el </w:t>
      </w:r>
      <w:r w:rsidRPr="00A4233F">
        <w:rPr>
          <w:rFonts w:ascii="Times New Roman" w:eastAsia="Calibri" w:hAnsi="Times New Roman" w:cs="Times New Roman"/>
          <w:color w:val="4C4747"/>
          <w:spacing w:val="20"/>
          <w:sz w:val="24"/>
          <w:szCs w:val="24"/>
          <w:lang w:val="es-DO"/>
        </w:rPr>
        <w:lastRenderedPageBreak/>
        <w:t>Desarrollo (PNUD) a todos los colaboradores y colaboradoras de la institución.</w:t>
      </w:r>
    </w:p>
    <w:p w14:paraId="0A29DFE3" w14:textId="528A6C8D" w:rsidR="00FE3890" w:rsidRPr="00A4233F" w:rsidRDefault="00FE3890" w:rsidP="00FE389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Parte del Equipo Técnico de</w:t>
      </w:r>
      <w:r w:rsidR="00916E17" w:rsidRPr="00A4233F">
        <w:rPr>
          <w:rFonts w:ascii="Times New Roman" w:eastAsia="Calibri" w:hAnsi="Times New Roman" w:cs="Times New Roman"/>
          <w:color w:val="4C4747"/>
          <w:spacing w:val="20"/>
          <w:sz w:val="24"/>
          <w:szCs w:val="24"/>
          <w:lang w:val="es-DO"/>
        </w:rPr>
        <w:t xml:space="preserve"> Género participó en el Curso “</w:t>
      </w:r>
      <w:r w:rsidRPr="00A4233F">
        <w:rPr>
          <w:rFonts w:ascii="Times New Roman" w:eastAsia="Calibri" w:hAnsi="Times New Roman" w:cs="Times New Roman"/>
          <w:color w:val="4C4747"/>
          <w:spacing w:val="20"/>
          <w:sz w:val="24"/>
          <w:szCs w:val="24"/>
          <w:lang w:val="es-DO"/>
        </w:rPr>
        <w:t>Principios Básicos de Gé</w:t>
      </w:r>
      <w:r w:rsidR="00916E17" w:rsidRPr="00A4233F">
        <w:rPr>
          <w:rFonts w:ascii="Times New Roman" w:eastAsia="Calibri" w:hAnsi="Times New Roman" w:cs="Times New Roman"/>
          <w:color w:val="4C4747"/>
          <w:spacing w:val="20"/>
          <w:sz w:val="24"/>
          <w:szCs w:val="24"/>
          <w:lang w:val="es-DO"/>
        </w:rPr>
        <w:t>nero y Prevención de Violencia”</w:t>
      </w:r>
      <w:r w:rsidRPr="00A4233F">
        <w:rPr>
          <w:rFonts w:ascii="Times New Roman" w:eastAsia="Calibri" w:hAnsi="Times New Roman" w:cs="Times New Roman"/>
          <w:color w:val="4C4747"/>
          <w:spacing w:val="20"/>
          <w:sz w:val="24"/>
          <w:szCs w:val="24"/>
          <w:lang w:val="es-DO"/>
        </w:rPr>
        <w:t xml:space="preserve"> impartido por técnicos de la Escuela de Igualdad de la Dirección de Educación en Género del Ministerio de la Mujer.</w:t>
      </w:r>
    </w:p>
    <w:p w14:paraId="51AF344E" w14:textId="51718CFF" w:rsidR="00FF04FC" w:rsidRPr="00C62BB6" w:rsidRDefault="00FF04FC" w:rsidP="00977D9C">
      <w:pPr>
        <w:spacing w:line="360" w:lineRule="auto"/>
        <w:jc w:val="both"/>
        <w:rPr>
          <w:rFonts w:ascii="Times New Roman" w:eastAsia="Calibri" w:hAnsi="Times New Roman" w:cs="Times New Roman"/>
          <w:color w:val="4C4747"/>
          <w:spacing w:val="20"/>
          <w:sz w:val="24"/>
          <w:szCs w:val="24"/>
          <w:lang w:val="es-DO"/>
        </w:rPr>
      </w:pPr>
    </w:p>
    <w:p w14:paraId="45310451"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047F5E03"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2546509D"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158F615E"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38970DD1"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15F9ED62"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30149601"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20CB7031"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379BDABF"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7123AE25"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4315FB83"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4693EC74"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33E30638"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27725149"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67A5272C"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45DCB207" w14:textId="77777777" w:rsidR="00E86F9C" w:rsidRPr="00C62BB6" w:rsidRDefault="00E86F9C" w:rsidP="00977D9C">
      <w:pPr>
        <w:spacing w:line="360" w:lineRule="auto"/>
        <w:jc w:val="both"/>
        <w:rPr>
          <w:rFonts w:ascii="Times New Roman" w:eastAsia="Calibri" w:hAnsi="Times New Roman" w:cs="Times New Roman"/>
          <w:color w:val="4C4747"/>
          <w:spacing w:val="20"/>
          <w:sz w:val="24"/>
          <w:szCs w:val="24"/>
          <w:lang w:val="es-DO"/>
        </w:rPr>
      </w:pPr>
    </w:p>
    <w:p w14:paraId="6ED6A0C9" w14:textId="342DB70C" w:rsidR="00977D9C" w:rsidRPr="00A4233F" w:rsidRDefault="00A75CDE" w:rsidP="00977D9C">
      <w:pPr>
        <w:keepNext/>
        <w:spacing w:before="240" w:after="60"/>
        <w:jc w:val="both"/>
        <w:outlineLvl w:val="2"/>
        <w:rPr>
          <w:rFonts w:ascii="Times New Roman" w:eastAsia="Times New Roman" w:hAnsi="Times New Roman" w:cs="Times New Roman"/>
          <w:b/>
          <w:bCs/>
          <w:color w:val="4C4747"/>
          <w:sz w:val="24"/>
          <w:szCs w:val="28"/>
          <w:lang w:val="es-DO" w:eastAsia="es-DO"/>
        </w:rPr>
      </w:pPr>
      <w:bookmarkStart w:id="30" w:name="_Toc79678425"/>
      <w:bookmarkStart w:id="31" w:name="_Toc122425248"/>
      <w:r w:rsidRPr="00C62BB6">
        <w:rPr>
          <w:rFonts w:ascii="Times New Roman" w:eastAsia="Times New Roman" w:hAnsi="Times New Roman" w:cs="Times New Roman"/>
          <w:b/>
          <w:bCs/>
          <w:color w:val="4C4747"/>
          <w:sz w:val="24"/>
          <w:szCs w:val="28"/>
          <w:lang w:val="es-DO" w:eastAsia="es-DO"/>
        </w:rPr>
        <w:lastRenderedPageBreak/>
        <w:t xml:space="preserve">4.6 </w:t>
      </w:r>
      <w:r w:rsidR="00977D9C" w:rsidRPr="00A4233F">
        <w:rPr>
          <w:rFonts w:ascii="Times New Roman" w:eastAsia="Times New Roman" w:hAnsi="Times New Roman" w:cs="Times New Roman"/>
          <w:b/>
          <w:bCs/>
          <w:color w:val="4C4747"/>
          <w:sz w:val="24"/>
          <w:szCs w:val="28"/>
          <w:lang w:val="es-DO" w:eastAsia="es-DO"/>
        </w:rPr>
        <w:t>Desempeño del Área de Comunicaciones</w:t>
      </w:r>
      <w:bookmarkEnd w:id="30"/>
      <w:bookmarkEnd w:id="31"/>
    </w:p>
    <w:p w14:paraId="3AE3387B" w14:textId="77777777" w:rsidR="00977D9C" w:rsidRPr="00A4233F" w:rsidRDefault="00977D9C" w:rsidP="00977D9C">
      <w:pPr>
        <w:pStyle w:val="Sinespaciado"/>
        <w:rPr>
          <w:color w:val="4C4747"/>
          <w:lang w:val="es-DO"/>
        </w:rPr>
      </w:pPr>
    </w:p>
    <w:p w14:paraId="693E1C1F" w14:textId="542CAFFB" w:rsidR="00C356F0" w:rsidRPr="00A4233F" w:rsidRDefault="0023702B"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En el </w:t>
      </w:r>
      <w:r w:rsidR="00F245FB" w:rsidRPr="00A4233F">
        <w:rPr>
          <w:rFonts w:ascii="Times New Roman" w:eastAsia="Calibri" w:hAnsi="Times New Roman" w:cs="Times New Roman"/>
          <w:color w:val="4C4747"/>
          <w:spacing w:val="20"/>
          <w:sz w:val="24"/>
          <w:szCs w:val="24"/>
          <w:lang w:val="es-DO"/>
        </w:rPr>
        <w:t>INDOTEL</w:t>
      </w:r>
      <w:r w:rsidRPr="00A4233F">
        <w:rPr>
          <w:rFonts w:ascii="Times New Roman" w:eastAsia="Calibri" w:hAnsi="Times New Roman" w:cs="Times New Roman"/>
          <w:color w:val="4C4747"/>
          <w:spacing w:val="20"/>
          <w:sz w:val="24"/>
          <w:szCs w:val="24"/>
          <w:lang w:val="es-DO"/>
        </w:rPr>
        <w:t xml:space="preserve"> a través de la</w:t>
      </w:r>
      <w:r w:rsidR="00C356F0" w:rsidRPr="00A4233F">
        <w:rPr>
          <w:rFonts w:ascii="Times New Roman" w:eastAsia="Calibri" w:hAnsi="Times New Roman" w:cs="Times New Roman"/>
          <w:color w:val="4C4747"/>
          <w:spacing w:val="20"/>
          <w:sz w:val="24"/>
          <w:szCs w:val="24"/>
          <w:lang w:val="es-DO"/>
        </w:rPr>
        <w:t xml:space="preserve"> </w:t>
      </w:r>
      <w:r w:rsidR="00EB2EA6" w:rsidRPr="00A4233F">
        <w:rPr>
          <w:rFonts w:ascii="Times New Roman" w:eastAsia="Calibri" w:hAnsi="Times New Roman" w:cs="Times New Roman"/>
          <w:color w:val="4C4747"/>
          <w:spacing w:val="20"/>
          <w:sz w:val="24"/>
          <w:szCs w:val="24"/>
          <w:lang w:val="es-DO"/>
        </w:rPr>
        <w:t>Dirección de</w:t>
      </w:r>
      <w:r w:rsidR="00556352" w:rsidRPr="00A4233F">
        <w:rPr>
          <w:rFonts w:ascii="Times New Roman" w:eastAsia="Calibri" w:hAnsi="Times New Roman" w:cs="Times New Roman"/>
          <w:color w:val="4C4747"/>
          <w:spacing w:val="20"/>
          <w:sz w:val="24"/>
          <w:szCs w:val="24"/>
          <w:lang w:val="es-DO"/>
        </w:rPr>
        <w:t xml:space="preserve"> </w:t>
      </w:r>
      <w:r w:rsidR="00C356F0" w:rsidRPr="00A4233F">
        <w:rPr>
          <w:rFonts w:ascii="Times New Roman" w:eastAsia="Calibri" w:hAnsi="Times New Roman" w:cs="Times New Roman"/>
          <w:color w:val="4C4747"/>
          <w:spacing w:val="20"/>
          <w:sz w:val="24"/>
          <w:szCs w:val="24"/>
          <w:lang w:val="es-DO"/>
        </w:rPr>
        <w:t xml:space="preserve">Relaciones Públicas y Comunicaciones </w:t>
      </w:r>
      <w:r w:rsidRPr="00A4233F">
        <w:rPr>
          <w:rFonts w:ascii="Times New Roman" w:eastAsia="Calibri" w:hAnsi="Times New Roman" w:cs="Times New Roman"/>
          <w:color w:val="4C4747"/>
          <w:spacing w:val="20"/>
          <w:sz w:val="24"/>
          <w:szCs w:val="24"/>
          <w:lang w:val="es-DO"/>
        </w:rPr>
        <w:t xml:space="preserve">se </w:t>
      </w:r>
      <w:r w:rsidR="00C356F0" w:rsidRPr="00A4233F">
        <w:rPr>
          <w:rFonts w:ascii="Times New Roman" w:eastAsia="Calibri" w:hAnsi="Times New Roman" w:cs="Times New Roman"/>
          <w:color w:val="4C4747"/>
          <w:spacing w:val="20"/>
          <w:sz w:val="24"/>
          <w:szCs w:val="24"/>
          <w:lang w:val="es-DO"/>
        </w:rPr>
        <w:t xml:space="preserve">ha planificado, desarrollado e implementado diversas acciones de comunicación y mercadeo, con el objetivo de posicionar las iniciativas de la institución con sus públicos meta internos y externos. </w:t>
      </w:r>
    </w:p>
    <w:p w14:paraId="0EC9BAC4" w14:textId="77777777" w:rsidR="00C356F0" w:rsidRPr="00A4233F" w:rsidRDefault="00C356F0" w:rsidP="00C356F0">
      <w:pPr>
        <w:pStyle w:val="NormalWeb"/>
        <w:jc w:val="both"/>
        <w:rPr>
          <w:rFonts w:eastAsia="Calibri"/>
          <w:b/>
          <w:color w:val="4C4747"/>
          <w:spacing w:val="20"/>
          <w:lang w:eastAsia="en-US"/>
        </w:rPr>
      </w:pPr>
      <w:r w:rsidRPr="00A4233F">
        <w:rPr>
          <w:rFonts w:eastAsia="Calibri"/>
          <w:b/>
          <w:color w:val="4C4747"/>
          <w:spacing w:val="20"/>
          <w:lang w:eastAsia="en-US"/>
        </w:rPr>
        <w:t>Campañas de Comunicación y Mercadeo</w:t>
      </w:r>
    </w:p>
    <w:p w14:paraId="6C0E9B16" w14:textId="3D8FFB55" w:rsidR="00C356F0" w:rsidRPr="00A4233F" w:rsidRDefault="00C356F0"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El 9 de marzo del 2022 entró en vigencia la normativa de Series Negadas que busca prevenir y minimizar el robo y reventa de equipos celulares. Para esta </w:t>
      </w:r>
      <w:r w:rsidR="009A40A4" w:rsidRPr="00A4233F">
        <w:rPr>
          <w:rFonts w:ascii="Times New Roman" w:eastAsia="Calibri" w:hAnsi="Times New Roman" w:cs="Times New Roman"/>
          <w:color w:val="4C4747"/>
          <w:spacing w:val="20"/>
          <w:sz w:val="24"/>
          <w:szCs w:val="24"/>
          <w:lang w:val="es-DO"/>
        </w:rPr>
        <w:t xml:space="preserve">normativa </w:t>
      </w:r>
      <w:r w:rsidRPr="00A4233F">
        <w:rPr>
          <w:rFonts w:ascii="Times New Roman" w:eastAsia="Calibri" w:hAnsi="Times New Roman" w:cs="Times New Roman"/>
          <w:color w:val="4C4747"/>
          <w:spacing w:val="20"/>
          <w:sz w:val="24"/>
          <w:szCs w:val="24"/>
          <w:lang w:val="es-DO"/>
        </w:rPr>
        <w:t xml:space="preserve">se realizó una campaña de comunicación multimedios por un período de tres meses, la cual se difundió en plataformas digitales sociales, prensa tradicional, </w:t>
      </w:r>
      <w:r w:rsidR="00F70234" w:rsidRPr="00A4233F">
        <w:rPr>
          <w:rFonts w:ascii="Times New Roman" w:eastAsia="Calibri" w:hAnsi="Times New Roman" w:cs="Times New Roman"/>
          <w:color w:val="4C4747"/>
          <w:spacing w:val="20"/>
          <w:sz w:val="24"/>
          <w:szCs w:val="24"/>
          <w:lang w:val="es-DO"/>
        </w:rPr>
        <w:t xml:space="preserve">medios </w:t>
      </w:r>
      <w:r w:rsidRPr="00A4233F">
        <w:rPr>
          <w:rFonts w:ascii="Times New Roman" w:eastAsia="Calibri" w:hAnsi="Times New Roman" w:cs="Times New Roman"/>
          <w:color w:val="4C4747"/>
          <w:spacing w:val="20"/>
          <w:sz w:val="24"/>
          <w:szCs w:val="24"/>
          <w:lang w:val="es-DO"/>
        </w:rPr>
        <w:t>de televisión y radio.</w:t>
      </w:r>
    </w:p>
    <w:p w14:paraId="206608CA" w14:textId="452E2FBF" w:rsidR="00C356F0" w:rsidRPr="00A4233F" w:rsidRDefault="00C356F0" w:rsidP="00916E17">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Esta campaña arrojó más de 80 mil resultados de búsqueda en distintos navegadores. Las palabras claves más utilizadas por los usuarios fueron “Instituto Dominicano de la Telecomunicaciones, IMEl, Lista Negra, y Teléfono Móvil” generado un tráfico de </w:t>
      </w:r>
      <w:r w:rsidR="00916E17" w:rsidRPr="00A4233F">
        <w:rPr>
          <w:rFonts w:ascii="Times New Roman" w:eastAsia="Calibri" w:hAnsi="Times New Roman" w:cs="Times New Roman"/>
          <w:color w:val="4C4747"/>
          <w:spacing w:val="20"/>
          <w:sz w:val="24"/>
          <w:szCs w:val="24"/>
          <w:lang w:val="es-DO"/>
        </w:rPr>
        <w:t>26,484 vistas en la página web.</w:t>
      </w:r>
    </w:p>
    <w:p w14:paraId="056BE74E" w14:textId="77777777" w:rsidR="00C356F0" w:rsidRPr="00C62BB6" w:rsidRDefault="00C356F0" w:rsidP="00C356F0">
      <w:pP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noProof/>
          <w:color w:val="4C4747"/>
          <w:spacing w:val="20"/>
          <w:sz w:val="24"/>
          <w:szCs w:val="24"/>
        </w:rPr>
        <w:drawing>
          <wp:inline distT="0" distB="0" distL="0" distR="0" wp14:anchorId="15E22B2B" wp14:editId="147F093C">
            <wp:extent cx="4954137" cy="2149940"/>
            <wp:effectExtent l="19050" t="19050" r="18415" b="22225"/>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3981" cy="2154212"/>
                    </a:xfrm>
                    <a:prstGeom prst="rect">
                      <a:avLst/>
                    </a:prstGeom>
                    <a:ln>
                      <a:solidFill>
                        <a:schemeClr val="bg1">
                          <a:lumMod val="50000"/>
                        </a:schemeClr>
                      </a:solidFill>
                    </a:ln>
                  </pic:spPr>
                </pic:pic>
              </a:graphicData>
            </a:graphic>
          </wp:inline>
        </w:drawing>
      </w:r>
    </w:p>
    <w:p w14:paraId="17955E79" w14:textId="77777777" w:rsidR="00C356F0" w:rsidRPr="00C62BB6" w:rsidRDefault="00C356F0" w:rsidP="00C356F0">
      <w:pPr>
        <w:spacing w:after="0" w:line="240" w:lineRule="auto"/>
        <w:rPr>
          <w:rFonts w:ascii="Times New Roman" w:eastAsia="Calibri" w:hAnsi="Times New Roman" w:cs="Times New Roman"/>
          <w:color w:val="4C4747"/>
          <w:spacing w:val="20"/>
          <w:sz w:val="18"/>
          <w:szCs w:val="24"/>
        </w:rPr>
      </w:pPr>
      <w:r w:rsidRPr="00C62BB6">
        <w:rPr>
          <w:rFonts w:ascii="Times New Roman" w:eastAsia="Calibri" w:hAnsi="Times New Roman" w:cs="Times New Roman"/>
          <w:b/>
          <w:color w:val="4C4747"/>
          <w:spacing w:val="20"/>
          <w:sz w:val="18"/>
          <w:szCs w:val="24"/>
        </w:rPr>
        <w:t>Fuente</w:t>
      </w:r>
      <w:r w:rsidRPr="00C62BB6">
        <w:rPr>
          <w:rFonts w:ascii="Times New Roman" w:eastAsia="Calibri" w:hAnsi="Times New Roman" w:cs="Times New Roman"/>
          <w:color w:val="4C4747"/>
          <w:spacing w:val="20"/>
          <w:sz w:val="18"/>
          <w:szCs w:val="24"/>
        </w:rPr>
        <w:t>: Software Analytics</w:t>
      </w:r>
    </w:p>
    <w:p w14:paraId="58561834" w14:textId="77777777" w:rsidR="00C356F0" w:rsidRPr="00C62BB6" w:rsidRDefault="00C356F0" w:rsidP="00C356F0">
      <w:pPr>
        <w:rPr>
          <w:rFonts w:ascii="Times New Roman" w:eastAsia="Calibri" w:hAnsi="Times New Roman" w:cs="Times New Roman"/>
          <w:color w:val="4C4747"/>
          <w:spacing w:val="20"/>
          <w:sz w:val="24"/>
          <w:szCs w:val="24"/>
        </w:rPr>
      </w:pPr>
    </w:p>
    <w:p w14:paraId="79EB7155" w14:textId="77777777" w:rsidR="00C356F0" w:rsidRPr="00C62BB6" w:rsidRDefault="00C356F0" w:rsidP="00C356F0">
      <w:pPr>
        <w:spacing w:after="0" w:line="240" w:lineRule="auto"/>
        <w:rPr>
          <w:rFonts w:ascii="Times New Roman" w:eastAsia="Calibri" w:hAnsi="Times New Roman" w:cs="Times New Roman"/>
          <w:color w:val="4C4747"/>
          <w:spacing w:val="20"/>
          <w:sz w:val="18"/>
          <w:szCs w:val="24"/>
        </w:rPr>
      </w:pPr>
      <w:r w:rsidRPr="00C62BB6">
        <w:rPr>
          <w:rFonts w:ascii="Times New Roman" w:eastAsia="Calibri" w:hAnsi="Times New Roman" w:cs="Times New Roman"/>
          <w:noProof/>
          <w:color w:val="4C4747"/>
          <w:spacing w:val="20"/>
          <w:sz w:val="24"/>
          <w:szCs w:val="24"/>
        </w:rPr>
        <w:lastRenderedPageBreak/>
        <w:drawing>
          <wp:inline distT="0" distB="0" distL="0" distR="0" wp14:anchorId="057CA8C4" wp14:editId="19CAD8FF">
            <wp:extent cx="4967785" cy="2070002"/>
            <wp:effectExtent l="19050" t="19050" r="23495" b="26035"/>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8">
                      <a:extLst>
                        <a:ext uri="{28A0092B-C50C-407E-A947-70E740481C1C}">
                          <a14:useLocalDpi xmlns:a14="http://schemas.microsoft.com/office/drawing/2010/main" val="0"/>
                        </a:ext>
                      </a:extLst>
                    </a:blip>
                    <a:stretch>
                      <a:fillRect/>
                    </a:stretch>
                  </pic:blipFill>
                  <pic:spPr>
                    <a:xfrm>
                      <a:off x="0" y="0"/>
                      <a:ext cx="4969931" cy="2070896"/>
                    </a:xfrm>
                    <a:prstGeom prst="rect">
                      <a:avLst/>
                    </a:prstGeom>
                    <a:ln>
                      <a:solidFill>
                        <a:schemeClr val="bg1">
                          <a:lumMod val="50000"/>
                        </a:schemeClr>
                      </a:solidFill>
                    </a:ln>
                  </pic:spPr>
                </pic:pic>
              </a:graphicData>
            </a:graphic>
          </wp:inline>
        </w:drawing>
      </w:r>
      <w:r w:rsidRPr="00C62BB6">
        <w:rPr>
          <w:rFonts w:ascii="Times New Roman" w:eastAsia="Calibri" w:hAnsi="Times New Roman" w:cs="Times New Roman"/>
          <w:b/>
          <w:color w:val="4C4747"/>
          <w:spacing w:val="20"/>
          <w:sz w:val="18"/>
          <w:szCs w:val="24"/>
        </w:rPr>
        <w:t>Fuente:</w:t>
      </w:r>
      <w:r w:rsidRPr="00C62BB6">
        <w:rPr>
          <w:rFonts w:ascii="Times New Roman" w:eastAsia="Calibri" w:hAnsi="Times New Roman" w:cs="Times New Roman"/>
          <w:color w:val="4C4747"/>
          <w:spacing w:val="20"/>
          <w:sz w:val="18"/>
          <w:szCs w:val="24"/>
        </w:rPr>
        <w:t xml:space="preserve"> Software Analytics</w:t>
      </w:r>
    </w:p>
    <w:p w14:paraId="1F3F2AB5" w14:textId="77777777" w:rsidR="00C356F0" w:rsidRPr="00A4233F" w:rsidRDefault="00C356F0" w:rsidP="00916E17">
      <w:pPr>
        <w:spacing w:before="240"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las redes sociales de la institución durante la campaña Series Negadas, Instagram obtuvo 36,540 impresiones, Facebook 2,657 y Twitter 9,773 para un total de 48,970 impresiones. También, se alcanzó en Instagram 386 comentarios y 692 likes, Facebook 1 comentario y 59 likes. A seguidas, Twitter logró 25 retweets y 88 likes para un acumulado de 1,251 en interacción (la suma de comentarios, retweets y likes).</w:t>
      </w:r>
    </w:p>
    <w:p w14:paraId="65B804BA" w14:textId="130574C7" w:rsidR="00C356F0" w:rsidRPr="00A4233F" w:rsidRDefault="00C356F0" w:rsidP="00916E17">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También, durante el desarrollo de la campaña se realizó un tour de medios donde fueron coordinadas entrevistas en programas de radio y televisión, con el objetivo de responder las inquietudes de los usuarios dando a conocer las pautas a seguir sobre la nue</w:t>
      </w:r>
      <w:r w:rsidR="00916E17" w:rsidRPr="00A4233F">
        <w:rPr>
          <w:rFonts w:ascii="Times New Roman" w:eastAsia="Calibri" w:hAnsi="Times New Roman" w:cs="Times New Roman"/>
          <w:color w:val="4C4747"/>
          <w:spacing w:val="20"/>
          <w:sz w:val="24"/>
          <w:szCs w:val="24"/>
          <w:lang w:val="es-DO"/>
        </w:rPr>
        <w:t>va normativa de Series Negadas.</w:t>
      </w:r>
    </w:p>
    <w:tbl>
      <w:tblPr>
        <w:tblStyle w:val="Tablaconcuadrcula"/>
        <w:tblpPr w:leftFromText="141" w:rightFromText="141" w:vertAnchor="text" w:horzAnchor="margin" w:tblpY="7"/>
        <w:tblW w:w="8185" w:type="dxa"/>
        <w:tblLayout w:type="fixed"/>
        <w:tblLook w:val="06A0" w:firstRow="1" w:lastRow="0" w:firstColumn="1" w:lastColumn="0" w:noHBand="1" w:noVBand="1"/>
      </w:tblPr>
      <w:tblGrid>
        <w:gridCol w:w="2155"/>
        <w:gridCol w:w="2070"/>
        <w:gridCol w:w="1890"/>
        <w:gridCol w:w="2070"/>
      </w:tblGrid>
      <w:tr w:rsidR="00BE59F6" w:rsidRPr="005A11A8" w14:paraId="70F0E1BD" w14:textId="77777777" w:rsidTr="00943FA5">
        <w:trPr>
          <w:trHeight w:val="558"/>
        </w:trPr>
        <w:tc>
          <w:tcPr>
            <w:tcW w:w="2155" w:type="dxa"/>
            <w:tcBorders>
              <w:top w:val="single" w:sz="4" w:space="0" w:color="auto"/>
              <w:left w:val="single" w:sz="4" w:space="0" w:color="auto"/>
              <w:bottom w:val="single" w:sz="4" w:space="0" w:color="auto"/>
              <w:right w:val="single" w:sz="4" w:space="0" w:color="auto"/>
            </w:tcBorders>
            <w:shd w:val="clear" w:color="auto" w:fill="002060"/>
            <w:vAlign w:val="center"/>
          </w:tcPr>
          <w:p w14:paraId="62826386" w14:textId="77777777" w:rsidR="00BE59F6" w:rsidRPr="00790E59" w:rsidRDefault="00BE59F6" w:rsidP="00BE59F6">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Redes Sociales</w:t>
            </w:r>
          </w:p>
        </w:tc>
        <w:tc>
          <w:tcPr>
            <w:tcW w:w="2070" w:type="dxa"/>
            <w:tcBorders>
              <w:top w:val="single" w:sz="4" w:space="0" w:color="auto"/>
              <w:left w:val="single" w:sz="4" w:space="0" w:color="auto"/>
              <w:bottom w:val="single" w:sz="4" w:space="0" w:color="auto"/>
              <w:right w:val="single" w:sz="4" w:space="0" w:color="auto"/>
            </w:tcBorders>
            <w:shd w:val="clear" w:color="auto" w:fill="002060"/>
            <w:vAlign w:val="center"/>
          </w:tcPr>
          <w:p w14:paraId="3F3109EF" w14:textId="77777777" w:rsidR="00BE59F6" w:rsidRPr="00790E59" w:rsidRDefault="00BE59F6" w:rsidP="00BE59F6">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Impresiones</w:t>
            </w:r>
          </w:p>
        </w:tc>
        <w:tc>
          <w:tcPr>
            <w:tcW w:w="1890" w:type="dxa"/>
            <w:tcBorders>
              <w:top w:val="single" w:sz="4" w:space="0" w:color="auto"/>
              <w:left w:val="single" w:sz="4" w:space="0" w:color="auto"/>
              <w:bottom w:val="single" w:sz="4" w:space="0" w:color="auto"/>
              <w:right w:val="single" w:sz="4" w:space="0" w:color="auto"/>
            </w:tcBorders>
            <w:shd w:val="clear" w:color="auto" w:fill="002060"/>
            <w:vAlign w:val="center"/>
          </w:tcPr>
          <w:p w14:paraId="5756F223" w14:textId="77777777" w:rsidR="00BE59F6" w:rsidRPr="00790E59" w:rsidRDefault="00BE59F6" w:rsidP="00BE59F6">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Cometarios/ Retweets</w:t>
            </w:r>
          </w:p>
        </w:tc>
        <w:tc>
          <w:tcPr>
            <w:tcW w:w="2070" w:type="dxa"/>
            <w:tcBorders>
              <w:top w:val="single" w:sz="4" w:space="0" w:color="auto"/>
              <w:left w:val="single" w:sz="4" w:space="0" w:color="auto"/>
              <w:bottom w:val="single" w:sz="4" w:space="0" w:color="auto"/>
              <w:right w:val="single" w:sz="4" w:space="0" w:color="auto"/>
            </w:tcBorders>
            <w:shd w:val="clear" w:color="auto" w:fill="002060"/>
            <w:vAlign w:val="center"/>
          </w:tcPr>
          <w:p w14:paraId="3D93FA2A" w14:textId="77777777" w:rsidR="00BE59F6" w:rsidRPr="00790E59" w:rsidRDefault="00BE59F6" w:rsidP="00BE59F6">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Likes</w:t>
            </w:r>
          </w:p>
        </w:tc>
      </w:tr>
      <w:tr w:rsidR="00BE59F6" w:rsidRPr="00C62BB6" w14:paraId="1758E718" w14:textId="77777777" w:rsidTr="00943FA5">
        <w:trPr>
          <w:trHeight w:val="645"/>
        </w:trPr>
        <w:tc>
          <w:tcPr>
            <w:tcW w:w="2155" w:type="dxa"/>
            <w:tcBorders>
              <w:top w:val="single" w:sz="4" w:space="0" w:color="auto"/>
              <w:left w:val="single" w:sz="4" w:space="0" w:color="auto"/>
              <w:bottom w:val="single" w:sz="4" w:space="0" w:color="auto"/>
              <w:right w:val="single" w:sz="4" w:space="0" w:color="auto"/>
            </w:tcBorders>
            <w:vAlign w:val="bottom"/>
          </w:tcPr>
          <w:p w14:paraId="6411109C" w14:textId="77777777" w:rsidR="00BE59F6" w:rsidRPr="00C62BB6" w:rsidRDefault="00BE59F6" w:rsidP="00BE59F6">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Instagram</w:t>
            </w:r>
          </w:p>
        </w:tc>
        <w:tc>
          <w:tcPr>
            <w:tcW w:w="2070" w:type="dxa"/>
            <w:tcBorders>
              <w:top w:val="single" w:sz="4" w:space="0" w:color="auto"/>
              <w:left w:val="single" w:sz="4" w:space="0" w:color="auto"/>
              <w:bottom w:val="single" w:sz="4" w:space="0" w:color="auto"/>
              <w:right w:val="single" w:sz="4" w:space="0" w:color="auto"/>
            </w:tcBorders>
            <w:vAlign w:val="bottom"/>
          </w:tcPr>
          <w:p w14:paraId="7DB721BC" w14:textId="77777777" w:rsidR="00BE59F6" w:rsidRPr="00C62BB6" w:rsidRDefault="00BE59F6" w:rsidP="00BE59F6">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36,540</w:t>
            </w:r>
          </w:p>
        </w:tc>
        <w:tc>
          <w:tcPr>
            <w:tcW w:w="1890" w:type="dxa"/>
            <w:tcBorders>
              <w:top w:val="single" w:sz="4" w:space="0" w:color="auto"/>
              <w:left w:val="single" w:sz="4" w:space="0" w:color="auto"/>
              <w:bottom w:val="single" w:sz="4" w:space="0" w:color="auto"/>
              <w:right w:val="single" w:sz="4" w:space="0" w:color="auto"/>
            </w:tcBorders>
            <w:vAlign w:val="bottom"/>
          </w:tcPr>
          <w:p w14:paraId="75962D2B" w14:textId="77777777" w:rsidR="00BE59F6" w:rsidRPr="00C62BB6" w:rsidRDefault="00BE59F6" w:rsidP="00BE59F6">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386</w:t>
            </w:r>
          </w:p>
        </w:tc>
        <w:tc>
          <w:tcPr>
            <w:tcW w:w="2070" w:type="dxa"/>
            <w:tcBorders>
              <w:top w:val="single" w:sz="4" w:space="0" w:color="auto"/>
              <w:left w:val="single" w:sz="4" w:space="0" w:color="auto"/>
              <w:bottom w:val="single" w:sz="4" w:space="0" w:color="auto"/>
              <w:right w:val="single" w:sz="4" w:space="0" w:color="auto"/>
            </w:tcBorders>
            <w:vAlign w:val="bottom"/>
          </w:tcPr>
          <w:p w14:paraId="1D4FBED6" w14:textId="77777777" w:rsidR="00BE59F6" w:rsidRPr="00C62BB6" w:rsidRDefault="00BE59F6" w:rsidP="00BE59F6">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692</w:t>
            </w:r>
          </w:p>
        </w:tc>
      </w:tr>
      <w:tr w:rsidR="00BE59F6" w:rsidRPr="00C62BB6" w14:paraId="3C76710B" w14:textId="77777777" w:rsidTr="00943FA5">
        <w:trPr>
          <w:trHeight w:val="705"/>
        </w:trPr>
        <w:tc>
          <w:tcPr>
            <w:tcW w:w="2155" w:type="dxa"/>
            <w:tcBorders>
              <w:top w:val="single" w:sz="4" w:space="0" w:color="auto"/>
              <w:left w:val="single" w:sz="4" w:space="0" w:color="auto"/>
              <w:bottom w:val="single" w:sz="4" w:space="0" w:color="auto"/>
              <w:right w:val="single" w:sz="4" w:space="0" w:color="auto"/>
            </w:tcBorders>
            <w:vAlign w:val="bottom"/>
          </w:tcPr>
          <w:p w14:paraId="48A644E8" w14:textId="77777777" w:rsidR="00BE59F6" w:rsidRPr="00C62BB6" w:rsidRDefault="00BE59F6" w:rsidP="00BE59F6">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Facebook</w:t>
            </w:r>
          </w:p>
        </w:tc>
        <w:tc>
          <w:tcPr>
            <w:tcW w:w="2070" w:type="dxa"/>
            <w:tcBorders>
              <w:top w:val="single" w:sz="4" w:space="0" w:color="auto"/>
              <w:left w:val="single" w:sz="4" w:space="0" w:color="auto"/>
              <w:bottom w:val="single" w:sz="4" w:space="0" w:color="auto"/>
              <w:right w:val="single" w:sz="4" w:space="0" w:color="auto"/>
            </w:tcBorders>
            <w:vAlign w:val="bottom"/>
          </w:tcPr>
          <w:p w14:paraId="2DAE532C" w14:textId="77777777" w:rsidR="00BE59F6" w:rsidRPr="00C62BB6" w:rsidRDefault="00BE59F6" w:rsidP="00BE59F6">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2,657</w:t>
            </w:r>
          </w:p>
        </w:tc>
        <w:tc>
          <w:tcPr>
            <w:tcW w:w="1890" w:type="dxa"/>
            <w:tcBorders>
              <w:top w:val="single" w:sz="4" w:space="0" w:color="auto"/>
              <w:left w:val="single" w:sz="4" w:space="0" w:color="auto"/>
              <w:bottom w:val="single" w:sz="4" w:space="0" w:color="auto"/>
              <w:right w:val="single" w:sz="4" w:space="0" w:color="auto"/>
            </w:tcBorders>
            <w:vAlign w:val="bottom"/>
          </w:tcPr>
          <w:p w14:paraId="13B97F20" w14:textId="77777777" w:rsidR="00BE59F6" w:rsidRPr="00C62BB6" w:rsidRDefault="00BE59F6" w:rsidP="00BE59F6">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w:t>
            </w:r>
          </w:p>
        </w:tc>
        <w:tc>
          <w:tcPr>
            <w:tcW w:w="2070" w:type="dxa"/>
            <w:tcBorders>
              <w:top w:val="single" w:sz="4" w:space="0" w:color="auto"/>
              <w:left w:val="single" w:sz="4" w:space="0" w:color="auto"/>
              <w:bottom w:val="single" w:sz="4" w:space="0" w:color="auto"/>
              <w:right w:val="single" w:sz="4" w:space="0" w:color="auto"/>
            </w:tcBorders>
            <w:vAlign w:val="bottom"/>
          </w:tcPr>
          <w:p w14:paraId="4E4EB4AF" w14:textId="77777777" w:rsidR="00BE59F6" w:rsidRPr="00C62BB6" w:rsidRDefault="00BE59F6" w:rsidP="00BE59F6">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59</w:t>
            </w:r>
          </w:p>
        </w:tc>
      </w:tr>
      <w:tr w:rsidR="00BE59F6" w:rsidRPr="00C62BB6" w14:paraId="60D22317" w14:textId="77777777" w:rsidTr="00943FA5">
        <w:trPr>
          <w:trHeight w:val="705"/>
        </w:trPr>
        <w:tc>
          <w:tcPr>
            <w:tcW w:w="2155" w:type="dxa"/>
            <w:tcBorders>
              <w:top w:val="single" w:sz="4" w:space="0" w:color="auto"/>
              <w:left w:val="single" w:sz="4" w:space="0" w:color="auto"/>
              <w:bottom w:val="single" w:sz="4" w:space="0" w:color="auto"/>
              <w:right w:val="single" w:sz="4" w:space="0" w:color="auto"/>
            </w:tcBorders>
            <w:vAlign w:val="bottom"/>
          </w:tcPr>
          <w:p w14:paraId="26DB9A2D" w14:textId="77777777" w:rsidR="00BE59F6" w:rsidRPr="00C62BB6" w:rsidRDefault="00BE59F6" w:rsidP="00BE59F6">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Twitter</w:t>
            </w:r>
          </w:p>
        </w:tc>
        <w:tc>
          <w:tcPr>
            <w:tcW w:w="2070" w:type="dxa"/>
            <w:tcBorders>
              <w:top w:val="single" w:sz="4" w:space="0" w:color="auto"/>
              <w:left w:val="single" w:sz="4" w:space="0" w:color="auto"/>
              <w:bottom w:val="single" w:sz="4" w:space="0" w:color="auto"/>
              <w:right w:val="single" w:sz="4" w:space="0" w:color="auto"/>
            </w:tcBorders>
            <w:vAlign w:val="bottom"/>
          </w:tcPr>
          <w:p w14:paraId="51B66865" w14:textId="77777777" w:rsidR="00BE59F6" w:rsidRPr="00C62BB6" w:rsidRDefault="00BE59F6" w:rsidP="00BE59F6">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9,773</w:t>
            </w:r>
          </w:p>
        </w:tc>
        <w:tc>
          <w:tcPr>
            <w:tcW w:w="1890" w:type="dxa"/>
            <w:tcBorders>
              <w:top w:val="single" w:sz="4" w:space="0" w:color="auto"/>
              <w:left w:val="single" w:sz="4" w:space="0" w:color="auto"/>
              <w:bottom w:val="single" w:sz="4" w:space="0" w:color="auto"/>
              <w:right w:val="single" w:sz="4" w:space="0" w:color="auto"/>
            </w:tcBorders>
            <w:vAlign w:val="bottom"/>
          </w:tcPr>
          <w:p w14:paraId="5DCFBF6F" w14:textId="77777777" w:rsidR="00BE59F6" w:rsidRPr="00C62BB6" w:rsidRDefault="00BE59F6" w:rsidP="00BE59F6">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25</w:t>
            </w:r>
          </w:p>
        </w:tc>
        <w:tc>
          <w:tcPr>
            <w:tcW w:w="2070" w:type="dxa"/>
            <w:tcBorders>
              <w:top w:val="single" w:sz="4" w:space="0" w:color="auto"/>
              <w:left w:val="single" w:sz="4" w:space="0" w:color="auto"/>
              <w:bottom w:val="single" w:sz="4" w:space="0" w:color="auto"/>
              <w:right w:val="single" w:sz="4" w:space="0" w:color="auto"/>
            </w:tcBorders>
            <w:vAlign w:val="bottom"/>
          </w:tcPr>
          <w:p w14:paraId="05EFEFE0" w14:textId="77777777" w:rsidR="00BE59F6" w:rsidRPr="00C62BB6" w:rsidRDefault="00BE59F6" w:rsidP="00BE59F6">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88</w:t>
            </w:r>
          </w:p>
        </w:tc>
      </w:tr>
    </w:tbl>
    <w:p w14:paraId="7D461634" w14:textId="77777777" w:rsidR="00C356F0" w:rsidRPr="00C62BB6" w:rsidRDefault="00C356F0" w:rsidP="00C356F0">
      <w:pPr>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Software Analytics</w:t>
      </w:r>
    </w:p>
    <w:p w14:paraId="04CEC3A1" w14:textId="77777777" w:rsidR="00C356F0" w:rsidRPr="005A11A8" w:rsidRDefault="00C356F0" w:rsidP="00C356F0">
      <w:pPr>
        <w:rPr>
          <w:rFonts w:ascii="Times New Roman" w:eastAsia="Calibri" w:hAnsi="Times New Roman" w:cs="Times New Roman"/>
          <w:color w:val="4C4747"/>
          <w:spacing w:val="20"/>
          <w:sz w:val="24"/>
          <w:szCs w:val="24"/>
          <w:lang w:val="es-DO"/>
        </w:rPr>
      </w:pPr>
    </w:p>
    <w:p w14:paraId="0B3398FC" w14:textId="71AA4860" w:rsidR="00C356F0" w:rsidRPr="00A4233F" w:rsidRDefault="00C356F0" w:rsidP="00C356F0">
      <w:pPr>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lastRenderedPageBreak/>
        <w:t>Campaña “Puntos Wi</w:t>
      </w:r>
      <w:r w:rsidR="00916E17" w:rsidRPr="00A4233F">
        <w:rPr>
          <w:rFonts w:ascii="Times New Roman" w:eastAsia="Calibri" w:hAnsi="Times New Roman" w:cs="Times New Roman"/>
          <w:b/>
          <w:color w:val="4C4747"/>
          <w:spacing w:val="20"/>
          <w:sz w:val="24"/>
          <w:szCs w:val="24"/>
          <w:lang w:val="es-DO"/>
        </w:rPr>
        <w:t>-F</w:t>
      </w:r>
      <w:r w:rsidRPr="00A4233F">
        <w:rPr>
          <w:rFonts w:ascii="Times New Roman" w:eastAsia="Calibri" w:hAnsi="Times New Roman" w:cs="Times New Roman"/>
          <w:b/>
          <w:color w:val="4C4747"/>
          <w:spacing w:val="20"/>
          <w:sz w:val="24"/>
          <w:szCs w:val="24"/>
          <w:lang w:val="es-DO"/>
        </w:rPr>
        <w:t>i”</w:t>
      </w:r>
    </w:p>
    <w:p w14:paraId="5580B671" w14:textId="0CD780C6"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El INDOTEL firmó Cartas Compromiso con instituciones religiosas, educativas, salud, comunitarias y gobiernos lo</w:t>
      </w:r>
      <w:r w:rsidR="00916E17" w:rsidRPr="00A4233F">
        <w:rPr>
          <w:rFonts w:eastAsia="Calibri"/>
          <w:color w:val="4C4747"/>
          <w:spacing w:val="20"/>
          <w:lang w:eastAsia="en-US"/>
        </w:rPr>
        <w:t>cales, para instalar 41 puntos W</w:t>
      </w:r>
      <w:r w:rsidRPr="00A4233F">
        <w:rPr>
          <w:rFonts w:eastAsia="Calibri"/>
          <w:color w:val="4C4747"/>
          <w:spacing w:val="20"/>
          <w:lang w:eastAsia="en-US"/>
        </w:rPr>
        <w:t>i</w:t>
      </w:r>
      <w:r w:rsidR="00916E17" w:rsidRPr="00A4233F">
        <w:rPr>
          <w:rFonts w:eastAsia="Calibri"/>
          <w:color w:val="4C4747"/>
          <w:spacing w:val="20"/>
          <w:lang w:eastAsia="en-US"/>
        </w:rPr>
        <w:t>-F</w:t>
      </w:r>
      <w:r w:rsidRPr="00A4233F">
        <w:rPr>
          <w:rFonts w:eastAsia="Calibri"/>
          <w:color w:val="4C4747"/>
          <w:spacing w:val="20"/>
          <w:lang w:eastAsia="en-US"/>
        </w:rPr>
        <w:t>i en espacios públicos, diseminados en distintas zonas del país, cumpliendo con el objetivo dispuesto en el proyecto “Dominicana Conecta” de garantizar el acceso universal de internet a toda la población dominicana.</w:t>
      </w:r>
    </w:p>
    <w:p w14:paraId="45E3DE0C"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Como parte de esta iniciativa, a partir del 1 de julio hasta 30 de septiembre del 2022 estuvo en vigencia la campaña “Puntos Wifi”. La misma fue difundida en medios de radio, televisión y medios impresos por un período de tres meses.</w:t>
      </w:r>
    </w:p>
    <w:p w14:paraId="01A6454D" w14:textId="73A47B0F" w:rsidR="00C356F0" w:rsidRPr="00A4233F" w:rsidRDefault="00C356F0" w:rsidP="00916E17">
      <w:pPr>
        <w:pStyle w:val="NormalWeb"/>
        <w:spacing w:line="360" w:lineRule="auto"/>
        <w:jc w:val="both"/>
        <w:rPr>
          <w:rFonts w:eastAsia="Calibri"/>
          <w:color w:val="4C4747"/>
          <w:spacing w:val="20"/>
          <w:lang w:eastAsia="en-US"/>
        </w:rPr>
      </w:pPr>
      <w:r w:rsidRPr="00A4233F">
        <w:rPr>
          <w:rFonts w:eastAsia="Calibri"/>
          <w:color w:val="4C4747"/>
          <w:spacing w:val="20"/>
          <w:lang w:eastAsia="en-US"/>
        </w:rPr>
        <w:t>Para esta campaña fue utilizado un presupuesto de RD$ 2,159,200 que se utilizó para pagos de colocación de public</w:t>
      </w:r>
      <w:r w:rsidR="00916E17" w:rsidRPr="00A4233F">
        <w:rPr>
          <w:rFonts w:eastAsia="Calibri"/>
          <w:color w:val="4C4747"/>
          <w:spacing w:val="20"/>
          <w:lang w:eastAsia="en-US"/>
        </w:rPr>
        <w:t>idad en medios de comunicación.</w:t>
      </w:r>
    </w:p>
    <w:p w14:paraId="62BD4F1F" w14:textId="77777777" w:rsidR="00C356F0" w:rsidRPr="00A4233F" w:rsidRDefault="00C356F0" w:rsidP="00C356F0">
      <w:pPr>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Campaña Televisión Terrestre Digital (TTD)</w:t>
      </w:r>
    </w:p>
    <w:p w14:paraId="1391424A"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El INDOTEL, se ha propuesto dar pasos concretos a los fines de lograr el encendido digital, fueron realizadas mesas de trabajo para presentar las propuestas visuales del desarrollo de la campaña Televisión Terrestre Digital en su primera fase. Esta campaña dio inicio el 24 de octubre hasta el 18 de noviembre 2022 (primera fase), la cual ha sido difundida en los medios tradicionales de radio, televisión y periódicos impresos (El Nacional, El Hoy, canal 2, canal 11, Antena 7, Color Visión canal 9, La nota 95.7).</w:t>
      </w:r>
    </w:p>
    <w:p w14:paraId="46A8D0A6"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En materia de comunicación se realizó la producción y distribución de material audiovisual para ser colocados en los medios de comunicación.</w:t>
      </w:r>
    </w:p>
    <w:p w14:paraId="555939E2" w14:textId="201EF0F1"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lastRenderedPageBreak/>
        <w:t>Para esta campaña se ejecutó un monto de RD$6</w:t>
      </w:r>
      <w:r w:rsidR="008F59AD" w:rsidRPr="00A4233F">
        <w:rPr>
          <w:rFonts w:eastAsia="Calibri"/>
          <w:color w:val="4C4747"/>
          <w:spacing w:val="20"/>
          <w:lang w:eastAsia="en-US"/>
        </w:rPr>
        <w:t>,002,866.5</w:t>
      </w:r>
      <w:r w:rsidRPr="00A4233F">
        <w:rPr>
          <w:rFonts w:eastAsia="Calibri"/>
          <w:color w:val="4C4747"/>
          <w:spacing w:val="20"/>
          <w:lang w:eastAsia="en-US"/>
        </w:rPr>
        <w:t xml:space="preserve"> que se utilizó para pagos de colocación de publicidad en medios de comunicación.</w:t>
      </w:r>
    </w:p>
    <w:p w14:paraId="559852A6" w14:textId="77777777" w:rsidR="00C356F0" w:rsidRPr="00A4233F" w:rsidRDefault="00C356F0" w:rsidP="00C356F0">
      <w:pPr>
        <w:pStyle w:val="NormalWeb"/>
        <w:jc w:val="both"/>
        <w:rPr>
          <w:rFonts w:eastAsia="Calibri"/>
          <w:b/>
          <w:color w:val="4C4747"/>
          <w:spacing w:val="20"/>
          <w:lang w:eastAsia="en-US"/>
        </w:rPr>
      </w:pPr>
      <w:r w:rsidRPr="00A4233F">
        <w:rPr>
          <w:rFonts w:eastAsia="Calibri"/>
          <w:b/>
          <w:color w:val="4C4747"/>
          <w:spacing w:val="20"/>
          <w:lang w:eastAsia="en-US"/>
        </w:rPr>
        <w:t>Celebración del Día Mundial de las Telecomunicaciones</w:t>
      </w:r>
    </w:p>
    <w:p w14:paraId="4FA79A52" w14:textId="49B2E78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La segunda semana del mes de mayo el INDOTEL celebró la semana de las telecomunicaciones</w:t>
      </w:r>
      <w:r w:rsidR="00556352" w:rsidRPr="00A4233F">
        <w:rPr>
          <w:rFonts w:eastAsia="Calibri"/>
          <w:color w:val="4C4747"/>
          <w:spacing w:val="20"/>
          <w:lang w:eastAsia="en-US"/>
        </w:rPr>
        <w:t xml:space="preserve">, </w:t>
      </w:r>
      <w:r w:rsidRPr="00A4233F">
        <w:rPr>
          <w:rFonts w:eastAsia="Calibri"/>
          <w:color w:val="4C4747"/>
          <w:spacing w:val="20"/>
          <w:lang w:eastAsia="en-US"/>
        </w:rPr>
        <w:t>se coordinaron diversas actividades que tuvieron como finalidad informar y educar a los públicos interesados sobre los diferentes tópicos sobre el estado y futuro de las telecomunicaciones en la República Dominicana; así como el impacto de las tecnologías y su rol en el desarrollo de la sociedad, las capacidades de los ciudadanos, la creación de oportunidades y crecimiento económico del país.</w:t>
      </w:r>
    </w:p>
    <w:p w14:paraId="3A6B746B" w14:textId="19B7AD55"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Durante la semana de las telecomunicaciones se agotó una agenda de encuentros junto a expertos en el sector de las telecomunicaciones, donde se logró contar con la presencia de más de 220 participantes.</w:t>
      </w:r>
    </w:p>
    <w:p w14:paraId="475DF900"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Los temas abordados fueron los siguientes:</w:t>
      </w:r>
    </w:p>
    <w:p w14:paraId="7B263D74" w14:textId="77777777" w:rsidR="00C356F0" w:rsidRPr="00A4233F" w:rsidRDefault="00C356F0" w:rsidP="00A02BDE">
      <w:pPr>
        <w:pStyle w:val="NormalWeb"/>
        <w:numPr>
          <w:ilvl w:val="0"/>
          <w:numId w:val="11"/>
        </w:numPr>
        <w:spacing w:line="360" w:lineRule="auto"/>
        <w:jc w:val="both"/>
        <w:rPr>
          <w:rFonts w:eastAsia="Calibri"/>
          <w:color w:val="4C4747"/>
          <w:spacing w:val="20"/>
          <w:lang w:eastAsia="en-US"/>
        </w:rPr>
      </w:pPr>
      <w:r w:rsidRPr="00A4233F">
        <w:rPr>
          <w:rFonts w:eastAsia="Calibri"/>
          <w:color w:val="4C4747"/>
          <w:spacing w:val="20"/>
          <w:lang w:eastAsia="en-US"/>
        </w:rPr>
        <w:t>Implementación de la Televisión Terrestre Digital en República Dominicana</w:t>
      </w:r>
    </w:p>
    <w:p w14:paraId="05107DC9" w14:textId="77777777" w:rsidR="00C356F0" w:rsidRPr="00A4233F" w:rsidRDefault="00C356F0" w:rsidP="00A02BDE">
      <w:pPr>
        <w:pStyle w:val="NormalWeb"/>
        <w:numPr>
          <w:ilvl w:val="0"/>
          <w:numId w:val="11"/>
        </w:numPr>
        <w:spacing w:line="360" w:lineRule="auto"/>
        <w:jc w:val="both"/>
        <w:rPr>
          <w:rFonts w:eastAsia="Calibri"/>
          <w:color w:val="4C4747"/>
          <w:spacing w:val="20"/>
          <w:lang w:eastAsia="en-US"/>
        </w:rPr>
      </w:pPr>
      <w:r w:rsidRPr="00A4233F">
        <w:rPr>
          <w:rFonts w:eastAsia="Calibri"/>
          <w:color w:val="4C4747"/>
          <w:spacing w:val="20"/>
          <w:lang w:eastAsia="en-US"/>
        </w:rPr>
        <w:t>Panel Ciberbullying: Cómo identificarlo, prevenirlo y enfrentarlo</w:t>
      </w:r>
    </w:p>
    <w:p w14:paraId="3D96CE80" w14:textId="4A79F4B1" w:rsidR="00C356F0" w:rsidRPr="00A4233F" w:rsidRDefault="00C356F0" w:rsidP="00A02BDE">
      <w:pPr>
        <w:pStyle w:val="NormalWeb"/>
        <w:numPr>
          <w:ilvl w:val="0"/>
          <w:numId w:val="11"/>
        </w:numPr>
        <w:spacing w:line="360" w:lineRule="auto"/>
        <w:jc w:val="both"/>
        <w:rPr>
          <w:rFonts w:eastAsia="Calibri"/>
          <w:color w:val="4C4747"/>
          <w:spacing w:val="20"/>
          <w:lang w:eastAsia="en-US"/>
        </w:rPr>
      </w:pPr>
      <w:r w:rsidRPr="00A4233F">
        <w:rPr>
          <w:rFonts w:eastAsia="Calibri"/>
          <w:color w:val="4C4747"/>
          <w:spacing w:val="20"/>
          <w:lang w:eastAsia="en-US"/>
        </w:rPr>
        <w:t>Taller Robótica y Programación para estudiantes de escuelas públicas</w:t>
      </w:r>
    </w:p>
    <w:p w14:paraId="18C6D429"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A través de la producción y distribución de notas de prensa, se logró realizar producciones audiovisuales y media tours para el Día Mundial de las Telecomunicaciones, con entrevistas directas con los principales medios de comunicación en el país, tanto en prensa escrita, televisión y radio.</w:t>
      </w:r>
    </w:p>
    <w:p w14:paraId="2B80CDB2" w14:textId="62DDE1B1" w:rsidR="00C356F0" w:rsidRPr="00A4233F" w:rsidRDefault="00C356F0" w:rsidP="00943FA5">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 xml:space="preserve">Además, para el posicionamiento de los diferentes hitos logrados por el INDOTEL durante </w:t>
      </w:r>
      <w:r w:rsidR="002D2821" w:rsidRPr="00A4233F">
        <w:rPr>
          <w:rFonts w:ascii="Times New Roman" w:eastAsia="Calibri" w:hAnsi="Times New Roman" w:cs="Times New Roman"/>
          <w:color w:val="4C4747"/>
          <w:spacing w:val="20"/>
          <w:sz w:val="24"/>
          <w:szCs w:val="24"/>
          <w:lang w:val="es-DO"/>
        </w:rPr>
        <w:t>el año 2022  s</w:t>
      </w:r>
      <w:r w:rsidRPr="00A4233F">
        <w:rPr>
          <w:rFonts w:ascii="Times New Roman" w:eastAsia="Calibri" w:hAnsi="Times New Roman" w:cs="Times New Roman"/>
          <w:color w:val="4C4747"/>
          <w:spacing w:val="20"/>
          <w:sz w:val="24"/>
          <w:szCs w:val="24"/>
          <w:lang w:val="es-DO"/>
        </w:rPr>
        <w:t xml:space="preserve">e realizaron planes y acciones de comunicación en medios de prensa, radio, televisión y plataformas digitales, los cuales sirvieron para </w:t>
      </w:r>
      <w:r w:rsidR="00F245FB" w:rsidRPr="00A4233F">
        <w:rPr>
          <w:rFonts w:ascii="Times New Roman" w:eastAsia="Calibri" w:hAnsi="Times New Roman" w:cs="Times New Roman"/>
          <w:color w:val="4C4747"/>
          <w:spacing w:val="20"/>
          <w:sz w:val="24"/>
          <w:szCs w:val="24"/>
          <w:lang w:val="es-DO"/>
        </w:rPr>
        <w:t>mantener informados al público.</w:t>
      </w:r>
    </w:p>
    <w:p w14:paraId="076000DB" w14:textId="77777777" w:rsidR="00C356F0" w:rsidRPr="00A4233F" w:rsidRDefault="00C356F0" w:rsidP="00C356F0">
      <w:p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Dentro de las acciones de comunicaciones que se realizaron se encuentran:</w:t>
      </w:r>
    </w:p>
    <w:p w14:paraId="090D8736" w14:textId="77777777" w:rsidR="00C356F0" w:rsidRPr="00A4233F" w:rsidRDefault="00C356F0" w:rsidP="00A02BDE">
      <w:pPr>
        <w:pStyle w:val="NormalWeb"/>
        <w:numPr>
          <w:ilvl w:val="0"/>
          <w:numId w:val="10"/>
        </w:numPr>
        <w:spacing w:line="360" w:lineRule="auto"/>
        <w:jc w:val="both"/>
        <w:rPr>
          <w:rFonts w:eastAsia="Calibri"/>
          <w:color w:val="4C4747"/>
          <w:spacing w:val="20"/>
          <w:lang w:eastAsia="en-US"/>
        </w:rPr>
      </w:pPr>
      <w:r w:rsidRPr="00A4233F">
        <w:rPr>
          <w:rFonts w:eastAsia="Calibri"/>
          <w:color w:val="4C4747"/>
          <w:spacing w:val="20"/>
          <w:lang w:eastAsia="en-US"/>
        </w:rPr>
        <w:t>Creación, distribución y publicación de notas de prensa de cada una de las actividades y logros obtenidos por el órgano regulador de las telecomunicaciones.</w:t>
      </w:r>
    </w:p>
    <w:p w14:paraId="6708D830" w14:textId="77777777" w:rsidR="00C356F0" w:rsidRPr="00A4233F" w:rsidRDefault="00C356F0" w:rsidP="00A02BDE">
      <w:pPr>
        <w:pStyle w:val="NormalWeb"/>
        <w:numPr>
          <w:ilvl w:val="0"/>
          <w:numId w:val="10"/>
        </w:numPr>
        <w:spacing w:line="360" w:lineRule="auto"/>
        <w:jc w:val="both"/>
        <w:rPr>
          <w:rFonts w:eastAsia="Calibri"/>
          <w:color w:val="4C4747"/>
          <w:spacing w:val="20"/>
          <w:lang w:eastAsia="en-US"/>
        </w:rPr>
      </w:pPr>
      <w:r w:rsidRPr="00A4233F">
        <w:rPr>
          <w:rFonts w:eastAsia="Calibri"/>
          <w:color w:val="4C4747"/>
          <w:spacing w:val="20"/>
          <w:lang w:eastAsia="en-US"/>
        </w:rPr>
        <w:t>Producción y distribución de material audiovisual para los múltiples eventos realizados.</w:t>
      </w:r>
    </w:p>
    <w:p w14:paraId="595AA4C5" w14:textId="77777777" w:rsidR="00C356F0" w:rsidRPr="00A4233F" w:rsidRDefault="00C356F0" w:rsidP="00A02BDE">
      <w:pPr>
        <w:pStyle w:val="NormalWeb"/>
        <w:numPr>
          <w:ilvl w:val="0"/>
          <w:numId w:val="10"/>
        </w:numPr>
        <w:spacing w:line="360" w:lineRule="auto"/>
        <w:jc w:val="both"/>
        <w:rPr>
          <w:rFonts w:eastAsia="Calibri"/>
          <w:color w:val="4C4747"/>
          <w:spacing w:val="20"/>
          <w:lang w:eastAsia="en-US"/>
        </w:rPr>
      </w:pPr>
      <w:r w:rsidRPr="00A4233F">
        <w:rPr>
          <w:rFonts w:eastAsia="Calibri"/>
          <w:color w:val="4C4747"/>
          <w:spacing w:val="20"/>
          <w:lang w:eastAsia="en-US"/>
        </w:rPr>
        <w:t>Elaboración de convocatoria a la prensa y publicación en las agendas de los medios de comunicación impresos y digitales de las actividades realizadas por la institución.</w:t>
      </w:r>
    </w:p>
    <w:p w14:paraId="056FF2A9" w14:textId="77777777" w:rsidR="00C356F0" w:rsidRPr="00A4233F" w:rsidRDefault="00C356F0" w:rsidP="00A02BDE">
      <w:pPr>
        <w:pStyle w:val="NormalWeb"/>
        <w:numPr>
          <w:ilvl w:val="0"/>
          <w:numId w:val="10"/>
        </w:numPr>
        <w:spacing w:line="360" w:lineRule="auto"/>
        <w:jc w:val="both"/>
        <w:rPr>
          <w:rFonts w:eastAsia="Calibri"/>
          <w:color w:val="4C4747"/>
          <w:spacing w:val="20"/>
          <w:lang w:eastAsia="en-US"/>
        </w:rPr>
      </w:pPr>
      <w:r w:rsidRPr="00A4233F">
        <w:rPr>
          <w:rFonts w:eastAsia="Calibri"/>
          <w:color w:val="4C4747"/>
          <w:spacing w:val="20"/>
          <w:lang w:eastAsia="en-US"/>
        </w:rPr>
        <w:t>Contacto directo y tour de medios con periodistas y líderes de opinión.</w:t>
      </w:r>
    </w:p>
    <w:p w14:paraId="32BCEFBF" w14:textId="77777777" w:rsidR="00C356F0" w:rsidRPr="00A4233F" w:rsidRDefault="00C356F0" w:rsidP="00A02BDE">
      <w:pPr>
        <w:pStyle w:val="NormalWeb"/>
        <w:numPr>
          <w:ilvl w:val="0"/>
          <w:numId w:val="10"/>
        </w:numPr>
        <w:spacing w:line="360" w:lineRule="auto"/>
        <w:jc w:val="both"/>
        <w:rPr>
          <w:rFonts w:eastAsia="Calibri"/>
          <w:color w:val="4C4747"/>
          <w:spacing w:val="20"/>
          <w:lang w:eastAsia="en-US"/>
        </w:rPr>
      </w:pPr>
      <w:r w:rsidRPr="00A4233F">
        <w:rPr>
          <w:rFonts w:eastAsia="Calibri"/>
          <w:color w:val="4C4747"/>
          <w:spacing w:val="20"/>
          <w:lang w:eastAsia="en-US"/>
        </w:rPr>
        <w:t>Desarrollo y ejecución de diversos paneles y conferencias sobre temas relacionados al sector de las telecomunicaciones.</w:t>
      </w:r>
    </w:p>
    <w:p w14:paraId="15464EA0" w14:textId="77777777" w:rsidR="00C356F0" w:rsidRPr="00A4233F" w:rsidRDefault="00C356F0" w:rsidP="00C356F0">
      <w:pPr>
        <w:pStyle w:val="NormalWeb"/>
        <w:contextualSpacing/>
        <w:jc w:val="both"/>
        <w:rPr>
          <w:rFonts w:eastAsia="Calibri"/>
          <w:b/>
          <w:color w:val="4C4747"/>
          <w:spacing w:val="20"/>
          <w:lang w:eastAsia="en-US"/>
        </w:rPr>
      </w:pPr>
      <w:r w:rsidRPr="00A4233F">
        <w:rPr>
          <w:rFonts w:eastAsia="Calibri"/>
          <w:b/>
          <w:color w:val="4C4747"/>
          <w:spacing w:val="20"/>
          <w:lang w:eastAsia="en-US"/>
        </w:rPr>
        <w:t>Lanzamiento de la Carta de Derechos y Deberes de los Usuarios</w:t>
      </w:r>
    </w:p>
    <w:p w14:paraId="45431A9B" w14:textId="1DC3281E" w:rsidR="00C356F0" w:rsidRPr="00A4233F" w:rsidRDefault="00C356F0" w:rsidP="00C356F0">
      <w:pPr>
        <w:spacing w:line="360" w:lineRule="auto"/>
        <w:contextualSpacing/>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El 20 de octubre 2022 fue </w:t>
      </w:r>
      <w:r w:rsidR="008F59AD" w:rsidRPr="00A4233F">
        <w:rPr>
          <w:rFonts w:ascii="Times New Roman" w:eastAsia="Calibri" w:hAnsi="Times New Roman" w:cs="Times New Roman"/>
          <w:color w:val="4C4747"/>
          <w:spacing w:val="20"/>
          <w:sz w:val="24"/>
          <w:szCs w:val="24"/>
          <w:lang w:val="es-DO"/>
        </w:rPr>
        <w:t>lanzado</w:t>
      </w:r>
      <w:r w:rsidRPr="00A4233F">
        <w:rPr>
          <w:rFonts w:ascii="Times New Roman" w:eastAsia="Calibri" w:hAnsi="Times New Roman" w:cs="Times New Roman"/>
          <w:color w:val="4C4747"/>
          <w:spacing w:val="20"/>
          <w:sz w:val="24"/>
          <w:szCs w:val="24"/>
          <w:lang w:val="es-DO"/>
        </w:rPr>
        <w:t xml:space="preserve"> por el INDOTEL la Carta de Derechos y Deberes de los Usuarios de Servicios Públicos de Telecomunicaciones para personas con discapacidad visual y auditiva, con el objetivo de que estas puedan conocer sus obligaciones y privilegios como usuarios del sector.</w:t>
      </w:r>
    </w:p>
    <w:p w14:paraId="3A6074EA" w14:textId="77777777" w:rsidR="00C356F0" w:rsidRPr="00A4233F" w:rsidRDefault="00C356F0" w:rsidP="00C356F0">
      <w:pPr>
        <w:spacing w:line="360" w:lineRule="auto"/>
        <w:contextualSpacing/>
        <w:jc w:val="both"/>
        <w:rPr>
          <w:rFonts w:ascii="Times New Roman" w:eastAsia="Calibri" w:hAnsi="Times New Roman" w:cs="Times New Roman"/>
          <w:color w:val="4C4747"/>
          <w:spacing w:val="20"/>
          <w:sz w:val="24"/>
          <w:szCs w:val="24"/>
          <w:lang w:val="es-DO"/>
        </w:rPr>
      </w:pPr>
    </w:p>
    <w:p w14:paraId="21720F39" w14:textId="77777777" w:rsidR="00C356F0" w:rsidRPr="00A4233F" w:rsidRDefault="00C356F0" w:rsidP="00C356F0">
      <w:pPr>
        <w:spacing w:line="360" w:lineRule="auto"/>
        <w:contextualSpacing/>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En materia de comunicación se llevaron a cabo las siguientes acciones:</w:t>
      </w:r>
    </w:p>
    <w:p w14:paraId="2FBECBDC" w14:textId="77777777" w:rsidR="00C356F0" w:rsidRPr="00A4233F" w:rsidRDefault="00C356F0" w:rsidP="00A02BDE">
      <w:pPr>
        <w:pStyle w:val="Prrafodelista"/>
        <w:numPr>
          <w:ilvl w:val="0"/>
          <w:numId w:val="7"/>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Creación de línea gráfica para representar la identidad la campaña.</w:t>
      </w:r>
    </w:p>
    <w:p w14:paraId="459F7BB5" w14:textId="77777777" w:rsidR="00C356F0" w:rsidRPr="00A4233F" w:rsidRDefault="00C356F0" w:rsidP="00A02BDE">
      <w:pPr>
        <w:pStyle w:val="Prrafodelista"/>
        <w:numPr>
          <w:ilvl w:val="0"/>
          <w:numId w:val="7"/>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Campaña para las redes sociales bajo el tema “INDOTEL TE INCLUYE”.</w:t>
      </w:r>
    </w:p>
    <w:p w14:paraId="12599EDB" w14:textId="77777777" w:rsidR="00C356F0" w:rsidRPr="00A4233F" w:rsidRDefault="00C356F0" w:rsidP="00A02BDE">
      <w:pPr>
        <w:pStyle w:val="Prrafodelista"/>
        <w:numPr>
          <w:ilvl w:val="0"/>
          <w:numId w:val="7"/>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Elaboración de convocatoria a la prensa y publicación en las agendas de los medios de comunicación impresos y digitales.</w:t>
      </w:r>
    </w:p>
    <w:p w14:paraId="132FF1B5" w14:textId="77777777" w:rsidR="00C356F0" w:rsidRPr="00A4233F" w:rsidRDefault="00C356F0" w:rsidP="00A02BDE">
      <w:pPr>
        <w:pStyle w:val="Prrafodelista"/>
        <w:numPr>
          <w:ilvl w:val="0"/>
          <w:numId w:val="7"/>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Exposición de los letreros con la Carta de Derechos y Deberes de los Usuarios de Servicios Públicos de las Telecomunicaciones durante el lanzamiento.</w:t>
      </w:r>
    </w:p>
    <w:p w14:paraId="31585E6F" w14:textId="77777777" w:rsidR="00C356F0" w:rsidRPr="00A4233F" w:rsidRDefault="00C356F0" w:rsidP="00A02BDE">
      <w:pPr>
        <w:pStyle w:val="Prrafodelista"/>
        <w:numPr>
          <w:ilvl w:val="0"/>
          <w:numId w:val="7"/>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Producción y distribución de material audiovisual durante la actividad.</w:t>
      </w:r>
    </w:p>
    <w:p w14:paraId="262B8C36" w14:textId="77777777" w:rsidR="00C356F0" w:rsidRPr="00A4233F" w:rsidRDefault="00C356F0" w:rsidP="00A02BDE">
      <w:pPr>
        <w:pStyle w:val="Prrafodelista"/>
        <w:numPr>
          <w:ilvl w:val="0"/>
          <w:numId w:val="7"/>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Creación, distribución y publicación de notas de prensa en los medios.</w:t>
      </w:r>
    </w:p>
    <w:p w14:paraId="05FE6B04" w14:textId="181A07BA" w:rsidR="00C356F0" w:rsidRPr="00A4233F" w:rsidRDefault="00C356F0" w:rsidP="00A02BDE">
      <w:pPr>
        <w:pStyle w:val="Prrafodelista"/>
        <w:numPr>
          <w:ilvl w:val="0"/>
          <w:numId w:val="7"/>
        </w:numPr>
        <w:spacing w:line="360" w:lineRule="auto"/>
        <w:jc w:val="both"/>
        <w:rPr>
          <w:rFonts w:eastAsia="Calibri"/>
          <w:color w:val="4C4747"/>
          <w:spacing w:val="20"/>
          <w:sz w:val="24"/>
          <w:szCs w:val="24"/>
          <w:lang w:val="es-MX"/>
        </w:rPr>
      </w:pPr>
      <w:r w:rsidRPr="00A4233F">
        <w:rPr>
          <w:rFonts w:ascii="Times New Roman" w:eastAsia="Calibri" w:hAnsi="Times New Roman" w:cs="Times New Roman"/>
          <w:color w:val="4C4747"/>
          <w:spacing w:val="20"/>
          <w:sz w:val="24"/>
          <w:szCs w:val="24"/>
          <w:lang w:val="es-DO"/>
        </w:rPr>
        <w:t>Tour de medios en diferentes medios de comunicación (radio, televisión) promoviendo el relanzamiento de la Carta de Derechos y Deberes, donde incluye personas con discapacidad auditiva y visual.</w:t>
      </w:r>
    </w:p>
    <w:p w14:paraId="19F15CF1" w14:textId="77777777" w:rsidR="005A11A8" w:rsidRPr="00A4233F" w:rsidRDefault="005A11A8" w:rsidP="005A11A8">
      <w:pPr>
        <w:spacing w:line="360" w:lineRule="auto"/>
        <w:jc w:val="both"/>
        <w:rPr>
          <w:rFonts w:eastAsia="Calibri"/>
          <w:color w:val="4C4747"/>
          <w:spacing w:val="20"/>
          <w:sz w:val="24"/>
          <w:szCs w:val="24"/>
          <w:lang w:val="es-MX"/>
        </w:rPr>
      </w:pPr>
    </w:p>
    <w:p w14:paraId="0C5C19E0" w14:textId="77777777" w:rsidR="00C356F0" w:rsidRPr="00A4233F" w:rsidRDefault="00C356F0" w:rsidP="00C356F0">
      <w:pPr>
        <w:pStyle w:val="NormalWeb"/>
        <w:jc w:val="both"/>
        <w:rPr>
          <w:rFonts w:eastAsia="Calibri"/>
          <w:b/>
          <w:color w:val="4C4747"/>
          <w:spacing w:val="20"/>
          <w:lang w:eastAsia="en-US"/>
        </w:rPr>
      </w:pPr>
      <w:r w:rsidRPr="00A4233F">
        <w:rPr>
          <w:rFonts w:eastAsia="Calibri"/>
          <w:b/>
          <w:color w:val="4C4747"/>
          <w:spacing w:val="20"/>
          <w:lang w:eastAsia="en-US"/>
        </w:rPr>
        <w:t>IDforo 2022</w:t>
      </w:r>
    </w:p>
    <w:p w14:paraId="44595A4D" w14:textId="07BC246B"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 xml:space="preserve">El </w:t>
      </w:r>
      <w:r w:rsidR="008F59AD" w:rsidRPr="00A4233F">
        <w:rPr>
          <w:rFonts w:eastAsia="Calibri"/>
          <w:color w:val="4C4747"/>
          <w:spacing w:val="20"/>
          <w:lang w:eastAsia="en-US"/>
        </w:rPr>
        <w:t>INDOTEL</w:t>
      </w:r>
      <w:r w:rsidRPr="00A4233F">
        <w:rPr>
          <w:rFonts w:eastAsia="Calibri"/>
          <w:color w:val="4C4747"/>
          <w:spacing w:val="20"/>
          <w:lang w:eastAsia="en-US"/>
        </w:rPr>
        <w:t xml:space="preserve"> fue el anfitrión de la Cumbre IDForo 2022, este año con el tema, Generación de Confianza en la Transformación Digital, un espacio de debate iberoamericano sobre tendencias de identidad digital y servicios electrónicos, que se llevó a cabo </w:t>
      </w:r>
      <w:r w:rsidR="00EB2EA6" w:rsidRPr="00A4233F">
        <w:rPr>
          <w:rFonts w:eastAsia="Calibri"/>
          <w:color w:val="4C4747"/>
          <w:spacing w:val="20"/>
          <w:lang w:eastAsia="en-US"/>
        </w:rPr>
        <w:t xml:space="preserve">del 2 al 4 </w:t>
      </w:r>
      <w:r w:rsidRPr="00A4233F">
        <w:rPr>
          <w:rFonts w:eastAsia="Calibri"/>
          <w:color w:val="4C4747"/>
          <w:spacing w:val="20"/>
          <w:lang w:eastAsia="en-US"/>
        </w:rPr>
        <w:t>de noviembre.</w:t>
      </w:r>
    </w:p>
    <w:p w14:paraId="32EA1118"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Se elaboraron planes y acciones en materia de comunicación, emitido a través de las redes sociales, prensa escrita, medios de radio y televisión, que se detallan a continuación:</w:t>
      </w:r>
    </w:p>
    <w:p w14:paraId="589E8661" w14:textId="77777777" w:rsidR="00C356F0" w:rsidRPr="00A4233F" w:rsidRDefault="00C356F0" w:rsidP="00A02BDE">
      <w:pPr>
        <w:pStyle w:val="Prrafodelista"/>
        <w:numPr>
          <w:ilvl w:val="0"/>
          <w:numId w:val="12"/>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lastRenderedPageBreak/>
        <w:t>Creación y distribución de notas informativas promoviendo la jornada de la cumbre IDForo2022.</w:t>
      </w:r>
    </w:p>
    <w:p w14:paraId="54962E13" w14:textId="77777777" w:rsidR="00C356F0" w:rsidRPr="00A4233F" w:rsidRDefault="00C356F0" w:rsidP="00A02BDE">
      <w:pPr>
        <w:pStyle w:val="Prrafodelista"/>
        <w:numPr>
          <w:ilvl w:val="0"/>
          <w:numId w:val="12"/>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 xml:space="preserve">Cobertura de redes sociales durante los 3 días de cumbre. </w:t>
      </w:r>
    </w:p>
    <w:p w14:paraId="20726BE4" w14:textId="77777777" w:rsidR="00C356F0" w:rsidRPr="00A4233F" w:rsidRDefault="00C356F0" w:rsidP="00A02BDE">
      <w:pPr>
        <w:pStyle w:val="Prrafodelista"/>
        <w:numPr>
          <w:ilvl w:val="0"/>
          <w:numId w:val="12"/>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Producción y distribución de material audiovisual en las redes sociales de la institución.</w:t>
      </w:r>
    </w:p>
    <w:p w14:paraId="60A1CD43" w14:textId="77777777" w:rsidR="00C356F0" w:rsidRPr="00A4233F" w:rsidRDefault="00C356F0" w:rsidP="00A02BDE">
      <w:pPr>
        <w:pStyle w:val="Prrafodelista"/>
        <w:numPr>
          <w:ilvl w:val="0"/>
          <w:numId w:val="12"/>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Tour de medios en diferentes medios de comunicación (radio, televisión).</w:t>
      </w:r>
    </w:p>
    <w:p w14:paraId="3A4C6F76" w14:textId="6A9DE579" w:rsidR="00C356F0" w:rsidRPr="00A4233F" w:rsidRDefault="00C356F0" w:rsidP="00A02BDE">
      <w:pPr>
        <w:pStyle w:val="Prrafodelista"/>
        <w:numPr>
          <w:ilvl w:val="0"/>
          <w:numId w:val="12"/>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Elaboración de guía informativa</w:t>
      </w:r>
      <w:r w:rsidR="008F59AD" w:rsidRPr="00A4233F">
        <w:rPr>
          <w:rFonts w:ascii="Times New Roman" w:eastAsia="Calibri" w:hAnsi="Times New Roman" w:cs="Times New Roman"/>
          <w:color w:val="4C4747"/>
          <w:spacing w:val="20"/>
          <w:sz w:val="24"/>
          <w:szCs w:val="24"/>
          <w:lang w:val="es-DO"/>
        </w:rPr>
        <w:t>.</w:t>
      </w:r>
    </w:p>
    <w:p w14:paraId="215CDFD4" w14:textId="77777777" w:rsidR="00C356F0" w:rsidRPr="00A4233F" w:rsidRDefault="00C356F0" w:rsidP="00A02BDE">
      <w:pPr>
        <w:pStyle w:val="Prrafodelista"/>
        <w:numPr>
          <w:ilvl w:val="0"/>
          <w:numId w:val="12"/>
        </w:numPr>
        <w:spacing w:line="360" w:lineRule="auto"/>
        <w:jc w:val="both"/>
        <w:rPr>
          <w:rFonts w:ascii="Times New Roman" w:eastAsia="Calibri" w:hAnsi="Times New Roman" w:cs="Times New Roman"/>
          <w:color w:val="4C4747"/>
          <w:spacing w:val="20"/>
          <w:sz w:val="24"/>
          <w:szCs w:val="24"/>
          <w:lang w:val="es-DO"/>
        </w:rPr>
      </w:pPr>
      <w:r w:rsidRPr="00A4233F">
        <w:rPr>
          <w:rFonts w:ascii="Times New Roman" w:eastAsia="Calibri" w:hAnsi="Times New Roman" w:cs="Times New Roman"/>
          <w:color w:val="4C4747"/>
          <w:spacing w:val="20"/>
          <w:sz w:val="24"/>
          <w:szCs w:val="24"/>
          <w:lang w:val="es-DO"/>
        </w:rPr>
        <w:t>Creación de línea gráfica para representar la identidad la actividad.</w:t>
      </w:r>
    </w:p>
    <w:p w14:paraId="03039951" w14:textId="598148D3" w:rsidR="00C356F0" w:rsidRPr="00A4233F" w:rsidRDefault="00B30127" w:rsidP="00C356F0">
      <w:pPr>
        <w:pStyle w:val="NormalWeb"/>
        <w:jc w:val="both"/>
        <w:rPr>
          <w:rFonts w:eastAsia="Calibri"/>
          <w:b/>
          <w:color w:val="4C4747"/>
          <w:spacing w:val="20"/>
          <w:lang w:eastAsia="en-US"/>
        </w:rPr>
      </w:pPr>
      <w:r w:rsidRPr="00A4233F">
        <w:rPr>
          <w:rFonts w:eastAsia="Calibri"/>
          <w:b/>
          <w:color w:val="4C4747"/>
          <w:spacing w:val="20"/>
          <w:lang w:eastAsia="en-US"/>
        </w:rPr>
        <w:t>Relaciones p</w:t>
      </w:r>
      <w:r w:rsidR="00C356F0" w:rsidRPr="00A4233F">
        <w:rPr>
          <w:rFonts w:eastAsia="Calibri"/>
          <w:b/>
          <w:color w:val="4C4747"/>
          <w:spacing w:val="20"/>
          <w:lang w:eastAsia="en-US"/>
        </w:rPr>
        <w:t>úblicas internas y externas</w:t>
      </w:r>
    </w:p>
    <w:p w14:paraId="3C1D6EF9"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A través de la unidad de publicidad se difundieron las campañas, resoluciones y avisos del INDOTEL, en los diferentes medios de comunicación impresos y digitales, con el propósito de informar a los usuarios y prestadoras de las telecomunicaciones.</w:t>
      </w:r>
    </w:p>
    <w:p w14:paraId="6F37DCC3" w14:textId="36F9A342" w:rsidR="00C356F0"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Todo esto se ha estado proyectando en 35 medios de comunicación, divididos en 07 periódicos impresos, 10 programas radiales y 18 programas de televisión. A continuación, la descripción del uso por cada medio de comunicación durante el pe</w:t>
      </w:r>
      <w:r w:rsidR="008F59AD" w:rsidRPr="00A4233F">
        <w:rPr>
          <w:rFonts w:eastAsia="Calibri"/>
          <w:color w:val="4C4747"/>
          <w:spacing w:val="20"/>
          <w:lang w:eastAsia="en-US"/>
        </w:rPr>
        <w:t>ríodo enero-noviembre año 2022.</w:t>
      </w:r>
    </w:p>
    <w:p w14:paraId="66F44A84" w14:textId="77777777" w:rsidR="00F65C89" w:rsidRDefault="00F65C89" w:rsidP="00C356F0">
      <w:pPr>
        <w:pStyle w:val="NormalWeb"/>
        <w:spacing w:line="360" w:lineRule="auto"/>
        <w:jc w:val="both"/>
        <w:rPr>
          <w:rFonts w:eastAsia="Calibri"/>
          <w:color w:val="4C4747"/>
          <w:spacing w:val="20"/>
          <w:lang w:eastAsia="en-US"/>
        </w:rPr>
      </w:pPr>
    </w:p>
    <w:p w14:paraId="4B160342" w14:textId="77777777" w:rsidR="00F65C89" w:rsidRDefault="00F65C89" w:rsidP="00C356F0">
      <w:pPr>
        <w:pStyle w:val="NormalWeb"/>
        <w:spacing w:line="360" w:lineRule="auto"/>
        <w:jc w:val="both"/>
        <w:rPr>
          <w:rFonts w:eastAsia="Calibri"/>
          <w:color w:val="4C4747"/>
          <w:spacing w:val="20"/>
          <w:lang w:eastAsia="en-US"/>
        </w:rPr>
      </w:pPr>
    </w:p>
    <w:p w14:paraId="2687E29B" w14:textId="77777777" w:rsidR="00F65C89" w:rsidRDefault="00F65C89" w:rsidP="00C356F0">
      <w:pPr>
        <w:pStyle w:val="NormalWeb"/>
        <w:spacing w:line="360" w:lineRule="auto"/>
        <w:jc w:val="both"/>
        <w:rPr>
          <w:rFonts w:eastAsia="Calibri"/>
          <w:color w:val="4C4747"/>
          <w:spacing w:val="20"/>
          <w:lang w:eastAsia="en-US"/>
        </w:rPr>
      </w:pPr>
    </w:p>
    <w:p w14:paraId="460D0FCD" w14:textId="77777777" w:rsidR="00F65C89" w:rsidRDefault="00F65C89" w:rsidP="00C356F0">
      <w:pPr>
        <w:pStyle w:val="NormalWeb"/>
        <w:spacing w:line="360" w:lineRule="auto"/>
        <w:jc w:val="both"/>
        <w:rPr>
          <w:rFonts w:eastAsia="Calibri"/>
          <w:color w:val="4C4747"/>
          <w:spacing w:val="20"/>
          <w:lang w:eastAsia="en-US"/>
        </w:rPr>
      </w:pPr>
    </w:p>
    <w:p w14:paraId="7E240DDA" w14:textId="77777777" w:rsidR="00F65C89" w:rsidRPr="00A4233F" w:rsidRDefault="00F65C89" w:rsidP="00C356F0">
      <w:pPr>
        <w:pStyle w:val="NormalWeb"/>
        <w:spacing w:line="360" w:lineRule="auto"/>
        <w:jc w:val="both"/>
        <w:rPr>
          <w:rFonts w:eastAsia="Calibri"/>
          <w:color w:val="4C4747"/>
          <w:spacing w:val="20"/>
          <w:lang w:eastAsia="en-US"/>
        </w:rPr>
      </w:pPr>
    </w:p>
    <w:p w14:paraId="4D1D1FB9"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lastRenderedPageBreak/>
        <w:t>Colocación de publicidad en medios:</w:t>
      </w:r>
    </w:p>
    <w:tbl>
      <w:tblPr>
        <w:tblStyle w:val="Tablaconcuadrcula"/>
        <w:tblW w:w="7915" w:type="dxa"/>
        <w:tblLayout w:type="fixed"/>
        <w:tblLook w:val="06A0" w:firstRow="1" w:lastRow="0" w:firstColumn="1" w:lastColumn="0" w:noHBand="1" w:noVBand="1"/>
      </w:tblPr>
      <w:tblGrid>
        <w:gridCol w:w="1905"/>
        <w:gridCol w:w="1510"/>
        <w:gridCol w:w="4500"/>
      </w:tblGrid>
      <w:tr w:rsidR="00C356F0" w:rsidRPr="003A41E6" w14:paraId="2750FE39" w14:textId="77777777" w:rsidTr="00790E59">
        <w:trPr>
          <w:trHeight w:val="532"/>
        </w:trPr>
        <w:tc>
          <w:tcPr>
            <w:tcW w:w="1905" w:type="dxa"/>
            <w:tcBorders>
              <w:top w:val="single" w:sz="4" w:space="0" w:color="auto"/>
              <w:left w:val="single" w:sz="4" w:space="0" w:color="auto"/>
              <w:bottom w:val="single" w:sz="4" w:space="0" w:color="auto"/>
              <w:right w:val="single" w:sz="4" w:space="0" w:color="auto"/>
            </w:tcBorders>
            <w:shd w:val="clear" w:color="auto" w:fill="002060"/>
            <w:vAlign w:val="center"/>
          </w:tcPr>
          <w:p w14:paraId="7156D1D9" w14:textId="77777777" w:rsidR="00C356F0" w:rsidRPr="00790E59" w:rsidRDefault="00C356F0" w:rsidP="00790E59">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Medios</w:t>
            </w:r>
          </w:p>
        </w:tc>
        <w:tc>
          <w:tcPr>
            <w:tcW w:w="1510" w:type="dxa"/>
            <w:tcBorders>
              <w:top w:val="single" w:sz="4" w:space="0" w:color="auto"/>
              <w:left w:val="single" w:sz="4" w:space="0" w:color="auto"/>
              <w:bottom w:val="single" w:sz="4" w:space="0" w:color="auto"/>
              <w:right w:val="single" w:sz="4" w:space="0" w:color="auto"/>
            </w:tcBorders>
            <w:shd w:val="clear" w:color="auto" w:fill="002060"/>
            <w:vAlign w:val="center"/>
          </w:tcPr>
          <w:p w14:paraId="2ABD6346" w14:textId="21F8E9E1" w:rsidR="00C356F0" w:rsidRPr="00790E59" w:rsidRDefault="00C356F0" w:rsidP="00790E59">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Cantidad de Medios</w:t>
            </w:r>
          </w:p>
        </w:tc>
        <w:tc>
          <w:tcPr>
            <w:tcW w:w="4500" w:type="dxa"/>
            <w:tcBorders>
              <w:top w:val="single" w:sz="4" w:space="0" w:color="auto"/>
              <w:left w:val="single" w:sz="4" w:space="0" w:color="auto"/>
              <w:bottom w:val="single" w:sz="4" w:space="0" w:color="auto"/>
              <w:right w:val="single" w:sz="4" w:space="0" w:color="auto"/>
            </w:tcBorders>
            <w:shd w:val="clear" w:color="auto" w:fill="002060"/>
            <w:vAlign w:val="center"/>
          </w:tcPr>
          <w:p w14:paraId="3E964E92" w14:textId="77777777" w:rsidR="00C356F0" w:rsidRPr="00790E59" w:rsidRDefault="00C356F0" w:rsidP="00790E59">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Descripción</w:t>
            </w:r>
          </w:p>
        </w:tc>
      </w:tr>
      <w:tr w:rsidR="00C356F0" w:rsidRPr="00376423" w14:paraId="7A44BD99" w14:textId="77777777" w:rsidTr="00943FA5">
        <w:trPr>
          <w:trHeight w:val="1241"/>
        </w:trPr>
        <w:tc>
          <w:tcPr>
            <w:tcW w:w="1905" w:type="dxa"/>
            <w:tcBorders>
              <w:top w:val="single" w:sz="4" w:space="0" w:color="auto"/>
              <w:left w:val="single" w:sz="4" w:space="0" w:color="auto"/>
              <w:bottom w:val="single" w:sz="4" w:space="0" w:color="auto"/>
              <w:right w:val="single" w:sz="4" w:space="0" w:color="auto"/>
            </w:tcBorders>
          </w:tcPr>
          <w:p w14:paraId="6935999C"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Periódicos impresos</w:t>
            </w:r>
          </w:p>
        </w:tc>
        <w:tc>
          <w:tcPr>
            <w:tcW w:w="1510" w:type="dxa"/>
            <w:tcBorders>
              <w:top w:val="single" w:sz="4" w:space="0" w:color="auto"/>
              <w:left w:val="single" w:sz="4" w:space="0" w:color="auto"/>
              <w:bottom w:val="single" w:sz="4" w:space="0" w:color="auto"/>
              <w:right w:val="single" w:sz="4" w:space="0" w:color="auto"/>
            </w:tcBorders>
          </w:tcPr>
          <w:p w14:paraId="4852EBC2"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w:t>
            </w:r>
          </w:p>
        </w:tc>
        <w:tc>
          <w:tcPr>
            <w:tcW w:w="4500" w:type="dxa"/>
            <w:tcBorders>
              <w:top w:val="single" w:sz="4" w:space="0" w:color="auto"/>
              <w:left w:val="single" w:sz="4" w:space="0" w:color="auto"/>
              <w:bottom w:val="single" w:sz="4" w:space="0" w:color="auto"/>
              <w:right w:val="single" w:sz="4" w:space="0" w:color="auto"/>
            </w:tcBorders>
          </w:tcPr>
          <w:p w14:paraId="097C2283" w14:textId="59F97074"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Difusión   de resoluciones (14) audiencias (9) consulta pública</w:t>
            </w:r>
            <w:r w:rsidR="008F59AD" w:rsidRPr="00C62BB6">
              <w:rPr>
                <w:rFonts w:ascii="Times New Roman" w:eastAsia="Calibri" w:hAnsi="Times New Roman" w:cs="Times New Roman"/>
                <w:color w:val="4C4747"/>
                <w:spacing w:val="20"/>
                <w:sz w:val="24"/>
                <w:szCs w:val="24"/>
                <w:lang w:val="es-DO"/>
              </w:rPr>
              <w:t xml:space="preserve"> (05) licitación (06) aviso (4)</w:t>
            </w:r>
          </w:p>
        </w:tc>
      </w:tr>
      <w:tr w:rsidR="00C356F0" w:rsidRPr="00376423" w14:paraId="30576EBE" w14:textId="77777777" w:rsidTr="00943FA5">
        <w:trPr>
          <w:trHeight w:val="890"/>
        </w:trPr>
        <w:tc>
          <w:tcPr>
            <w:tcW w:w="1905" w:type="dxa"/>
            <w:tcBorders>
              <w:top w:val="single" w:sz="4" w:space="0" w:color="auto"/>
              <w:left w:val="single" w:sz="4" w:space="0" w:color="auto"/>
              <w:bottom w:val="single" w:sz="4" w:space="0" w:color="auto"/>
              <w:right w:val="single" w:sz="4" w:space="0" w:color="auto"/>
            </w:tcBorders>
          </w:tcPr>
          <w:p w14:paraId="3A2A97C2"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Periódicos impresos</w:t>
            </w:r>
          </w:p>
        </w:tc>
        <w:tc>
          <w:tcPr>
            <w:tcW w:w="1510" w:type="dxa"/>
            <w:tcBorders>
              <w:top w:val="single" w:sz="4" w:space="0" w:color="auto"/>
              <w:left w:val="single" w:sz="4" w:space="0" w:color="auto"/>
              <w:bottom w:val="single" w:sz="4" w:space="0" w:color="auto"/>
              <w:right w:val="single" w:sz="4" w:space="0" w:color="auto"/>
            </w:tcBorders>
          </w:tcPr>
          <w:p w14:paraId="0F0CCD03"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7</w:t>
            </w:r>
          </w:p>
        </w:tc>
        <w:tc>
          <w:tcPr>
            <w:tcW w:w="4500" w:type="dxa"/>
            <w:tcBorders>
              <w:top w:val="single" w:sz="4" w:space="0" w:color="auto"/>
              <w:left w:val="single" w:sz="4" w:space="0" w:color="auto"/>
              <w:bottom w:val="single" w:sz="4" w:space="0" w:color="auto"/>
              <w:right w:val="single" w:sz="4" w:space="0" w:color="auto"/>
            </w:tcBorders>
          </w:tcPr>
          <w:p w14:paraId="2B8F37AB" w14:textId="56F67000" w:rsidR="00C356F0" w:rsidRPr="00C62BB6" w:rsidRDefault="00C356F0" w:rsidP="00943FA5">
            <w:pPr>
              <w:spacing w:line="276"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Celebración del Día Mundial de las Telecomunicaciones </w:t>
            </w:r>
            <w:r w:rsidR="008F59AD" w:rsidRPr="00C62BB6">
              <w:rPr>
                <w:rFonts w:ascii="Times New Roman" w:eastAsia="Calibri" w:hAnsi="Times New Roman" w:cs="Times New Roman"/>
                <w:color w:val="4C4747"/>
                <w:spacing w:val="20"/>
                <w:sz w:val="24"/>
                <w:szCs w:val="24"/>
                <w:lang w:val="es-DO"/>
              </w:rPr>
              <w:t>y la Sociedad de la Información</w:t>
            </w:r>
          </w:p>
        </w:tc>
      </w:tr>
      <w:tr w:rsidR="00C356F0" w:rsidRPr="00376423" w14:paraId="4B63F1E8" w14:textId="77777777" w:rsidTr="00943FA5">
        <w:trPr>
          <w:trHeight w:val="287"/>
        </w:trPr>
        <w:tc>
          <w:tcPr>
            <w:tcW w:w="1905" w:type="dxa"/>
            <w:tcBorders>
              <w:top w:val="single" w:sz="4" w:space="0" w:color="auto"/>
              <w:left w:val="single" w:sz="4" w:space="0" w:color="auto"/>
              <w:bottom w:val="single" w:sz="4" w:space="0" w:color="auto"/>
              <w:right w:val="single" w:sz="4" w:space="0" w:color="auto"/>
            </w:tcBorders>
          </w:tcPr>
          <w:p w14:paraId="25403DC6"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Radio</w:t>
            </w:r>
          </w:p>
        </w:tc>
        <w:tc>
          <w:tcPr>
            <w:tcW w:w="1510" w:type="dxa"/>
            <w:tcBorders>
              <w:top w:val="single" w:sz="4" w:space="0" w:color="auto"/>
              <w:left w:val="single" w:sz="4" w:space="0" w:color="auto"/>
              <w:bottom w:val="single" w:sz="4" w:space="0" w:color="auto"/>
              <w:right w:val="single" w:sz="4" w:space="0" w:color="auto"/>
            </w:tcBorders>
          </w:tcPr>
          <w:p w14:paraId="2C8EAB19"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w:t>
            </w:r>
          </w:p>
        </w:tc>
        <w:tc>
          <w:tcPr>
            <w:tcW w:w="4500" w:type="dxa"/>
            <w:vMerge w:val="restart"/>
            <w:tcBorders>
              <w:top w:val="single" w:sz="4" w:space="0" w:color="auto"/>
              <w:left w:val="single" w:sz="4" w:space="0" w:color="auto"/>
              <w:right w:val="single" w:sz="4" w:space="0" w:color="auto"/>
            </w:tcBorders>
            <w:vAlign w:val="center"/>
          </w:tcPr>
          <w:p w14:paraId="7846B392" w14:textId="65311A7A" w:rsidR="00C356F0" w:rsidRPr="00C62BB6" w:rsidRDefault="00C356F0" w:rsidP="00943FA5">
            <w:pPr>
              <w:spacing w:line="276"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Campaña: Norma del Sistema de Series Negada</w:t>
            </w:r>
          </w:p>
        </w:tc>
      </w:tr>
      <w:tr w:rsidR="00C356F0" w:rsidRPr="00C62BB6" w14:paraId="2D2261EB" w14:textId="77777777" w:rsidTr="00943FA5">
        <w:trPr>
          <w:trHeight w:val="440"/>
        </w:trPr>
        <w:tc>
          <w:tcPr>
            <w:tcW w:w="1905" w:type="dxa"/>
            <w:tcBorders>
              <w:top w:val="single" w:sz="4" w:space="0" w:color="auto"/>
              <w:left w:val="single" w:sz="4" w:space="0" w:color="auto"/>
              <w:bottom w:val="single" w:sz="4" w:space="0" w:color="auto"/>
              <w:right w:val="single" w:sz="4" w:space="0" w:color="auto"/>
            </w:tcBorders>
          </w:tcPr>
          <w:p w14:paraId="54443383"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Televisión</w:t>
            </w:r>
          </w:p>
        </w:tc>
        <w:tc>
          <w:tcPr>
            <w:tcW w:w="1510" w:type="dxa"/>
            <w:tcBorders>
              <w:top w:val="single" w:sz="4" w:space="0" w:color="auto"/>
              <w:left w:val="single" w:sz="4" w:space="0" w:color="auto"/>
              <w:bottom w:val="single" w:sz="4" w:space="0" w:color="auto"/>
              <w:right w:val="single" w:sz="4" w:space="0" w:color="auto"/>
            </w:tcBorders>
          </w:tcPr>
          <w:p w14:paraId="57790773"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18</w:t>
            </w:r>
          </w:p>
        </w:tc>
        <w:tc>
          <w:tcPr>
            <w:tcW w:w="4500" w:type="dxa"/>
            <w:vMerge/>
          </w:tcPr>
          <w:p w14:paraId="591F9EF7" w14:textId="77777777" w:rsidR="00C356F0" w:rsidRPr="00C62BB6" w:rsidRDefault="00C356F0" w:rsidP="00943FA5">
            <w:pPr>
              <w:spacing w:line="276" w:lineRule="auto"/>
              <w:jc w:val="center"/>
              <w:rPr>
                <w:rFonts w:ascii="Times New Roman" w:eastAsia="Calibri" w:hAnsi="Times New Roman" w:cs="Times New Roman"/>
                <w:color w:val="4C4747"/>
                <w:spacing w:val="20"/>
                <w:sz w:val="24"/>
                <w:szCs w:val="24"/>
                <w:lang w:val="es-DO"/>
              </w:rPr>
            </w:pPr>
          </w:p>
        </w:tc>
      </w:tr>
      <w:tr w:rsidR="00C356F0" w:rsidRPr="00C62BB6" w14:paraId="2A31EF57" w14:textId="77777777" w:rsidTr="00943FA5">
        <w:trPr>
          <w:trHeight w:val="764"/>
        </w:trPr>
        <w:tc>
          <w:tcPr>
            <w:tcW w:w="1905" w:type="dxa"/>
            <w:tcBorders>
              <w:top w:val="single" w:sz="4" w:space="0" w:color="auto"/>
              <w:left w:val="single" w:sz="4" w:space="0" w:color="auto"/>
              <w:bottom w:val="single" w:sz="4" w:space="0" w:color="auto"/>
              <w:right w:val="single" w:sz="4" w:space="0" w:color="auto"/>
            </w:tcBorders>
          </w:tcPr>
          <w:p w14:paraId="1B133556"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Periódicos impresos</w:t>
            </w:r>
          </w:p>
        </w:tc>
        <w:tc>
          <w:tcPr>
            <w:tcW w:w="1510" w:type="dxa"/>
            <w:tcBorders>
              <w:top w:val="single" w:sz="4" w:space="0" w:color="auto"/>
              <w:left w:val="single" w:sz="4" w:space="0" w:color="auto"/>
              <w:bottom w:val="single" w:sz="4" w:space="0" w:color="auto"/>
              <w:right w:val="single" w:sz="4" w:space="0" w:color="auto"/>
            </w:tcBorders>
          </w:tcPr>
          <w:p w14:paraId="4AF1EA3A"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w:t>
            </w:r>
          </w:p>
        </w:tc>
        <w:tc>
          <w:tcPr>
            <w:tcW w:w="4500" w:type="dxa"/>
            <w:vMerge/>
          </w:tcPr>
          <w:p w14:paraId="3DB37F93" w14:textId="77777777" w:rsidR="00C356F0" w:rsidRPr="00C62BB6" w:rsidRDefault="00C356F0" w:rsidP="00943FA5">
            <w:pPr>
              <w:spacing w:line="276" w:lineRule="auto"/>
              <w:jc w:val="center"/>
              <w:rPr>
                <w:rFonts w:ascii="Times New Roman" w:eastAsia="Calibri" w:hAnsi="Times New Roman" w:cs="Times New Roman"/>
                <w:color w:val="4C4747"/>
                <w:spacing w:val="20"/>
                <w:sz w:val="24"/>
                <w:szCs w:val="24"/>
                <w:lang w:val="es-DO"/>
              </w:rPr>
            </w:pPr>
          </w:p>
        </w:tc>
      </w:tr>
      <w:tr w:rsidR="00C356F0" w:rsidRPr="00C62BB6" w14:paraId="7053FF5D" w14:textId="77777777" w:rsidTr="00943FA5">
        <w:trPr>
          <w:trHeight w:val="818"/>
        </w:trPr>
        <w:tc>
          <w:tcPr>
            <w:tcW w:w="1905" w:type="dxa"/>
            <w:tcBorders>
              <w:top w:val="single" w:sz="4" w:space="0" w:color="auto"/>
              <w:left w:val="single" w:sz="4" w:space="0" w:color="auto"/>
              <w:bottom w:val="single" w:sz="4" w:space="0" w:color="auto"/>
              <w:right w:val="single" w:sz="4" w:space="0" w:color="auto"/>
            </w:tcBorders>
          </w:tcPr>
          <w:p w14:paraId="58B79447" w14:textId="27D1ADF0"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Periódicos impresos</w:t>
            </w:r>
          </w:p>
        </w:tc>
        <w:tc>
          <w:tcPr>
            <w:tcW w:w="1510" w:type="dxa"/>
            <w:tcBorders>
              <w:top w:val="single" w:sz="4" w:space="0" w:color="auto"/>
              <w:left w:val="single" w:sz="4" w:space="0" w:color="auto"/>
              <w:bottom w:val="single" w:sz="4" w:space="0" w:color="auto"/>
            </w:tcBorders>
          </w:tcPr>
          <w:p w14:paraId="15C04010"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w:t>
            </w:r>
          </w:p>
        </w:tc>
        <w:tc>
          <w:tcPr>
            <w:tcW w:w="4500" w:type="dxa"/>
            <w:vMerge w:val="restart"/>
            <w:vAlign w:val="center"/>
          </w:tcPr>
          <w:p w14:paraId="0B66583E" w14:textId="77777777" w:rsidR="00C356F0" w:rsidRPr="00C62BB6" w:rsidRDefault="00C356F0" w:rsidP="00943FA5">
            <w:pPr>
              <w:spacing w:line="276"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Campaña: Televisión Terrestre Digital</w:t>
            </w:r>
          </w:p>
        </w:tc>
      </w:tr>
      <w:tr w:rsidR="00C356F0" w:rsidRPr="00C62BB6" w14:paraId="07A9B7B7" w14:textId="77777777" w:rsidTr="00943FA5">
        <w:trPr>
          <w:trHeight w:val="341"/>
        </w:trPr>
        <w:tc>
          <w:tcPr>
            <w:tcW w:w="1905" w:type="dxa"/>
            <w:tcBorders>
              <w:top w:val="single" w:sz="4" w:space="0" w:color="auto"/>
              <w:left w:val="single" w:sz="4" w:space="0" w:color="auto"/>
              <w:bottom w:val="single" w:sz="4" w:space="0" w:color="auto"/>
              <w:right w:val="single" w:sz="4" w:space="0" w:color="auto"/>
            </w:tcBorders>
          </w:tcPr>
          <w:p w14:paraId="61787F81"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Radio</w:t>
            </w:r>
          </w:p>
        </w:tc>
        <w:tc>
          <w:tcPr>
            <w:tcW w:w="1510" w:type="dxa"/>
            <w:tcBorders>
              <w:top w:val="single" w:sz="4" w:space="0" w:color="auto"/>
              <w:left w:val="single" w:sz="4" w:space="0" w:color="auto"/>
              <w:bottom w:val="single" w:sz="4" w:space="0" w:color="auto"/>
            </w:tcBorders>
          </w:tcPr>
          <w:p w14:paraId="66C06748"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w:t>
            </w:r>
          </w:p>
        </w:tc>
        <w:tc>
          <w:tcPr>
            <w:tcW w:w="4500" w:type="dxa"/>
            <w:vMerge/>
          </w:tcPr>
          <w:p w14:paraId="7E4712D0" w14:textId="77777777" w:rsidR="00C356F0" w:rsidRPr="00C62BB6" w:rsidRDefault="00C356F0" w:rsidP="00943FA5">
            <w:pPr>
              <w:spacing w:line="276" w:lineRule="auto"/>
              <w:jc w:val="center"/>
              <w:rPr>
                <w:rFonts w:ascii="Times New Roman" w:eastAsia="Calibri" w:hAnsi="Times New Roman" w:cs="Times New Roman"/>
                <w:color w:val="4C4747"/>
                <w:spacing w:val="20"/>
                <w:sz w:val="24"/>
                <w:szCs w:val="24"/>
                <w:lang w:val="es-DO"/>
              </w:rPr>
            </w:pPr>
          </w:p>
        </w:tc>
      </w:tr>
      <w:tr w:rsidR="00C356F0" w:rsidRPr="00C62BB6" w14:paraId="5425BF82" w14:textId="77777777" w:rsidTr="00943FA5">
        <w:trPr>
          <w:trHeight w:val="377"/>
        </w:trPr>
        <w:tc>
          <w:tcPr>
            <w:tcW w:w="1905" w:type="dxa"/>
            <w:tcBorders>
              <w:top w:val="single" w:sz="4" w:space="0" w:color="auto"/>
              <w:left w:val="single" w:sz="4" w:space="0" w:color="auto"/>
              <w:bottom w:val="single" w:sz="4" w:space="0" w:color="auto"/>
              <w:right w:val="single" w:sz="4" w:space="0" w:color="auto"/>
            </w:tcBorders>
          </w:tcPr>
          <w:p w14:paraId="14F9AE97"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Televisión</w:t>
            </w:r>
          </w:p>
        </w:tc>
        <w:tc>
          <w:tcPr>
            <w:tcW w:w="1510" w:type="dxa"/>
            <w:tcBorders>
              <w:top w:val="single" w:sz="4" w:space="0" w:color="auto"/>
              <w:left w:val="single" w:sz="4" w:space="0" w:color="auto"/>
              <w:bottom w:val="single" w:sz="4" w:space="0" w:color="auto"/>
            </w:tcBorders>
          </w:tcPr>
          <w:p w14:paraId="49AB98CB"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w:t>
            </w:r>
          </w:p>
        </w:tc>
        <w:tc>
          <w:tcPr>
            <w:tcW w:w="4500" w:type="dxa"/>
            <w:vMerge/>
          </w:tcPr>
          <w:p w14:paraId="57117797" w14:textId="77777777" w:rsidR="00C356F0" w:rsidRPr="00C62BB6" w:rsidRDefault="00C356F0" w:rsidP="00943FA5">
            <w:pPr>
              <w:spacing w:line="276" w:lineRule="auto"/>
              <w:jc w:val="center"/>
              <w:rPr>
                <w:rFonts w:ascii="Times New Roman" w:eastAsia="Calibri" w:hAnsi="Times New Roman" w:cs="Times New Roman"/>
                <w:color w:val="4C4747"/>
                <w:spacing w:val="20"/>
                <w:sz w:val="24"/>
                <w:szCs w:val="24"/>
                <w:lang w:val="es-DO"/>
              </w:rPr>
            </w:pPr>
          </w:p>
        </w:tc>
      </w:tr>
      <w:tr w:rsidR="00C356F0" w:rsidRPr="00C62BB6" w14:paraId="33041F8A" w14:textId="77777777" w:rsidTr="00943FA5">
        <w:trPr>
          <w:trHeight w:val="395"/>
        </w:trPr>
        <w:tc>
          <w:tcPr>
            <w:tcW w:w="1905" w:type="dxa"/>
            <w:tcBorders>
              <w:top w:val="single" w:sz="4" w:space="0" w:color="auto"/>
              <w:left w:val="single" w:sz="4" w:space="0" w:color="auto"/>
              <w:bottom w:val="single" w:sz="4" w:space="0" w:color="auto"/>
              <w:right w:val="single" w:sz="4" w:space="0" w:color="auto"/>
            </w:tcBorders>
          </w:tcPr>
          <w:p w14:paraId="366ACF4F"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Radio</w:t>
            </w:r>
          </w:p>
        </w:tc>
        <w:tc>
          <w:tcPr>
            <w:tcW w:w="1510" w:type="dxa"/>
            <w:tcBorders>
              <w:top w:val="single" w:sz="4" w:space="0" w:color="auto"/>
              <w:left w:val="single" w:sz="4" w:space="0" w:color="auto"/>
              <w:bottom w:val="single" w:sz="4" w:space="0" w:color="auto"/>
            </w:tcBorders>
          </w:tcPr>
          <w:p w14:paraId="3A9FE2A4"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10</w:t>
            </w:r>
          </w:p>
        </w:tc>
        <w:tc>
          <w:tcPr>
            <w:tcW w:w="4500" w:type="dxa"/>
            <w:vMerge w:val="restart"/>
            <w:vAlign w:val="center"/>
          </w:tcPr>
          <w:p w14:paraId="22C6785C" w14:textId="77777777" w:rsidR="00C356F0" w:rsidRPr="00C62BB6" w:rsidRDefault="00C356F0" w:rsidP="00943FA5">
            <w:pPr>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Campaña: Puntos Wifi</w:t>
            </w:r>
          </w:p>
        </w:tc>
      </w:tr>
      <w:tr w:rsidR="00C356F0" w:rsidRPr="00C62BB6" w14:paraId="5A8952A6" w14:textId="77777777" w:rsidTr="00943FA5">
        <w:trPr>
          <w:trHeight w:val="332"/>
        </w:trPr>
        <w:tc>
          <w:tcPr>
            <w:tcW w:w="1905" w:type="dxa"/>
            <w:tcBorders>
              <w:top w:val="single" w:sz="4" w:space="0" w:color="auto"/>
              <w:left w:val="single" w:sz="4" w:space="0" w:color="auto"/>
              <w:bottom w:val="single" w:sz="4" w:space="0" w:color="auto"/>
              <w:right w:val="single" w:sz="4" w:space="0" w:color="auto"/>
            </w:tcBorders>
          </w:tcPr>
          <w:p w14:paraId="281F7FF0" w14:textId="64C900DD" w:rsidR="00C356F0" w:rsidRPr="00C62BB6" w:rsidRDefault="00B30127"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Televisión</w:t>
            </w:r>
          </w:p>
        </w:tc>
        <w:tc>
          <w:tcPr>
            <w:tcW w:w="1510" w:type="dxa"/>
            <w:tcBorders>
              <w:top w:val="single" w:sz="4" w:space="0" w:color="auto"/>
              <w:left w:val="single" w:sz="4" w:space="0" w:color="auto"/>
              <w:bottom w:val="single" w:sz="4" w:space="0" w:color="auto"/>
            </w:tcBorders>
          </w:tcPr>
          <w:p w14:paraId="5B7BD0E2" w14:textId="77777777" w:rsidR="00C356F0" w:rsidRPr="00C62BB6" w:rsidRDefault="00C356F0" w:rsidP="00943FA5">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18</w:t>
            </w:r>
          </w:p>
        </w:tc>
        <w:tc>
          <w:tcPr>
            <w:tcW w:w="4500" w:type="dxa"/>
            <w:vMerge/>
            <w:vAlign w:val="bottom"/>
          </w:tcPr>
          <w:p w14:paraId="38095EDF" w14:textId="77777777" w:rsidR="00C356F0" w:rsidRPr="00C62BB6" w:rsidRDefault="00C356F0" w:rsidP="00C356F0">
            <w:pPr>
              <w:rPr>
                <w:rFonts w:ascii="Times New Roman" w:eastAsia="Calibri" w:hAnsi="Times New Roman" w:cs="Times New Roman"/>
                <w:color w:val="4C4747"/>
                <w:spacing w:val="20"/>
                <w:sz w:val="24"/>
                <w:szCs w:val="24"/>
                <w:lang w:val="es-DO"/>
              </w:rPr>
            </w:pPr>
          </w:p>
        </w:tc>
      </w:tr>
    </w:tbl>
    <w:p w14:paraId="613488A3" w14:textId="77777777" w:rsidR="00C356F0" w:rsidRPr="00C62BB6" w:rsidRDefault="00C356F0" w:rsidP="00C356F0">
      <w:pPr>
        <w:spacing w:after="0" w:line="24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Unidad de Publicidad, Dirección de Relaciones Públicas y Comunicaciones</w:t>
      </w:r>
    </w:p>
    <w:p w14:paraId="4D4FF961" w14:textId="77777777" w:rsidR="008F59AD" w:rsidRPr="00C62BB6" w:rsidRDefault="008F59AD" w:rsidP="00C356F0">
      <w:pPr>
        <w:rPr>
          <w:rFonts w:ascii="Times New Roman" w:eastAsia="Calibri" w:hAnsi="Times New Roman" w:cs="Times New Roman"/>
          <w:color w:val="4C4747"/>
          <w:spacing w:val="20"/>
          <w:sz w:val="24"/>
          <w:szCs w:val="24"/>
          <w:lang w:val="es-DO"/>
        </w:rPr>
      </w:pPr>
    </w:p>
    <w:p w14:paraId="16BB705E" w14:textId="77777777" w:rsidR="00C356F0" w:rsidRPr="00C62BB6" w:rsidRDefault="00C356F0" w:rsidP="00C356F0">
      <w:pPr>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Redes Sociales</w:t>
      </w:r>
    </w:p>
    <w:p w14:paraId="2FD2847D" w14:textId="77777777" w:rsidR="00C356F0" w:rsidRPr="00C62BB6" w:rsidRDefault="00C356F0" w:rsidP="00C356F0">
      <w:pPr>
        <w:pStyle w:val="NormalWeb"/>
        <w:spacing w:line="360" w:lineRule="auto"/>
        <w:jc w:val="both"/>
        <w:rPr>
          <w:rFonts w:eastAsia="Calibri"/>
          <w:color w:val="4C4747"/>
          <w:spacing w:val="20"/>
          <w:lang w:eastAsia="en-US"/>
        </w:rPr>
      </w:pPr>
      <w:r w:rsidRPr="00C62BB6">
        <w:rPr>
          <w:rFonts w:eastAsia="Calibri"/>
          <w:color w:val="4C4747"/>
          <w:spacing w:val="20"/>
          <w:lang w:eastAsia="en-US"/>
        </w:rPr>
        <w:t>Como símbolo de confianza, transparencia y eficiencia, el INDOTEL emite información rápida y actualizada mediante sus plataformas digitales de Instagram, Facebook, y el portal web de la institución.</w:t>
      </w:r>
    </w:p>
    <w:p w14:paraId="1A2325A6" w14:textId="2AADFE1E" w:rsidR="00C356F0" w:rsidRPr="00790E59" w:rsidRDefault="00C356F0" w:rsidP="00943FA5">
      <w:pPr>
        <w:pStyle w:val="NormalWeb"/>
        <w:spacing w:line="360" w:lineRule="auto"/>
        <w:jc w:val="both"/>
        <w:rPr>
          <w:rFonts w:eastAsia="Calibri"/>
          <w:color w:val="4C4747"/>
          <w:spacing w:val="20"/>
          <w:lang w:eastAsia="en-US"/>
        </w:rPr>
      </w:pPr>
      <w:r w:rsidRPr="00C62BB6">
        <w:rPr>
          <w:rFonts w:eastAsia="Calibri"/>
          <w:color w:val="4C4747"/>
          <w:spacing w:val="20"/>
          <w:lang w:eastAsia="en-US"/>
        </w:rPr>
        <w:t>A través de los diferentes canales digitales que tiene la institución, el órgano regulador recibe preguntas e inquietudes de parte de los usuarios, los cuales son atendidos por la unidad de medios digitales, siendo los casos complejos referidos al Departamento de Atenció</w:t>
      </w:r>
      <w:r w:rsidR="00150414" w:rsidRPr="00C62BB6">
        <w:rPr>
          <w:rFonts w:eastAsia="Calibri"/>
          <w:color w:val="4C4747"/>
          <w:spacing w:val="20"/>
          <w:lang w:eastAsia="en-US"/>
        </w:rPr>
        <w:t>n al Usuario (DAU) del INDOTEL.</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5"/>
        <w:gridCol w:w="1100"/>
        <w:gridCol w:w="1453"/>
        <w:gridCol w:w="1627"/>
      </w:tblGrid>
      <w:tr w:rsidR="00C356F0" w:rsidRPr="00376423" w14:paraId="1F32F6D4" w14:textId="77777777" w:rsidTr="00943FA5">
        <w:trPr>
          <w:trHeight w:val="709"/>
        </w:trPr>
        <w:tc>
          <w:tcPr>
            <w:tcW w:w="7915" w:type="dxa"/>
            <w:gridSpan w:val="4"/>
            <w:shd w:val="clear" w:color="auto" w:fill="002060"/>
            <w:noWrap/>
            <w:vAlign w:val="center"/>
            <w:hideMark/>
          </w:tcPr>
          <w:p w14:paraId="51680920" w14:textId="77777777" w:rsidR="00C356F0" w:rsidRPr="00790E59" w:rsidRDefault="00C356F0" w:rsidP="00C356F0">
            <w:pPr>
              <w:spacing w:after="0" w:line="24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lastRenderedPageBreak/>
              <w:t>Crecimiento de las Redes Sociales</w:t>
            </w:r>
            <w:r w:rsidRPr="00790E59">
              <w:rPr>
                <w:rFonts w:ascii="Times New Roman" w:eastAsia="Calibri" w:hAnsi="Times New Roman" w:cs="Times New Roman"/>
                <w:b/>
                <w:color w:val="FFFFFF" w:themeColor="background1"/>
                <w:spacing w:val="20"/>
                <w:sz w:val="24"/>
                <w:szCs w:val="24"/>
                <w:lang w:val="es-DO"/>
              </w:rPr>
              <w:br/>
              <w:t>Enero –Noviembre de 2022</w:t>
            </w:r>
          </w:p>
        </w:tc>
      </w:tr>
      <w:tr w:rsidR="00C356F0" w:rsidRPr="003A41E6" w14:paraId="633154F2" w14:textId="77777777" w:rsidTr="00943FA5">
        <w:trPr>
          <w:trHeight w:val="330"/>
        </w:trPr>
        <w:tc>
          <w:tcPr>
            <w:tcW w:w="4800" w:type="dxa"/>
            <w:shd w:val="clear" w:color="auto" w:fill="002060"/>
            <w:vAlign w:val="center"/>
            <w:hideMark/>
          </w:tcPr>
          <w:p w14:paraId="0133F391" w14:textId="77777777" w:rsidR="00C356F0" w:rsidRPr="00790E59" w:rsidRDefault="00C356F0" w:rsidP="00C356F0">
            <w:pPr>
              <w:spacing w:after="0" w:line="24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Seguidores</w:t>
            </w:r>
          </w:p>
        </w:tc>
        <w:tc>
          <w:tcPr>
            <w:tcW w:w="1138" w:type="dxa"/>
            <w:shd w:val="clear" w:color="auto" w:fill="002060"/>
            <w:vAlign w:val="center"/>
            <w:hideMark/>
          </w:tcPr>
          <w:p w14:paraId="4113BF44" w14:textId="77777777" w:rsidR="00C356F0" w:rsidRPr="00790E59" w:rsidRDefault="00C356F0" w:rsidP="00C356F0">
            <w:pPr>
              <w:spacing w:after="0" w:line="24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Enero</w:t>
            </w:r>
          </w:p>
        </w:tc>
        <w:tc>
          <w:tcPr>
            <w:tcW w:w="1400" w:type="dxa"/>
            <w:shd w:val="clear" w:color="auto" w:fill="002060"/>
            <w:vAlign w:val="center"/>
            <w:hideMark/>
          </w:tcPr>
          <w:p w14:paraId="2D9D7962" w14:textId="77777777" w:rsidR="00C356F0" w:rsidRPr="00790E59" w:rsidRDefault="00C356F0" w:rsidP="00C356F0">
            <w:pPr>
              <w:spacing w:after="0" w:line="24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Noviembre</w:t>
            </w:r>
          </w:p>
        </w:tc>
        <w:tc>
          <w:tcPr>
            <w:tcW w:w="577" w:type="dxa"/>
            <w:shd w:val="clear" w:color="auto" w:fill="002060"/>
            <w:vAlign w:val="center"/>
            <w:hideMark/>
          </w:tcPr>
          <w:p w14:paraId="0D467634" w14:textId="77777777" w:rsidR="00C356F0" w:rsidRPr="00790E59" w:rsidRDefault="00C356F0" w:rsidP="00C356F0">
            <w:pPr>
              <w:spacing w:after="0" w:line="24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Crecimiento</w:t>
            </w:r>
          </w:p>
        </w:tc>
      </w:tr>
      <w:tr w:rsidR="00C356F0" w:rsidRPr="003A41E6" w14:paraId="74C87412" w14:textId="77777777" w:rsidTr="00943FA5">
        <w:trPr>
          <w:trHeight w:val="330"/>
        </w:trPr>
        <w:tc>
          <w:tcPr>
            <w:tcW w:w="4800" w:type="dxa"/>
            <w:shd w:val="clear" w:color="auto" w:fill="auto"/>
            <w:vAlign w:val="center"/>
            <w:hideMark/>
          </w:tcPr>
          <w:p w14:paraId="7694C09F"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Instagram</w:t>
            </w:r>
          </w:p>
        </w:tc>
        <w:tc>
          <w:tcPr>
            <w:tcW w:w="1138" w:type="dxa"/>
            <w:shd w:val="clear" w:color="auto" w:fill="auto"/>
            <w:vAlign w:val="center"/>
            <w:hideMark/>
          </w:tcPr>
          <w:p w14:paraId="43AE8581"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45,474</w:t>
            </w:r>
          </w:p>
        </w:tc>
        <w:tc>
          <w:tcPr>
            <w:tcW w:w="1400" w:type="dxa"/>
            <w:shd w:val="clear" w:color="auto" w:fill="auto"/>
            <w:vAlign w:val="center"/>
            <w:hideMark/>
          </w:tcPr>
          <w:p w14:paraId="19447584"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48,720</w:t>
            </w:r>
          </w:p>
        </w:tc>
        <w:tc>
          <w:tcPr>
            <w:tcW w:w="577" w:type="dxa"/>
            <w:shd w:val="clear" w:color="auto" w:fill="auto"/>
            <w:vAlign w:val="center"/>
            <w:hideMark/>
          </w:tcPr>
          <w:p w14:paraId="725CFFA6"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7.36%</w:t>
            </w:r>
          </w:p>
        </w:tc>
      </w:tr>
      <w:tr w:rsidR="00C356F0" w:rsidRPr="003A41E6" w14:paraId="67907D33" w14:textId="77777777" w:rsidTr="00943FA5">
        <w:trPr>
          <w:trHeight w:val="330"/>
        </w:trPr>
        <w:tc>
          <w:tcPr>
            <w:tcW w:w="4800" w:type="dxa"/>
            <w:shd w:val="clear" w:color="auto" w:fill="auto"/>
            <w:vAlign w:val="center"/>
            <w:hideMark/>
          </w:tcPr>
          <w:p w14:paraId="4919BE9D"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Facebook</w:t>
            </w:r>
          </w:p>
        </w:tc>
        <w:tc>
          <w:tcPr>
            <w:tcW w:w="1138" w:type="dxa"/>
            <w:shd w:val="clear" w:color="auto" w:fill="auto"/>
            <w:vAlign w:val="center"/>
            <w:hideMark/>
          </w:tcPr>
          <w:p w14:paraId="7BB27269"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16,151</w:t>
            </w:r>
          </w:p>
        </w:tc>
        <w:tc>
          <w:tcPr>
            <w:tcW w:w="1400" w:type="dxa"/>
            <w:shd w:val="clear" w:color="auto" w:fill="auto"/>
            <w:vAlign w:val="center"/>
            <w:hideMark/>
          </w:tcPr>
          <w:p w14:paraId="07DC1D22"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16,891</w:t>
            </w:r>
          </w:p>
        </w:tc>
        <w:tc>
          <w:tcPr>
            <w:tcW w:w="577" w:type="dxa"/>
            <w:shd w:val="clear" w:color="auto" w:fill="auto"/>
            <w:vAlign w:val="center"/>
            <w:hideMark/>
          </w:tcPr>
          <w:p w14:paraId="225665EA"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4.58%</w:t>
            </w:r>
          </w:p>
        </w:tc>
      </w:tr>
      <w:tr w:rsidR="00C356F0" w:rsidRPr="003A41E6" w14:paraId="4BCCB42A" w14:textId="77777777" w:rsidTr="00943FA5">
        <w:trPr>
          <w:trHeight w:val="330"/>
        </w:trPr>
        <w:tc>
          <w:tcPr>
            <w:tcW w:w="4800" w:type="dxa"/>
            <w:shd w:val="clear" w:color="auto" w:fill="auto"/>
            <w:vAlign w:val="center"/>
            <w:hideMark/>
          </w:tcPr>
          <w:p w14:paraId="2D1FFA66"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Twitter</w:t>
            </w:r>
          </w:p>
        </w:tc>
        <w:tc>
          <w:tcPr>
            <w:tcW w:w="1138" w:type="dxa"/>
            <w:shd w:val="clear" w:color="auto" w:fill="auto"/>
            <w:vAlign w:val="center"/>
            <w:hideMark/>
          </w:tcPr>
          <w:p w14:paraId="3ED5F1F9"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125,673</w:t>
            </w:r>
          </w:p>
        </w:tc>
        <w:tc>
          <w:tcPr>
            <w:tcW w:w="1400" w:type="dxa"/>
            <w:shd w:val="clear" w:color="auto" w:fill="auto"/>
            <w:vAlign w:val="center"/>
            <w:hideMark/>
          </w:tcPr>
          <w:p w14:paraId="30B0ABE9"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127,605</w:t>
            </w:r>
          </w:p>
        </w:tc>
        <w:tc>
          <w:tcPr>
            <w:tcW w:w="577" w:type="dxa"/>
            <w:shd w:val="clear" w:color="auto" w:fill="auto"/>
            <w:vAlign w:val="center"/>
            <w:hideMark/>
          </w:tcPr>
          <w:p w14:paraId="04BFC3F1" w14:textId="77777777" w:rsidR="00C356F0" w:rsidRPr="00C62BB6" w:rsidRDefault="00C356F0" w:rsidP="005A11A8">
            <w:pPr>
              <w:spacing w:after="0"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1.54%</w:t>
            </w:r>
          </w:p>
        </w:tc>
      </w:tr>
    </w:tbl>
    <w:p w14:paraId="07289145" w14:textId="77777777" w:rsidR="00C356F0" w:rsidRPr="00C62BB6" w:rsidRDefault="00C356F0" w:rsidP="00C356F0">
      <w:pPr>
        <w:spacing w:after="0" w:line="240" w:lineRule="auto"/>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Software Analytics </w:t>
      </w:r>
    </w:p>
    <w:p w14:paraId="1C81BC96" w14:textId="437F989A" w:rsidR="00C356F0" w:rsidRPr="00C62BB6" w:rsidRDefault="00C356F0" w:rsidP="00C356F0">
      <w:pPr>
        <w:pStyle w:val="NormalWeb"/>
        <w:spacing w:line="360" w:lineRule="auto"/>
        <w:jc w:val="both"/>
        <w:rPr>
          <w:rFonts w:eastAsia="Calibri"/>
          <w:color w:val="4C4747"/>
          <w:spacing w:val="20"/>
          <w:lang w:eastAsia="en-US"/>
        </w:rPr>
      </w:pPr>
      <w:r w:rsidRPr="00C62BB6">
        <w:rPr>
          <w:rFonts w:eastAsia="Calibri"/>
          <w:color w:val="4C4747"/>
          <w:spacing w:val="20"/>
          <w:lang w:eastAsia="en-US"/>
        </w:rPr>
        <w:t>Actualmente las redes sociales del INDOTEL se mantiene incrementa</w:t>
      </w:r>
      <w:r w:rsidR="00150414" w:rsidRPr="00C62BB6">
        <w:rPr>
          <w:rFonts w:eastAsia="Calibri"/>
          <w:color w:val="4C4747"/>
          <w:spacing w:val="20"/>
          <w:lang w:eastAsia="en-US"/>
        </w:rPr>
        <w:t>n</w:t>
      </w:r>
      <w:r w:rsidRPr="00C62BB6">
        <w:rPr>
          <w:rFonts w:eastAsia="Calibri"/>
          <w:color w:val="4C4747"/>
          <w:spacing w:val="20"/>
          <w:lang w:eastAsia="en-US"/>
        </w:rPr>
        <w:t>do la cantidad de sus seguidores; durante el período enero-noviembre 2022 Instagram aumentó un 7.36%, siendo esta la red social con mayor crecimiento en cuanto a números de usuarios, Facebook 4.58% y Twitter un 1.54%.</w:t>
      </w:r>
    </w:p>
    <w:p w14:paraId="382C9731" w14:textId="77777777" w:rsidR="00C356F0" w:rsidRPr="00C62BB6" w:rsidRDefault="00C356F0" w:rsidP="00C356F0">
      <w:pPr>
        <w:pStyle w:val="NormalWeb"/>
        <w:spacing w:line="360" w:lineRule="auto"/>
        <w:jc w:val="both"/>
        <w:rPr>
          <w:rFonts w:eastAsia="Calibri"/>
          <w:color w:val="4C4747"/>
          <w:spacing w:val="20"/>
          <w:lang w:eastAsia="en-US"/>
        </w:rPr>
      </w:pPr>
      <w:r w:rsidRPr="00C62BB6">
        <w:rPr>
          <w:rFonts w:eastAsia="Calibri"/>
          <w:color w:val="4C4747"/>
          <w:spacing w:val="20"/>
          <w:lang w:eastAsia="en-US"/>
        </w:rPr>
        <w:t>El INDOTEL realiza publicaciones periódicas a través de los canales digitales oficiales, con el objetivo de orientar a los usuarios y grupos de interés del sector de las telecomunicaciones.</w:t>
      </w:r>
    </w:p>
    <w:p w14:paraId="21B0FE55" w14:textId="77777777" w:rsidR="00C356F0" w:rsidRPr="00C62BB6" w:rsidRDefault="00C356F0" w:rsidP="00C356F0">
      <w:pPr>
        <w:pStyle w:val="NormalWeb"/>
        <w:spacing w:line="360" w:lineRule="auto"/>
        <w:jc w:val="both"/>
        <w:rPr>
          <w:rFonts w:eastAsia="Calibri"/>
          <w:color w:val="4C4747"/>
          <w:spacing w:val="20"/>
          <w:lang w:eastAsia="en-US"/>
        </w:rPr>
      </w:pPr>
      <w:r w:rsidRPr="00C62BB6">
        <w:rPr>
          <w:rFonts w:eastAsia="Calibri"/>
          <w:color w:val="4C4747"/>
          <w:spacing w:val="20"/>
          <w:lang w:eastAsia="en-US"/>
        </w:rPr>
        <w:t>Dentro de los temas desarrollados se encuentran:</w:t>
      </w:r>
    </w:p>
    <w:p w14:paraId="1E19B9F4"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Ciberseguridad Empresarial</w:t>
      </w:r>
    </w:p>
    <w:p w14:paraId="5BFF8C85"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Firma Digital</w:t>
      </w:r>
    </w:p>
    <w:p w14:paraId="75BEC412"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Aplicaciones para administrar red WiFi domestica</w:t>
      </w:r>
    </w:p>
    <w:p w14:paraId="3274ED1D"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Retos de ciberseguridad</w:t>
      </w:r>
    </w:p>
    <w:p w14:paraId="4AB92DB4"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Redes 5G, 4G, 3G, 2G, 1G</w:t>
      </w:r>
    </w:p>
    <w:p w14:paraId="3D1B26C3"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Latencia en internet</w:t>
      </w:r>
    </w:p>
    <w:p w14:paraId="55AACE8C"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Nueva Normativa de Series Negadas</w:t>
      </w:r>
    </w:p>
    <w:p w14:paraId="14C2A42F"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Inconvenientes con los servicios de telefonía</w:t>
      </w:r>
    </w:p>
    <w:p w14:paraId="0A2151F4"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Tecnología Mimo</w:t>
      </w:r>
    </w:p>
    <w:p w14:paraId="3B51BDEE"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Logros del Instituto Dominicano de las Telecomunicaciones</w:t>
      </w:r>
    </w:p>
    <w:p w14:paraId="49F02775"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Tipos de Spam</w:t>
      </w:r>
    </w:p>
    <w:p w14:paraId="1D267EBC"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Tecnología educativa y las TIC</w:t>
      </w:r>
    </w:p>
    <w:p w14:paraId="68D8B3DB"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lastRenderedPageBreak/>
        <w:t>Datos de la Televisión Terrestre Digital</w:t>
      </w:r>
    </w:p>
    <w:p w14:paraId="5C78D649"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Ciberacoso</w:t>
      </w:r>
    </w:p>
    <w:p w14:paraId="22C1A6C8"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Indicadores de telecomunicaciones</w:t>
      </w:r>
    </w:p>
    <w:p w14:paraId="7A280E96"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Canasta Digital Social</w:t>
      </w:r>
    </w:p>
    <w:p w14:paraId="6DC478B7"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Copias de seguridad</w:t>
      </w:r>
    </w:p>
    <w:p w14:paraId="2557F7CC"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Internet de las Cosas (IOT</w:t>
      </w:r>
    </w:p>
    <w:p w14:paraId="3ACA1591"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INDOTEL te incluye</w:t>
      </w:r>
    </w:p>
    <w:p w14:paraId="75AA27F3"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Tolerancia 0</w:t>
      </w:r>
    </w:p>
    <w:p w14:paraId="1BCB9209"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El Censo</w:t>
      </w:r>
    </w:p>
    <w:p w14:paraId="6BAE2761"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Gestión de Identidades</w:t>
      </w:r>
    </w:p>
    <w:p w14:paraId="1329925A"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 xml:space="preserve">Bandas de frecuencia de la radiocomunicación </w:t>
      </w:r>
    </w:p>
    <w:p w14:paraId="3CE03F91"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Big Data</w:t>
      </w:r>
    </w:p>
    <w:p w14:paraId="01F37259"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 xml:space="preserve">E- Government </w:t>
      </w:r>
    </w:p>
    <w:p w14:paraId="73767D8C"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Recuento de logros del INDOTEL</w:t>
      </w:r>
    </w:p>
    <w:p w14:paraId="23BB4D10"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E-working</w:t>
      </w:r>
    </w:p>
    <w:p w14:paraId="63882A43"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Webinar- El Estado del Arte de la Ciberseguridad en los países miembros del SICA</w:t>
      </w:r>
    </w:p>
    <w:p w14:paraId="79CA492B"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E-Community</w:t>
      </w:r>
    </w:p>
    <w:p w14:paraId="6065E7FC"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La fibra óptica</w:t>
      </w:r>
    </w:p>
    <w:p w14:paraId="4081A802"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Igualdad de Género</w:t>
      </w:r>
    </w:p>
    <w:p w14:paraId="49171910"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IMEIl</w:t>
      </w:r>
    </w:p>
    <w:p w14:paraId="48A7731A" w14:textId="56D5D2A2"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Puntos Wifi</w:t>
      </w:r>
    </w:p>
    <w:p w14:paraId="5AF7823D" w14:textId="77777777" w:rsidR="00C356F0" w:rsidRPr="00C62BB6" w:rsidRDefault="00C356F0" w:rsidP="00C356F0">
      <w:pPr>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Canasta Digital Social</w:t>
      </w:r>
    </w:p>
    <w:p w14:paraId="644C372C" w14:textId="77777777" w:rsidR="00C356F0" w:rsidRPr="00C62BB6" w:rsidRDefault="00C356F0" w:rsidP="00C356F0">
      <w:pPr>
        <w:pStyle w:val="NormalWeb"/>
        <w:spacing w:line="360" w:lineRule="auto"/>
        <w:jc w:val="both"/>
        <w:rPr>
          <w:rFonts w:eastAsia="Calibri"/>
          <w:color w:val="4C4747"/>
          <w:spacing w:val="20"/>
          <w:lang w:eastAsia="en-US"/>
        </w:rPr>
      </w:pPr>
      <w:r w:rsidRPr="00C62BB6">
        <w:rPr>
          <w:rFonts w:eastAsia="Calibri"/>
          <w:color w:val="4C4747"/>
          <w:spacing w:val="20"/>
          <w:lang w:eastAsia="en-US"/>
        </w:rPr>
        <w:t>Como plan estratégico de comunicación dentro del proyecto Canasta Digital Social se realizaron las siguientes acciones:</w:t>
      </w:r>
    </w:p>
    <w:p w14:paraId="5AED8B18"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Cobertura de prensa.</w:t>
      </w:r>
    </w:p>
    <w:p w14:paraId="65FDF813"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Redacción de nota informativa enviada a los medios de comunicación.</w:t>
      </w:r>
    </w:p>
    <w:p w14:paraId="5B22E15E" w14:textId="77777777"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lastRenderedPageBreak/>
        <w:t>Producción y distribución de material audiovisual para de la actividad.</w:t>
      </w:r>
    </w:p>
    <w:p w14:paraId="24A6ED09" w14:textId="2D45FAE2" w:rsidR="00C356F0" w:rsidRPr="00C62BB6" w:rsidRDefault="00C356F0" w:rsidP="00A02BDE">
      <w:pPr>
        <w:pStyle w:val="NormalWeb"/>
        <w:numPr>
          <w:ilvl w:val="0"/>
          <w:numId w:val="9"/>
        </w:numPr>
        <w:spacing w:line="360" w:lineRule="auto"/>
        <w:jc w:val="both"/>
        <w:rPr>
          <w:rFonts w:eastAsia="Calibri"/>
          <w:color w:val="4C4747"/>
          <w:spacing w:val="20"/>
          <w:lang w:eastAsia="en-US"/>
        </w:rPr>
      </w:pPr>
      <w:r w:rsidRPr="00C62BB6">
        <w:rPr>
          <w:rFonts w:eastAsia="Calibri"/>
          <w:color w:val="4C4747"/>
          <w:spacing w:val="20"/>
          <w:lang w:eastAsia="en-US"/>
        </w:rPr>
        <w:t>Elaboración de artes gráficos para redes sociales.</w:t>
      </w:r>
    </w:p>
    <w:p w14:paraId="0C375164" w14:textId="77777777" w:rsidR="00E86F9C" w:rsidRPr="00C62BB6" w:rsidRDefault="00E86F9C" w:rsidP="00E86F9C">
      <w:pPr>
        <w:pStyle w:val="NormalWeb"/>
        <w:spacing w:line="360" w:lineRule="auto"/>
        <w:jc w:val="both"/>
        <w:rPr>
          <w:rFonts w:eastAsia="Calibri"/>
          <w:color w:val="4C4747"/>
          <w:spacing w:val="20"/>
          <w:lang w:eastAsia="en-US"/>
        </w:rPr>
      </w:pPr>
    </w:p>
    <w:p w14:paraId="32E03E8C" w14:textId="77777777" w:rsidR="00C356F0" w:rsidRPr="00C62BB6" w:rsidRDefault="00C356F0" w:rsidP="00C356F0">
      <w:pPr>
        <w:pStyle w:val="NormalWeb"/>
        <w:jc w:val="both"/>
        <w:rPr>
          <w:rFonts w:eastAsia="Calibri"/>
          <w:b/>
          <w:color w:val="4C4747"/>
          <w:spacing w:val="20"/>
          <w:lang w:eastAsia="en-US"/>
        </w:rPr>
      </w:pPr>
      <w:r w:rsidRPr="00C62BB6">
        <w:rPr>
          <w:rFonts w:eastAsia="Calibri"/>
          <w:b/>
          <w:color w:val="4C4747"/>
          <w:spacing w:val="20"/>
          <w:lang w:eastAsia="en-US"/>
        </w:rPr>
        <w:t>Centro de Capacitación en Informática Tetelo Vargas – ITLA</w:t>
      </w:r>
    </w:p>
    <w:p w14:paraId="5FCC5740" w14:textId="3DD4C6D8" w:rsidR="00C356F0" w:rsidRPr="00C62BB6" w:rsidRDefault="00C356F0" w:rsidP="00943FA5">
      <w:pPr>
        <w:pStyle w:val="NormalWeb"/>
        <w:spacing w:after="0" w:afterAutospacing="0" w:line="360" w:lineRule="auto"/>
        <w:jc w:val="both"/>
        <w:rPr>
          <w:rFonts w:eastAsia="Calibri"/>
          <w:color w:val="4C4747"/>
          <w:spacing w:val="20"/>
          <w:lang w:eastAsia="en-US"/>
        </w:rPr>
      </w:pPr>
      <w:r w:rsidRPr="00C62BB6">
        <w:rPr>
          <w:rFonts w:eastAsia="Calibri"/>
          <w:color w:val="4C4747"/>
          <w:spacing w:val="20"/>
          <w:lang w:eastAsia="en-US"/>
        </w:rPr>
        <w:t>En materia de comunicación se ejecutaron las siguientes acciones para la puesta en funcionamiento de</w:t>
      </w:r>
      <w:r w:rsidR="00456467" w:rsidRPr="00C62BB6">
        <w:rPr>
          <w:rFonts w:eastAsia="Calibri"/>
          <w:color w:val="4C4747"/>
          <w:spacing w:val="20"/>
          <w:lang w:eastAsia="en-US"/>
        </w:rPr>
        <w:t>l Centro de</w:t>
      </w:r>
      <w:r w:rsidRPr="00C62BB6">
        <w:rPr>
          <w:rFonts w:eastAsia="Calibri"/>
          <w:color w:val="4C4747"/>
          <w:spacing w:val="20"/>
          <w:lang w:eastAsia="en-US"/>
        </w:rPr>
        <w:t xml:space="preserve"> Capacitación en Informática Tételo Vargas-ITLA de la provincia San Pedro de Macorís.</w:t>
      </w:r>
    </w:p>
    <w:p w14:paraId="3D3C1CA6" w14:textId="77777777" w:rsidR="00C356F0" w:rsidRPr="00C62BB6" w:rsidRDefault="00C356F0" w:rsidP="00A02BDE">
      <w:pPr>
        <w:pStyle w:val="NormalWeb"/>
        <w:numPr>
          <w:ilvl w:val="0"/>
          <w:numId w:val="8"/>
        </w:numPr>
        <w:spacing w:before="0" w:beforeAutospacing="0" w:line="360" w:lineRule="auto"/>
        <w:jc w:val="both"/>
        <w:rPr>
          <w:rFonts w:eastAsia="Calibri"/>
          <w:color w:val="4C4747"/>
          <w:spacing w:val="20"/>
          <w:lang w:eastAsia="en-US"/>
        </w:rPr>
      </w:pPr>
      <w:r w:rsidRPr="00C62BB6">
        <w:rPr>
          <w:rFonts w:eastAsia="Calibri"/>
          <w:color w:val="4C4747"/>
          <w:spacing w:val="20"/>
          <w:lang w:eastAsia="en-US"/>
        </w:rPr>
        <w:t>Cobertura de prensa.</w:t>
      </w:r>
    </w:p>
    <w:p w14:paraId="4623E372" w14:textId="77777777" w:rsidR="00C356F0" w:rsidRPr="00C62BB6" w:rsidRDefault="00C356F0" w:rsidP="00A02BDE">
      <w:pPr>
        <w:pStyle w:val="NormalWeb"/>
        <w:numPr>
          <w:ilvl w:val="0"/>
          <w:numId w:val="8"/>
        </w:numPr>
        <w:spacing w:line="360" w:lineRule="auto"/>
        <w:jc w:val="both"/>
        <w:rPr>
          <w:rFonts w:eastAsia="Calibri"/>
          <w:color w:val="4C4747"/>
          <w:spacing w:val="20"/>
          <w:lang w:eastAsia="en-US"/>
        </w:rPr>
      </w:pPr>
      <w:r w:rsidRPr="00C62BB6">
        <w:rPr>
          <w:rFonts w:eastAsia="Calibri"/>
          <w:color w:val="4C4747"/>
          <w:spacing w:val="20"/>
          <w:lang w:eastAsia="en-US"/>
        </w:rPr>
        <w:t>Redacción de nota informativa enviada a los medios de prensa escrita.</w:t>
      </w:r>
    </w:p>
    <w:p w14:paraId="69D96FC4" w14:textId="77777777" w:rsidR="00C356F0" w:rsidRPr="00C62BB6" w:rsidRDefault="00C356F0" w:rsidP="00A02BDE">
      <w:pPr>
        <w:pStyle w:val="NormalWeb"/>
        <w:numPr>
          <w:ilvl w:val="0"/>
          <w:numId w:val="8"/>
        </w:numPr>
        <w:spacing w:line="360" w:lineRule="auto"/>
        <w:jc w:val="both"/>
        <w:rPr>
          <w:rFonts w:eastAsia="Calibri"/>
          <w:color w:val="4C4747"/>
          <w:spacing w:val="20"/>
          <w:lang w:eastAsia="en-US"/>
        </w:rPr>
      </w:pPr>
      <w:r w:rsidRPr="00C62BB6">
        <w:rPr>
          <w:rFonts w:eastAsia="Calibri"/>
          <w:color w:val="4C4747"/>
          <w:spacing w:val="20"/>
          <w:lang w:eastAsia="en-US"/>
        </w:rPr>
        <w:t>Producción y distribución de material audiovisual de la actividad.</w:t>
      </w:r>
    </w:p>
    <w:p w14:paraId="55A1ACDC" w14:textId="77777777" w:rsidR="00C356F0" w:rsidRPr="00C62BB6" w:rsidRDefault="00C356F0" w:rsidP="00A02BDE">
      <w:pPr>
        <w:pStyle w:val="NormalWeb"/>
        <w:numPr>
          <w:ilvl w:val="0"/>
          <w:numId w:val="8"/>
        </w:numPr>
        <w:spacing w:line="360" w:lineRule="auto"/>
        <w:jc w:val="both"/>
        <w:rPr>
          <w:rFonts w:eastAsia="Calibri"/>
          <w:color w:val="4C4747"/>
          <w:spacing w:val="20"/>
          <w:lang w:eastAsia="en-US"/>
        </w:rPr>
      </w:pPr>
      <w:r w:rsidRPr="00C62BB6">
        <w:rPr>
          <w:rFonts w:eastAsia="Calibri"/>
          <w:color w:val="4C4747"/>
          <w:spacing w:val="20"/>
          <w:lang w:eastAsia="en-US"/>
        </w:rPr>
        <w:t>Elaboración de artes gráficos para redes sociales.</w:t>
      </w:r>
    </w:p>
    <w:p w14:paraId="33528E56" w14:textId="4E153F4E" w:rsidR="00F245FB" w:rsidRPr="00C62BB6" w:rsidRDefault="00C356F0" w:rsidP="00A02BDE">
      <w:pPr>
        <w:pStyle w:val="NormalWeb"/>
        <w:numPr>
          <w:ilvl w:val="0"/>
          <w:numId w:val="8"/>
        </w:numPr>
        <w:spacing w:line="360" w:lineRule="auto"/>
        <w:jc w:val="both"/>
        <w:rPr>
          <w:rFonts w:eastAsia="Calibri"/>
          <w:color w:val="4C4747"/>
          <w:spacing w:val="20"/>
          <w:lang w:eastAsia="en-US"/>
        </w:rPr>
      </w:pPr>
      <w:r w:rsidRPr="00C62BB6">
        <w:rPr>
          <w:rFonts w:eastAsia="Calibri"/>
          <w:color w:val="4C4747"/>
          <w:spacing w:val="20"/>
          <w:lang w:eastAsia="en-US"/>
        </w:rPr>
        <w:t>Maestría de Ceremonia.</w:t>
      </w:r>
    </w:p>
    <w:p w14:paraId="1979C8B1" w14:textId="77777777" w:rsidR="00F245FB" w:rsidRPr="00C62BB6" w:rsidRDefault="00F245FB" w:rsidP="00943FA5">
      <w:pPr>
        <w:pStyle w:val="NormalWeb"/>
        <w:spacing w:after="0" w:afterAutospacing="0" w:line="360" w:lineRule="auto"/>
        <w:jc w:val="both"/>
        <w:rPr>
          <w:rFonts w:eastAsia="Calibri"/>
          <w:b/>
          <w:color w:val="4C4747"/>
          <w:spacing w:val="20"/>
          <w:lang w:eastAsia="en-US"/>
        </w:rPr>
      </w:pPr>
      <w:r w:rsidRPr="00C62BB6">
        <w:rPr>
          <w:rFonts w:eastAsia="Calibri"/>
          <w:b/>
          <w:color w:val="4C4747"/>
          <w:spacing w:val="20"/>
          <w:lang w:eastAsia="en-US"/>
        </w:rPr>
        <w:t>Notas de prensa</w:t>
      </w:r>
    </w:p>
    <w:p w14:paraId="1EA7154D" w14:textId="013399BB" w:rsidR="00F245FB" w:rsidRPr="00C62BB6" w:rsidRDefault="00C356F0" w:rsidP="00F245FB">
      <w:pPr>
        <w:pStyle w:val="NormalWeb"/>
        <w:spacing w:before="0" w:beforeAutospacing="0" w:line="360" w:lineRule="auto"/>
        <w:jc w:val="both"/>
        <w:rPr>
          <w:rFonts w:eastAsia="Calibri"/>
          <w:color w:val="4C4747"/>
          <w:spacing w:val="20"/>
          <w:lang w:eastAsia="en-US"/>
        </w:rPr>
      </w:pPr>
      <w:r w:rsidRPr="00C62BB6">
        <w:rPr>
          <w:rFonts w:eastAsia="Calibri"/>
          <w:color w:val="4C4747"/>
          <w:spacing w:val="20"/>
          <w:lang w:eastAsia="en-US"/>
        </w:rPr>
        <w:t>Como herramienta eficaz para dar a conocer las noticias relevantes del INDOTEL, durante los meses enero-noviembre 2022 se elaboraron y despacharon a los medios informativos 44 notas de prensa, las cuales generaron 57 publi</w:t>
      </w:r>
      <w:r w:rsidR="00150414" w:rsidRPr="00C62BB6">
        <w:rPr>
          <w:rFonts w:eastAsia="Calibri"/>
          <w:color w:val="4C4747"/>
          <w:spacing w:val="20"/>
          <w:lang w:eastAsia="en-US"/>
        </w:rPr>
        <w:t xml:space="preserve">caciones en periódicos impresos </w:t>
      </w:r>
      <w:r w:rsidRPr="00C62BB6">
        <w:rPr>
          <w:rFonts w:eastAsia="Calibri"/>
          <w:color w:val="4C4747"/>
          <w:spacing w:val="20"/>
          <w:lang w:eastAsia="en-US"/>
        </w:rPr>
        <w:t xml:space="preserve">y 804 en periódicos digitales, para un total de 861 </w:t>
      </w:r>
      <w:r w:rsidR="00F245FB" w:rsidRPr="00C62BB6">
        <w:rPr>
          <w:rFonts w:eastAsia="Calibri"/>
          <w:color w:val="4C4747"/>
          <w:spacing w:val="20"/>
          <w:lang w:eastAsia="en-US"/>
        </w:rPr>
        <w:t>publicaciones.</w:t>
      </w:r>
    </w:p>
    <w:p w14:paraId="585325B4" w14:textId="77777777" w:rsidR="00F245FB" w:rsidRPr="00C62BB6" w:rsidRDefault="00F245FB" w:rsidP="00C356F0">
      <w:pPr>
        <w:pStyle w:val="NormalWeb"/>
        <w:spacing w:line="360" w:lineRule="auto"/>
        <w:jc w:val="both"/>
        <w:rPr>
          <w:rFonts w:eastAsia="Calibri"/>
          <w:color w:val="4C4747"/>
          <w:spacing w:val="20"/>
          <w:lang w:eastAsia="en-US"/>
        </w:rPr>
      </w:pPr>
    </w:p>
    <w:p w14:paraId="08DA5145" w14:textId="77777777" w:rsidR="00F245FB" w:rsidRPr="00C62BB6" w:rsidRDefault="00F245FB" w:rsidP="00C356F0">
      <w:pPr>
        <w:pStyle w:val="NormalWeb"/>
        <w:spacing w:line="360" w:lineRule="auto"/>
        <w:jc w:val="both"/>
        <w:rPr>
          <w:rFonts w:eastAsia="Calibri"/>
          <w:color w:val="4C4747"/>
          <w:spacing w:val="20"/>
          <w:lang w:eastAsia="en-US"/>
        </w:rPr>
      </w:pPr>
    </w:p>
    <w:p w14:paraId="3A6C869A" w14:textId="77777777" w:rsidR="00F245FB" w:rsidRPr="00C62BB6" w:rsidRDefault="00F245FB" w:rsidP="00C356F0">
      <w:pPr>
        <w:pStyle w:val="NormalWeb"/>
        <w:spacing w:line="360" w:lineRule="auto"/>
        <w:jc w:val="both"/>
        <w:rPr>
          <w:rFonts w:eastAsia="Calibri"/>
          <w:color w:val="4C4747"/>
          <w:spacing w:val="20"/>
          <w:lang w:eastAsia="en-US"/>
        </w:rPr>
      </w:pPr>
    </w:p>
    <w:tbl>
      <w:tblPr>
        <w:tblStyle w:val="Tablaconcuadrcula"/>
        <w:tblpPr w:leftFromText="141" w:rightFromText="141" w:vertAnchor="text" w:horzAnchor="margin" w:tblpXSpec="center" w:tblpY="-389"/>
        <w:tblW w:w="0" w:type="auto"/>
        <w:tblLayout w:type="fixed"/>
        <w:tblLook w:val="06A0" w:firstRow="1" w:lastRow="0" w:firstColumn="1" w:lastColumn="0" w:noHBand="1" w:noVBand="1"/>
      </w:tblPr>
      <w:tblGrid>
        <w:gridCol w:w="2514"/>
        <w:gridCol w:w="1442"/>
        <w:gridCol w:w="1365"/>
        <w:gridCol w:w="1154"/>
      </w:tblGrid>
      <w:tr w:rsidR="00513ACC" w:rsidRPr="00376423" w14:paraId="1238B9AD" w14:textId="77777777" w:rsidTr="00C62BB6">
        <w:trPr>
          <w:trHeight w:val="890"/>
        </w:trPr>
        <w:tc>
          <w:tcPr>
            <w:tcW w:w="6475" w:type="dxa"/>
            <w:gridSpan w:val="4"/>
            <w:tcBorders>
              <w:top w:val="single" w:sz="4" w:space="0" w:color="auto"/>
              <w:left w:val="single" w:sz="4" w:space="0" w:color="auto"/>
              <w:bottom w:val="single" w:sz="4" w:space="0" w:color="auto"/>
              <w:right w:val="single" w:sz="4" w:space="0" w:color="000000" w:themeColor="text1"/>
            </w:tcBorders>
            <w:shd w:val="clear" w:color="auto" w:fill="002060"/>
            <w:vAlign w:val="center"/>
          </w:tcPr>
          <w:p w14:paraId="4B658F56" w14:textId="77777777" w:rsidR="00513ACC" w:rsidRPr="00790E59" w:rsidRDefault="00513ACC" w:rsidP="00513ACC">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lastRenderedPageBreak/>
              <w:t>Publicaciones generadas con notas de prensa</w:t>
            </w:r>
          </w:p>
        </w:tc>
      </w:tr>
      <w:tr w:rsidR="00513ACC" w:rsidRPr="00D62B1F" w14:paraId="6A36405D" w14:textId="77777777" w:rsidTr="00C62BB6">
        <w:trPr>
          <w:trHeight w:val="530"/>
        </w:trPr>
        <w:tc>
          <w:tcPr>
            <w:tcW w:w="6475" w:type="dxa"/>
            <w:gridSpan w:val="4"/>
            <w:tcBorders>
              <w:top w:val="single" w:sz="4" w:space="0" w:color="auto"/>
              <w:left w:val="single" w:sz="4" w:space="0" w:color="auto"/>
              <w:bottom w:val="single" w:sz="4" w:space="0" w:color="auto"/>
              <w:right w:val="single" w:sz="4" w:space="0" w:color="000000" w:themeColor="text1"/>
            </w:tcBorders>
            <w:shd w:val="clear" w:color="auto" w:fill="002060"/>
            <w:vAlign w:val="center"/>
          </w:tcPr>
          <w:p w14:paraId="2537D6C0" w14:textId="77777777" w:rsidR="00513ACC" w:rsidRPr="00790E59" w:rsidRDefault="00513ACC" w:rsidP="00513ACC">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Periodo Enero - noviembre 2022</w:t>
            </w:r>
          </w:p>
        </w:tc>
      </w:tr>
      <w:tr w:rsidR="00513ACC" w:rsidRPr="00D62B1F" w14:paraId="46439049" w14:textId="77777777" w:rsidTr="00C62BB6">
        <w:trPr>
          <w:trHeight w:val="636"/>
        </w:trPr>
        <w:tc>
          <w:tcPr>
            <w:tcW w:w="2514" w:type="dxa"/>
            <w:tcBorders>
              <w:top w:val="single" w:sz="4" w:space="0" w:color="auto"/>
              <w:left w:val="single" w:sz="4" w:space="0" w:color="auto"/>
              <w:bottom w:val="single" w:sz="4" w:space="0" w:color="auto"/>
              <w:right w:val="single" w:sz="4" w:space="0" w:color="000000" w:themeColor="text1"/>
            </w:tcBorders>
            <w:shd w:val="clear" w:color="auto" w:fill="002060"/>
            <w:vAlign w:val="center"/>
          </w:tcPr>
          <w:p w14:paraId="3E502DF7" w14:textId="77777777" w:rsidR="00513ACC" w:rsidRPr="00790E59" w:rsidRDefault="00513ACC" w:rsidP="00513ACC">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Mes</w:t>
            </w:r>
          </w:p>
        </w:tc>
        <w:tc>
          <w:tcPr>
            <w:tcW w:w="1442" w:type="dxa"/>
            <w:tcBorders>
              <w:top w:val="nil"/>
              <w:left w:val="single" w:sz="4" w:space="0" w:color="auto"/>
              <w:bottom w:val="single" w:sz="4" w:space="0" w:color="auto"/>
              <w:right w:val="single" w:sz="4" w:space="0" w:color="auto"/>
            </w:tcBorders>
            <w:shd w:val="clear" w:color="auto" w:fill="002060"/>
            <w:vAlign w:val="center"/>
          </w:tcPr>
          <w:p w14:paraId="25003213" w14:textId="77777777" w:rsidR="00513ACC" w:rsidRPr="00790E59" w:rsidRDefault="00513ACC" w:rsidP="00513ACC">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Impresos</w:t>
            </w:r>
          </w:p>
        </w:tc>
        <w:tc>
          <w:tcPr>
            <w:tcW w:w="1365" w:type="dxa"/>
            <w:tcBorders>
              <w:top w:val="nil"/>
              <w:left w:val="single" w:sz="4" w:space="0" w:color="auto"/>
              <w:bottom w:val="single" w:sz="4" w:space="0" w:color="auto"/>
              <w:right w:val="single" w:sz="4" w:space="0" w:color="auto"/>
            </w:tcBorders>
            <w:shd w:val="clear" w:color="auto" w:fill="002060"/>
            <w:vAlign w:val="center"/>
          </w:tcPr>
          <w:p w14:paraId="138DD879" w14:textId="77777777" w:rsidR="00513ACC" w:rsidRPr="00790E59" w:rsidRDefault="00513ACC" w:rsidP="00513ACC">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Digitales</w:t>
            </w:r>
          </w:p>
        </w:tc>
        <w:tc>
          <w:tcPr>
            <w:tcW w:w="1154" w:type="dxa"/>
            <w:tcBorders>
              <w:top w:val="nil"/>
              <w:left w:val="single" w:sz="4" w:space="0" w:color="auto"/>
              <w:bottom w:val="single" w:sz="4" w:space="0" w:color="auto"/>
              <w:right w:val="single" w:sz="4" w:space="0" w:color="000000" w:themeColor="text1"/>
            </w:tcBorders>
            <w:shd w:val="clear" w:color="auto" w:fill="002060"/>
            <w:vAlign w:val="center"/>
          </w:tcPr>
          <w:p w14:paraId="43B65E11" w14:textId="77777777" w:rsidR="00513ACC" w:rsidRPr="00790E59" w:rsidRDefault="00513ACC" w:rsidP="00513ACC">
            <w:pPr>
              <w:spacing w:line="360" w:lineRule="auto"/>
              <w:jc w:val="center"/>
              <w:rPr>
                <w:rFonts w:ascii="Times New Roman" w:eastAsia="Calibri" w:hAnsi="Times New Roman" w:cs="Times New Roman"/>
                <w:b/>
                <w:color w:val="FFFFFF" w:themeColor="background1"/>
                <w:spacing w:val="20"/>
                <w:sz w:val="24"/>
                <w:szCs w:val="24"/>
                <w:lang w:val="es-DO"/>
              </w:rPr>
            </w:pPr>
            <w:r w:rsidRPr="00790E59">
              <w:rPr>
                <w:rFonts w:ascii="Times New Roman" w:eastAsia="Calibri" w:hAnsi="Times New Roman" w:cs="Times New Roman"/>
                <w:b/>
                <w:color w:val="FFFFFF" w:themeColor="background1"/>
                <w:spacing w:val="20"/>
                <w:sz w:val="24"/>
                <w:szCs w:val="24"/>
                <w:lang w:val="es-DO"/>
              </w:rPr>
              <w:t>Conteo</w:t>
            </w:r>
          </w:p>
        </w:tc>
      </w:tr>
      <w:tr w:rsidR="00C62BB6" w:rsidRPr="00C62BB6" w14:paraId="52374A3F" w14:textId="77777777" w:rsidTr="00C62BB6">
        <w:trPr>
          <w:trHeight w:val="237"/>
        </w:trPr>
        <w:tc>
          <w:tcPr>
            <w:tcW w:w="2514" w:type="dxa"/>
            <w:tcBorders>
              <w:top w:val="single" w:sz="4" w:space="0" w:color="auto"/>
              <w:left w:val="single" w:sz="4" w:space="0" w:color="auto"/>
              <w:bottom w:val="single" w:sz="4" w:space="0" w:color="auto"/>
              <w:right w:val="single" w:sz="4" w:space="0" w:color="auto"/>
            </w:tcBorders>
            <w:vAlign w:val="center"/>
          </w:tcPr>
          <w:p w14:paraId="29031FC1"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Enero</w:t>
            </w:r>
          </w:p>
        </w:tc>
        <w:tc>
          <w:tcPr>
            <w:tcW w:w="1442" w:type="dxa"/>
            <w:tcBorders>
              <w:top w:val="single" w:sz="4" w:space="0" w:color="auto"/>
              <w:left w:val="single" w:sz="4" w:space="0" w:color="auto"/>
              <w:bottom w:val="single" w:sz="4" w:space="0" w:color="auto"/>
              <w:right w:val="single" w:sz="4" w:space="0" w:color="auto"/>
            </w:tcBorders>
            <w:vAlign w:val="center"/>
          </w:tcPr>
          <w:p w14:paraId="77E603C7"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w:t>
            </w:r>
          </w:p>
        </w:tc>
        <w:tc>
          <w:tcPr>
            <w:tcW w:w="1365" w:type="dxa"/>
            <w:tcBorders>
              <w:top w:val="single" w:sz="4" w:space="0" w:color="auto"/>
              <w:left w:val="single" w:sz="4" w:space="0" w:color="auto"/>
              <w:bottom w:val="single" w:sz="4" w:space="0" w:color="auto"/>
              <w:right w:val="single" w:sz="4" w:space="0" w:color="auto"/>
            </w:tcBorders>
            <w:vAlign w:val="center"/>
          </w:tcPr>
          <w:p w14:paraId="4E2BF33C"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35</w:t>
            </w:r>
          </w:p>
        </w:tc>
        <w:tc>
          <w:tcPr>
            <w:tcW w:w="1154" w:type="dxa"/>
            <w:tcBorders>
              <w:top w:val="single" w:sz="4" w:space="0" w:color="auto"/>
              <w:left w:val="single" w:sz="4" w:space="0" w:color="auto"/>
              <w:bottom w:val="single" w:sz="4" w:space="0" w:color="auto"/>
              <w:right w:val="single" w:sz="4" w:space="0" w:color="auto"/>
            </w:tcBorders>
            <w:vAlign w:val="center"/>
          </w:tcPr>
          <w:p w14:paraId="071F2E13"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38</w:t>
            </w:r>
          </w:p>
        </w:tc>
      </w:tr>
      <w:tr w:rsidR="00C62BB6" w:rsidRPr="00C62BB6" w14:paraId="002315FC" w14:textId="77777777" w:rsidTr="00C62BB6">
        <w:trPr>
          <w:trHeight w:val="237"/>
        </w:trPr>
        <w:tc>
          <w:tcPr>
            <w:tcW w:w="2514" w:type="dxa"/>
            <w:tcBorders>
              <w:top w:val="single" w:sz="4" w:space="0" w:color="auto"/>
              <w:left w:val="single" w:sz="4" w:space="0" w:color="auto"/>
              <w:bottom w:val="single" w:sz="4" w:space="0" w:color="auto"/>
              <w:right w:val="single" w:sz="4" w:space="0" w:color="auto"/>
            </w:tcBorders>
            <w:vAlign w:val="center"/>
          </w:tcPr>
          <w:p w14:paraId="2E282755"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Febrero</w:t>
            </w:r>
          </w:p>
        </w:tc>
        <w:tc>
          <w:tcPr>
            <w:tcW w:w="1442" w:type="dxa"/>
            <w:tcBorders>
              <w:top w:val="single" w:sz="4" w:space="0" w:color="auto"/>
              <w:left w:val="single" w:sz="4" w:space="0" w:color="auto"/>
              <w:bottom w:val="single" w:sz="4" w:space="0" w:color="auto"/>
              <w:right w:val="single" w:sz="4" w:space="0" w:color="auto"/>
            </w:tcBorders>
            <w:vAlign w:val="center"/>
          </w:tcPr>
          <w:p w14:paraId="5579B68D"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10</w:t>
            </w:r>
          </w:p>
        </w:tc>
        <w:tc>
          <w:tcPr>
            <w:tcW w:w="1365" w:type="dxa"/>
            <w:tcBorders>
              <w:top w:val="single" w:sz="4" w:space="0" w:color="auto"/>
              <w:left w:val="single" w:sz="4" w:space="0" w:color="auto"/>
              <w:bottom w:val="single" w:sz="4" w:space="0" w:color="auto"/>
              <w:right w:val="single" w:sz="4" w:space="0" w:color="auto"/>
            </w:tcBorders>
            <w:vAlign w:val="center"/>
          </w:tcPr>
          <w:p w14:paraId="395D34C9"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110</w:t>
            </w:r>
          </w:p>
        </w:tc>
        <w:tc>
          <w:tcPr>
            <w:tcW w:w="1154" w:type="dxa"/>
            <w:tcBorders>
              <w:top w:val="single" w:sz="4" w:space="0" w:color="auto"/>
              <w:left w:val="single" w:sz="4" w:space="0" w:color="auto"/>
              <w:bottom w:val="single" w:sz="4" w:space="0" w:color="auto"/>
              <w:right w:val="single" w:sz="4" w:space="0" w:color="auto"/>
            </w:tcBorders>
            <w:vAlign w:val="center"/>
          </w:tcPr>
          <w:p w14:paraId="47BEDCA2"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120</w:t>
            </w:r>
          </w:p>
        </w:tc>
      </w:tr>
      <w:tr w:rsidR="00C62BB6" w:rsidRPr="00C62BB6" w14:paraId="12C68447" w14:textId="77777777" w:rsidTr="00C62BB6">
        <w:trPr>
          <w:trHeight w:val="237"/>
        </w:trPr>
        <w:tc>
          <w:tcPr>
            <w:tcW w:w="2514" w:type="dxa"/>
            <w:tcBorders>
              <w:top w:val="single" w:sz="4" w:space="0" w:color="auto"/>
              <w:left w:val="single" w:sz="4" w:space="0" w:color="auto"/>
              <w:bottom w:val="single" w:sz="4" w:space="0" w:color="auto"/>
              <w:right w:val="single" w:sz="4" w:space="0" w:color="auto"/>
            </w:tcBorders>
            <w:vAlign w:val="center"/>
          </w:tcPr>
          <w:p w14:paraId="5D0F23EF"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Marzo</w:t>
            </w:r>
          </w:p>
        </w:tc>
        <w:tc>
          <w:tcPr>
            <w:tcW w:w="1442" w:type="dxa"/>
            <w:tcBorders>
              <w:top w:val="single" w:sz="4" w:space="0" w:color="auto"/>
              <w:left w:val="single" w:sz="4" w:space="0" w:color="auto"/>
              <w:bottom w:val="single" w:sz="4" w:space="0" w:color="auto"/>
              <w:right w:val="single" w:sz="4" w:space="0" w:color="auto"/>
            </w:tcBorders>
            <w:vAlign w:val="center"/>
          </w:tcPr>
          <w:p w14:paraId="28E27B4B"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11</w:t>
            </w:r>
          </w:p>
        </w:tc>
        <w:tc>
          <w:tcPr>
            <w:tcW w:w="1365" w:type="dxa"/>
            <w:tcBorders>
              <w:top w:val="single" w:sz="4" w:space="0" w:color="auto"/>
              <w:left w:val="single" w:sz="4" w:space="0" w:color="auto"/>
              <w:bottom w:val="single" w:sz="4" w:space="0" w:color="auto"/>
              <w:right w:val="single" w:sz="4" w:space="0" w:color="auto"/>
            </w:tcBorders>
            <w:vAlign w:val="center"/>
          </w:tcPr>
          <w:p w14:paraId="13A0AA97"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82</w:t>
            </w:r>
          </w:p>
        </w:tc>
        <w:tc>
          <w:tcPr>
            <w:tcW w:w="1154" w:type="dxa"/>
            <w:tcBorders>
              <w:top w:val="single" w:sz="4" w:space="0" w:color="auto"/>
              <w:left w:val="single" w:sz="4" w:space="0" w:color="auto"/>
              <w:bottom w:val="single" w:sz="4" w:space="0" w:color="auto"/>
              <w:right w:val="single" w:sz="4" w:space="0" w:color="auto"/>
            </w:tcBorders>
            <w:vAlign w:val="center"/>
          </w:tcPr>
          <w:p w14:paraId="15BD1B21"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93</w:t>
            </w:r>
          </w:p>
        </w:tc>
      </w:tr>
      <w:tr w:rsidR="00C62BB6" w:rsidRPr="00C62BB6" w14:paraId="08C8506F" w14:textId="77777777" w:rsidTr="00C62BB6">
        <w:trPr>
          <w:trHeight w:val="237"/>
        </w:trPr>
        <w:tc>
          <w:tcPr>
            <w:tcW w:w="2514" w:type="dxa"/>
            <w:tcBorders>
              <w:top w:val="single" w:sz="4" w:space="0" w:color="auto"/>
              <w:left w:val="single" w:sz="4" w:space="0" w:color="auto"/>
              <w:bottom w:val="single" w:sz="4" w:space="0" w:color="auto"/>
              <w:right w:val="single" w:sz="4" w:space="0" w:color="auto"/>
            </w:tcBorders>
            <w:vAlign w:val="center"/>
          </w:tcPr>
          <w:p w14:paraId="64CD4F9D"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Abril</w:t>
            </w:r>
          </w:p>
        </w:tc>
        <w:tc>
          <w:tcPr>
            <w:tcW w:w="1442" w:type="dxa"/>
            <w:tcBorders>
              <w:top w:val="single" w:sz="4" w:space="0" w:color="auto"/>
              <w:left w:val="single" w:sz="4" w:space="0" w:color="auto"/>
              <w:bottom w:val="single" w:sz="4" w:space="0" w:color="auto"/>
              <w:right w:val="single" w:sz="4" w:space="0" w:color="auto"/>
            </w:tcBorders>
            <w:vAlign w:val="center"/>
          </w:tcPr>
          <w:p w14:paraId="3374203D"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7</w:t>
            </w:r>
          </w:p>
        </w:tc>
        <w:tc>
          <w:tcPr>
            <w:tcW w:w="1365" w:type="dxa"/>
            <w:tcBorders>
              <w:top w:val="single" w:sz="4" w:space="0" w:color="auto"/>
              <w:left w:val="single" w:sz="4" w:space="0" w:color="auto"/>
              <w:bottom w:val="single" w:sz="4" w:space="0" w:color="auto"/>
              <w:right w:val="single" w:sz="4" w:space="0" w:color="auto"/>
            </w:tcBorders>
            <w:vAlign w:val="center"/>
          </w:tcPr>
          <w:p w14:paraId="090594B6"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118</w:t>
            </w:r>
          </w:p>
        </w:tc>
        <w:tc>
          <w:tcPr>
            <w:tcW w:w="1154" w:type="dxa"/>
            <w:tcBorders>
              <w:top w:val="single" w:sz="4" w:space="0" w:color="auto"/>
              <w:left w:val="single" w:sz="4" w:space="0" w:color="auto"/>
              <w:bottom w:val="single" w:sz="4" w:space="0" w:color="auto"/>
              <w:right w:val="single" w:sz="4" w:space="0" w:color="auto"/>
            </w:tcBorders>
            <w:vAlign w:val="center"/>
          </w:tcPr>
          <w:p w14:paraId="3626C7B6"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125</w:t>
            </w:r>
          </w:p>
        </w:tc>
      </w:tr>
      <w:tr w:rsidR="00C62BB6" w:rsidRPr="00C62BB6" w14:paraId="779060F0" w14:textId="77777777" w:rsidTr="00C62BB6">
        <w:trPr>
          <w:trHeight w:val="237"/>
        </w:trPr>
        <w:tc>
          <w:tcPr>
            <w:tcW w:w="2514" w:type="dxa"/>
            <w:tcBorders>
              <w:top w:val="single" w:sz="4" w:space="0" w:color="auto"/>
              <w:left w:val="single" w:sz="4" w:space="0" w:color="auto"/>
              <w:bottom w:val="single" w:sz="4" w:space="0" w:color="auto"/>
              <w:right w:val="single" w:sz="4" w:space="0" w:color="auto"/>
            </w:tcBorders>
            <w:vAlign w:val="center"/>
          </w:tcPr>
          <w:p w14:paraId="07C27876"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Mayo</w:t>
            </w:r>
          </w:p>
        </w:tc>
        <w:tc>
          <w:tcPr>
            <w:tcW w:w="1442" w:type="dxa"/>
            <w:tcBorders>
              <w:top w:val="single" w:sz="4" w:space="0" w:color="auto"/>
              <w:left w:val="single" w:sz="4" w:space="0" w:color="auto"/>
              <w:bottom w:val="single" w:sz="4" w:space="0" w:color="auto"/>
              <w:right w:val="single" w:sz="4" w:space="0" w:color="auto"/>
            </w:tcBorders>
            <w:vAlign w:val="center"/>
          </w:tcPr>
          <w:p w14:paraId="4A93FAF1"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10</w:t>
            </w:r>
          </w:p>
        </w:tc>
        <w:tc>
          <w:tcPr>
            <w:tcW w:w="1365" w:type="dxa"/>
            <w:tcBorders>
              <w:top w:val="single" w:sz="4" w:space="0" w:color="auto"/>
              <w:left w:val="single" w:sz="4" w:space="0" w:color="auto"/>
              <w:bottom w:val="single" w:sz="4" w:space="0" w:color="auto"/>
              <w:right w:val="single" w:sz="4" w:space="0" w:color="auto"/>
            </w:tcBorders>
            <w:vAlign w:val="center"/>
          </w:tcPr>
          <w:p w14:paraId="2A0ED29C"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63</w:t>
            </w:r>
          </w:p>
        </w:tc>
        <w:tc>
          <w:tcPr>
            <w:tcW w:w="1154" w:type="dxa"/>
            <w:tcBorders>
              <w:top w:val="single" w:sz="4" w:space="0" w:color="auto"/>
              <w:left w:val="single" w:sz="4" w:space="0" w:color="auto"/>
              <w:bottom w:val="single" w:sz="4" w:space="0" w:color="auto"/>
              <w:right w:val="single" w:sz="4" w:space="0" w:color="auto"/>
            </w:tcBorders>
            <w:vAlign w:val="center"/>
          </w:tcPr>
          <w:p w14:paraId="15B26319"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73</w:t>
            </w:r>
          </w:p>
        </w:tc>
      </w:tr>
      <w:tr w:rsidR="00C62BB6" w:rsidRPr="00C62BB6" w14:paraId="15675E3F" w14:textId="77777777" w:rsidTr="00C62BB6">
        <w:trPr>
          <w:trHeight w:val="237"/>
        </w:trPr>
        <w:tc>
          <w:tcPr>
            <w:tcW w:w="2514" w:type="dxa"/>
            <w:tcBorders>
              <w:top w:val="single" w:sz="4" w:space="0" w:color="auto"/>
              <w:left w:val="single" w:sz="4" w:space="0" w:color="auto"/>
              <w:bottom w:val="single" w:sz="4" w:space="0" w:color="auto"/>
              <w:right w:val="single" w:sz="4" w:space="0" w:color="auto"/>
            </w:tcBorders>
            <w:vAlign w:val="center"/>
          </w:tcPr>
          <w:p w14:paraId="78E3D37E"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Junio</w:t>
            </w:r>
          </w:p>
        </w:tc>
        <w:tc>
          <w:tcPr>
            <w:tcW w:w="1442" w:type="dxa"/>
            <w:tcBorders>
              <w:top w:val="single" w:sz="4" w:space="0" w:color="auto"/>
              <w:left w:val="single" w:sz="4" w:space="0" w:color="auto"/>
              <w:bottom w:val="single" w:sz="4" w:space="0" w:color="auto"/>
              <w:right w:val="single" w:sz="4" w:space="0" w:color="auto"/>
            </w:tcBorders>
            <w:vAlign w:val="center"/>
          </w:tcPr>
          <w:p w14:paraId="57356FCC"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0</w:t>
            </w:r>
          </w:p>
        </w:tc>
        <w:tc>
          <w:tcPr>
            <w:tcW w:w="1365" w:type="dxa"/>
            <w:tcBorders>
              <w:top w:val="single" w:sz="4" w:space="0" w:color="auto"/>
              <w:left w:val="single" w:sz="4" w:space="0" w:color="auto"/>
              <w:bottom w:val="single" w:sz="4" w:space="0" w:color="auto"/>
              <w:right w:val="single" w:sz="4" w:space="0" w:color="auto"/>
            </w:tcBorders>
            <w:vAlign w:val="center"/>
          </w:tcPr>
          <w:p w14:paraId="380EDC05"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25</w:t>
            </w:r>
          </w:p>
        </w:tc>
        <w:tc>
          <w:tcPr>
            <w:tcW w:w="1154" w:type="dxa"/>
            <w:tcBorders>
              <w:top w:val="single" w:sz="4" w:space="0" w:color="auto"/>
              <w:left w:val="single" w:sz="4" w:space="0" w:color="auto"/>
              <w:bottom w:val="single" w:sz="4" w:space="0" w:color="auto"/>
              <w:right w:val="single" w:sz="4" w:space="0" w:color="auto"/>
            </w:tcBorders>
            <w:vAlign w:val="center"/>
          </w:tcPr>
          <w:p w14:paraId="2D1B8FC6"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125</w:t>
            </w:r>
          </w:p>
        </w:tc>
      </w:tr>
      <w:tr w:rsidR="00C62BB6" w:rsidRPr="00C62BB6" w14:paraId="285AAA3F" w14:textId="77777777" w:rsidTr="00C62BB6">
        <w:trPr>
          <w:trHeight w:val="340"/>
        </w:trPr>
        <w:tc>
          <w:tcPr>
            <w:tcW w:w="2514" w:type="dxa"/>
            <w:tcBorders>
              <w:top w:val="single" w:sz="4" w:space="0" w:color="auto"/>
              <w:left w:val="single" w:sz="4" w:space="0" w:color="auto"/>
              <w:bottom w:val="single" w:sz="4" w:space="0" w:color="auto"/>
              <w:right w:val="single" w:sz="4" w:space="0" w:color="auto"/>
            </w:tcBorders>
            <w:vAlign w:val="center"/>
          </w:tcPr>
          <w:p w14:paraId="39975D05"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Julio</w:t>
            </w:r>
          </w:p>
        </w:tc>
        <w:tc>
          <w:tcPr>
            <w:tcW w:w="1442" w:type="dxa"/>
            <w:tcBorders>
              <w:top w:val="single" w:sz="4" w:space="0" w:color="auto"/>
              <w:left w:val="single" w:sz="4" w:space="0" w:color="auto"/>
              <w:bottom w:val="single" w:sz="4" w:space="0" w:color="auto"/>
              <w:right w:val="single" w:sz="4" w:space="0" w:color="auto"/>
            </w:tcBorders>
            <w:vAlign w:val="center"/>
          </w:tcPr>
          <w:p w14:paraId="7ED86340"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w:t>
            </w:r>
          </w:p>
        </w:tc>
        <w:tc>
          <w:tcPr>
            <w:tcW w:w="1365" w:type="dxa"/>
            <w:tcBorders>
              <w:top w:val="single" w:sz="4" w:space="0" w:color="auto"/>
              <w:left w:val="single" w:sz="4" w:space="0" w:color="auto"/>
              <w:bottom w:val="single" w:sz="4" w:space="0" w:color="auto"/>
              <w:right w:val="single" w:sz="4" w:space="0" w:color="auto"/>
            </w:tcBorders>
            <w:vAlign w:val="center"/>
          </w:tcPr>
          <w:p w14:paraId="4E6497AB"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142</w:t>
            </w:r>
          </w:p>
        </w:tc>
        <w:tc>
          <w:tcPr>
            <w:tcW w:w="1154" w:type="dxa"/>
            <w:tcBorders>
              <w:top w:val="single" w:sz="4" w:space="0" w:color="auto"/>
              <w:left w:val="single" w:sz="4" w:space="0" w:color="auto"/>
              <w:bottom w:val="single" w:sz="4" w:space="0" w:color="auto"/>
              <w:right w:val="single" w:sz="4" w:space="0" w:color="auto"/>
            </w:tcBorders>
            <w:vAlign w:val="center"/>
          </w:tcPr>
          <w:p w14:paraId="041B5A0F"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144</w:t>
            </w:r>
          </w:p>
        </w:tc>
      </w:tr>
      <w:tr w:rsidR="00C62BB6" w:rsidRPr="00C62BB6" w14:paraId="24D73EC6" w14:textId="77777777" w:rsidTr="00C62BB6">
        <w:trPr>
          <w:trHeight w:val="340"/>
        </w:trPr>
        <w:tc>
          <w:tcPr>
            <w:tcW w:w="2514" w:type="dxa"/>
            <w:tcBorders>
              <w:top w:val="single" w:sz="4" w:space="0" w:color="auto"/>
              <w:left w:val="single" w:sz="4" w:space="0" w:color="auto"/>
              <w:bottom w:val="single" w:sz="4" w:space="0" w:color="auto"/>
              <w:right w:val="single" w:sz="4" w:space="0" w:color="auto"/>
            </w:tcBorders>
            <w:vAlign w:val="center"/>
          </w:tcPr>
          <w:p w14:paraId="39420097"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Agosto</w:t>
            </w:r>
          </w:p>
        </w:tc>
        <w:tc>
          <w:tcPr>
            <w:tcW w:w="1442" w:type="dxa"/>
            <w:tcBorders>
              <w:top w:val="single" w:sz="4" w:space="0" w:color="auto"/>
              <w:left w:val="single" w:sz="4" w:space="0" w:color="auto"/>
              <w:bottom w:val="single" w:sz="4" w:space="0" w:color="auto"/>
              <w:right w:val="single" w:sz="4" w:space="0" w:color="auto"/>
            </w:tcBorders>
            <w:vAlign w:val="center"/>
          </w:tcPr>
          <w:p w14:paraId="341D6232"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w:t>
            </w:r>
          </w:p>
        </w:tc>
        <w:tc>
          <w:tcPr>
            <w:tcW w:w="1365" w:type="dxa"/>
            <w:tcBorders>
              <w:top w:val="single" w:sz="4" w:space="0" w:color="auto"/>
              <w:left w:val="single" w:sz="4" w:space="0" w:color="auto"/>
              <w:bottom w:val="single" w:sz="4" w:space="0" w:color="auto"/>
              <w:right w:val="single" w:sz="4" w:space="0" w:color="auto"/>
            </w:tcBorders>
            <w:vAlign w:val="center"/>
          </w:tcPr>
          <w:p w14:paraId="664CDAA0"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139</w:t>
            </w:r>
          </w:p>
        </w:tc>
        <w:tc>
          <w:tcPr>
            <w:tcW w:w="1154" w:type="dxa"/>
            <w:tcBorders>
              <w:top w:val="single" w:sz="4" w:space="0" w:color="auto"/>
              <w:left w:val="single" w:sz="4" w:space="0" w:color="auto"/>
              <w:bottom w:val="single" w:sz="4" w:space="0" w:color="auto"/>
              <w:right w:val="single" w:sz="4" w:space="0" w:color="auto"/>
            </w:tcBorders>
            <w:vAlign w:val="center"/>
          </w:tcPr>
          <w:p w14:paraId="2D6C0A63"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147</w:t>
            </w:r>
          </w:p>
        </w:tc>
      </w:tr>
      <w:tr w:rsidR="00C62BB6" w:rsidRPr="00C62BB6" w14:paraId="199A005F" w14:textId="77777777" w:rsidTr="00C62BB6">
        <w:trPr>
          <w:trHeight w:val="458"/>
        </w:trPr>
        <w:tc>
          <w:tcPr>
            <w:tcW w:w="2514" w:type="dxa"/>
            <w:tcBorders>
              <w:top w:val="single" w:sz="4" w:space="0" w:color="auto"/>
              <w:left w:val="single" w:sz="4" w:space="0" w:color="auto"/>
              <w:bottom w:val="single" w:sz="4" w:space="0" w:color="auto"/>
              <w:right w:val="single" w:sz="4" w:space="0" w:color="auto"/>
            </w:tcBorders>
            <w:vAlign w:val="center"/>
          </w:tcPr>
          <w:p w14:paraId="708FFE5B"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Septiembre</w:t>
            </w:r>
          </w:p>
        </w:tc>
        <w:tc>
          <w:tcPr>
            <w:tcW w:w="1442" w:type="dxa"/>
            <w:tcBorders>
              <w:top w:val="single" w:sz="4" w:space="0" w:color="auto"/>
              <w:left w:val="single" w:sz="4" w:space="0" w:color="auto"/>
              <w:bottom w:val="single" w:sz="4" w:space="0" w:color="auto"/>
              <w:right w:val="single" w:sz="4" w:space="0" w:color="auto"/>
            </w:tcBorders>
            <w:vAlign w:val="center"/>
          </w:tcPr>
          <w:p w14:paraId="5F1DCD63"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2</w:t>
            </w:r>
          </w:p>
        </w:tc>
        <w:tc>
          <w:tcPr>
            <w:tcW w:w="1365" w:type="dxa"/>
            <w:tcBorders>
              <w:top w:val="single" w:sz="4" w:space="0" w:color="auto"/>
              <w:left w:val="single" w:sz="4" w:space="0" w:color="auto"/>
              <w:bottom w:val="single" w:sz="4" w:space="0" w:color="auto"/>
              <w:right w:val="single" w:sz="4" w:space="0" w:color="auto"/>
            </w:tcBorders>
            <w:vAlign w:val="center"/>
          </w:tcPr>
          <w:p w14:paraId="155D3133"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41</w:t>
            </w:r>
          </w:p>
        </w:tc>
        <w:tc>
          <w:tcPr>
            <w:tcW w:w="1154" w:type="dxa"/>
            <w:tcBorders>
              <w:top w:val="single" w:sz="4" w:space="0" w:color="auto"/>
              <w:left w:val="single" w:sz="4" w:space="0" w:color="auto"/>
              <w:bottom w:val="single" w:sz="4" w:space="0" w:color="auto"/>
              <w:right w:val="single" w:sz="4" w:space="0" w:color="auto"/>
            </w:tcBorders>
            <w:vAlign w:val="center"/>
          </w:tcPr>
          <w:p w14:paraId="33352A06"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43</w:t>
            </w:r>
          </w:p>
        </w:tc>
      </w:tr>
      <w:tr w:rsidR="00C62BB6" w:rsidRPr="00C62BB6" w14:paraId="1607BFB2" w14:textId="77777777" w:rsidTr="00C62BB6">
        <w:trPr>
          <w:trHeight w:val="340"/>
        </w:trPr>
        <w:tc>
          <w:tcPr>
            <w:tcW w:w="2514" w:type="dxa"/>
            <w:tcBorders>
              <w:top w:val="single" w:sz="4" w:space="0" w:color="auto"/>
              <w:left w:val="single" w:sz="4" w:space="0" w:color="auto"/>
              <w:bottom w:val="single" w:sz="4" w:space="0" w:color="auto"/>
              <w:right w:val="single" w:sz="4" w:space="0" w:color="auto"/>
            </w:tcBorders>
            <w:vAlign w:val="center"/>
          </w:tcPr>
          <w:p w14:paraId="440D0E55"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Octubre</w:t>
            </w:r>
          </w:p>
        </w:tc>
        <w:tc>
          <w:tcPr>
            <w:tcW w:w="1442" w:type="dxa"/>
            <w:tcBorders>
              <w:top w:val="single" w:sz="4" w:space="0" w:color="auto"/>
              <w:left w:val="single" w:sz="4" w:space="0" w:color="auto"/>
              <w:bottom w:val="single" w:sz="4" w:space="0" w:color="auto"/>
              <w:right w:val="single" w:sz="4" w:space="0" w:color="auto"/>
            </w:tcBorders>
            <w:vAlign w:val="center"/>
          </w:tcPr>
          <w:p w14:paraId="43EBBA35"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w:t>
            </w:r>
          </w:p>
        </w:tc>
        <w:tc>
          <w:tcPr>
            <w:tcW w:w="1365" w:type="dxa"/>
            <w:tcBorders>
              <w:top w:val="single" w:sz="4" w:space="0" w:color="auto"/>
              <w:left w:val="single" w:sz="4" w:space="0" w:color="auto"/>
              <w:bottom w:val="single" w:sz="4" w:space="0" w:color="auto"/>
              <w:right w:val="single" w:sz="4" w:space="0" w:color="auto"/>
            </w:tcBorders>
            <w:vAlign w:val="center"/>
          </w:tcPr>
          <w:p w14:paraId="4553493D"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35</w:t>
            </w:r>
          </w:p>
        </w:tc>
        <w:tc>
          <w:tcPr>
            <w:tcW w:w="1154" w:type="dxa"/>
            <w:tcBorders>
              <w:top w:val="single" w:sz="4" w:space="0" w:color="auto"/>
              <w:left w:val="single" w:sz="4" w:space="0" w:color="auto"/>
              <w:bottom w:val="single" w:sz="4" w:space="0" w:color="auto"/>
              <w:right w:val="single" w:sz="4" w:space="0" w:color="auto"/>
            </w:tcBorders>
            <w:vAlign w:val="center"/>
          </w:tcPr>
          <w:p w14:paraId="272D75AA"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38</w:t>
            </w:r>
          </w:p>
        </w:tc>
      </w:tr>
      <w:tr w:rsidR="00C62BB6" w:rsidRPr="00C62BB6" w14:paraId="744737C0" w14:textId="77777777" w:rsidTr="00C62BB6">
        <w:trPr>
          <w:trHeight w:val="340"/>
        </w:trPr>
        <w:tc>
          <w:tcPr>
            <w:tcW w:w="2514" w:type="dxa"/>
            <w:tcBorders>
              <w:top w:val="single" w:sz="4" w:space="0" w:color="auto"/>
              <w:left w:val="single" w:sz="4" w:space="0" w:color="auto"/>
              <w:bottom w:val="single" w:sz="4" w:space="0" w:color="auto"/>
              <w:right w:val="single" w:sz="4" w:space="0" w:color="auto"/>
            </w:tcBorders>
            <w:vAlign w:val="center"/>
          </w:tcPr>
          <w:p w14:paraId="4251C756"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Noviembre</w:t>
            </w:r>
          </w:p>
        </w:tc>
        <w:tc>
          <w:tcPr>
            <w:tcW w:w="1442" w:type="dxa"/>
            <w:tcBorders>
              <w:top w:val="single" w:sz="4" w:space="0" w:color="auto"/>
              <w:left w:val="single" w:sz="4" w:space="0" w:color="auto"/>
              <w:bottom w:val="single" w:sz="4" w:space="0" w:color="auto"/>
              <w:right w:val="single" w:sz="4" w:space="0" w:color="auto"/>
            </w:tcBorders>
            <w:vAlign w:val="center"/>
          </w:tcPr>
          <w:p w14:paraId="56590682"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w:t>
            </w:r>
          </w:p>
        </w:tc>
        <w:tc>
          <w:tcPr>
            <w:tcW w:w="1365" w:type="dxa"/>
            <w:tcBorders>
              <w:top w:val="single" w:sz="4" w:space="0" w:color="auto"/>
              <w:left w:val="single" w:sz="4" w:space="0" w:color="auto"/>
              <w:bottom w:val="single" w:sz="4" w:space="0" w:color="auto"/>
              <w:right w:val="single" w:sz="4" w:space="0" w:color="auto"/>
            </w:tcBorders>
            <w:vAlign w:val="center"/>
          </w:tcPr>
          <w:p w14:paraId="305B8205"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14</w:t>
            </w:r>
          </w:p>
        </w:tc>
        <w:tc>
          <w:tcPr>
            <w:tcW w:w="1154" w:type="dxa"/>
            <w:tcBorders>
              <w:top w:val="single" w:sz="4" w:space="0" w:color="auto"/>
              <w:left w:val="single" w:sz="4" w:space="0" w:color="auto"/>
              <w:bottom w:val="single" w:sz="4" w:space="0" w:color="auto"/>
              <w:right w:val="single" w:sz="4" w:space="0" w:color="auto"/>
            </w:tcBorders>
            <w:vAlign w:val="center"/>
          </w:tcPr>
          <w:p w14:paraId="4197B6A9"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15</w:t>
            </w:r>
          </w:p>
        </w:tc>
      </w:tr>
      <w:tr w:rsidR="00C62BB6" w:rsidRPr="00C62BB6" w14:paraId="2A67C22D" w14:textId="77777777" w:rsidTr="00C62BB6">
        <w:trPr>
          <w:trHeight w:val="340"/>
        </w:trPr>
        <w:tc>
          <w:tcPr>
            <w:tcW w:w="2514" w:type="dxa"/>
            <w:tcBorders>
              <w:top w:val="single" w:sz="4" w:space="0" w:color="auto"/>
              <w:left w:val="single" w:sz="4" w:space="0" w:color="auto"/>
              <w:bottom w:val="single" w:sz="4" w:space="0" w:color="auto"/>
              <w:right w:val="single" w:sz="4" w:space="0" w:color="auto"/>
            </w:tcBorders>
            <w:vAlign w:val="center"/>
          </w:tcPr>
          <w:p w14:paraId="6B32B017"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Total</w:t>
            </w:r>
          </w:p>
        </w:tc>
        <w:tc>
          <w:tcPr>
            <w:tcW w:w="1442" w:type="dxa"/>
            <w:tcBorders>
              <w:top w:val="single" w:sz="4" w:space="0" w:color="auto"/>
              <w:left w:val="single" w:sz="4" w:space="0" w:color="auto"/>
              <w:bottom w:val="single" w:sz="4" w:space="0" w:color="auto"/>
              <w:right w:val="single" w:sz="4" w:space="0" w:color="auto"/>
            </w:tcBorders>
            <w:vAlign w:val="center"/>
          </w:tcPr>
          <w:p w14:paraId="129A5F90"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57</w:t>
            </w:r>
          </w:p>
        </w:tc>
        <w:tc>
          <w:tcPr>
            <w:tcW w:w="1365" w:type="dxa"/>
            <w:tcBorders>
              <w:top w:val="single" w:sz="4" w:space="0" w:color="auto"/>
              <w:left w:val="single" w:sz="4" w:space="0" w:color="auto"/>
              <w:bottom w:val="single" w:sz="4" w:space="0" w:color="auto"/>
              <w:right w:val="single" w:sz="4" w:space="0" w:color="auto"/>
            </w:tcBorders>
            <w:vAlign w:val="center"/>
          </w:tcPr>
          <w:p w14:paraId="4750DEDE"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804</w:t>
            </w:r>
          </w:p>
        </w:tc>
        <w:tc>
          <w:tcPr>
            <w:tcW w:w="1154" w:type="dxa"/>
            <w:tcBorders>
              <w:top w:val="single" w:sz="4" w:space="0" w:color="auto"/>
              <w:left w:val="single" w:sz="4" w:space="0" w:color="auto"/>
              <w:bottom w:val="single" w:sz="4" w:space="0" w:color="auto"/>
              <w:right w:val="single" w:sz="4" w:space="0" w:color="auto"/>
            </w:tcBorders>
            <w:vAlign w:val="center"/>
          </w:tcPr>
          <w:p w14:paraId="0482D666" w14:textId="77777777" w:rsidR="00513ACC" w:rsidRPr="00C62BB6" w:rsidRDefault="00513ACC" w:rsidP="00513ACC">
            <w:pPr>
              <w:spacing w:line="360" w:lineRule="auto"/>
              <w:jc w:val="cente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861</w:t>
            </w:r>
          </w:p>
        </w:tc>
      </w:tr>
    </w:tbl>
    <w:p w14:paraId="5BE210AA" w14:textId="77777777" w:rsidR="00F245FB" w:rsidRPr="00C62BB6" w:rsidRDefault="00F245FB" w:rsidP="00C356F0">
      <w:pPr>
        <w:pStyle w:val="NormalWeb"/>
        <w:spacing w:line="360" w:lineRule="auto"/>
        <w:jc w:val="both"/>
        <w:rPr>
          <w:rFonts w:eastAsia="Calibri"/>
          <w:color w:val="4C4747"/>
          <w:spacing w:val="20"/>
          <w:lang w:eastAsia="en-US"/>
        </w:rPr>
      </w:pPr>
    </w:p>
    <w:p w14:paraId="5580A6AC" w14:textId="77777777" w:rsidR="00150414" w:rsidRPr="00C62BB6" w:rsidRDefault="00150414" w:rsidP="00C356F0">
      <w:pPr>
        <w:pStyle w:val="NormalWeb"/>
        <w:spacing w:line="360" w:lineRule="auto"/>
        <w:jc w:val="both"/>
        <w:rPr>
          <w:rFonts w:eastAsia="Calibri"/>
          <w:color w:val="4C4747"/>
          <w:spacing w:val="20"/>
          <w:lang w:eastAsia="en-US"/>
        </w:rPr>
      </w:pPr>
    </w:p>
    <w:p w14:paraId="0C6C297C" w14:textId="77777777" w:rsidR="00C356F0" w:rsidRPr="00C62BB6" w:rsidRDefault="00C356F0" w:rsidP="00C356F0">
      <w:pPr>
        <w:spacing w:after="0" w:line="240" w:lineRule="auto"/>
        <w:rPr>
          <w:rFonts w:ascii="Times New Roman" w:eastAsia="Calibri" w:hAnsi="Times New Roman" w:cs="Times New Roman"/>
          <w:color w:val="4C4747"/>
          <w:spacing w:val="20"/>
          <w:sz w:val="24"/>
          <w:szCs w:val="24"/>
          <w:lang w:val="es-DO"/>
        </w:rPr>
      </w:pPr>
    </w:p>
    <w:p w14:paraId="2C8028F4" w14:textId="77777777" w:rsidR="00C356F0" w:rsidRPr="00C62BB6" w:rsidRDefault="00C356F0" w:rsidP="00C356F0">
      <w:pPr>
        <w:spacing w:after="0" w:line="240" w:lineRule="auto"/>
        <w:rPr>
          <w:rFonts w:ascii="Times New Roman" w:eastAsia="Calibri" w:hAnsi="Times New Roman" w:cs="Times New Roman"/>
          <w:color w:val="4C4747"/>
          <w:spacing w:val="20"/>
          <w:sz w:val="24"/>
          <w:szCs w:val="24"/>
          <w:lang w:val="es-DO"/>
        </w:rPr>
      </w:pPr>
    </w:p>
    <w:p w14:paraId="21509C59" w14:textId="77777777" w:rsidR="00C356F0" w:rsidRPr="00C62BB6" w:rsidRDefault="00C356F0" w:rsidP="00C356F0">
      <w:pPr>
        <w:spacing w:after="0" w:line="240" w:lineRule="auto"/>
        <w:rPr>
          <w:rFonts w:ascii="Times New Roman" w:eastAsia="Calibri" w:hAnsi="Times New Roman" w:cs="Times New Roman"/>
          <w:color w:val="4C4747"/>
          <w:spacing w:val="20"/>
          <w:sz w:val="24"/>
          <w:szCs w:val="24"/>
          <w:lang w:val="es-DO"/>
        </w:rPr>
      </w:pPr>
    </w:p>
    <w:p w14:paraId="04F90142" w14:textId="77777777" w:rsidR="00F245FB" w:rsidRPr="00C62BB6" w:rsidRDefault="00C356F0" w:rsidP="00C356F0">
      <w:pPr>
        <w:spacing w:after="0" w:line="240" w:lineRule="auto"/>
        <w:rPr>
          <w:rFonts w:ascii="Times New Roman" w:eastAsia="Calibri" w:hAnsi="Times New Roman" w:cs="Times New Roman"/>
          <w:b/>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 xml:space="preserve"> </w:t>
      </w:r>
    </w:p>
    <w:p w14:paraId="4818C207" w14:textId="77777777" w:rsidR="00F245FB" w:rsidRPr="00C62BB6" w:rsidRDefault="00F245FB" w:rsidP="00C356F0">
      <w:pPr>
        <w:spacing w:after="0" w:line="240" w:lineRule="auto"/>
        <w:rPr>
          <w:rFonts w:ascii="Times New Roman" w:eastAsia="Calibri" w:hAnsi="Times New Roman" w:cs="Times New Roman"/>
          <w:b/>
          <w:color w:val="4C4747"/>
          <w:spacing w:val="20"/>
          <w:sz w:val="18"/>
          <w:szCs w:val="24"/>
          <w:lang w:val="es-DO"/>
        </w:rPr>
      </w:pPr>
    </w:p>
    <w:p w14:paraId="78D87296" w14:textId="77777777" w:rsidR="00F245FB" w:rsidRPr="00C62BB6" w:rsidRDefault="00F245FB" w:rsidP="00C356F0">
      <w:pPr>
        <w:spacing w:after="0" w:line="240" w:lineRule="auto"/>
        <w:rPr>
          <w:rFonts w:ascii="Times New Roman" w:eastAsia="Calibri" w:hAnsi="Times New Roman" w:cs="Times New Roman"/>
          <w:b/>
          <w:color w:val="4C4747"/>
          <w:spacing w:val="20"/>
          <w:sz w:val="18"/>
          <w:szCs w:val="24"/>
          <w:lang w:val="es-DO"/>
        </w:rPr>
      </w:pPr>
    </w:p>
    <w:p w14:paraId="22B0E1D9" w14:textId="77777777" w:rsidR="00F245FB" w:rsidRPr="00C62BB6" w:rsidRDefault="00F245FB" w:rsidP="00C356F0">
      <w:pPr>
        <w:spacing w:after="0" w:line="240" w:lineRule="auto"/>
        <w:rPr>
          <w:rFonts w:ascii="Times New Roman" w:eastAsia="Calibri" w:hAnsi="Times New Roman" w:cs="Times New Roman"/>
          <w:b/>
          <w:color w:val="4C4747"/>
          <w:spacing w:val="20"/>
          <w:sz w:val="18"/>
          <w:szCs w:val="24"/>
          <w:lang w:val="es-DO"/>
        </w:rPr>
      </w:pPr>
    </w:p>
    <w:p w14:paraId="76D51752" w14:textId="77777777" w:rsidR="00F245FB" w:rsidRPr="00C62BB6" w:rsidRDefault="00F245FB" w:rsidP="00C356F0">
      <w:pPr>
        <w:spacing w:after="0" w:line="240" w:lineRule="auto"/>
        <w:rPr>
          <w:rFonts w:ascii="Times New Roman" w:eastAsia="Calibri" w:hAnsi="Times New Roman" w:cs="Times New Roman"/>
          <w:b/>
          <w:color w:val="4C4747"/>
          <w:spacing w:val="20"/>
          <w:sz w:val="18"/>
          <w:szCs w:val="24"/>
          <w:lang w:val="es-DO"/>
        </w:rPr>
      </w:pPr>
    </w:p>
    <w:p w14:paraId="74BB7A67" w14:textId="77777777" w:rsidR="00F245FB" w:rsidRPr="00C62BB6" w:rsidRDefault="00F245FB" w:rsidP="00C356F0">
      <w:pPr>
        <w:spacing w:after="0" w:line="240" w:lineRule="auto"/>
        <w:rPr>
          <w:rFonts w:ascii="Times New Roman" w:eastAsia="Calibri" w:hAnsi="Times New Roman" w:cs="Times New Roman"/>
          <w:b/>
          <w:color w:val="4C4747"/>
          <w:spacing w:val="20"/>
          <w:sz w:val="18"/>
          <w:szCs w:val="24"/>
          <w:lang w:val="es-DO"/>
        </w:rPr>
      </w:pPr>
    </w:p>
    <w:p w14:paraId="5753C6DD" w14:textId="77777777" w:rsidR="00F245FB" w:rsidRPr="00C62BB6" w:rsidRDefault="00F245FB" w:rsidP="00C356F0">
      <w:pPr>
        <w:spacing w:after="0" w:line="240" w:lineRule="auto"/>
        <w:rPr>
          <w:rFonts w:ascii="Times New Roman" w:eastAsia="Calibri" w:hAnsi="Times New Roman" w:cs="Times New Roman"/>
          <w:b/>
          <w:color w:val="4C4747"/>
          <w:spacing w:val="20"/>
          <w:sz w:val="18"/>
          <w:szCs w:val="24"/>
          <w:lang w:val="es-DO"/>
        </w:rPr>
      </w:pPr>
    </w:p>
    <w:p w14:paraId="4400F975" w14:textId="77777777" w:rsidR="00F245FB" w:rsidRPr="00C62BB6" w:rsidRDefault="00F245FB" w:rsidP="00C356F0">
      <w:pPr>
        <w:spacing w:after="0" w:line="240" w:lineRule="auto"/>
        <w:rPr>
          <w:rFonts w:ascii="Times New Roman" w:eastAsia="Calibri" w:hAnsi="Times New Roman" w:cs="Times New Roman"/>
          <w:b/>
          <w:color w:val="4C4747"/>
          <w:spacing w:val="20"/>
          <w:sz w:val="18"/>
          <w:szCs w:val="24"/>
          <w:lang w:val="es-DO"/>
        </w:rPr>
      </w:pPr>
    </w:p>
    <w:p w14:paraId="736B1044"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6D5C04E0"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7E33EF18"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29687750"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27B5FAD3"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0B64446D"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20A1BFEC"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784C8EA8"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2C09BFA3"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0D09ACC1"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4735281A"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5D504BEE"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6C7DC52C"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30020F6A"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5A1614AC" w14:textId="77777777" w:rsidR="00513ACC" w:rsidRPr="00C62BB6" w:rsidRDefault="00513ACC" w:rsidP="00C356F0">
      <w:pPr>
        <w:spacing w:after="0" w:line="240" w:lineRule="auto"/>
        <w:rPr>
          <w:rFonts w:ascii="Times New Roman" w:eastAsia="Calibri" w:hAnsi="Times New Roman" w:cs="Times New Roman"/>
          <w:b/>
          <w:color w:val="4C4747"/>
          <w:spacing w:val="20"/>
          <w:sz w:val="18"/>
          <w:szCs w:val="24"/>
          <w:lang w:val="es-DO"/>
        </w:rPr>
      </w:pPr>
    </w:p>
    <w:p w14:paraId="2C8ACA90" w14:textId="6703C665" w:rsidR="00C356F0" w:rsidRPr="00C62BB6" w:rsidRDefault="00C356F0" w:rsidP="00513ACC">
      <w:pPr>
        <w:spacing w:after="0" w:line="240" w:lineRule="auto"/>
        <w:ind w:left="720"/>
        <w:rPr>
          <w:rFonts w:ascii="Times New Roman" w:eastAsia="Calibri" w:hAnsi="Times New Roman" w:cs="Times New Roman"/>
          <w:color w:val="4C4747"/>
          <w:spacing w:val="20"/>
          <w:sz w:val="18"/>
          <w:szCs w:val="24"/>
          <w:lang w:val="es-DO"/>
        </w:rPr>
      </w:pPr>
      <w:r w:rsidRPr="00C62BB6">
        <w:rPr>
          <w:rFonts w:ascii="Times New Roman" w:eastAsia="Calibri" w:hAnsi="Times New Roman" w:cs="Times New Roman"/>
          <w:b/>
          <w:color w:val="4C4747"/>
          <w:spacing w:val="20"/>
          <w:sz w:val="18"/>
          <w:szCs w:val="24"/>
          <w:lang w:val="es-DO"/>
        </w:rPr>
        <w:t>Fuente:</w:t>
      </w:r>
      <w:r w:rsidRPr="00C62BB6">
        <w:rPr>
          <w:rFonts w:ascii="Times New Roman" w:eastAsia="Calibri" w:hAnsi="Times New Roman" w:cs="Times New Roman"/>
          <w:color w:val="4C4747"/>
          <w:spacing w:val="20"/>
          <w:sz w:val="18"/>
          <w:szCs w:val="24"/>
          <w:lang w:val="es-DO"/>
        </w:rPr>
        <w:t xml:space="preserve"> Unidad de prensa, Dirección de Relaciones Públicas y </w:t>
      </w:r>
      <w:r w:rsidR="00513ACC" w:rsidRPr="00C62BB6">
        <w:rPr>
          <w:rFonts w:ascii="Times New Roman" w:eastAsia="Calibri" w:hAnsi="Times New Roman" w:cs="Times New Roman"/>
          <w:color w:val="4C4747"/>
          <w:spacing w:val="20"/>
          <w:sz w:val="18"/>
          <w:szCs w:val="24"/>
          <w:lang w:val="es-DO"/>
        </w:rPr>
        <w:t>C</w:t>
      </w:r>
      <w:r w:rsidRPr="00C62BB6">
        <w:rPr>
          <w:rFonts w:ascii="Times New Roman" w:eastAsia="Calibri" w:hAnsi="Times New Roman" w:cs="Times New Roman"/>
          <w:color w:val="4C4747"/>
          <w:spacing w:val="20"/>
          <w:sz w:val="18"/>
          <w:szCs w:val="24"/>
          <w:lang w:val="es-DO"/>
        </w:rPr>
        <w:t>omunicaciones</w:t>
      </w:r>
    </w:p>
    <w:p w14:paraId="6389D40C" w14:textId="77777777" w:rsidR="00C356F0" w:rsidRPr="00C62BB6" w:rsidRDefault="00C356F0" w:rsidP="00C356F0">
      <w:pPr>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 xml:space="preserve">      </w:t>
      </w:r>
    </w:p>
    <w:p w14:paraId="3998B31E" w14:textId="77777777" w:rsidR="00C356F0" w:rsidRPr="00A4233F" w:rsidRDefault="00C356F0" w:rsidP="00C356F0">
      <w:pPr>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t>Boletines semanales y trimestrales</w:t>
      </w:r>
    </w:p>
    <w:p w14:paraId="321C48D0"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Para suministrar en un solo documento las acciones institucionales, tópicos del sector y otros temas de interés para sus colaboradores, se emiten boletines informativos trimestrales y semanales de acuerdo con las necesidades de las dependencias internas, que contiene temas de interés de las distintas áreas, direcciones y Presidencia del Consejo Directivo, donde son socializados en el portal web de la institución, correo electrónico, murales y pantallas digitales.</w:t>
      </w:r>
    </w:p>
    <w:p w14:paraId="02220EE9" w14:textId="0999D451"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Otra herramienta de acceso a lo que ocurre en el sector de las telecomunicaciones con las noticias nacionales e internacionales en</w:t>
      </w:r>
      <w:r w:rsidR="00BB4D02">
        <w:rPr>
          <w:rFonts w:eastAsia="Calibri"/>
          <w:color w:val="4C4747"/>
          <w:spacing w:val="20"/>
          <w:lang w:eastAsia="en-US"/>
        </w:rPr>
        <w:t xml:space="preserve"> </w:t>
      </w:r>
      <w:r w:rsidRPr="00A4233F">
        <w:rPr>
          <w:rFonts w:eastAsia="Calibri"/>
          <w:color w:val="4C4747"/>
          <w:spacing w:val="20"/>
          <w:lang w:eastAsia="en-US"/>
        </w:rPr>
        <w:t xml:space="preserve">ese tenor, es la síntesis de prensa digital del INDOTEL, la cual es </w:t>
      </w:r>
      <w:r w:rsidRPr="00A4233F">
        <w:rPr>
          <w:rFonts w:eastAsia="Calibri"/>
          <w:color w:val="4C4747"/>
          <w:spacing w:val="20"/>
          <w:lang w:eastAsia="en-US"/>
        </w:rPr>
        <w:lastRenderedPageBreak/>
        <w:t>enviada por el correo institucional para interés de todos los colaboradores.</w:t>
      </w:r>
    </w:p>
    <w:p w14:paraId="6FA2AEB9" w14:textId="77777777" w:rsidR="00C356F0" w:rsidRPr="00A4233F" w:rsidRDefault="00C356F0" w:rsidP="00C356F0">
      <w:pPr>
        <w:pStyle w:val="NormalWeb"/>
        <w:spacing w:line="360" w:lineRule="auto"/>
        <w:jc w:val="both"/>
        <w:rPr>
          <w:rFonts w:eastAsia="Calibri"/>
          <w:color w:val="4C4747"/>
          <w:spacing w:val="20"/>
          <w:lang w:eastAsia="en-US"/>
        </w:rPr>
      </w:pPr>
      <w:r w:rsidRPr="00A4233F">
        <w:rPr>
          <w:rFonts w:eastAsia="Calibri"/>
          <w:color w:val="4C4747"/>
          <w:spacing w:val="20"/>
          <w:lang w:eastAsia="en-US"/>
        </w:rPr>
        <w:t>También, se prepara a diario un resumen digital de los editoriales de los principales medios de prensa de circulación nacional para información de la Presidencia del Consejo Directivo, la Dirección Ejecutiva y otros funcionarios.</w:t>
      </w:r>
    </w:p>
    <w:p w14:paraId="16DEEF2E" w14:textId="77777777" w:rsidR="00513ACC" w:rsidRPr="00C62BB6" w:rsidRDefault="00513ACC" w:rsidP="00C356F0">
      <w:pPr>
        <w:pStyle w:val="NormalWeb"/>
        <w:spacing w:line="360" w:lineRule="auto"/>
        <w:jc w:val="both"/>
        <w:rPr>
          <w:rFonts w:eastAsia="Calibri"/>
          <w:color w:val="4C4747"/>
          <w:spacing w:val="20"/>
          <w:lang w:eastAsia="en-US"/>
        </w:rPr>
      </w:pPr>
    </w:p>
    <w:p w14:paraId="413A0EDE" w14:textId="77777777" w:rsidR="00E86F9C" w:rsidRPr="00C62BB6" w:rsidRDefault="00E86F9C" w:rsidP="00C356F0">
      <w:pPr>
        <w:pStyle w:val="NormalWeb"/>
        <w:spacing w:line="360" w:lineRule="auto"/>
        <w:jc w:val="both"/>
        <w:rPr>
          <w:rFonts w:eastAsia="Calibri"/>
          <w:color w:val="4C4747"/>
          <w:spacing w:val="20"/>
          <w:lang w:eastAsia="en-US"/>
        </w:rPr>
      </w:pPr>
    </w:p>
    <w:p w14:paraId="6B59348F" w14:textId="77777777" w:rsidR="00E86F9C" w:rsidRPr="00C62BB6" w:rsidRDefault="00E86F9C" w:rsidP="00C356F0">
      <w:pPr>
        <w:pStyle w:val="NormalWeb"/>
        <w:spacing w:line="360" w:lineRule="auto"/>
        <w:jc w:val="both"/>
        <w:rPr>
          <w:rFonts w:eastAsia="Calibri"/>
          <w:color w:val="4C4747"/>
          <w:spacing w:val="20"/>
          <w:lang w:eastAsia="en-US"/>
        </w:rPr>
      </w:pPr>
    </w:p>
    <w:p w14:paraId="584250F4" w14:textId="77777777" w:rsidR="00E86F9C" w:rsidRPr="00C62BB6" w:rsidRDefault="00E86F9C" w:rsidP="00C356F0">
      <w:pPr>
        <w:pStyle w:val="NormalWeb"/>
        <w:spacing w:line="360" w:lineRule="auto"/>
        <w:jc w:val="both"/>
        <w:rPr>
          <w:rFonts w:eastAsia="Calibri"/>
          <w:color w:val="4C4747"/>
          <w:spacing w:val="20"/>
          <w:lang w:eastAsia="en-US"/>
        </w:rPr>
      </w:pPr>
    </w:p>
    <w:p w14:paraId="032875FD" w14:textId="77777777" w:rsidR="00E86F9C" w:rsidRPr="00C62BB6" w:rsidRDefault="00E86F9C" w:rsidP="00C356F0">
      <w:pPr>
        <w:pStyle w:val="NormalWeb"/>
        <w:spacing w:line="360" w:lineRule="auto"/>
        <w:jc w:val="both"/>
        <w:rPr>
          <w:rFonts w:eastAsia="Calibri"/>
          <w:color w:val="4C4747"/>
          <w:spacing w:val="20"/>
          <w:lang w:eastAsia="en-US"/>
        </w:rPr>
      </w:pPr>
    </w:p>
    <w:p w14:paraId="42431A1D" w14:textId="77777777" w:rsidR="00E86F9C" w:rsidRPr="00C62BB6" w:rsidRDefault="00E86F9C" w:rsidP="00C356F0">
      <w:pPr>
        <w:pStyle w:val="NormalWeb"/>
        <w:spacing w:line="360" w:lineRule="auto"/>
        <w:jc w:val="both"/>
        <w:rPr>
          <w:rFonts w:eastAsia="Calibri"/>
          <w:color w:val="4C4747"/>
          <w:spacing w:val="20"/>
          <w:lang w:eastAsia="en-US"/>
        </w:rPr>
      </w:pPr>
    </w:p>
    <w:p w14:paraId="234DB503" w14:textId="77777777" w:rsidR="00E86F9C" w:rsidRPr="00C62BB6" w:rsidRDefault="00E86F9C" w:rsidP="00C356F0">
      <w:pPr>
        <w:pStyle w:val="NormalWeb"/>
        <w:spacing w:line="360" w:lineRule="auto"/>
        <w:jc w:val="both"/>
        <w:rPr>
          <w:rFonts w:eastAsia="Calibri"/>
          <w:color w:val="4C4747"/>
          <w:spacing w:val="20"/>
          <w:lang w:eastAsia="en-US"/>
        </w:rPr>
      </w:pPr>
    </w:p>
    <w:p w14:paraId="772602D6" w14:textId="77777777" w:rsidR="00E86F9C" w:rsidRPr="00C62BB6" w:rsidRDefault="00E86F9C" w:rsidP="00C356F0">
      <w:pPr>
        <w:pStyle w:val="NormalWeb"/>
        <w:spacing w:line="360" w:lineRule="auto"/>
        <w:jc w:val="both"/>
        <w:rPr>
          <w:rFonts w:eastAsia="Calibri"/>
          <w:color w:val="4C4747"/>
          <w:spacing w:val="20"/>
          <w:lang w:eastAsia="en-US"/>
        </w:rPr>
      </w:pPr>
    </w:p>
    <w:p w14:paraId="0847C847" w14:textId="77777777" w:rsidR="00E86F9C" w:rsidRPr="00C62BB6" w:rsidRDefault="00E86F9C" w:rsidP="00C356F0">
      <w:pPr>
        <w:pStyle w:val="NormalWeb"/>
        <w:spacing w:line="360" w:lineRule="auto"/>
        <w:jc w:val="both"/>
        <w:rPr>
          <w:rFonts w:eastAsia="Calibri"/>
          <w:color w:val="4C4747"/>
          <w:spacing w:val="20"/>
          <w:lang w:eastAsia="en-US"/>
        </w:rPr>
      </w:pPr>
    </w:p>
    <w:p w14:paraId="44DAFB13" w14:textId="77777777" w:rsidR="00E86F9C" w:rsidRPr="00C62BB6" w:rsidRDefault="00E86F9C" w:rsidP="00C356F0">
      <w:pPr>
        <w:pStyle w:val="NormalWeb"/>
        <w:spacing w:line="360" w:lineRule="auto"/>
        <w:jc w:val="both"/>
        <w:rPr>
          <w:rFonts w:eastAsia="Calibri"/>
          <w:color w:val="4C4747"/>
          <w:spacing w:val="20"/>
          <w:lang w:eastAsia="en-US"/>
        </w:rPr>
      </w:pPr>
    </w:p>
    <w:p w14:paraId="1FDED2FC" w14:textId="77777777" w:rsidR="00E86F9C" w:rsidRPr="00C62BB6" w:rsidRDefault="00E86F9C" w:rsidP="00C356F0">
      <w:pPr>
        <w:pStyle w:val="NormalWeb"/>
        <w:spacing w:line="360" w:lineRule="auto"/>
        <w:jc w:val="both"/>
        <w:rPr>
          <w:rFonts w:eastAsia="Calibri"/>
          <w:color w:val="4C4747"/>
          <w:spacing w:val="20"/>
          <w:lang w:eastAsia="en-US"/>
        </w:rPr>
      </w:pPr>
    </w:p>
    <w:p w14:paraId="4250C12C" w14:textId="77777777" w:rsidR="00E86F9C" w:rsidRPr="00C62BB6" w:rsidRDefault="00E86F9C" w:rsidP="00C356F0">
      <w:pPr>
        <w:pStyle w:val="NormalWeb"/>
        <w:spacing w:line="360" w:lineRule="auto"/>
        <w:jc w:val="both"/>
        <w:rPr>
          <w:rFonts w:eastAsia="Calibri"/>
          <w:color w:val="4C4747"/>
          <w:spacing w:val="20"/>
          <w:lang w:eastAsia="en-US"/>
        </w:rPr>
      </w:pPr>
    </w:p>
    <w:p w14:paraId="1F185120" w14:textId="77777777" w:rsidR="00E86F9C" w:rsidRPr="00C62BB6" w:rsidRDefault="00E86F9C" w:rsidP="00C356F0">
      <w:pPr>
        <w:pStyle w:val="NormalWeb"/>
        <w:spacing w:line="360" w:lineRule="auto"/>
        <w:jc w:val="both"/>
        <w:rPr>
          <w:rFonts w:eastAsia="Calibri"/>
          <w:color w:val="4C4747"/>
          <w:spacing w:val="20"/>
          <w:lang w:eastAsia="en-US"/>
        </w:rPr>
      </w:pPr>
    </w:p>
    <w:p w14:paraId="02ECFD57" w14:textId="77777777" w:rsidR="00E86F9C" w:rsidRPr="00C62BB6" w:rsidRDefault="00E86F9C" w:rsidP="00C356F0">
      <w:pPr>
        <w:pStyle w:val="NormalWeb"/>
        <w:spacing w:line="360" w:lineRule="auto"/>
        <w:jc w:val="both"/>
        <w:rPr>
          <w:rFonts w:eastAsia="Calibri"/>
          <w:color w:val="4C4747"/>
          <w:spacing w:val="20"/>
          <w:lang w:eastAsia="en-US"/>
        </w:rPr>
      </w:pPr>
    </w:p>
    <w:p w14:paraId="4A3EAA72" w14:textId="3600517B" w:rsidR="001806AE" w:rsidRPr="00C62BB6" w:rsidRDefault="00A75CDE" w:rsidP="00943FA5">
      <w:pPr>
        <w:keepNext/>
        <w:spacing w:before="240" w:after="60"/>
        <w:jc w:val="both"/>
        <w:outlineLvl w:val="2"/>
        <w:rPr>
          <w:rFonts w:ascii="Times New Roman" w:hAnsi="Times New Roman" w:cs="Times New Roman"/>
          <w:color w:val="4C4747"/>
          <w:lang w:val="es-DO" w:eastAsia="es-DO"/>
        </w:rPr>
      </w:pPr>
      <w:bookmarkStart w:id="32" w:name="_Toc79678426"/>
      <w:bookmarkStart w:id="33" w:name="_Toc122425249"/>
      <w:r w:rsidRPr="00C62BB6">
        <w:rPr>
          <w:rFonts w:ascii="Times New Roman" w:eastAsia="Times New Roman" w:hAnsi="Times New Roman" w:cs="Times New Roman"/>
          <w:b/>
          <w:bCs/>
          <w:color w:val="4C4747"/>
          <w:sz w:val="24"/>
          <w:szCs w:val="28"/>
          <w:lang w:val="es-DO" w:eastAsia="es-DO"/>
        </w:rPr>
        <w:lastRenderedPageBreak/>
        <w:t xml:space="preserve">4.7 </w:t>
      </w:r>
      <w:r w:rsidR="00977D9C" w:rsidRPr="00C62BB6">
        <w:rPr>
          <w:rFonts w:ascii="Times New Roman" w:eastAsia="Times New Roman" w:hAnsi="Times New Roman" w:cs="Times New Roman"/>
          <w:b/>
          <w:bCs/>
          <w:color w:val="4C4747"/>
          <w:sz w:val="24"/>
          <w:szCs w:val="28"/>
          <w:lang w:val="es-DO" w:eastAsia="es-DO"/>
        </w:rPr>
        <w:t>Relaciones Institucionales</w:t>
      </w:r>
      <w:bookmarkEnd w:id="32"/>
      <w:bookmarkEnd w:id="33"/>
    </w:p>
    <w:p w14:paraId="7116FA84" w14:textId="24D5F92D" w:rsidR="00F531AB" w:rsidRPr="00C62BB6" w:rsidRDefault="00F531AB" w:rsidP="00943FA5">
      <w:pPr>
        <w:pStyle w:val="NormalWeb"/>
        <w:spacing w:line="360" w:lineRule="auto"/>
        <w:jc w:val="both"/>
        <w:rPr>
          <w:rFonts w:eastAsia="Calibri"/>
          <w:color w:val="4C4747"/>
          <w:spacing w:val="20"/>
          <w:lang w:eastAsia="en-US"/>
        </w:rPr>
      </w:pPr>
      <w:r w:rsidRPr="00C62BB6">
        <w:rPr>
          <w:rFonts w:eastAsia="Calibri"/>
          <w:color w:val="4C4747"/>
          <w:spacing w:val="20"/>
          <w:lang w:eastAsia="en-US"/>
        </w:rPr>
        <w:t xml:space="preserve">Durante el periodo enero-noviembre de 2022, </w:t>
      </w:r>
      <w:r w:rsidR="00556352" w:rsidRPr="00C62BB6">
        <w:rPr>
          <w:rFonts w:eastAsia="Calibri"/>
          <w:color w:val="4C4747"/>
          <w:spacing w:val="20"/>
          <w:lang w:eastAsia="en-US"/>
        </w:rPr>
        <w:t xml:space="preserve">en el </w:t>
      </w:r>
      <w:r w:rsidRPr="00C62BB6">
        <w:rPr>
          <w:rFonts w:eastAsia="Calibri"/>
          <w:color w:val="4C4747"/>
          <w:spacing w:val="20"/>
          <w:lang w:eastAsia="en-US"/>
        </w:rPr>
        <w:t>IN</w:t>
      </w:r>
      <w:r w:rsidR="00742315" w:rsidRPr="00C62BB6">
        <w:rPr>
          <w:rFonts w:eastAsia="Calibri"/>
          <w:color w:val="4C4747"/>
          <w:spacing w:val="20"/>
          <w:lang w:eastAsia="en-US"/>
        </w:rPr>
        <w:t>DOTEL</w:t>
      </w:r>
      <w:r w:rsidR="00556352" w:rsidRPr="00C62BB6">
        <w:rPr>
          <w:rFonts w:eastAsia="Calibri"/>
          <w:color w:val="4C4747"/>
          <w:spacing w:val="20"/>
          <w:lang w:eastAsia="en-US"/>
        </w:rPr>
        <w:t xml:space="preserve"> se  suscribieron</w:t>
      </w:r>
      <w:r w:rsidRPr="00C62BB6">
        <w:rPr>
          <w:rFonts w:eastAsia="Calibri"/>
          <w:color w:val="4C4747"/>
          <w:spacing w:val="20"/>
          <w:lang w:eastAsia="en-US"/>
        </w:rPr>
        <w:t xml:space="preserve"> memorando</w:t>
      </w:r>
      <w:r w:rsidR="00456467" w:rsidRPr="00C62BB6">
        <w:rPr>
          <w:rFonts w:eastAsia="Calibri"/>
          <w:color w:val="4C4747"/>
          <w:spacing w:val="20"/>
          <w:lang w:eastAsia="en-US"/>
        </w:rPr>
        <w:t>s</w:t>
      </w:r>
      <w:r w:rsidRPr="00C62BB6">
        <w:rPr>
          <w:rFonts w:eastAsia="Calibri"/>
          <w:color w:val="4C4747"/>
          <w:spacing w:val="20"/>
          <w:lang w:eastAsia="en-US"/>
        </w:rPr>
        <w:t xml:space="preserve"> de entendimientos, convenios, acuerdos de colaboración con diferentes organizaciones e instituciones en busca de aunar esfuerzos para mejorar la calidad de los servicios y los procesos para los usuarios del sector telecomunicaciones. </w:t>
      </w:r>
    </w:p>
    <w:p w14:paraId="1A8CEAC3" w14:textId="109F7226" w:rsidR="00F531AB" w:rsidRPr="00C62BB6" w:rsidRDefault="00742315" w:rsidP="00943FA5">
      <w:pPr>
        <w:pStyle w:val="NormalWeb"/>
        <w:spacing w:line="360" w:lineRule="auto"/>
        <w:jc w:val="both"/>
        <w:rPr>
          <w:rFonts w:eastAsia="Calibri"/>
          <w:color w:val="4C4747"/>
          <w:spacing w:val="20"/>
        </w:rPr>
      </w:pPr>
      <w:r w:rsidRPr="00C62BB6">
        <w:rPr>
          <w:rFonts w:eastAsia="Calibri"/>
          <w:color w:val="4C4747"/>
          <w:spacing w:val="20"/>
          <w:lang w:eastAsia="en-US"/>
        </w:rPr>
        <w:t>Se ha</w:t>
      </w:r>
      <w:r w:rsidR="00F531AB" w:rsidRPr="00C62BB6">
        <w:rPr>
          <w:rFonts w:eastAsia="Calibri"/>
          <w:color w:val="4C4747"/>
          <w:spacing w:val="20"/>
          <w:lang w:eastAsia="en-US"/>
        </w:rPr>
        <w:t xml:space="preserve"> venido desarrollando e implementando mecanismos que mejoren las </w:t>
      </w:r>
      <w:r w:rsidRPr="00C62BB6">
        <w:rPr>
          <w:rFonts w:eastAsia="Calibri"/>
          <w:color w:val="4C4747"/>
          <w:spacing w:val="20"/>
          <w:lang w:eastAsia="en-US"/>
        </w:rPr>
        <w:t>relaciones interinstitucionales</w:t>
      </w:r>
      <w:r w:rsidR="00F531AB" w:rsidRPr="00C62BB6">
        <w:rPr>
          <w:rFonts w:eastAsia="Calibri"/>
          <w:color w:val="4C4747"/>
          <w:spacing w:val="20"/>
          <w:lang w:eastAsia="en-US"/>
        </w:rPr>
        <w:t xml:space="preserve"> que creen y fortalezcan una naturaleza de cooperación institucional. </w:t>
      </w:r>
    </w:p>
    <w:p w14:paraId="42DBD4DF" w14:textId="16CD8015" w:rsidR="009A738B" w:rsidRPr="00C62BB6" w:rsidRDefault="00F531AB" w:rsidP="001806AE">
      <w:pPr>
        <w:spacing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 continuación, los detalles de los memorándums de entendimiento, convenios o acuerdos de colaboración suscritos e instituciones que convergen:</w:t>
      </w:r>
    </w:p>
    <w:p w14:paraId="06823B98" w14:textId="034939E2" w:rsidR="009A738B" w:rsidRPr="00C62BB6" w:rsidRDefault="009A738B" w:rsidP="00A02BDE">
      <w:pPr>
        <w:pStyle w:val="Prrafodelista"/>
        <w:numPr>
          <w:ilvl w:val="0"/>
          <w:numId w:val="25"/>
        </w:numPr>
        <w:spacing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 xml:space="preserve">Convenios </w:t>
      </w:r>
    </w:p>
    <w:p w14:paraId="59373867" w14:textId="77777777" w:rsidR="00D204A5" w:rsidRPr="00C62BB6" w:rsidRDefault="00F531AB" w:rsidP="00943FA5">
      <w:pPr>
        <w:spacing w:after="0"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Convenio de Cooperación entre el Instituto Dominicano de las Telecomunicaciones INDOTEl) y el Instituto Tecnológico de las Américas (ITLA) que rige el programa de becas para el Centro Tetelo Vargas -Exten</w:t>
      </w:r>
      <w:r w:rsidR="00742315" w:rsidRPr="00C62BB6">
        <w:rPr>
          <w:rFonts w:ascii="Times New Roman" w:eastAsia="Calibri" w:hAnsi="Times New Roman" w:cs="Times New Roman"/>
          <w:b/>
          <w:color w:val="4C4747"/>
          <w:spacing w:val="20"/>
          <w:sz w:val="24"/>
          <w:szCs w:val="24"/>
          <w:lang w:val="es-DO"/>
        </w:rPr>
        <w:t>sión ITLA San Pedro de Macorís, firmado el 28 de enero 2022</w:t>
      </w:r>
    </w:p>
    <w:p w14:paraId="1B7BA8AC" w14:textId="367BB9FC" w:rsidR="00D204A5" w:rsidRPr="00C62BB6" w:rsidRDefault="00D204A5" w:rsidP="00943FA5">
      <w:pPr>
        <w:spacing w:before="240" w:line="360" w:lineRule="auto"/>
        <w:jc w:val="both"/>
        <w:rPr>
          <w:rFonts w:ascii="Times New Roman" w:eastAsia="Calibri" w:hAnsi="Times New Roman" w:cs="Times New Roman"/>
          <w:color w:val="4C4747"/>
          <w:spacing w:val="20"/>
          <w:sz w:val="24"/>
          <w:szCs w:val="24"/>
          <w:lang w:val="es-DO"/>
        </w:rPr>
      </w:pPr>
      <w:r w:rsidRPr="00C62BB6">
        <w:rPr>
          <w:rFonts w:ascii="Times New Roman" w:eastAsia="Calibri" w:hAnsi="Times New Roman" w:cs="Times New Roman"/>
          <w:color w:val="4C4747"/>
          <w:spacing w:val="20"/>
          <w:sz w:val="24"/>
          <w:szCs w:val="24"/>
          <w:lang w:val="es-DO"/>
        </w:rPr>
        <w:t>A través del componente de apropiación social y desarrollo de habilidades, el cual INDOTEL financiará el total</w:t>
      </w:r>
      <w:r w:rsidR="00F531AB" w:rsidRPr="00C62BB6">
        <w:rPr>
          <w:rFonts w:ascii="Times New Roman" w:eastAsia="Calibri" w:hAnsi="Times New Roman" w:cs="Times New Roman"/>
          <w:color w:val="4C4747"/>
          <w:spacing w:val="20"/>
          <w:sz w:val="24"/>
          <w:szCs w:val="24"/>
          <w:lang w:val="es-DO"/>
        </w:rPr>
        <w:t xml:space="preserve"> </w:t>
      </w:r>
      <w:r w:rsidRPr="00C62BB6">
        <w:rPr>
          <w:rFonts w:ascii="Times New Roman" w:eastAsia="Calibri" w:hAnsi="Times New Roman" w:cs="Times New Roman"/>
          <w:color w:val="4C4747"/>
          <w:spacing w:val="20"/>
          <w:sz w:val="24"/>
          <w:szCs w:val="24"/>
          <w:lang w:val="es-DO"/>
        </w:rPr>
        <w:t xml:space="preserve">de </w:t>
      </w:r>
      <w:r w:rsidR="00F531AB" w:rsidRPr="00C62BB6">
        <w:rPr>
          <w:rFonts w:ascii="Times New Roman" w:eastAsia="Calibri" w:hAnsi="Times New Roman" w:cs="Times New Roman"/>
          <w:color w:val="4C4747"/>
          <w:spacing w:val="20"/>
          <w:sz w:val="24"/>
          <w:szCs w:val="24"/>
          <w:lang w:val="es-DO"/>
        </w:rPr>
        <w:t>becas</w:t>
      </w:r>
      <w:r w:rsidRPr="00C62BB6">
        <w:rPr>
          <w:rFonts w:ascii="Times New Roman" w:eastAsia="Calibri" w:hAnsi="Times New Roman" w:cs="Times New Roman"/>
          <w:color w:val="4C4747"/>
          <w:spacing w:val="20"/>
          <w:sz w:val="24"/>
          <w:szCs w:val="24"/>
          <w:lang w:val="es-DO"/>
        </w:rPr>
        <w:t xml:space="preserve"> a otorgar </w:t>
      </w:r>
      <w:r w:rsidR="00F531AB" w:rsidRPr="00C62BB6">
        <w:rPr>
          <w:rFonts w:ascii="Times New Roman" w:eastAsia="Calibri" w:hAnsi="Times New Roman" w:cs="Times New Roman"/>
          <w:color w:val="4C4747"/>
          <w:spacing w:val="20"/>
          <w:sz w:val="24"/>
          <w:szCs w:val="24"/>
          <w:lang w:val="es-DO"/>
        </w:rPr>
        <w:t>a jóvenes, estudiantes, adultos, hom</w:t>
      </w:r>
      <w:r w:rsidR="00742315" w:rsidRPr="00C62BB6">
        <w:rPr>
          <w:rFonts w:ascii="Times New Roman" w:eastAsia="Calibri" w:hAnsi="Times New Roman" w:cs="Times New Roman"/>
          <w:color w:val="4C4747"/>
          <w:spacing w:val="20"/>
          <w:sz w:val="24"/>
          <w:szCs w:val="24"/>
          <w:lang w:val="es-DO"/>
        </w:rPr>
        <w:t>bres y mujeres de la región E</w:t>
      </w:r>
      <w:r w:rsidR="00F531AB" w:rsidRPr="00C62BB6">
        <w:rPr>
          <w:rFonts w:ascii="Times New Roman" w:eastAsia="Calibri" w:hAnsi="Times New Roman" w:cs="Times New Roman"/>
          <w:color w:val="4C4747"/>
          <w:spacing w:val="20"/>
          <w:sz w:val="24"/>
          <w:szCs w:val="24"/>
          <w:lang w:val="es-DO"/>
        </w:rPr>
        <w:t>ste del país</w:t>
      </w:r>
      <w:r w:rsidRPr="00C62BB6">
        <w:rPr>
          <w:rFonts w:ascii="Times New Roman" w:eastAsia="Calibri" w:hAnsi="Times New Roman" w:cs="Times New Roman"/>
          <w:color w:val="4C4747"/>
          <w:spacing w:val="20"/>
          <w:sz w:val="24"/>
          <w:szCs w:val="24"/>
          <w:lang w:val="es-DO"/>
        </w:rPr>
        <w:t xml:space="preserve"> en programas de estudios relacionado a las TIC.</w:t>
      </w:r>
    </w:p>
    <w:p w14:paraId="6ED6ECD1" w14:textId="211487D0" w:rsidR="009D69C6" w:rsidRPr="00C62BB6" w:rsidRDefault="00D204A5" w:rsidP="00943FA5">
      <w:pPr>
        <w:pStyle w:val="NormalWeb"/>
        <w:spacing w:after="0" w:afterAutospacing="0" w:line="360" w:lineRule="auto"/>
        <w:jc w:val="both"/>
        <w:rPr>
          <w:rFonts w:eastAsia="Calibri"/>
          <w:color w:val="4C4747"/>
          <w:spacing w:val="20"/>
        </w:rPr>
      </w:pPr>
      <w:r w:rsidRPr="00C62BB6">
        <w:rPr>
          <w:rFonts w:eastAsia="Calibri"/>
          <w:color w:val="4C4747"/>
          <w:spacing w:val="20"/>
          <w:lang w:eastAsia="en-US"/>
        </w:rPr>
        <w:t>Este acuerdo es parte</w:t>
      </w:r>
      <w:r w:rsidR="00742315" w:rsidRPr="00C62BB6">
        <w:rPr>
          <w:rFonts w:eastAsia="Calibri"/>
          <w:color w:val="4C4747"/>
          <w:spacing w:val="20"/>
          <w:lang w:eastAsia="en-US"/>
        </w:rPr>
        <w:t xml:space="preserve"> </w:t>
      </w:r>
      <w:r w:rsidRPr="00C62BB6">
        <w:rPr>
          <w:rFonts w:eastAsia="Calibri"/>
          <w:color w:val="4C4747"/>
          <w:spacing w:val="20"/>
          <w:lang w:eastAsia="en-US"/>
        </w:rPr>
        <w:t>d</w:t>
      </w:r>
      <w:r w:rsidR="00742315" w:rsidRPr="00C62BB6">
        <w:rPr>
          <w:rFonts w:eastAsia="Calibri"/>
          <w:color w:val="4C4747"/>
          <w:spacing w:val="20"/>
          <w:lang w:eastAsia="en-US"/>
        </w:rPr>
        <w:t>el proyecto “CONECTAR A LOS NO CONECTADOS” del Plan Bianual 2021-2022</w:t>
      </w:r>
      <w:r w:rsidRPr="00C62BB6">
        <w:rPr>
          <w:rFonts w:eastAsia="Calibri"/>
          <w:color w:val="4C4747"/>
          <w:spacing w:val="20"/>
          <w:lang w:eastAsia="en-US"/>
        </w:rPr>
        <w:t>.</w:t>
      </w:r>
    </w:p>
    <w:p w14:paraId="590FCBBC" w14:textId="77777777" w:rsidR="00D204A5" w:rsidRPr="00C62BB6" w:rsidRDefault="00D204A5" w:rsidP="00943FA5">
      <w:pPr>
        <w:pStyle w:val="NormalWeb"/>
        <w:spacing w:before="0" w:beforeAutospacing="0" w:after="0" w:afterAutospacing="0" w:line="360" w:lineRule="auto"/>
        <w:jc w:val="both"/>
        <w:rPr>
          <w:rFonts w:eastAsia="Calibri"/>
          <w:color w:val="4C4747"/>
          <w:spacing w:val="20"/>
        </w:rPr>
      </w:pPr>
    </w:p>
    <w:p w14:paraId="7CD8741E" w14:textId="77777777" w:rsidR="00F05703" w:rsidRPr="00C62BB6" w:rsidRDefault="00F05703" w:rsidP="00943FA5">
      <w:pPr>
        <w:pStyle w:val="NormalWeb"/>
        <w:spacing w:before="0" w:beforeAutospacing="0" w:after="0" w:afterAutospacing="0" w:line="360" w:lineRule="auto"/>
        <w:jc w:val="both"/>
        <w:rPr>
          <w:rFonts w:eastAsia="Calibri"/>
          <w:color w:val="4C4747"/>
          <w:spacing w:val="20"/>
        </w:rPr>
      </w:pPr>
    </w:p>
    <w:p w14:paraId="3E87CA76" w14:textId="0E869B71" w:rsidR="00D204A5" w:rsidRPr="00A4233F" w:rsidRDefault="00F32701" w:rsidP="00943FA5">
      <w:pPr>
        <w:spacing w:after="0" w:line="360" w:lineRule="auto"/>
        <w:jc w:val="both"/>
        <w:rPr>
          <w:rFonts w:ascii="Times New Roman" w:eastAsia="Calibri" w:hAnsi="Times New Roman" w:cs="Times New Roman"/>
          <w:b/>
          <w:color w:val="4C4747"/>
          <w:spacing w:val="20"/>
          <w:sz w:val="24"/>
          <w:szCs w:val="24"/>
          <w:lang w:val="es-DO"/>
        </w:rPr>
      </w:pPr>
      <w:r w:rsidRPr="00A4233F">
        <w:rPr>
          <w:rFonts w:ascii="Times New Roman" w:eastAsia="Calibri" w:hAnsi="Times New Roman" w:cs="Times New Roman"/>
          <w:b/>
          <w:color w:val="4C4747"/>
          <w:spacing w:val="20"/>
          <w:sz w:val="24"/>
          <w:szCs w:val="24"/>
          <w:lang w:val="es-DO"/>
        </w:rPr>
        <w:lastRenderedPageBreak/>
        <w:t>Convenio de Cooperación entre el Instituto Dominicano de las Telecomunicaciones (INDOTEL), el Instituto Tecnológico de las Américas (ITLA) y la Gobernación de San Pedro de Macorís, que rige la adecuación física, equipamiento gestión y funcionamiento del Centro Tetelo Vargas extensión ITLA San Pedro de Macorís, firmado el 28 de enero 2022</w:t>
      </w:r>
    </w:p>
    <w:p w14:paraId="1F493A24" w14:textId="661F8DBF" w:rsidR="00D204A5" w:rsidRPr="00A4233F" w:rsidRDefault="00D204A5" w:rsidP="00943FA5">
      <w:pPr>
        <w:pStyle w:val="NormalWeb"/>
        <w:spacing w:before="240" w:beforeAutospacing="0" w:line="360" w:lineRule="auto"/>
        <w:jc w:val="both"/>
        <w:rPr>
          <w:rFonts w:eastAsia="Calibri"/>
          <w:color w:val="4C4747"/>
          <w:spacing w:val="20"/>
        </w:rPr>
      </w:pPr>
      <w:r w:rsidRPr="00A4233F">
        <w:rPr>
          <w:rFonts w:eastAsia="Calibri"/>
          <w:color w:val="4C4747"/>
          <w:spacing w:val="20"/>
          <w:lang w:eastAsia="en-US"/>
        </w:rPr>
        <w:t>A través de este acuerdo establece el</w:t>
      </w:r>
      <w:r w:rsidR="00F32701" w:rsidRPr="00A4233F">
        <w:rPr>
          <w:rFonts w:eastAsia="Calibri"/>
          <w:color w:val="4C4747"/>
          <w:spacing w:val="20"/>
          <w:lang w:eastAsia="en-US"/>
        </w:rPr>
        <w:t xml:space="preserve"> equipamiento tecnológico de los laboratorios de software, multimedia redes y seguridad, así como la adecuación física de la infraestructura del centro de capacitación en informática Tetelo Vargas.</w:t>
      </w:r>
    </w:p>
    <w:p w14:paraId="541A27FA" w14:textId="77777777" w:rsidR="009A738B" w:rsidRPr="00A4233F" w:rsidRDefault="009A738B" w:rsidP="009A738B">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t>Convenio de colaboración entre la Fundación MAPFRE y el Instituto Dominicano de las Telecomunicaciones (INDOTEL) para desarrollar el proyecto “CONTROLA TU RED”, firmado el 17 de marzo 2022</w:t>
      </w:r>
    </w:p>
    <w:p w14:paraId="0A7C8F4B" w14:textId="42E3C0DA" w:rsidR="009A738B" w:rsidRPr="00A4233F"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El presente convenio in</w:t>
      </w:r>
      <w:r w:rsidR="001D4256" w:rsidRPr="00A4233F">
        <w:rPr>
          <w:rFonts w:eastAsia="Calibri"/>
          <w:color w:val="4C4747"/>
          <w:spacing w:val="20"/>
          <w:lang w:eastAsia="en-US"/>
        </w:rPr>
        <w:t>terinstitucional tiene por objetivo</w:t>
      </w:r>
      <w:r w:rsidRPr="00A4233F">
        <w:rPr>
          <w:rFonts w:eastAsia="Calibri"/>
          <w:color w:val="4C4747"/>
          <w:spacing w:val="20"/>
          <w:lang w:eastAsia="en-US"/>
        </w:rPr>
        <w:t xml:space="preserve"> desarrollar el proyecto “CONTROLA TU RED”, </w:t>
      </w:r>
      <w:r w:rsidR="001D4256" w:rsidRPr="00A4233F">
        <w:rPr>
          <w:rFonts w:eastAsia="Calibri"/>
          <w:color w:val="4C4747"/>
          <w:spacing w:val="20"/>
          <w:lang w:eastAsia="en-US"/>
        </w:rPr>
        <w:t>el cual se busca</w:t>
      </w:r>
      <w:r w:rsidRPr="00A4233F">
        <w:rPr>
          <w:rFonts w:eastAsia="Calibri"/>
          <w:color w:val="4C4747"/>
          <w:spacing w:val="20"/>
          <w:lang w:eastAsia="en-US"/>
        </w:rPr>
        <w:t xml:space="preserve"> ayudar a los jóvenes a comprender cómo funcionan las redes sociales y las tecnologías de la información y la comunicación, a fines de que aprendan a utilizarlas de una forma segura, adecuada y sean capaces de identificar y denunciar situaciones peligrosas.</w:t>
      </w:r>
    </w:p>
    <w:p w14:paraId="6C6C6AE1" w14:textId="77777777" w:rsidR="009A738B" w:rsidRPr="00A4233F" w:rsidRDefault="009A738B" w:rsidP="009A738B">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t>Convenio de Cooperación entre el Instituto Dominicano de las Telecomunicaciones (INDOTEL) y el Instituto Tecnológico de las Américas (ITLA) para la Gestión, Administración y Sostenibilidad de los Apartamentos Estudiantiles, firmado 15 de junio 2022</w:t>
      </w:r>
    </w:p>
    <w:p w14:paraId="638DC0D6" w14:textId="77777777" w:rsidR="00F05703" w:rsidRPr="00A4233F" w:rsidRDefault="001D4256" w:rsidP="00943FA5">
      <w:pPr>
        <w:pStyle w:val="NormalWeb"/>
        <w:spacing w:line="360" w:lineRule="auto"/>
        <w:jc w:val="both"/>
        <w:rPr>
          <w:rFonts w:eastAsia="Calibri"/>
          <w:color w:val="4C4747"/>
          <w:spacing w:val="20"/>
        </w:rPr>
      </w:pPr>
      <w:r w:rsidRPr="00A4233F">
        <w:rPr>
          <w:rFonts w:eastAsia="Calibri"/>
          <w:color w:val="4C4747"/>
          <w:spacing w:val="20"/>
          <w:lang w:eastAsia="en-US"/>
        </w:rPr>
        <w:t xml:space="preserve">Atreves de esta alianza se </w:t>
      </w:r>
      <w:r w:rsidR="009A738B" w:rsidRPr="00A4233F">
        <w:rPr>
          <w:rFonts w:eastAsia="Calibri"/>
          <w:color w:val="4C4747"/>
          <w:spacing w:val="20"/>
          <w:lang w:eastAsia="en-US"/>
        </w:rPr>
        <w:t xml:space="preserve">acuerdan realizar </w:t>
      </w:r>
      <w:r w:rsidRPr="00A4233F">
        <w:rPr>
          <w:rFonts w:eastAsia="Calibri"/>
          <w:color w:val="4C4747"/>
          <w:spacing w:val="20"/>
          <w:lang w:eastAsia="en-US"/>
        </w:rPr>
        <w:t>los</w:t>
      </w:r>
      <w:r w:rsidR="009A738B" w:rsidRPr="00A4233F">
        <w:rPr>
          <w:rFonts w:eastAsia="Calibri"/>
          <w:color w:val="4C4747"/>
          <w:spacing w:val="20"/>
          <w:lang w:eastAsia="en-US"/>
        </w:rPr>
        <w:t xml:space="preserve"> mejores esfuerzos y aplicar un intercambio educativo y formativo reciproco, donde el </w:t>
      </w:r>
    </w:p>
    <w:p w14:paraId="37EAD250" w14:textId="3792F718" w:rsidR="001D4256" w:rsidRPr="00C62BB6" w:rsidRDefault="009A738B" w:rsidP="00943FA5">
      <w:pPr>
        <w:pStyle w:val="NormalWeb"/>
        <w:spacing w:line="360" w:lineRule="auto"/>
        <w:jc w:val="both"/>
        <w:rPr>
          <w:rFonts w:eastAsia="Calibri"/>
          <w:color w:val="4C4747"/>
          <w:spacing w:val="20"/>
        </w:rPr>
      </w:pPr>
      <w:r w:rsidRPr="00C62BB6">
        <w:rPr>
          <w:rFonts w:eastAsia="Calibri"/>
          <w:color w:val="4C4747"/>
          <w:spacing w:val="20"/>
          <w:lang w:eastAsia="en-US"/>
        </w:rPr>
        <w:lastRenderedPageBreak/>
        <w:t>INDOTEL cede</w:t>
      </w:r>
      <w:r w:rsidR="001D4256" w:rsidRPr="00C62BB6">
        <w:rPr>
          <w:rFonts w:eastAsia="Calibri"/>
          <w:color w:val="4C4747"/>
          <w:spacing w:val="20"/>
          <w:lang w:eastAsia="en-US"/>
        </w:rPr>
        <w:t xml:space="preserve"> al ITLA en calidad de préstamo</w:t>
      </w:r>
      <w:r w:rsidRPr="00C62BB6">
        <w:rPr>
          <w:rFonts w:eastAsia="Calibri"/>
          <w:color w:val="4C4747"/>
          <w:spacing w:val="20"/>
          <w:lang w:eastAsia="en-US"/>
        </w:rPr>
        <w:t xml:space="preserve"> y por consiguiente </w:t>
      </w:r>
      <w:r w:rsidR="001D4256" w:rsidRPr="00C62BB6">
        <w:rPr>
          <w:rFonts w:eastAsia="Calibri"/>
          <w:color w:val="4C4747"/>
          <w:spacing w:val="20"/>
          <w:lang w:eastAsia="en-US"/>
        </w:rPr>
        <w:t>la</w:t>
      </w:r>
      <w:r w:rsidRPr="00C62BB6">
        <w:rPr>
          <w:rFonts w:eastAsia="Calibri"/>
          <w:color w:val="4C4747"/>
          <w:spacing w:val="20"/>
          <w:lang w:eastAsia="en-US"/>
        </w:rPr>
        <w:t xml:space="preserve"> gestión, sostenibilidad, dirección, administración, mantenimiento y supervisión de diecinueve (19) apartamentos</w:t>
      </w:r>
      <w:r w:rsidR="001D4256" w:rsidRPr="00C62BB6">
        <w:rPr>
          <w:rFonts w:eastAsia="Calibri"/>
          <w:color w:val="4C4747"/>
          <w:spacing w:val="20"/>
          <w:lang w:eastAsia="en-US"/>
        </w:rPr>
        <w:t>.</w:t>
      </w:r>
    </w:p>
    <w:p w14:paraId="517ACB52" w14:textId="6A34E023" w:rsidR="009D69C6" w:rsidRPr="00C62BB6" w:rsidRDefault="009A738B" w:rsidP="00A02BDE">
      <w:pPr>
        <w:pStyle w:val="Prrafodelista"/>
        <w:numPr>
          <w:ilvl w:val="0"/>
          <w:numId w:val="25"/>
        </w:numPr>
        <w:spacing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Acuerdos</w:t>
      </w:r>
    </w:p>
    <w:p w14:paraId="257801ED" w14:textId="66736199" w:rsidR="00F32701" w:rsidRPr="00C62BB6" w:rsidRDefault="00F32701" w:rsidP="001806AE">
      <w:pPr>
        <w:spacing w:line="360" w:lineRule="auto"/>
        <w:jc w:val="both"/>
        <w:rPr>
          <w:rFonts w:ascii="Times New Roman" w:eastAsia="Calibri" w:hAnsi="Times New Roman" w:cs="Times New Roman"/>
          <w:b/>
          <w:color w:val="4C4747"/>
          <w:spacing w:val="20"/>
          <w:sz w:val="24"/>
          <w:szCs w:val="24"/>
          <w:lang w:val="es-DO"/>
        </w:rPr>
      </w:pPr>
      <w:r w:rsidRPr="00C62BB6">
        <w:rPr>
          <w:rFonts w:ascii="Times New Roman" w:eastAsia="Calibri" w:hAnsi="Times New Roman" w:cs="Times New Roman"/>
          <w:b/>
          <w:color w:val="4C4747"/>
          <w:spacing w:val="20"/>
          <w:sz w:val="24"/>
          <w:szCs w:val="24"/>
          <w:lang w:val="es-DO"/>
        </w:rPr>
        <w:t xml:space="preserve">Acuerdo interinstitucional de </w:t>
      </w:r>
      <w:r w:rsidR="009D69C6" w:rsidRPr="00C62BB6">
        <w:rPr>
          <w:rFonts w:ascii="Times New Roman" w:eastAsia="Calibri" w:hAnsi="Times New Roman" w:cs="Times New Roman"/>
          <w:b/>
          <w:color w:val="4C4747"/>
          <w:spacing w:val="20"/>
          <w:sz w:val="24"/>
          <w:szCs w:val="24"/>
          <w:lang w:val="es-DO"/>
        </w:rPr>
        <w:t xml:space="preserve">Cooperación y Coordinación para </w:t>
      </w:r>
      <w:r w:rsidRPr="00C62BB6">
        <w:rPr>
          <w:rFonts w:ascii="Times New Roman" w:eastAsia="Calibri" w:hAnsi="Times New Roman" w:cs="Times New Roman"/>
          <w:b/>
          <w:color w:val="4C4747"/>
          <w:spacing w:val="20"/>
          <w:sz w:val="24"/>
          <w:szCs w:val="24"/>
          <w:lang w:val="es-DO"/>
        </w:rPr>
        <w:t>la cesión en uso de un Centro INDOTEL para la instalación de las Oficinas Gubernamentales de la Gobernación de San José de Ocoa, firmado el 2 de febrero 2022</w:t>
      </w:r>
    </w:p>
    <w:p w14:paraId="5BA503DF" w14:textId="4693247F" w:rsidR="009D69C6" w:rsidRPr="00C62BB6" w:rsidRDefault="00F32701" w:rsidP="00943FA5">
      <w:pPr>
        <w:pStyle w:val="NormalWeb"/>
        <w:spacing w:line="360" w:lineRule="auto"/>
        <w:jc w:val="both"/>
        <w:rPr>
          <w:rFonts w:eastAsia="Calibri"/>
          <w:color w:val="4C4747"/>
          <w:spacing w:val="20"/>
        </w:rPr>
      </w:pPr>
      <w:r w:rsidRPr="00C62BB6">
        <w:rPr>
          <w:rFonts w:eastAsia="Calibri"/>
          <w:color w:val="4C4747"/>
          <w:spacing w:val="20"/>
          <w:lang w:eastAsia="en-US"/>
        </w:rPr>
        <w:t>Ceder en calidad de préstamos a la gobernación de San José de Ocoa y por consiguiente su gestión, sostenibilidad, dirección, administración, mantenimiento y supervisión del inmueble.</w:t>
      </w:r>
    </w:p>
    <w:p w14:paraId="0623E603" w14:textId="0F63B0A5" w:rsidR="00F32701" w:rsidRPr="00C62BB6" w:rsidRDefault="009D69C6" w:rsidP="00943FA5">
      <w:pPr>
        <w:pStyle w:val="NormalWeb"/>
        <w:spacing w:line="360" w:lineRule="auto"/>
        <w:jc w:val="both"/>
        <w:rPr>
          <w:b/>
          <w:color w:val="4C4747"/>
          <w:spacing w:val="20"/>
        </w:rPr>
      </w:pPr>
      <w:r w:rsidRPr="00C62BB6">
        <w:rPr>
          <w:rFonts w:eastAsia="Calibri"/>
          <w:b/>
          <w:color w:val="4C4747"/>
          <w:spacing w:val="20"/>
          <w:lang w:eastAsia="en-US"/>
        </w:rPr>
        <w:t>Acuerdo Interinstitucional de Cooperación y Coordinación para la cesión en uso de Centros INDOTEL para la implementación del programa “MI PAÍS SEGURO”, firmado el 7 de febrero 2022</w:t>
      </w:r>
    </w:p>
    <w:p w14:paraId="522E71F5" w14:textId="15EC0963" w:rsidR="00F32701" w:rsidRPr="00C62BB6" w:rsidRDefault="009D69C6" w:rsidP="00943FA5">
      <w:pPr>
        <w:pStyle w:val="NormalWeb"/>
        <w:spacing w:line="360" w:lineRule="auto"/>
        <w:jc w:val="both"/>
        <w:rPr>
          <w:color w:val="4C4747"/>
          <w:spacing w:val="20"/>
        </w:rPr>
      </w:pPr>
      <w:r w:rsidRPr="00C62BB6">
        <w:rPr>
          <w:rFonts w:eastAsia="Calibri"/>
          <w:color w:val="4C4747"/>
          <w:spacing w:val="20"/>
          <w:lang w:eastAsia="en-US"/>
        </w:rPr>
        <w:t>Ceder en calidad de préstamos a la Policía Nacional y por consiguiente su gestión, sostenibilidad, dirección, administración, mantenimiento y supervisión de los inmuebles.</w:t>
      </w:r>
    </w:p>
    <w:p w14:paraId="4724DA86" w14:textId="109995AB" w:rsidR="009D69C6" w:rsidRPr="00C62BB6" w:rsidRDefault="009D69C6" w:rsidP="00943FA5">
      <w:pPr>
        <w:pStyle w:val="NormalWeb"/>
        <w:spacing w:line="360" w:lineRule="auto"/>
        <w:jc w:val="both"/>
        <w:rPr>
          <w:b/>
          <w:color w:val="4C4747"/>
          <w:spacing w:val="20"/>
        </w:rPr>
      </w:pPr>
      <w:r w:rsidRPr="00C62BB6">
        <w:rPr>
          <w:rFonts w:eastAsia="Calibri"/>
          <w:b/>
          <w:color w:val="4C4747"/>
          <w:spacing w:val="20"/>
          <w:lang w:eastAsia="en-US"/>
        </w:rPr>
        <w:t>Acuerdo Interinstitucional de Cooperación y Coordi</w:t>
      </w:r>
      <w:r w:rsidR="001D4256" w:rsidRPr="00C62BB6">
        <w:rPr>
          <w:rFonts w:eastAsia="Calibri"/>
          <w:b/>
          <w:color w:val="4C4747"/>
          <w:spacing w:val="20"/>
          <w:lang w:eastAsia="en-US"/>
        </w:rPr>
        <w:t xml:space="preserve">nación para </w:t>
      </w:r>
      <w:r w:rsidRPr="00C62BB6">
        <w:rPr>
          <w:rFonts w:eastAsia="Calibri"/>
          <w:b/>
          <w:color w:val="4C4747"/>
          <w:spacing w:val="20"/>
          <w:lang w:eastAsia="en-US"/>
        </w:rPr>
        <w:t xml:space="preserve">la cesión en uso de Centros INDOTEL para ser utilizados en el programa </w:t>
      </w:r>
      <w:r w:rsidR="001D4256" w:rsidRPr="00C62BB6">
        <w:rPr>
          <w:rFonts w:eastAsia="Calibri"/>
          <w:b/>
          <w:color w:val="4C4747"/>
          <w:spacing w:val="20"/>
          <w:lang w:eastAsia="en-US"/>
        </w:rPr>
        <w:t>“</w:t>
      </w:r>
      <w:r w:rsidRPr="00C62BB6">
        <w:rPr>
          <w:rFonts w:eastAsia="Calibri"/>
          <w:b/>
          <w:color w:val="4C4747"/>
          <w:spacing w:val="20"/>
          <w:lang w:eastAsia="en-US"/>
        </w:rPr>
        <w:t>911” por el Servicio Nacional de Salud (SNS), firmado el 9 de marzo 2022</w:t>
      </w:r>
    </w:p>
    <w:p w14:paraId="41E24744" w14:textId="6F0F73FF" w:rsidR="00D144E2" w:rsidRPr="00C62BB6" w:rsidRDefault="009D69C6" w:rsidP="00943FA5">
      <w:pPr>
        <w:pStyle w:val="NormalWeb"/>
        <w:spacing w:line="360" w:lineRule="auto"/>
        <w:jc w:val="both"/>
        <w:rPr>
          <w:rFonts w:eastAsia="Calibri"/>
          <w:color w:val="4C4747"/>
          <w:spacing w:val="20"/>
          <w:lang w:eastAsia="en-US"/>
        </w:rPr>
      </w:pPr>
      <w:r w:rsidRPr="00C62BB6">
        <w:rPr>
          <w:rFonts w:eastAsia="Calibri"/>
          <w:color w:val="4C4747"/>
          <w:spacing w:val="20"/>
          <w:lang w:eastAsia="en-US"/>
        </w:rPr>
        <w:t>Ceder en calidad de préstamos a la SNS y por consiguiente su gestión, sostenibilidad, dirección, administración, mantenimiento y supervisión para la puesta en marcha del programa 911.</w:t>
      </w:r>
    </w:p>
    <w:p w14:paraId="4087BBBE" w14:textId="77777777" w:rsidR="00916E17" w:rsidRPr="00C62BB6" w:rsidRDefault="00916E17" w:rsidP="00943FA5">
      <w:pPr>
        <w:pStyle w:val="NormalWeb"/>
        <w:spacing w:line="360" w:lineRule="auto"/>
        <w:jc w:val="both"/>
        <w:rPr>
          <w:color w:val="4C4747"/>
          <w:spacing w:val="20"/>
        </w:rPr>
      </w:pPr>
    </w:p>
    <w:p w14:paraId="32C792C3" w14:textId="716C0875" w:rsidR="009D69C6" w:rsidRPr="00C62BB6" w:rsidRDefault="009D69C6" w:rsidP="00943FA5">
      <w:pPr>
        <w:pStyle w:val="NormalWeb"/>
        <w:spacing w:line="360" w:lineRule="auto"/>
        <w:jc w:val="both"/>
        <w:rPr>
          <w:b/>
          <w:color w:val="4C4747"/>
          <w:spacing w:val="20"/>
        </w:rPr>
      </w:pPr>
      <w:r w:rsidRPr="00C62BB6">
        <w:rPr>
          <w:rFonts w:eastAsia="Calibri"/>
          <w:b/>
          <w:color w:val="4C4747"/>
          <w:spacing w:val="20"/>
          <w:lang w:eastAsia="en-US"/>
        </w:rPr>
        <w:lastRenderedPageBreak/>
        <w:t>Acuerdo Interinstitucional de Cooperación para fines Educativos entre el Instituto Dominicano de las Telecomunicaciones (INDOTEL) y el Centro</w:t>
      </w:r>
      <w:r w:rsidR="00D144E2" w:rsidRPr="00C62BB6">
        <w:rPr>
          <w:rFonts w:eastAsia="Calibri"/>
          <w:b/>
          <w:color w:val="4C4747"/>
          <w:spacing w:val="20"/>
          <w:lang w:eastAsia="en-US"/>
        </w:rPr>
        <w:t xml:space="preserve"> Casas Comunitarias de Justicia, firmado el 10 de marzo 2022</w:t>
      </w:r>
    </w:p>
    <w:p w14:paraId="6BE02383" w14:textId="4797B3CA" w:rsidR="009D69C6" w:rsidRPr="00C62BB6" w:rsidRDefault="00D144E2" w:rsidP="00943FA5">
      <w:pPr>
        <w:pStyle w:val="NormalWeb"/>
        <w:spacing w:line="360" w:lineRule="auto"/>
        <w:jc w:val="both"/>
        <w:rPr>
          <w:color w:val="4C4747"/>
          <w:spacing w:val="20"/>
        </w:rPr>
      </w:pPr>
      <w:r w:rsidRPr="00C62BB6">
        <w:rPr>
          <w:rFonts w:eastAsia="Calibri"/>
          <w:color w:val="4C4747"/>
          <w:spacing w:val="20"/>
          <w:lang w:eastAsia="en-US"/>
        </w:rPr>
        <w:t>Acuerdo de cooperación educativo, que tiene el objetivo de orientar a los usuarios de los servicios públicos de telecomunicaciones en el país sobre sus derechos y deberes</w:t>
      </w:r>
      <w:r w:rsidR="001D4256" w:rsidRPr="00C62BB6">
        <w:rPr>
          <w:rFonts w:eastAsia="Calibri"/>
          <w:color w:val="4C4747"/>
          <w:spacing w:val="20"/>
          <w:lang w:eastAsia="en-US"/>
        </w:rPr>
        <w:t xml:space="preserve"> a través de la implementación de programas educativos y de formación.</w:t>
      </w:r>
    </w:p>
    <w:p w14:paraId="727F50BD" w14:textId="77777777" w:rsidR="009A738B" w:rsidRPr="00C62BB6" w:rsidRDefault="009A738B" w:rsidP="009A738B">
      <w:pPr>
        <w:pStyle w:val="NormalWeb"/>
        <w:spacing w:line="360" w:lineRule="auto"/>
        <w:jc w:val="both"/>
        <w:rPr>
          <w:rFonts w:eastAsia="Calibri"/>
          <w:b/>
          <w:color w:val="4C4747"/>
          <w:spacing w:val="20"/>
          <w:lang w:eastAsia="en-US"/>
        </w:rPr>
      </w:pPr>
      <w:r w:rsidRPr="00C62BB6">
        <w:rPr>
          <w:rFonts w:eastAsia="Calibri"/>
          <w:b/>
          <w:color w:val="4C4747"/>
          <w:spacing w:val="20"/>
          <w:lang w:eastAsia="en-US"/>
        </w:rPr>
        <w:t>Acuerdo Interinstitucional para la sesión en uso de un Centro INDOTEL ubicado en Higüey, provincia la Altagracia para la continuidad de los trabajos de la Fundación Hermanos Rosario A. (FHERA), firmado el 30 de marzo 2022</w:t>
      </w:r>
    </w:p>
    <w:p w14:paraId="194952C1" w14:textId="77777777" w:rsidR="009A738B" w:rsidRPr="00C62BB6" w:rsidRDefault="009A738B" w:rsidP="009A738B">
      <w:pPr>
        <w:pStyle w:val="NormalWeb"/>
        <w:spacing w:line="360" w:lineRule="auto"/>
        <w:jc w:val="both"/>
        <w:rPr>
          <w:rFonts w:eastAsia="Calibri"/>
          <w:color w:val="4C4747"/>
          <w:spacing w:val="20"/>
          <w:lang w:eastAsia="en-US"/>
        </w:rPr>
      </w:pPr>
      <w:r w:rsidRPr="00C62BB6">
        <w:rPr>
          <w:rFonts w:eastAsia="Calibri"/>
          <w:color w:val="4C4747"/>
          <w:spacing w:val="20"/>
          <w:lang w:eastAsia="en-US"/>
        </w:rPr>
        <w:t>Acuerdo Interinstitucional para la cesión en uso de un centro INDOTEL ubicado en Higüey, provincia la Altagracia para la continuidad de los trabajos de la Fundación Hermanos Rosario.</w:t>
      </w:r>
    </w:p>
    <w:p w14:paraId="344D6FC8" w14:textId="5DB17B70" w:rsidR="009A738B" w:rsidRPr="00C62BB6" w:rsidRDefault="009A738B" w:rsidP="009A738B">
      <w:pPr>
        <w:pStyle w:val="NormalWeb"/>
        <w:spacing w:line="360" w:lineRule="auto"/>
        <w:jc w:val="both"/>
        <w:rPr>
          <w:rFonts w:eastAsia="Calibri"/>
          <w:b/>
          <w:color w:val="4C4747"/>
          <w:spacing w:val="20"/>
          <w:lang w:eastAsia="en-US"/>
        </w:rPr>
      </w:pPr>
      <w:r w:rsidRPr="00C62BB6">
        <w:rPr>
          <w:rFonts w:eastAsia="Calibri"/>
          <w:b/>
          <w:color w:val="4C4747"/>
          <w:spacing w:val="20"/>
          <w:lang w:eastAsia="en-US"/>
        </w:rPr>
        <w:t>Acuerdo entre el Instituto Dominicano de las Telecomunicaciones (INDOTEL) y la Oficina Metropolitana de Servicios de Autobuses (OMSA) mediante el cual en el ma</w:t>
      </w:r>
      <w:r w:rsidR="00C250FA" w:rsidRPr="00C62BB6">
        <w:rPr>
          <w:rFonts w:eastAsia="Calibri"/>
          <w:b/>
          <w:color w:val="4C4747"/>
          <w:spacing w:val="20"/>
          <w:lang w:eastAsia="en-US"/>
        </w:rPr>
        <w:t>rco de la iniciativa “DOMINICANA CONECTADA”</w:t>
      </w:r>
      <w:r w:rsidRPr="00C62BB6">
        <w:rPr>
          <w:rFonts w:eastAsia="Calibri"/>
          <w:b/>
          <w:color w:val="4C4747"/>
          <w:spacing w:val="20"/>
          <w:lang w:eastAsia="en-US"/>
        </w:rPr>
        <w:t xml:space="preserve"> se establece la reposición</w:t>
      </w:r>
      <w:r w:rsidR="00C250FA" w:rsidRPr="00C62BB6">
        <w:rPr>
          <w:rFonts w:eastAsia="Calibri"/>
          <w:b/>
          <w:color w:val="4C4747"/>
          <w:spacing w:val="20"/>
          <w:lang w:eastAsia="en-US"/>
        </w:rPr>
        <w:t xml:space="preserve"> y mantenimiento de los puntos Wi-F</w:t>
      </w:r>
      <w:r w:rsidRPr="00C62BB6">
        <w:rPr>
          <w:rFonts w:eastAsia="Calibri"/>
          <w:b/>
          <w:color w:val="4C4747"/>
          <w:spacing w:val="20"/>
          <w:lang w:eastAsia="en-US"/>
        </w:rPr>
        <w:t xml:space="preserve">i, firmado </w:t>
      </w:r>
      <w:r w:rsidR="00C250FA" w:rsidRPr="00C62BB6">
        <w:rPr>
          <w:rFonts w:eastAsia="Calibri"/>
          <w:b/>
          <w:color w:val="4C4747"/>
          <w:spacing w:val="20"/>
          <w:lang w:eastAsia="en-US"/>
        </w:rPr>
        <w:t xml:space="preserve">el </w:t>
      </w:r>
      <w:r w:rsidRPr="00C62BB6">
        <w:rPr>
          <w:rFonts w:eastAsia="Calibri"/>
          <w:b/>
          <w:color w:val="4C4747"/>
          <w:spacing w:val="20"/>
          <w:lang w:eastAsia="en-US"/>
        </w:rPr>
        <w:t>21 de junio 2022</w:t>
      </w:r>
    </w:p>
    <w:p w14:paraId="19C6147D" w14:textId="0D04BB11" w:rsidR="009A738B" w:rsidRPr="00C62BB6" w:rsidRDefault="009A738B" w:rsidP="009A738B">
      <w:pPr>
        <w:pStyle w:val="NormalWeb"/>
        <w:spacing w:line="360" w:lineRule="auto"/>
        <w:jc w:val="both"/>
        <w:rPr>
          <w:rFonts w:eastAsia="Calibri"/>
          <w:color w:val="4C4747"/>
          <w:spacing w:val="20"/>
          <w:lang w:eastAsia="en-US"/>
        </w:rPr>
      </w:pPr>
      <w:r w:rsidRPr="00C62BB6">
        <w:rPr>
          <w:rFonts w:eastAsia="Calibri"/>
          <w:color w:val="4C4747"/>
          <w:spacing w:val="20"/>
          <w:lang w:eastAsia="en-US"/>
        </w:rPr>
        <w:t>Por medio del presente acuerdo las partes acuerdan establecer, poner en funcionamiento y mantener en estado óptimo ciento ci</w:t>
      </w:r>
      <w:r w:rsidR="00C250FA" w:rsidRPr="00C62BB6">
        <w:rPr>
          <w:rFonts w:eastAsia="Calibri"/>
          <w:color w:val="4C4747"/>
          <w:spacing w:val="20"/>
          <w:lang w:eastAsia="en-US"/>
        </w:rPr>
        <w:t>ncuenta (150) puntos de acceso Wi-F</w:t>
      </w:r>
      <w:r w:rsidRPr="00C62BB6">
        <w:rPr>
          <w:rFonts w:eastAsia="Calibri"/>
          <w:color w:val="4C4747"/>
          <w:spacing w:val="20"/>
          <w:lang w:eastAsia="en-US"/>
        </w:rPr>
        <w:t>i ubicados en autobuses del servicio público, principalmente en las rutas priorizadas por la OMSA y que tengan cobertura por las dos empresas proveedoras de la conectividad ALT</w:t>
      </w:r>
      <w:r w:rsidR="00C250FA" w:rsidRPr="00C62BB6">
        <w:rPr>
          <w:rFonts w:eastAsia="Calibri"/>
          <w:color w:val="4C4747"/>
          <w:spacing w:val="20"/>
          <w:lang w:eastAsia="en-US"/>
        </w:rPr>
        <w:t>ICE DOMINICANA y WIND TELECOM, p</w:t>
      </w:r>
      <w:r w:rsidRPr="00C62BB6">
        <w:rPr>
          <w:rFonts w:eastAsia="Calibri"/>
          <w:color w:val="4C4747"/>
          <w:spacing w:val="20"/>
          <w:lang w:eastAsia="en-US"/>
        </w:rPr>
        <w:t>or un periodo de 30 meses de acuerdo con lo pactado por el INDOTEL.</w:t>
      </w:r>
    </w:p>
    <w:p w14:paraId="7F6A38DA" w14:textId="3F138419" w:rsidR="004055E0" w:rsidRPr="00C62BB6" w:rsidRDefault="004055E0" w:rsidP="009A738B">
      <w:pPr>
        <w:pStyle w:val="NormalWeb"/>
        <w:spacing w:line="360" w:lineRule="auto"/>
        <w:jc w:val="both"/>
        <w:rPr>
          <w:rFonts w:eastAsia="Calibri"/>
          <w:b/>
          <w:color w:val="4C4747"/>
          <w:spacing w:val="20"/>
          <w:lang w:eastAsia="en-US"/>
        </w:rPr>
      </w:pPr>
      <w:r w:rsidRPr="00C62BB6">
        <w:rPr>
          <w:rFonts w:eastAsia="Calibri"/>
          <w:b/>
          <w:color w:val="4C4747"/>
          <w:spacing w:val="20"/>
          <w:lang w:eastAsia="en-US"/>
        </w:rPr>
        <w:lastRenderedPageBreak/>
        <w:t>Acuerdo de colaboración</w:t>
      </w:r>
      <w:r w:rsidR="00C250FA" w:rsidRPr="00C62BB6">
        <w:rPr>
          <w:rFonts w:eastAsia="Calibri"/>
          <w:b/>
          <w:color w:val="4C4747"/>
          <w:spacing w:val="20"/>
          <w:lang w:eastAsia="en-US"/>
        </w:rPr>
        <w:t xml:space="preserve"> entre el Instituto Dominicano de las T</w:t>
      </w:r>
      <w:r w:rsidRPr="00C62BB6">
        <w:rPr>
          <w:rFonts w:eastAsia="Calibri"/>
          <w:b/>
          <w:color w:val="4C4747"/>
          <w:spacing w:val="20"/>
          <w:lang w:eastAsia="en-US"/>
        </w:rPr>
        <w:t>elecomunicaciones (INDOTEL) y Nature Power Foundation (NPF) para promover el desarrollo de proyectos y actividades conjuntas, en materia de inclusión digital, sostenibilidad, responsabilidad social y vinculación a la agenda 2030 y sus objetivos de desarrollo sostenible (ODS), firmado el 26 de julio 2022</w:t>
      </w:r>
    </w:p>
    <w:p w14:paraId="24F7D155" w14:textId="2CBF2300" w:rsidR="004055E0" w:rsidRPr="00C62BB6" w:rsidRDefault="004F3A6D" w:rsidP="009A738B">
      <w:pPr>
        <w:pStyle w:val="NormalWeb"/>
        <w:spacing w:line="360" w:lineRule="auto"/>
        <w:jc w:val="both"/>
        <w:rPr>
          <w:rFonts w:eastAsia="Calibri"/>
          <w:color w:val="4C4747"/>
          <w:spacing w:val="20"/>
          <w:lang w:eastAsia="en-US"/>
        </w:rPr>
      </w:pPr>
      <w:r w:rsidRPr="00C62BB6">
        <w:rPr>
          <w:rFonts w:eastAsia="Calibri"/>
          <w:color w:val="4C4747"/>
          <w:spacing w:val="20"/>
          <w:lang w:eastAsia="en-US"/>
        </w:rPr>
        <w:t>Objetivo principal de</w:t>
      </w:r>
      <w:r w:rsidR="004055E0" w:rsidRPr="00C62BB6">
        <w:rPr>
          <w:rFonts w:eastAsia="Calibri"/>
          <w:color w:val="4C4747"/>
          <w:spacing w:val="20"/>
          <w:lang w:eastAsia="en-US"/>
        </w:rPr>
        <w:t xml:space="preserve"> promover el desarrollo de proyectos y actividades conjuntas, en materia de inclusión digital, sostenibilidad, responsabilidad social y vinculación a la agenda 2030 y sus objetivos de desarrollo sostenible (ODS).</w:t>
      </w:r>
    </w:p>
    <w:p w14:paraId="6966E7E9" w14:textId="599F2018" w:rsidR="009A738B" w:rsidRPr="00C62BB6" w:rsidRDefault="004055E0" w:rsidP="00943FA5">
      <w:pPr>
        <w:pStyle w:val="NormalWeb"/>
        <w:spacing w:line="360" w:lineRule="auto"/>
        <w:jc w:val="both"/>
        <w:rPr>
          <w:b/>
          <w:color w:val="4C4747"/>
          <w:spacing w:val="20"/>
        </w:rPr>
      </w:pPr>
      <w:r w:rsidRPr="00C62BB6">
        <w:rPr>
          <w:rFonts w:eastAsia="Calibri"/>
          <w:b/>
          <w:color w:val="4C4747"/>
          <w:spacing w:val="20"/>
          <w:lang w:eastAsia="en-US"/>
        </w:rPr>
        <w:t>Acuerdo interinstitucional de cooperación y coordinación pa</w:t>
      </w:r>
      <w:r w:rsidR="004F3A6D" w:rsidRPr="00C62BB6">
        <w:rPr>
          <w:rFonts w:eastAsia="Calibri"/>
          <w:b/>
          <w:color w:val="4C4747"/>
          <w:spacing w:val="20"/>
          <w:lang w:eastAsia="en-US"/>
        </w:rPr>
        <w:t>ra la cesión en uso de centros INDOTEL,</w:t>
      </w:r>
      <w:r w:rsidRPr="00C62BB6">
        <w:rPr>
          <w:rFonts w:eastAsia="Calibri"/>
          <w:b/>
          <w:color w:val="4C4747"/>
          <w:spacing w:val="20"/>
          <w:lang w:eastAsia="en-US"/>
        </w:rPr>
        <w:t xml:space="preserve"> para ser utilizados por la universidad Autónoma de Santo Domingo (UASD), firmado el 26 de julio 2022</w:t>
      </w:r>
    </w:p>
    <w:p w14:paraId="3471DFF4" w14:textId="7003ECDD" w:rsidR="004055E0" w:rsidRPr="00C62BB6" w:rsidRDefault="004055E0" w:rsidP="00943FA5">
      <w:pPr>
        <w:pStyle w:val="NormalWeb"/>
        <w:spacing w:line="360" w:lineRule="auto"/>
        <w:jc w:val="both"/>
        <w:rPr>
          <w:color w:val="4C4747"/>
          <w:spacing w:val="20"/>
        </w:rPr>
      </w:pPr>
      <w:r w:rsidRPr="00C62BB6">
        <w:rPr>
          <w:rFonts w:eastAsia="Calibri"/>
          <w:color w:val="4C4747"/>
          <w:spacing w:val="20"/>
          <w:lang w:eastAsia="en-US"/>
        </w:rPr>
        <w:t xml:space="preserve">Ceder en calidad de préstamos </w:t>
      </w:r>
      <w:r w:rsidR="004F3A6D" w:rsidRPr="00C62BB6">
        <w:rPr>
          <w:rFonts w:eastAsia="Calibri"/>
          <w:color w:val="4C4747"/>
          <w:spacing w:val="20"/>
          <w:lang w:eastAsia="en-US"/>
        </w:rPr>
        <w:t xml:space="preserve">a la UASD </w:t>
      </w:r>
      <w:r w:rsidRPr="00C62BB6">
        <w:rPr>
          <w:rFonts w:eastAsia="Calibri"/>
          <w:color w:val="4C4747"/>
          <w:spacing w:val="20"/>
          <w:lang w:eastAsia="en-US"/>
        </w:rPr>
        <w:t xml:space="preserve">y por consiguiente su gestión, sostenibilidad, dirección, administración, mantenimiento y supervisión.  </w:t>
      </w:r>
    </w:p>
    <w:p w14:paraId="5A9CC697" w14:textId="26503A2F" w:rsidR="004055E0" w:rsidRPr="00C62BB6" w:rsidRDefault="004055E0" w:rsidP="00943FA5">
      <w:pPr>
        <w:pStyle w:val="NormalWeb"/>
        <w:spacing w:line="360" w:lineRule="auto"/>
        <w:jc w:val="both"/>
        <w:rPr>
          <w:b/>
          <w:color w:val="4C4747"/>
          <w:spacing w:val="20"/>
        </w:rPr>
      </w:pPr>
      <w:r w:rsidRPr="00C62BB6">
        <w:rPr>
          <w:rFonts w:eastAsia="Calibri"/>
          <w:b/>
          <w:color w:val="4C4747"/>
          <w:spacing w:val="20"/>
          <w:lang w:eastAsia="en-US"/>
        </w:rPr>
        <w:t>Acuerdo de donación entre la compañía</w:t>
      </w:r>
      <w:r w:rsidR="004F3A6D" w:rsidRPr="00C62BB6">
        <w:rPr>
          <w:rFonts w:eastAsia="Calibri"/>
          <w:b/>
          <w:color w:val="4C4747"/>
          <w:spacing w:val="20"/>
          <w:lang w:eastAsia="en-US"/>
        </w:rPr>
        <w:t xml:space="preserve"> Huawei Technologies Dominicana </w:t>
      </w:r>
      <w:r w:rsidRPr="00C62BB6">
        <w:rPr>
          <w:rFonts w:eastAsia="Calibri"/>
          <w:b/>
          <w:color w:val="4C4747"/>
          <w:spacing w:val="20"/>
          <w:lang w:eastAsia="en-US"/>
        </w:rPr>
        <w:t>y el Instituto Dominicano de la Telecomunicaciones (INDOTEL), firmado el 01 de agosto 2022</w:t>
      </w:r>
    </w:p>
    <w:p w14:paraId="78371C37" w14:textId="5F02D02B" w:rsidR="004055E0" w:rsidRPr="00C62BB6" w:rsidRDefault="004055E0" w:rsidP="00943FA5">
      <w:pPr>
        <w:pStyle w:val="NormalWeb"/>
        <w:spacing w:line="360" w:lineRule="auto"/>
        <w:jc w:val="both"/>
        <w:rPr>
          <w:rFonts w:eastAsia="Calibri"/>
          <w:color w:val="4C4747"/>
          <w:spacing w:val="20"/>
          <w:lang w:eastAsia="en-US"/>
        </w:rPr>
      </w:pPr>
      <w:r w:rsidRPr="00C62BB6">
        <w:rPr>
          <w:rFonts w:eastAsia="Calibri"/>
          <w:color w:val="4C4747"/>
          <w:spacing w:val="20"/>
          <w:lang w:eastAsia="en-US"/>
        </w:rPr>
        <w:t>Donación de pantallas por parte de HUAWEI al INDOTEL.</w:t>
      </w:r>
    </w:p>
    <w:p w14:paraId="48B0B742" w14:textId="77777777" w:rsidR="004055E0" w:rsidRPr="00C62BB6" w:rsidRDefault="004055E0" w:rsidP="00943FA5">
      <w:pPr>
        <w:pStyle w:val="NormalWeb"/>
        <w:spacing w:line="360" w:lineRule="auto"/>
        <w:jc w:val="both"/>
        <w:rPr>
          <w:b/>
          <w:color w:val="4C4747"/>
          <w:spacing w:val="20"/>
        </w:rPr>
      </w:pPr>
      <w:r w:rsidRPr="00C62BB6">
        <w:rPr>
          <w:rFonts w:eastAsia="Calibri"/>
          <w:b/>
          <w:color w:val="4C4747"/>
          <w:spacing w:val="20"/>
          <w:lang w:eastAsia="en-US"/>
        </w:rPr>
        <w:t xml:space="preserve">Acuerdo Interinstitucional de Cooperación y Coordinación para la cesión en uso de un centro INDOTEL para la implementación del proyecto “Promoviendo Capacidades” de la Fundación Nacional de Trabajadores con Discapacidad de la Provincia </w:t>
      </w:r>
      <w:r w:rsidRPr="00C62BB6">
        <w:rPr>
          <w:rFonts w:eastAsia="Calibri"/>
          <w:b/>
          <w:color w:val="4C4747"/>
          <w:spacing w:val="20"/>
          <w:lang w:eastAsia="en-US"/>
        </w:rPr>
        <w:lastRenderedPageBreak/>
        <w:t>Valverde y la Gobernación Provincial de Valverde, firmado el 22 de agosto 2022</w:t>
      </w:r>
    </w:p>
    <w:p w14:paraId="1BBD30D3" w14:textId="3F146BC2" w:rsidR="004055E0" w:rsidRPr="00C62BB6" w:rsidRDefault="004055E0" w:rsidP="00943FA5">
      <w:pPr>
        <w:pStyle w:val="NormalWeb"/>
        <w:spacing w:line="360" w:lineRule="auto"/>
        <w:jc w:val="both"/>
        <w:rPr>
          <w:color w:val="4C4747"/>
          <w:spacing w:val="20"/>
        </w:rPr>
      </w:pPr>
      <w:r w:rsidRPr="00C62BB6">
        <w:rPr>
          <w:rFonts w:eastAsia="Calibri"/>
          <w:color w:val="4C4747"/>
          <w:spacing w:val="20"/>
          <w:lang w:eastAsia="en-US"/>
        </w:rPr>
        <w:t xml:space="preserve">Ceder en calidad de préstamos a la Gobernación Provincial de Valverde y por consiguiente su gestión, sostenibilidad, dirección, administración, mantenimiento y supervisión. </w:t>
      </w:r>
    </w:p>
    <w:p w14:paraId="0D76BCB5" w14:textId="0AA14B92" w:rsidR="004055E0" w:rsidRPr="00C62BB6" w:rsidRDefault="004055E0" w:rsidP="00943FA5">
      <w:pPr>
        <w:pStyle w:val="NormalWeb"/>
        <w:spacing w:line="360" w:lineRule="auto"/>
        <w:jc w:val="both"/>
        <w:rPr>
          <w:b/>
          <w:color w:val="4C4747"/>
          <w:spacing w:val="20"/>
        </w:rPr>
      </w:pPr>
      <w:r w:rsidRPr="00C62BB6">
        <w:rPr>
          <w:rFonts w:eastAsia="Calibri"/>
          <w:b/>
          <w:color w:val="4C4747"/>
          <w:spacing w:val="20"/>
          <w:lang w:eastAsia="en-US"/>
        </w:rPr>
        <w:t>Acuerdo de Cesión en uso de un centro INDOTEL</w:t>
      </w:r>
      <w:r w:rsidR="004F3A6D" w:rsidRPr="00C62BB6">
        <w:rPr>
          <w:rFonts w:eastAsia="Calibri"/>
          <w:b/>
          <w:color w:val="4C4747"/>
          <w:spacing w:val="20"/>
          <w:lang w:eastAsia="en-US"/>
        </w:rPr>
        <w:t xml:space="preserve"> para la implementación de una “</w:t>
      </w:r>
      <w:r w:rsidRPr="00C62BB6">
        <w:rPr>
          <w:rFonts w:eastAsia="Calibri"/>
          <w:b/>
          <w:color w:val="4C4747"/>
          <w:spacing w:val="20"/>
          <w:lang w:eastAsia="en-US"/>
        </w:rPr>
        <w:t xml:space="preserve">Oficina de control, inspección y vigilancia del Ministerio de Medio Ambiente y Recursos </w:t>
      </w:r>
      <w:r w:rsidR="004F3A6D" w:rsidRPr="00C62BB6">
        <w:rPr>
          <w:rFonts w:eastAsia="Calibri"/>
          <w:b/>
          <w:color w:val="4C4747"/>
          <w:spacing w:val="20"/>
          <w:lang w:eastAsia="en-US"/>
        </w:rPr>
        <w:t>Naturales”</w:t>
      </w:r>
      <w:r w:rsidRPr="00C62BB6">
        <w:rPr>
          <w:rFonts w:eastAsia="Calibri"/>
          <w:b/>
          <w:color w:val="4C4747"/>
          <w:spacing w:val="20"/>
          <w:lang w:eastAsia="en-US"/>
        </w:rPr>
        <w:t xml:space="preserve"> en las Calderas municipio Bani provincia Peravia, firmado el 10 de octubre 2022</w:t>
      </w:r>
    </w:p>
    <w:p w14:paraId="50CCFD6A" w14:textId="1A156BD5" w:rsidR="004055E0" w:rsidRPr="00C62BB6" w:rsidRDefault="004055E0" w:rsidP="00943FA5">
      <w:pPr>
        <w:pStyle w:val="NormalWeb"/>
        <w:spacing w:line="360" w:lineRule="auto"/>
        <w:jc w:val="both"/>
        <w:rPr>
          <w:color w:val="4C4747"/>
          <w:spacing w:val="20"/>
        </w:rPr>
      </w:pPr>
      <w:r w:rsidRPr="00C62BB6">
        <w:rPr>
          <w:rFonts w:eastAsia="Calibri"/>
          <w:color w:val="4C4747"/>
          <w:spacing w:val="20"/>
          <w:lang w:eastAsia="en-US"/>
        </w:rPr>
        <w:t>Ceder en calidad de préstamos en las Calderas municipio Bani provincia Peravia y por consiguiente su gestión, sostenibilidad, dirección, administración, mantenimiento y supervisión.</w:t>
      </w:r>
    </w:p>
    <w:p w14:paraId="7A8BE8FE" w14:textId="1B913FD2" w:rsidR="004055E0" w:rsidRPr="00C62BB6" w:rsidRDefault="004055E0" w:rsidP="00943FA5">
      <w:pPr>
        <w:pStyle w:val="NormalWeb"/>
        <w:spacing w:line="360" w:lineRule="auto"/>
        <w:jc w:val="both"/>
        <w:rPr>
          <w:b/>
          <w:color w:val="4C4747"/>
          <w:spacing w:val="20"/>
        </w:rPr>
      </w:pPr>
      <w:r w:rsidRPr="00C62BB6">
        <w:rPr>
          <w:rFonts w:eastAsia="Calibri"/>
          <w:b/>
          <w:color w:val="4C4747"/>
          <w:spacing w:val="20"/>
          <w:lang w:eastAsia="en-US"/>
        </w:rPr>
        <w:t>Acuerdo interinstitucional de cooperación y  coordinación para la cesión en uso de un centro INDOTEL para la instalación de la Junta Distrital la Ciénaga, provincia San José de Ocoa, firmado el 24 de octubre 2022</w:t>
      </w:r>
    </w:p>
    <w:p w14:paraId="530C57CD" w14:textId="2EA0046C" w:rsidR="004055E0" w:rsidRPr="00C62BB6" w:rsidRDefault="004055E0" w:rsidP="00943FA5">
      <w:pPr>
        <w:pStyle w:val="NormalWeb"/>
        <w:spacing w:line="360" w:lineRule="auto"/>
        <w:jc w:val="both"/>
        <w:rPr>
          <w:color w:val="4C4747"/>
          <w:spacing w:val="20"/>
        </w:rPr>
      </w:pPr>
      <w:r w:rsidRPr="00C62BB6">
        <w:rPr>
          <w:rFonts w:eastAsia="Calibri"/>
          <w:color w:val="4C4747"/>
          <w:spacing w:val="20"/>
          <w:lang w:eastAsia="en-US"/>
        </w:rPr>
        <w:t>Ceder en calidad de préstamos a la gobernación de San José de Ocoa y por consiguiente su gestión, sostenibilidad, dirección, administración, mantenimiento y supervisión del inmueble.</w:t>
      </w:r>
    </w:p>
    <w:p w14:paraId="647655DA" w14:textId="00A9AF44" w:rsidR="004055E0" w:rsidRPr="00C62BB6" w:rsidRDefault="004055E0" w:rsidP="00943FA5">
      <w:pPr>
        <w:pStyle w:val="NormalWeb"/>
        <w:spacing w:line="360" w:lineRule="auto"/>
        <w:jc w:val="both"/>
        <w:rPr>
          <w:b/>
          <w:color w:val="4C4747"/>
          <w:spacing w:val="20"/>
        </w:rPr>
      </w:pPr>
      <w:r w:rsidRPr="00C62BB6">
        <w:rPr>
          <w:rFonts w:eastAsia="Calibri"/>
          <w:b/>
          <w:color w:val="4C4747"/>
          <w:spacing w:val="20"/>
          <w:lang w:eastAsia="en-US"/>
        </w:rPr>
        <w:t>Acuerdo interinstitucional de cooperación y  coordinación para la cesión en uso de  centros INDOTEL  para la ser utilizados por la Defensa Civil, firmado el 31 de octubre 2022</w:t>
      </w:r>
    </w:p>
    <w:p w14:paraId="67779C7D" w14:textId="769B9B2C" w:rsidR="004055E0" w:rsidRPr="00C62BB6" w:rsidRDefault="004055E0" w:rsidP="00943FA5">
      <w:pPr>
        <w:pStyle w:val="NormalWeb"/>
        <w:spacing w:line="360" w:lineRule="auto"/>
        <w:jc w:val="both"/>
        <w:rPr>
          <w:color w:val="4C4747"/>
          <w:spacing w:val="20"/>
        </w:rPr>
      </w:pPr>
      <w:r w:rsidRPr="00C62BB6">
        <w:rPr>
          <w:rFonts w:eastAsia="Calibri"/>
          <w:color w:val="4C4747"/>
          <w:spacing w:val="20"/>
          <w:lang w:eastAsia="en-US"/>
        </w:rPr>
        <w:t>Ceder en calidad de préstamos a la Defensa Civil y por consiguiente su gestión, sostenibilidad, dirección, administración, mantenimiento y supervisión de internet de banda ancha</w:t>
      </w:r>
    </w:p>
    <w:p w14:paraId="2E50C3F0" w14:textId="3B7D2813" w:rsidR="009A738B" w:rsidRPr="00C62BB6" w:rsidRDefault="004055E0" w:rsidP="00A02BDE">
      <w:pPr>
        <w:pStyle w:val="NormalWeb"/>
        <w:numPr>
          <w:ilvl w:val="0"/>
          <w:numId w:val="25"/>
        </w:numPr>
        <w:spacing w:line="360" w:lineRule="auto"/>
        <w:jc w:val="both"/>
        <w:rPr>
          <w:b/>
          <w:color w:val="4C4747"/>
          <w:spacing w:val="20"/>
        </w:rPr>
      </w:pPr>
      <w:r w:rsidRPr="00C62BB6">
        <w:rPr>
          <w:rFonts w:eastAsia="Calibri"/>
          <w:b/>
          <w:color w:val="4C4747"/>
          <w:spacing w:val="20"/>
          <w:lang w:eastAsia="en-US"/>
        </w:rPr>
        <w:lastRenderedPageBreak/>
        <w:t>C</w:t>
      </w:r>
      <w:r w:rsidR="009A738B" w:rsidRPr="00C62BB6">
        <w:rPr>
          <w:rFonts w:eastAsia="Calibri"/>
          <w:b/>
          <w:color w:val="4C4747"/>
          <w:spacing w:val="20"/>
          <w:lang w:eastAsia="en-US"/>
        </w:rPr>
        <w:t>artas compromisos</w:t>
      </w:r>
    </w:p>
    <w:p w14:paraId="49566D1D" w14:textId="56AA58DF" w:rsidR="00AE6CC8" w:rsidRPr="00C62BB6" w:rsidRDefault="00AE6CC8" w:rsidP="00943FA5">
      <w:pPr>
        <w:pStyle w:val="NormalWeb"/>
        <w:spacing w:line="360" w:lineRule="auto"/>
        <w:jc w:val="both"/>
        <w:rPr>
          <w:b/>
          <w:color w:val="4C4747"/>
          <w:spacing w:val="20"/>
        </w:rPr>
      </w:pPr>
      <w:r w:rsidRPr="00C62BB6">
        <w:rPr>
          <w:rFonts w:eastAsia="Calibri"/>
          <w:b/>
          <w:color w:val="4C4747"/>
          <w:spacing w:val="20"/>
          <w:lang w:eastAsia="en-US"/>
        </w:rPr>
        <w:t xml:space="preserve">Carta compromiso para acceso y uso de puntos </w:t>
      </w:r>
      <w:r w:rsidR="004F3A6D" w:rsidRPr="00C62BB6">
        <w:rPr>
          <w:rFonts w:eastAsia="Calibri"/>
          <w:b/>
          <w:color w:val="4C4747"/>
          <w:spacing w:val="20"/>
          <w:lang w:eastAsia="en-US"/>
        </w:rPr>
        <w:t>Wi-Fi</w:t>
      </w:r>
      <w:r w:rsidRPr="00C62BB6">
        <w:rPr>
          <w:rFonts w:eastAsia="Calibri"/>
          <w:b/>
          <w:color w:val="4C4747"/>
          <w:spacing w:val="20"/>
          <w:lang w:eastAsia="en-US"/>
        </w:rPr>
        <w:t xml:space="preserve"> en el marco de la iniciativa "Dominicana Conectada" entre el Instituto Dominicano de las Telecomunicaciones (INDOTEL) y la escuela primaria Savio Fe y Alegría, firmado </w:t>
      </w:r>
      <w:r w:rsidR="004F3A6D" w:rsidRPr="00C62BB6">
        <w:rPr>
          <w:rFonts w:eastAsia="Calibri"/>
          <w:b/>
          <w:color w:val="4C4747"/>
          <w:spacing w:val="20"/>
          <w:lang w:eastAsia="en-US"/>
        </w:rPr>
        <w:t xml:space="preserve">el </w:t>
      </w:r>
      <w:r w:rsidRPr="00C62BB6">
        <w:rPr>
          <w:rFonts w:eastAsia="Calibri"/>
          <w:b/>
          <w:color w:val="4C4747"/>
          <w:spacing w:val="20"/>
          <w:lang w:eastAsia="en-US"/>
        </w:rPr>
        <w:t>1 de julio 2022</w:t>
      </w:r>
    </w:p>
    <w:p w14:paraId="3804C97E" w14:textId="1FC8C3B2" w:rsidR="00AE6CC8" w:rsidRPr="00C62BB6" w:rsidRDefault="00AE6CC8" w:rsidP="00943FA5">
      <w:pPr>
        <w:pStyle w:val="NormalWeb"/>
        <w:spacing w:line="360" w:lineRule="auto"/>
        <w:jc w:val="both"/>
        <w:rPr>
          <w:color w:val="4C4747"/>
          <w:spacing w:val="20"/>
        </w:rPr>
      </w:pPr>
      <w:r w:rsidRPr="00C62BB6">
        <w:rPr>
          <w:rFonts w:eastAsia="Calibri"/>
          <w:color w:val="4C4747"/>
          <w:spacing w:val="20"/>
          <w:lang w:eastAsia="en-US"/>
        </w:rPr>
        <w:t>Proveer cobertura inalámbrica para acceder al servicio de internet banda ancha.</w:t>
      </w:r>
    </w:p>
    <w:p w14:paraId="13A4D21F" w14:textId="30B74799" w:rsidR="00AE6CC8" w:rsidRPr="00C62BB6" w:rsidRDefault="00AE6CC8" w:rsidP="00943FA5">
      <w:pPr>
        <w:pStyle w:val="NormalWeb"/>
        <w:spacing w:line="360" w:lineRule="auto"/>
        <w:jc w:val="both"/>
        <w:rPr>
          <w:b/>
          <w:color w:val="4C4747"/>
          <w:spacing w:val="20"/>
        </w:rPr>
      </w:pPr>
      <w:r w:rsidRPr="00C62BB6">
        <w:rPr>
          <w:rFonts w:eastAsia="Calibri"/>
          <w:b/>
          <w:color w:val="4C4747"/>
          <w:spacing w:val="20"/>
          <w:lang w:eastAsia="en-US"/>
        </w:rPr>
        <w:t xml:space="preserve">Carta compromiso para acceso y uso de puntos </w:t>
      </w:r>
      <w:r w:rsidR="004F3A6D" w:rsidRPr="00C62BB6">
        <w:rPr>
          <w:rFonts w:eastAsia="Calibri"/>
          <w:b/>
          <w:color w:val="4C4747"/>
          <w:spacing w:val="20"/>
          <w:lang w:eastAsia="en-US"/>
        </w:rPr>
        <w:t>Wi-Fi en el marco de la iniciativa "Dominicana C</w:t>
      </w:r>
      <w:r w:rsidRPr="00C62BB6">
        <w:rPr>
          <w:rFonts w:eastAsia="Calibri"/>
          <w:b/>
          <w:color w:val="4C4747"/>
          <w:spacing w:val="20"/>
          <w:lang w:eastAsia="en-US"/>
        </w:rPr>
        <w:t xml:space="preserve">onectada" entre el Instituto Dominicano de las Telecomunicaciones (INDOTEL) y el Hogar Escuela Pituca Flores, firmado </w:t>
      </w:r>
      <w:r w:rsidR="004F3A6D" w:rsidRPr="00C62BB6">
        <w:rPr>
          <w:rFonts w:eastAsia="Calibri"/>
          <w:b/>
          <w:color w:val="4C4747"/>
          <w:spacing w:val="20"/>
          <w:lang w:eastAsia="en-US"/>
        </w:rPr>
        <w:t xml:space="preserve">el </w:t>
      </w:r>
      <w:r w:rsidRPr="00C62BB6">
        <w:rPr>
          <w:rFonts w:eastAsia="Calibri"/>
          <w:b/>
          <w:color w:val="4C4747"/>
          <w:spacing w:val="20"/>
          <w:lang w:eastAsia="en-US"/>
        </w:rPr>
        <w:t>01 de julio 2022</w:t>
      </w:r>
    </w:p>
    <w:p w14:paraId="37CAAD93" w14:textId="3C28926B" w:rsidR="00AE6CC8" w:rsidRPr="00C62BB6" w:rsidRDefault="00AE6CC8" w:rsidP="00943FA5">
      <w:pPr>
        <w:pStyle w:val="NormalWeb"/>
        <w:spacing w:line="360" w:lineRule="auto"/>
        <w:jc w:val="both"/>
        <w:rPr>
          <w:color w:val="4C4747"/>
          <w:spacing w:val="20"/>
        </w:rPr>
      </w:pPr>
      <w:r w:rsidRPr="00C62BB6">
        <w:rPr>
          <w:rFonts w:eastAsia="Calibri"/>
          <w:color w:val="4C4747"/>
          <w:spacing w:val="20"/>
          <w:lang w:eastAsia="en-US"/>
        </w:rPr>
        <w:t>Proveer cobertura inalámbrica para acceder al servicio de internet banda ancha.</w:t>
      </w:r>
    </w:p>
    <w:p w14:paraId="18870E0D" w14:textId="5FF0C569" w:rsidR="009D69C6" w:rsidRPr="00C62BB6" w:rsidRDefault="009A738B" w:rsidP="00943FA5">
      <w:pPr>
        <w:pStyle w:val="NormalWeb"/>
        <w:spacing w:line="360" w:lineRule="auto"/>
        <w:jc w:val="both"/>
        <w:rPr>
          <w:b/>
          <w:color w:val="4C4747"/>
          <w:spacing w:val="20"/>
        </w:rPr>
      </w:pPr>
      <w:r w:rsidRPr="00C62BB6">
        <w:rPr>
          <w:rFonts w:eastAsia="Calibri"/>
          <w:b/>
          <w:color w:val="4C4747"/>
          <w:spacing w:val="20"/>
          <w:lang w:eastAsia="en-US"/>
        </w:rPr>
        <w:t xml:space="preserve">Carta compromiso para acceso y uso de puntos </w:t>
      </w:r>
      <w:r w:rsidR="004F3A6D" w:rsidRPr="00C62BB6">
        <w:rPr>
          <w:rFonts w:eastAsia="Calibri"/>
          <w:b/>
          <w:color w:val="4C4747"/>
          <w:spacing w:val="20"/>
          <w:lang w:eastAsia="en-US"/>
        </w:rPr>
        <w:t>Wi-Fi</w:t>
      </w:r>
      <w:r w:rsidRPr="00C62BB6">
        <w:rPr>
          <w:rFonts w:eastAsia="Calibri"/>
          <w:b/>
          <w:color w:val="4C4747"/>
          <w:spacing w:val="20"/>
          <w:lang w:eastAsia="en-US"/>
        </w:rPr>
        <w:t xml:space="preserve"> en el ma</w:t>
      </w:r>
      <w:r w:rsidR="004F3A6D" w:rsidRPr="00C62BB6">
        <w:rPr>
          <w:rFonts w:eastAsia="Calibri"/>
          <w:b/>
          <w:color w:val="4C4747"/>
          <w:spacing w:val="20"/>
          <w:lang w:eastAsia="en-US"/>
        </w:rPr>
        <w:t>rco de la iniciativa "Dominicana C</w:t>
      </w:r>
      <w:r w:rsidRPr="00C62BB6">
        <w:rPr>
          <w:rFonts w:eastAsia="Calibri"/>
          <w:b/>
          <w:color w:val="4C4747"/>
          <w:spacing w:val="20"/>
          <w:lang w:eastAsia="en-US"/>
        </w:rPr>
        <w:t>onectada" entre el Instituto Dominicano de las Telecomunicaciones (INDOTEL) y el Cuerpo de Bomberos Santo Domingo, firmado el 01 de julio 2022</w:t>
      </w:r>
    </w:p>
    <w:p w14:paraId="0A647B11" w14:textId="0F4A517D" w:rsidR="009A738B" w:rsidRPr="00C62BB6" w:rsidRDefault="009A738B" w:rsidP="00943FA5">
      <w:pPr>
        <w:pStyle w:val="NormalWeb"/>
        <w:spacing w:line="360" w:lineRule="auto"/>
        <w:jc w:val="both"/>
        <w:rPr>
          <w:color w:val="4C4747"/>
          <w:spacing w:val="20"/>
        </w:rPr>
      </w:pPr>
      <w:r w:rsidRPr="00C62BB6">
        <w:rPr>
          <w:rFonts w:eastAsia="Calibri"/>
          <w:color w:val="4C4747"/>
          <w:spacing w:val="20"/>
          <w:lang w:eastAsia="en-US"/>
        </w:rPr>
        <w:t>Proveer cobertura inalámbrica para acceder al servicio de internet banda ancha.</w:t>
      </w:r>
    </w:p>
    <w:p w14:paraId="4753A0FB" w14:textId="2484B30E" w:rsidR="009A738B" w:rsidRPr="00C62BB6" w:rsidRDefault="009A738B" w:rsidP="00943FA5">
      <w:pPr>
        <w:pStyle w:val="NormalWeb"/>
        <w:spacing w:line="360" w:lineRule="auto"/>
        <w:jc w:val="both"/>
        <w:rPr>
          <w:b/>
          <w:color w:val="4C4747"/>
          <w:spacing w:val="20"/>
        </w:rPr>
      </w:pPr>
      <w:r w:rsidRPr="00C62BB6">
        <w:rPr>
          <w:rFonts w:eastAsia="Calibri"/>
          <w:b/>
          <w:color w:val="4C4747"/>
          <w:spacing w:val="20"/>
          <w:lang w:eastAsia="en-US"/>
        </w:rPr>
        <w:t xml:space="preserve">Carta compromiso para acceso y uso de puntos </w:t>
      </w:r>
      <w:r w:rsidR="004F3A6D" w:rsidRPr="00C62BB6">
        <w:rPr>
          <w:rFonts w:eastAsia="Calibri"/>
          <w:b/>
          <w:color w:val="4C4747"/>
          <w:spacing w:val="20"/>
          <w:lang w:eastAsia="en-US"/>
        </w:rPr>
        <w:t xml:space="preserve">Wi-Fi </w:t>
      </w:r>
      <w:r w:rsidRPr="00C62BB6">
        <w:rPr>
          <w:rFonts w:eastAsia="Calibri"/>
          <w:b/>
          <w:color w:val="4C4747"/>
          <w:spacing w:val="20"/>
          <w:lang w:eastAsia="en-US"/>
        </w:rPr>
        <w:t xml:space="preserve">en el marco de la iniciativa "Dominicana Conectada" entre </w:t>
      </w:r>
      <w:r w:rsidR="004F3A6D" w:rsidRPr="00C62BB6">
        <w:rPr>
          <w:rFonts w:eastAsia="Calibri"/>
          <w:b/>
          <w:color w:val="4C4747"/>
          <w:spacing w:val="20"/>
          <w:lang w:eastAsia="en-US"/>
        </w:rPr>
        <w:t>el Instituto Dominicano de las T</w:t>
      </w:r>
      <w:r w:rsidRPr="00C62BB6">
        <w:rPr>
          <w:rFonts w:eastAsia="Calibri"/>
          <w:b/>
          <w:color w:val="4C4747"/>
          <w:spacing w:val="20"/>
          <w:lang w:eastAsia="en-US"/>
        </w:rPr>
        <w:t>elecomunicaciones (INDOTEL) y el Hogar de Ancianos Diurno, firmado el 01 de julio 2022</w:t>
      </w:r>
    </w:p>
    <w:p w14:paraId="315187C9" w14:textId="373F240E" w:rsidR="009A738B" w:rsidRPr="00C62BB6" w:rsidRDefault="009A738B" w:rsidP="00943FA5">
      <w:pPr>
        <w:pStyle w:val="NormalWeb"/>
        <w:spacing w:line="360" w:lineRule="auto"/>
        <w:jc w:val="both"/>
        <w:rPr>
          <w:color w:val="4C4747"/>
          <w:spacing w:val="20"/>
        </w:rPr>
      </w:pPr>
      <w:r w:rsidRPr="00C62BB6">
        <w:rPr>
          <w:rFonts w:eastAsia="Calibri"/>
          <w:color w:val="4C4747"/>
          <w:spacing w:val="20"/>
          <w:lang w:eastAsia="en-US"/>
        </w:rPr>
        <w:t>Proveer cobertura inalámbrica para acceder al servicio de internet banda ancha.</w:t>
      </w:r>
    </w:p>
    <w:p w14:paraId="6E53A029" w14:textId="000D32E6" w:rsidR="009A738B" w:rsidRPr="00A4233F" w:rsidRDefault="009A738B" w:rsidP="00943FA5">
      <w:pPr>
        <w:pStyle w:val="NormalWeb"/>
        <w:spacing w:line="360" w:lineRule="auto"/>
        <w:jc w:val="both"/>
        <w:rPr>
          <w:b/>
          <w:color w:val="4C4747"/>
          <w:spacing w:val="20"/>
        </w:rPr>
      </w:pPr>
      <w:r w:rsidRPr="00A4233F">
        <w:rPr>
          <w:rFonts w:eastAsia="Calibri"/>
          <w:b/>
          <w:color w:val="4C4747"/>
          <w:spacing w:val="20"/>
          <w:lang w:eastAsia="en-US"/>
        </w:rPr>
        <w:lastRenderedPageBreak/>
        <w:t xml:space="preserve">Carta compromiso para acceso y uso de puntos </w:t>
      </w:r>
      <w:r w:rsidR="004F3A6D" w:rsidRPr="00A4233F">
        <w:rPr>
          <w:rFonts w:eastAsia="Calibri"/>
          <w:b/>
          <w:color w:val="4C4747"/>
          <w:spacing w:val="20"/>
          <w:lang w:eastAsia="en-US"/>
        </w:rPr>
        <w:t>Wi-Fi en el marco de la iniciativa "Dominicana C</w:t>
      </w:r>
      <w:r w:rsidRPr="00A4233F">
        <w:rPr>
          <w:rFonts w:eastAsia="Calibri"/>
          <w:b/>
          <w:color w:val="4C4747"/>
          <w:spacing w:val="20"/>
          <w:lang w:eastAsia="en-US"/>
        </w:rPr>
        <w:t>onectada" entre el Instituto Dominicano de las Telecomunicaciones (INDOTEL) y la Escuela Solidaridad entre Herma</w:t>
      </w:r>
      <w:r w:rsidR="004F3A6D" w:rsidRPr="00A4233F">
        <w:rPr>
          <w:rFonts w:eastAsia="Calibri"/>
          <w:b/>
          <w:color w:val="4C4747"/>
          <w:spacing w:val="20"/>
          <w:lang w:eastAsia="en-US"/>
        </w:rPr>
        <w:t>nos- Solher</w:t>
      </w:r>
      <w:r w:rsidRPr="00A4233F">
        <w:rPr>
          <w:rFonts w:eastAsia="Calibri"/>
          <w:b/>
          <w:color w:val="4C4747"/>
          <w:spacing w:val="20"/>
          <w:lang w:eastAsia="en-US"/>
        </w:rPr>
        <w:t>, firmado el 01 de julio 2022</w:t>
      </w:r>
    </w:p>
    <w:p w14:paraId="50A36D70" w14:textId="77777777" w:rsidR="009A738B" w:rsidRPr="00A4233F"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665AE059" w14:textId="14290AF1" w:rsidR="009A738B" w:rsidRPr="00A4233F" w:rsidRDefault="009A738B" w:rsidP="00943FA5">
      <w:pPr>
        <w:pStyle w:val="NormalWeb"/>
        <w:spacing w:line="360" w:lineRule="auto"/>
        <w:jc w:val="both"/>
        <w:rPr>
          <w:b/>
          <w:color w:val="4C4747"/>
          <w:spacing w:val="20"/>
        </w:rPr>
      </w:pPr>
      <w:r w:rsidRPr="00A4233F">
        <w:rPr>
          <w:rFonts w:eastAsia="Calibri"/>
          <w:b/>
          <w:color w:val="4C4747"/>
          <w:spacing w:val="20"/>
          <w:lang w:eastAsia="en-US"/>
        </w:rPr>
        <w:t xml:space="preserve">Carta compromiso para acceso y uso de puntos </w:t>
      </w:r>
      <w:r w:rsidR="004F3A6D" w:rsidRPr="00A4233F">
        <w:rPr>
          <w:rFonts w:eastAsia="Calibri"/>
          <w:b/>
          <w:color w:val="4C4747"/>
          <w:spacing w:val="20"/>
          <w:lang w:eastAsia="en-US"/>
        </w:rPr>
        <w:t>Wi-Fi</w:t>
      </w:r>
      <w:r w:rsidRPr="00A4233F">
        <w:rPr>
          <w:rFonts w:eastAsia="Calibri"/>
          <w:b/>
          <w:color w:val="4C4747"/>
          <w:spacing w:val="20"/>
          <w:lang w:eastAsia="en-US"/>
        </w:rPr>
        <w:t xml:space="preserve"> en el marco de la iniciativa "Dominicana Conectada" entre el Instituto Dominicano de las Telecomunicaciones (INDOTEL) y el Parque Duarte de San Pedro Quisqueya, firmado el 01 de julio 2022</w:t>
      </w:r>
    </w:p>
    <w:p w14:paraId="6E280EA3" w14:textId="77777777" w:rsidR="009A738B" w:rsidRPr="00A4233F"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391BC879" w14:textId="52A78EF5" w:rsidR="009A738B" w:rsidRPr="00A4233F" w:rsidRDefault="009A738B" w:rsidP="00943FA5">
      <w:pPr>
        <w:pStyle w:val="NormalWeb"/>
        <w:spacing w:line="360" w:lineRule="auto"/>
        <w:jc w:val="both"/>
        <w:rPr>
          <w:b/>
          <w:color w:val="4C4747"/>
          <w:spacing w:val="20"/>
        </w:rPr>
      </w:pPr>
      <w:r w:rsidRPr="00A4233F">
        <w:rPr>
          <w:rFonts w:eastAsia="Calibri"/>
          <w:b/>
          <w:color w:val="4C4747"/>
          <w:spacing w:val="20"/>
          <w:lang w:eastAsia="en-US"/>
        </w:rPr>
        <w:t xml:space="preserve">Carta compromiso para acceso y uso de puntos </w:t>
      </w:r>
      <w:r w:rsidR="004F3A6D" w:rsidRPr="00A4233F">
        <w:rPr>
          <w:rFonts w:eastAsia="Calibri"/>
          <w:b/>
          <w:color w:val="4C4747"/>
          <w:spacing w:val="20"/>
          <w:lang w:eastAsia="en-US"/>
        </w:rPr>
        <w:t>Wi-Fi</w:t>
      </w:r>
      <w:r w:rsidRPr="00A4233F">
        <w:rPr>
          <w:rFonts w:eastAsia="Calibri"/>
          <w:b/>
          <w:color w:val="4C4747"/>
          <w:spacing w:val="20"/>
          <w:lang w:eastAsia="en-US"/>
        </w:rPr>
        <w:t xml:space="preserve"> en el marco de la iniciativa "Dominicana Conectada" entre el Instituto Dominicano de las Telecomunicaciones (INDOTEL) y el Hospital Dr. Rodolfo de la Cruz Lora, firmado el 01 de julio 2022</w:t>
      </w:r>
    </w:p>
    <w:p w14:paraId="1C5E535F" w14:textId="77777777" w:rsidR="009A738B" w:rsidRPr="00A4233F"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6E49B18E" w14:textId="62587D12" w:rsidR="009A738B" w:rsidRPr="00A4233F" w:rsidRDefault="009A738B" w:rsidP="00943FA5">
      <w:pPr>
        <w:pStyle w:val="NormalWeb"/>
        <w:spacing w:line="360" w:lineRule="auto"/>
        <w:jc w:val="both"/>
        <w:rPr>
          <w:b/>
          <w:color w:val="4C4747"/>
          <w:spacing w:val="20"/>
        </w:rPr>
      </w:pPr>
      <w:r w:rsidRPr="00A4233F">
        <w:rPr>
          <w:rFonts w:eastAsia="Calibri"/>
          <w:b/>
          <w:color w:val="4C4747"/>
          <w:spacing w:val="20"/>
          <w:lang w:eastAsia="en-US"/>
        </w:rPr>
        <w:t xml:space="preserve">Carta compromiso para acceso y uso de puntos </w:t>
      </w:r>
      <w:r w:rsidR="004F3A6D" w:rsidRPr="00A4233F">
        <w:rPr>
          <w:rFonts w:eastAsia="Calibri"/>
          <w:b/>
          <w:color w:val="4C4747"/>
          <w:spacing w:val="20"/>
          <w:lang w:eastAsia="en-US"/>
        </w:rPr>
        <w:t>Wi-Fi</w:t>
      </w:r>
      <w:r w:rsidRPr="00A4233F">
        <w:rPr>
          <w:rFonts w:eastAsia="Calibri"/>
          <w:b/>
          <w:color w:val="4C4747"/>
          <w:spacing w:val="20"/>
          <w:lang w:eastAsia="en-US"/>
        </w:rPr>
        <w:t xml:space="preserve"> en el marco de la iniciativa "Dominicana Conectada" entre el Instituto Dominicano de las Telecomunicaciones (INDOTEL) y el Parque Monción, firmado el 01 de julio 2022</w:t>
      </w:r>
    </w:p>
    <w:p w14:paraId="55975987" w14:textId="77777777" w:rsidR="009A738B"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621DBD8B" w14:textId="77777777" w:rsidR="001332BD" w:rsidRPr="00A4233F" w:rsidRDefault="001332BD" w:rsidP="009A738B">
      <w:pPr>
        <w:pStyle w:val="NormalWeb"/>
        <w:spacing w:line="360" w:lineRule="auto"/>
        <w:jc w:val="both"/>
        <w:rPr>
          <w:rFonts w:eastAsia="Calibri"/>
          <w:color w:val="4C4747"/>
          <w:spacing w:val="20"/>
          <w:lang w:eastAsia="en-US"/>
        </w:rPr>
      </w:pPr>
    </w:p>
    <w:p w14:paraId="1ECAEAEE" w14:textId="6A24D1EC" w:rsidR="009A738B" w:rsidRPr="00A4233F" w:rsidRDefault="004F3A6D" w:rsidP="00943FA5">
      <w:pPr>
        <w:pStyle w:val="NormalWeb"/>
        <w:spacing w:line="360" w:lineRule="auto"/>
        <w:jc w:val="both"/>
        <w:rPr>
          <w:b/>
          <w:color w:val="4C4747"/>
          <w:spacing w:val="20"/>
        </w:rPr>
      </w:pPr>
      <w:r w:rsidRPr="00A4233F">
        <w:rPr>
          <w:rFonts w:eastAsia="Calibri"/>
          <w:b/>
          <w:color w:val="4C4747"/>
          <w:spacing w:val="20"/>
          <w:lang w:eastAsia="en-US"/>
        </w:rPr>
        <w:lastRenderedPageBreak/>
        <w:t xml:space="preserve">Carta compromiso para acceso y uso de puntos Wi-Fi en el marco de la </w:t>
      </w:r>
      <w:r w:rsidR="009A738B" w:rsidRPr="00A4233F">
        <w:rPr>
          <w:rFonts w:eastAsia="Calibri"/>
          <w:b/>
          <w:color w:val="4C4747"/>
          <w:spacing w:val="20"/>
          <w:lang w:eastAsia="en-US"/>
        </w:rPr>
        <w:t>iniciativa "Dominicana Conectada" entre el Instituto Dominicano de las Telecomunicaciones (INDOTEL) y el Comité Nacional de Desarrollo Integral y Comunitario-Condic, firmado el 01 de julio 2022</w:t>
      </w:r>
    </w:p>
    <w:p w14:paraId="5A29583B" w14:textId="77777777" w:rsidR="009A738B" w:rsidRPr="00A4233F"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57C8D907" w14:textId="4BD38196" w:rsidR="009A738B" w:rsidRPr="00A4233F" w:rsidRDefault="009A738B" w:rsidP="00943FA5">
      <w:pPr>
        <w:pStyle w:val="NormalWeb"/>
        <w:spacing w:line="360" w:lineRule="auto"/>
        <w:jc w:val="both"/>
        <w:rPr>
          <w:b/>
          <w:color w:val="4C4747"/>
          <w:spacing w:val="20"/>
        </w:rPr>
      </w:pPr>
      <w:r w:rsidRPr="00A4233F">
        <w:rPr>
          <w:rFonts w:eastAsia="Calibri"/>
          <w:b/>
          <w:color w:val="4C4747"/>
          <w:spacing w:val="20"/>
          <w:lang w:eastAsia="en-US"/>
        </w:rPr>
        <w:t xml:space="preserve">Carta compromiso para acceso y uso de puntos </w:t>
      </w:r>
      <w:r w:rsidR="004F3A6D" w:rsidRPr="00A4233F">
        <w:rPr>
          <w:rFonts w:eastAsia="Calibri"/>
          <w:b/>
          <w:color w:val="4C4747"/>
          <w:spacing w:val="20"/>
          <w:lang w:eastAsia="en-US"/>
        </w:rPr>
        <w:t xml:space="preserve">Wi-Fi </w:t>
      </w:r>
      <w:r w:rsidRPr="00A4233F">
        <w:rPr>
          <w:rFonts w:eastAsia="Calibri"/>
          <w:b/>
          <w:color w:val="4C4747"/>
          <w:spacing w:val="20"/>
          <w:lang w:eastAsia="en-US"/>
        </w:rPr>
        <w:t>en el marco de la iniciativa "Dominicana Conectada" entre el Instituto Dominicano de las Telecomunicaciones (INDOTEL) y el Centro Hub de Desarrollo Social, firmado el 01 de julio 2022</w:t>
      </w:r>
    </w:p>
    <w:p w14:paraId="77BC5BF5" w14:textId="77777777" w:rsidR="009A738B" w:rsidRPr="00A4233F"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1020CA1B" w14:textId="24AB906E" w:rsidR="009A738B" w:rsidRPr="00A4233F" w:rsidRDefault="009A738B" w:rsidP="009A738B">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t xml:space="preserve">Carta compromiso para acceso y uso de puntos </w:t>
      </w:r>
      <w:r w:rsidR="004F3A6D" w:rsidRPr="00A4233F">
        <w:rPr>
          <w:rFonts w:eastAsia="Calibri"/>
          <w:b/>
          <w:color w:val="4C4747"/>
          <w:spacing w:val="20"/>
          <w:lang w:eastAsia="en-US"/>
        </w:rPr>
        <w:t>Wi-Fi</w:t>
      </w:r>
      <w:r w:rsidRPr="00A4233F">
        <w:rPr>
          <w:rFonts w:eastAsia="Calibri"/>
          <w:b/>
          <w:color w:val="4C4747"/>
          <w:spacing w:val="20"/>
          <w:lang w:eastAsia="en-US"/>
        </w:rPr>
        <w:t xml:space="preserve"> en el marco de la iniciativa "Dominicana Conectada" entre el Instituto Dominicano de las Telecomunicaciones (INDOTEL) y el Politécnico Savio Fe y Alegría, firmado el 01 de julio 2022</w:t>
      </w:r>
    </w:p>
    <w:p w14:paraId="58D30D48" w14:textId="77777777" w:rsidR="009A738B" w:rsidRPr="00A4233F"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51A270A6" w14:textId="32058BB3" w:rsidR="009A738B" w:rsidRPr="00A4233F" w:rsidRDefault="009A738B" w:rsidP="009A738B">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t xml:space="preserve">Carta compromiso para acceso y uso de puntos </w:t>
      </w:r>
      <w:r w:rsidR="004F3A6D" w:rsidRPr="00A4233F">
        <w:rPr>
          <w:rFonts w:eastAsia="Calibri"/>
          <w:b/>
          <w:color w:val="4C4747"/>
          <w:spacing w:val="20"/>
          <w:lang w:eastAsia="en-US"/>
        </w:rPr>
        <w:t>Wi-Fi</w:t>
      </w:r>
      <w:r w:rsidRPr="00A4233F">
        <w:rPr>
          <w:rFonts w:eastAsia="Calibri"/>
          <w:b/>
          <w:color w:val="4C4747"/>
          <w:spacing w:val="20"/>
          <w:lang w:eastAsia="en-US"/>
        </w:rPr>
        <w:t xml:space="preserve"> en el marco de la iniciativa "Dominicana Conectada" entre el Instituto Dominicano de las Telecomunicaciones (INDOTEL) y el Centro Sanitario Dr. Francisco Hardy, firmado el 01 de julio 2022</w:t>
      </w:r>
    </w:p>
    <w:p w14:paraId="3AD86BC2" w14:textId="77777777" w:rsidR="009A738B"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07BC693B" w14:textId="77777777" w:rsidR="001332BD" w:rsidRPr="00A4233F" w:rsidRDefault="001332BD" w:rsidP="009A738B">
      <w:pPr>
        <w:pStyle w:val="NormalWeb"/>
        <w:spacing w:line="360" w:lineRule="auto"/>
        <w:jc w:val="both"/>
        <w:rPr>
          <w:rFonts w:eastAsia="Calibri"/>
          <w:color w:val="4C4747"/>
          <w:spacing w:val="20"/>
          <w:lang w:eastAsia="en-US"/>
        </w:rPr>
      </w:pPr>
    </w:p>
    <w:p w14:paraId="1BAAC21A" w14:textId="6D9786A6" w:rsidR="009A738B" w:rsidRPr="00A4233F" w:rsidRDefault="009A738B" w:rsidP="009A738B">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lastRenderedPageBreak/>
        <w:t xml:space="preserve">Carta compromiso para acceso y uso de puntos </w:t>
      </w:r>
      <w:r w:rsidR="004F3A6D" w:rsidRPr="00A4233F">
        <w:rPr>
          <w:rFonts w:eastAsia="Calibri"/>
          <w:b/>
          <w:color w:val="4C4747"/>
          <w:spacing w:val="20"/>
          <w:lang w:eastAsia="en-US"/>
        </w:rPr>
        <w:t>Wi-Fi</w:t>
      </w:r>
      <w:r w:rsidRPr="00A4233F">
        <w:rPr>
          <w:rFonts w:eastAsia="Calibri"/>
          <w:b/>
          <w:color w:val="4C4747"/>
          <w:spacing w:val="20"/>
          <w:lang w:eastAsia="en-US"/>
        </w:rPr>
        <w:t xml:space="preserve"> en el marco de la iniciativa "Dominicana Conectada" entre el Instituto Dominicano de las Telecomunicaciones (INDOTEL) y el Destacamento Policial Batey Bienvenido, firmado el 01 de julio 2022</w:t>
      </w:r>
    </w:p>
    <w:p w14:paraId="0FC1A0C0" w14:textId="77777777" w:rsidR="009A738B" w:rsidRPr="00A4233F" w:rsidRDefault="009A738B"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73B044A5" w14:textId="777C8BD6" w:rsidR="009A738B" w:rsidRPr="00A4233F" w:rsidRDefault="004055E0" w:rsidP="009A738B">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t xml:space="preserve">Carta compromiso para acceso y uso de puntos </w:t>
      </w:r>
      <w:r w:rsidR="004F3A6D" w:rsidRPr="00A4233F">
        <w:rPr>
          <w:rFonts w:eastAsia="Calibri"/>
          <w:b/>
          <w:color w:val="4C4747"/>
          <w:spacing w:val="20"/>
          <w:lang w:eastAsia="en-US"/>
        </w:rPr>
        <w:t>Wi-Fi</w:t>
      </w:r>
      <w:r w:rsidRPr="00A4233F">
        <w:rPr>
          <w:rFonts w:eastAsia="Calibri"/>
          <w:b/>
          <w:color w:val="4C4747"/>
          <w:spacing w:val="20"/>
          <w:lang w:eastAsia="en-US"/>
        </w:rPr>
        <w:t xml:space="preserve"> en el marco de la iniciativa "Dominicana Conectada" entre el Instituto Dominicano de las Telecomunicaciones (INDOTEL) y la Escuela Filomena Fe y Alegría, firmado el 01 de julio 2022 </w:t>
      </w:r>
    </w:p>
    <w:p w14:paraId="38258A84" w14:textId="0F1FE982" w:rsidR="00F05703" w:rsidRPr="00A4233F" w:rsidRDefault="004055E0" w:rsidP="009A738B">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w:t>
      </w:r>
      <w:r w:rsidR="00916E17" w:rsidRPr="00A4233F">
        <w:rPr>
          <w:rFonts w:eastAsia="Calibri"/>
          <w:color w:val="4C4747"/>
          <w:spacing w:val="20"/>
          <w:lang w:eastAsia="en-US"/>
        </w:rPr>
        <w:t>ervicio de internet banda ancha.</w:t>
      </w:r>
    </w:p>
    <w:p w14:paraId="6A8D406B" w14:textId="34F145B1" w:rsidR="004055E0" w:rsidRPr="00A4233F" w:rsidRDefault="004055E0" w:rsidP="009A738B">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t xml:space="preserve">Carta compromiso para la instalación de un punto </w:t>
      </w:r>
      <w:r w:rsidR="004F3A6D" w:rsidRPr="00A4233F">
        <w:rPr>
          <w:rFonts w:eastAsia="Calibri"/>
          <w:b/>
          <w:color w:val="4C4747"/>
          <w:spacing w:val="20"/>
          <w:lang w:eastAsia="en-US"/>
        </w:rPr>
        <w:t>Wi-Fi en el marco de la iniciativa “Dominicana Conectada”</w:t>
      </w:r>
      <w:r w:rsidRPr="00A4233F">
        <w:rPr>
          <w:rFonts w:eastAsia="Calibri"/>
          <w:b/>
          <w:color w:val="4C4747"/>
          <w:spacing w:val="20"/>
          <w:lang w:eastAsia="en-US"/>
        </w:rPr>
        <w:t xml:space="preserve"> entre el Instituto Dominicano de las Telecomunicaciones (INDOTEL), y el Consejo Nacional para la Niñez y la Adolescencia para ser utilizado en el Centro de Acogida Padre Luis Rosario, San Antonio Guerra, firmado el 06 de julio 2022</w:t>
      </w:r>
    </w:p>
    <w:p w14:paraId="67DDF131" w14:textId="77777777" w:rsidR="004055E0" w:rsidRPr="00A4233F" w:rsidRDefault="004055E0" w:rsidP="004055E0">
      <w:pPr>
        <w:pStyle w:val="NormalWeb"/>
        <w:spacing w:line="360" w:lineRule="auto"/>
        <w:jc w:val="both"/>
        <w:rPr>
          <w:rFonts w:eastAsia="Calibri"/>
          <w:color w:val="4C4747"/>
          <w:spacing w:val="20"/>
          <w:lang w:eastAsia="en-US"/>
        </w:rPr>
      </w:pPr>
      <w:r w:rsidRPr="00A4233F">
        <w:rPr>
          <w:rFonts w:eastAsia="Calibri"/>
          <w:color w:val="4C4747"/>
          <w:spacing w:val="20"/>
          <w:lang w:eastAsia="en-US"/>
        </w:rPr>
        <w:t>Proveer cobertura inalámbrica para acceder al servicio de internet banda ancha.</w:t>
      </w:r>
    </w:p>
    <w:p w14:paraId="41928984" w14:textId="69049110" w:rsidR="009A738B" w:rsidRPr="00A4233F" w:rsidRDefault="00643D96" w:rsidP="00A02BDE">
      <w:pPr>
        <w:pStyle w:val="NormalWeb"/>
        <w:numPr>
          <w:ilvl w:val="0"/>
          <w:numId w:val="25"/>
        </w:numPr>
        <w:spacing w:line="360" w:lineRule="auto"/>
        <w:jc w:val="both"/>
        <w:rPr>
          <w:rFonts w:eastAsia="Calibri"/>
          <w:color w:val="4C4747"/>
          <w:spacing w:val="20"/>
          <w:lang w:eastAsia="en-US"/>
        </w:rPr>
      </w:pPr>
      <w:r w:rsidRPr="00A4233F">
        <w:rPr>
          <w:rFonts w:eastAsia="Calibri"/>
          <w:b/>
          <w:color w:val="4C4747"/>
          <w:spacing w:val="20"/>
          <w:lang w:eastAsia="en-US"/>
        </w:rPr>
        <w:t>Memorándum, alianzas y actas</w:t>
      </w:r>
    </w:p>
    <w:p w14:paraId="307500AB" w14:textId="77777777" w:rsidR="00643D96" w:rsidRPr="00A4233F" w:rsidRDefault="00643D96" w:rsidP="00943FA5">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t>Alianza Interinstitucional para Implementar la Estrategia de Desarrollo en la Zona Fronteriza (EDZF) y las iniciativas que reduzcan la Brecha de Conectividad Digital, firmado el 15 de marzo 2022</w:t>
      </w:r>
    </w:p>
    <w:p w14:paraId="47EB572F" w14:textId="77777777" w:rsidR="001332BD" w:rsidRDefault="001332BD" w:rsidP="00943FA5">
      <w:pPr>
        <w:pStyle w:val="NormalWeb"/>
        <w:spacing w:line="360" w:lineRule="auto"/>
        <w:jc w:val="both"/>
        <w:rPr>
          <w:rFonts w:eastAsia="Calibri"/>
          <w:color w:val="4C4747"/>
          <w:spacing w:val="20"/>
          <w:lang w:eastAsia="en-US"/>
        </w:rPr>
      </w:pPr>
    </w:p>
    <w:p w14:paraId="13A77F0F" w14:textId="2A7C9066" w:rsidR="00643D96" w:rsidRPr="00A4233F" w:rsidRDefault="009852C6" w:rsidP="00943FA5">
      <w:pPr>
        <w:pStyle w:val="NormalWeb"/>
        <w:spacing w:line="360" w:lineRule="auto"/>
        <w:jc w:val="both"/>
        <w:rPr>
          <w:rFonts w:eastAsia="Calibri"/>
          <w:color w:val="4C4747"/>
          <w:spacing w:val="20"/>
          <w:lang w:eastAsia="en-US"/>
        </w:rPr>
      </w:pPr>
      <w:r w:rsidRPr="00A4233F">
        <w:rPr>
          <w:rFonts w:eastAsia="Calibri"/>
          <w:color w:val="4C4747"/>
          <w:spacing w:val="20"/>
          <w:lang w:eastAsia="en-US"/>
        </w:rPr>
        <w:t xml:space="preserve">Esta alianza entre el Ministerio de Economía, Planificación y Desarrollo (MEPyD)  y el INDOTEL tiene como objetivo impulsar el desarrollo integral de la Zona Fronteriza compuesta por las provincias de Monte Cristi, Dajabón, Santiago Rodríguez, Elías Piña, Baoruco, Independencia y Pedernales, provincias que  pertenecen a la Zona Especial de Desarrollo Integral Fronterizo. </w:t>
      </w:r>
    </w:p>
    <w:p w14:paraId="1BC21B3F" w14:textId="5948E909" w:rsidR="00643D96" w:rsidRPr="00A4233F" w:rsidRDefault="00643D96" w:rsidP="00943FA5">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t xml:space="preserve">Memorándum de colaboración </w:t>
      </w:r>
      <w:r w:rsidR="00115ABC" w:rsidRPr="00A4233F">
        <w:rPr>
          <w:rFonts w:eastAsia="Calibri"/>
          <w:b/>
          <w:color w:val="4C4747"/>
          <w:spacing w:val="20"/>
          <w:lang w:eastAsia="en-US"/>
        </w:rPr>
        <w:t>i</w:t>
      </w:r>
      <w:r w:rsidRPr="00A4233F">
        <w:rPr>
          <w:rFonts w:eastAsia="Calibri"/>
          <w:b/>
          <w:color w:val="4C4747"/>
          <w:spacing w:val="20"/>
          <w:lang w:eastAsia="en-US"/>
        </w:rPr>
        <w:t>nterinstitucional entre el Sistema Único de Beneficiarios (SIUBEN) y el Instituto Dominicano de las Telecomunicaciones (INDOTEL), firmado</w:t>
      </w:r>
      <w:r w:rsidR="00115ABC" w:rsidRPr="00A4233F">
        <w:rPr>
          <w:rFonts w:eastAsia="Calibri"/>
          <w:b/>
          <w:color w:val="4C4747"/>
          <w:spacing w:val="20"/>
          <w:lang w:eastAsia="en-US"/>
        </w:rPr>
        <w:t xml:space="preserve"> el</w:t>
      </w:r>
      <w:r w:rsidRPr="00A4233F">
        <w:rPr>
          <w:rFonts w:eastAsia="Calibri"/>
          <w:b/>
          <w:color w:val="4C4747"/>
          <w:spacing w:val="20"/>
          <w:lang w:eastAsia="en-US"/>
        </w:rPr>
        <w:t xml:space="preserve"> 19 de mayo 2022</w:t>
      </w:r>
    </w:p>
    <w:p w14:paraId="009C0D97" w14:textId="77777777" w:rsidR="00643D96" w:rsidRPr="00A4233F" w:rsidRDefault="00643D96" w:rsidP="00943FA5">
      <w:pPr>
        <w:pStyle w:val="NormalWeb"/>
        <w:spacing w:line="360" w:lineRule="auto"/>
        <w:jc w:val="both"/>
        <w:rPr>
          <w:rFonts w:eastAsia="Calibri"/>
          <w:color w:val="4C4747"/>
          <w:spacing w:val="20"/>
          <w:lang w:eastAsia="en-US"/>
        </w:rPr>
      </w:pPr>
      <w:r w:rsidRPr="00A4233F">
        <w:rPr>
          <w:rFonts w:eastAsia="Calibri"/>
          <w:color w:val="4C4747"/>
          <w:spacing w:val="20"/>
          <w:lang w:eastAsia="en-US"/>
        </w:rPr>
        <w:t>SIUBEN e INDOTEL aunaran esfuerzos con el objetivo de lograr un intercambio de datos de carácter público para lograr la interoperabilidad de las entidades suscribientes para futuros cruces de información requerido por cualquiera de las partes.</w:t>
      </w:r>
    </w:p>
    <w:p w14:paraId="3D25A851" w14:textId="6220CEB4" w:rsidR="00643D96" w:rsidRPr="00A4233F" w:rsidRDefault="00643D96" w:rsidP="00643D96">
      <w:pPr>
        <w:pStyle w:val="NormalWeb"/>
        <w:spacing w:line="360" w:lineRule="auto"/>
        <w:jc w:val="both"/>
        <w:rPr>
          <w:rFonts w:eastAsia="Calibri"/>
          <w:b/>
          <w:color w:val="4C4747"/>
          <w:spacing w:val="20"/>
          <w:lang w:eastAsia="en-US"/>
        </w:rPr>
      </w:pPr>
      <w:r w:rsidRPr="00A4233F">
        <w:rPr>
          <w:rFonts w:eastAsia="Calibri"/>
          <w:b/>
          <w:color w:val="4C4747"/>
          <w:spacing w:val="20"/>
          <w:lang w:eastAsia="en-US"/>
        </w:rPr>
        <w:t xml:space="preserve">Acta de donación de equipos entre la compañía </w:t>
      </w:r>
      <w:r w:rsidR="00115ABC" w:rsidRPr="00A4233F">
        <w:rPr>
          <w:rFonts w:eastAsia="Calibri"/>
          <w:b/>
          <w:color w:val="4C4747"/>
          <w:spacing w:val="20"/>
          <w:lang w:eastAsia="en-US"/>
        </w:rPr>
        <w:t xml:space="preserve">Huawei Technologies Dominicana, </w:t>
      </w:r>
      <w:r w:rsidRPr="00A4233F">
        <w:rPr>
          <w:rFonts w:eastAsia="Calibri"/>
          <w:b/>
          <w:color w:val="4C4747"/>
          <w:spacing w:val="20"/>
          <w:lang w:eastAsia="en-US"/>
        </w:rPr>
        <w:t>el Instituto Dominicano de las Telecomunicaciones (INDOTEL), y el Consejo Nacional para la Niñez y la Adolescencia (CONANI), firmado el 06 de julio 2022</w:t>
      </w:r>
    </w:p>
    <w:p w14:paraId="35720547" w14:textId="77777777" w:rsidR="00E353DD" w:rsidRPr="00A4233F" w:rsidRDefault="00643D96" w:rsidP="00E353DD">
      <w:pPr>
        <w:pStyle w:val="NormalWeb"/>
        <w:spacing w:line="360" w:lineRule="auto"/>
        <w:jc w:val="both"/>
        <w:rPr>
          <w:color w:val="4C4747"/>
          <w:spacing w:val="20"/>
        </w:rPr>
      </w:pPr>
      <w:r w:rsidRPr="00A4233F">
        <w:rPr>
          <w:rFonts w:eastAsia="Calibri"/>
          <w:color w:val="4C4747"/>
          <w:spacing w:val="20"/>
          <w:lang w:eastAsia="en-US"/>
        </w:rPr>
        <w:t>Donación de tabletas por parte de HUAWEI al INDOTEL para ser utilizados y licenciados de forma gratuita al CONANI.</w:t>
      </w:r>
    </w:p>
    <w:p w14:paraId="4CA68337" w14:textId="77777777" w:rsidR="00E353DD" w:rsidRPr="00C62BB6" w:rsidRDefault="00E353DD" w:rsidP="00E353DD">
      <w:pPr>
        <w:pStyle w:val="NormalWeb"/>
        <w:spacing w:line="360" w:lineRule="auto"/>
        <w:jc w:val="both"/>
        <w:rPr>
          <w:color w:val="4C4747"/>
          <w:spacing w:val="20"/>
        </w:rPr>
      </w:pPr>
    </w:p>
    <w:p w14:paraId="01C77F35" w14:textId="77777777" w:rsidR="005D0D8A" w:rsidRPr="00C62BB6" w:rsidRDefault="005D0D8A" w:rsidP="00E353DD">
      <w:pPr>
        <w:pStyle w:val="NormalWeb"/>
        <w:spacing w:line="360" w:lineRule="auto"/>
        <w:jc w:val="both"/>
        <w:rPr>
          <w:color w:val="4C4747"/>
          <w:spacing w:val="20"/>
        </w:rPr>
      </w:pPr>
    </w:p>
    <w:p w14:paraId="5D67D4FE" w14:textId="77777777" w:rsidR="005D0D8A" w:rsidRPr="00C62BB6" w:rsidRDefault="005D0D8A" w:rsidP="00E353DD">
      <w:pPr>
        <w:pStyle w:val="NormalWeb"/>
        <w:spacing w:line="360" w:lineRule="auto"/>
        <w:jc w:val="both"/>
        <w:rPr>
          <w:color w:val="4C4747"/>
          <w:spacing w:val="20"/>
        </w:rPr>
      </w:pPr>
    </w:p>
    <w:p w14:paraId="7362EBB7" w14:textId="77777777" w:rsidR="005D0D8A" w:rsidRPr="00C62BB6" w:rsidRDefault="005D0D8A" w:rsidP="00E353DD">
      <w:pPr>
        <w:pStyle w:val="NormalWeb"/>
        <w:spacing w:line="360" w:lineRule="auto"/>
        <w:jc w:val="both"/>
        <w:rPr>
          <w:color w:val="4C4747"/>
          <w:spacing w:val="20"/>
        </w:rPr>
      </w:pPr>
    </w:p>
    <w:p w14:paraId="32C0B638" w14:textId="014D9887" w:rsidR="009C3427" w:rsidRPr="00C62BB6" w:rsidRDefault="009C3427" w:rsidP="009C3427">
      <w:pPr>
        <w:keepNext/>
        <w:spacing w:before="240" w:after="60"/>
        <w:jc w:val="both"/>
        <w:outlineLvl w:val="2"/>
        <w:rPr>
          <w:rFonts w:ascii="Times New Roman" w:eastAsia="Times New Roman" w:hAnsi="Times New Roman" w:cs="Times New Roman"/>
          <w:b/>
          <w:bCs/>
          <w:color w:val="4C4747"/>
          <w:sz w:val="24"/>
          <w:szCs w:val="28"/>
          <w:lang w:val="es-DO" w:eastAsia="es-DO"/>
        </w:rPr>
      </w:pPr>
      <w:bookmarkStart w:id="34" w:name="_Toc122425250"/>
      <w:r w:rsidRPr="00C62BB6">
        <w:rPr>
          <w:rFonts w:ascii="Times New Roman" w:eastAsia="Times New Roman" w:hAnsi="Times New Roman" w:cs="Times New Roman"/>
          <w:b/>
          <w:bCs/>
          <w:color w:val="4C4747"/>
          <w:sz w:val="24"/>
          <w:szCs w:val="28"/>
          <w:lang w:val="es-DO" w:eastAsia="es-DO"/>
        </w:rPr>
        <w:lastRenderedPageBreak/>
        <w:t xml:space="preserve">4.8 </w:t>
      </w:r>
      <w:r w:rsidR="00E353DD" w:rsidRPr="00C62BB6">
        <w:rPr>
          <w:rFonts w:ascii="Times New Roman" w:eastAsia="Times New Roman" w:hAnsi="Times New Roman" w:cs="Times New Roman"/>
          <w:b/>
          <w:bCs/>
          <w:color w:val="4C4747"/>
          <w:sz w:val="24"/>
          <w:szCs w:val="28"/>
          <w:lang w:val="es-DO" w:eastAsia="es-DO"/>
        </w:rPr>
        <w:t>Relaciones Internacionales</w:t>
      </w:r>
      <w:bookmarkEnd w:id="34"/>
    </w:p>
    <w:p w14:paraId="0A26927F"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El INDOTEL representa al Estado Dominicano ante los organismos internacionales de telecomunicaciones de los que forme parte la República Dominicana, participa en diferentes foros y eventos internacionales, manteniendo relaciones activas de trabajo y cooperación. A estos fines, el INDOTEL se relaciona a nivel internacional con instituciones intergubernamentales, multilaterales y de la sociedad civil en el ámbito de la competencia de las telecomunicaciones/TIC. Las acciones más relevantes realizadas internacionalmente durante el año del 2022 fueron las siguientes: </w:t>
      </w:r>
    </w:p>
    <w:p w14:paraId="0AB3D2E5"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Unión Internacional de Telecomunicaciones (UIT)</w:t>
      </w:r>
    </w:p>
    <w:p w14:paraId="2FAE3FE8" w14:textId="016A51DB" w:rsidR="00E353DD" w:rsidRPr="00A4233F" w:rsidRDefault="002662BB" w:rsidP="00E353DD">
      <w:pPr>
        <w:pStyle w:val="NormalWeb"/>
        <w:spacing w:line="360" w:lineRule="auto"/>
        <w:jc w:val="both"/>
        <w:rPr>
          <w:color w:val="4C4747"/>
          <w:spacing w:val="20"/>
        </w:rPr>
      </w:pPr>
      <w:r w:rsidRPr="00A4233F">
        <w:rPr>
          <w:color w:val="4C4747"/>
          <w:spacing w:val="20"/>
        </w:rPr>
        <w:t>P</w:t>
      </w:r>
      <w:r w:rsidR="00E353DD" w:rsidRPr="00A4233F">
        <w:rPr>
          <w:color w:val="4C4747"/>
          <w:spacing w:val="20"/>
        </w:rPr>
        <w:t>articipació</w:t>
      </w:r>
      <w:r w:rsidRPr="00A4233F">
        <w:rPr>
          <w:color w:val="4C4747"/>
          <w:spacing w:val="20"/>
        </w:rPr>
        <w:t>n en</w:t>
      </w:r>
      <w:r w:rsidR="00E353DD" w:rsidRPr="00A4233F">
        <w:rPr>
          <w:color w:val="4C4747"/>
          <w:spacing w:val="20"/>
        </w:rPr>
        <w:t xml:space="preserve"> la “Conferencia Mundial de Desarrollo de las Telecomunicaciones (CMDT-22)” en Kigali, Rwanda, del 6 al 16 de junio de 2022, con el lema: “Conectar a quienes carecen de conexión para lograr el desarrollo sostenible”. Durante la CM</w:t>
      </w:r>
      <w:r w:rsidR="00FA5426" w:rsidRPr="00A4233F">
        <w:rPr>
          <w:color w:val="4C4747"/>
          <w:spacing w:val="20"/>
        </w:rPr>
        <w:t>DT se desarroll</w:t>
      </w:r>
      <w:r w:rsidR="00E353DD" w:rsidRPr="00A4233F">
        <w:rPr>
          <w:color w:val="4C4747"/>
          <w:spacing w:val="20"/>
        </w:rPr>
        <w:t>ó una Mesa Redonda sobre el Desarrollo Digital Parner2Connect, la cual fue precedida por la Cumbre Mundial de la Juventud Generation Connect. El objetivo de esta conferencia fue definir las estrategias y los objetivos en materia de desarrollo de las telecomunicaciones /TIC, que establecen la orientación y el rumbo futuro del sector de Desarrollo de las Telecomunicaciones de la UIT (UIT-D).</w:t>
      </w:r>
    </w:p>
    <w:p w14:paraId="1A58FB76" w14:textId="77777777" w:rsidR="001332BD" w:rsidRDefault="00E353DD" w:rsidP="00E353DD">
      <w:pPr>
        <w:pStyle w:val="NormalWeb"/>
        <w:spacing w:line="360" w:lineRule="auto"/>
        <w:jc w:val="both"/>
        <w:rPr>
          <w:color w:val="4C4747"/>
          <w:spacing w:val="20"/>
        </w:rPr>
      </w:pPr>
      <w:r w:rsidRPr="00A4233F">
        <w:rPr>
          <w:color w:val="4C4747"/>
          <w:spacing w:val="20"/>
        </w:rPr>
        <w:t xml:space="preserve">“Coloquio sobre Nuevas Tecnologías y Coloquio de Internet (ITEC)”.  Este evento se llevó a cabo del 22 al 26 de junio en México, bajo la organización de la UIT, el objetivo principal fue proveer un foro para análisis y discusión para la adopción de nuevas tecnologías amigables con el medio ambiente y su impacto hacia un futuro limpio y sostenible, identificar soluciones innovadoras, para reducir la brecha digital e incentivar una implementación sostenible y responsable de </w:t>
      </w:r>
    </w:p>
    <w:p w14:paraId="4AD68145" w14:textId="62B39324" w:rsidR="00E353DD" w:rsidRPr="00A4233F" w:rsidRDefault="00E353DD" w:rsidP="00E353DD">
      <w:pPr>
        <w:pStyle w:val="NormalWeb"/>
        <w:spacing w:line="360" w:lineRule="auto"/>
        <w:jc w:val="both"/>
        <w:rPr>
          <w:color w:val="4C4747"/>
          <w:spacing w:val="20"/>
        </w:rPr>
      </w:pPr>
      <w:r w:rsidRPr="00A4233F">
        <w:rPr>
          <w:color w:val="4C4747"/>
          <w:spacing w:val="20"/>
        </w:rPr>
        <w:lastRenderedPageBreak/>
        <w:t>tecnologías nnovadoras. Paralelamente se llevó a cabo el ''Congreso TIC para Latino América'' organizado por Huawei.‎ El tema tratado fue “¿Qué tan preparados están los gobiernos para adoptar tecnologías nuevas y sostenibles‎ que apoyen la resiliencia para la salud?‎”.</w:t>
      </w:r>
    </w:p>
    <w:p w14:paraId="222A13AD" w14:textId="77777777" w:rsidR="00E353DD" w:rsidRPr="00A4233F" w:rsidRDefault="00E353DD" w:rsidP="00E353DD">
      <w:pPr>
        <w:pStyle w:val="NormalWeb"/>
        <w:spacing w:line="360" w:lineRule="auto"/>
        <w:jc w:val="both"/>
        <w:rPr>
          <w:color w:val="4C4747"/>
          <w:spacing w:val="20"/>
        </w:rPr>
      </w:pPr>
      <w:r w:rsidRPr="00A4233F">
        <w:rPr>
          <w:color w:val="4C4747"/>
          <w:spacing w:val="20"/>
        </w:rPr>
        <w:t>Participación en la “Reunión del Grupo Asesor de Desarrollo de las Telecomunicaciones (GADT-20)”, organizado por la UIT, donde se examinaron las prioridades, estrategias, operaciones y cuestiones financieras del Sector de Desarrollo de las Telecomunicaciones de la UIT (UIT-D).</w:t>
      </w:r>
    </w:p>
    <w:p w14:paraId="4341A4FF" w14:textId="633F2ECF" w:rsidR="00E353DD" w:rsidRPr="00A4233F" w:rsidRDefault="00E353DD" w:rsidP="00E353DD">
      <w:pPr>
        <w:pStyle w:val="NormalWeb"/>
        <w:spacing w:line="360" w:lineRule="auto"/>
        <w:jc w:val="both"/>
        <w:rPr>
          <w:color w:val="4C4747"/>
          <w:spacing w:val="20"/>
        </w:rPr>
      </w:pPr>
      <w:r w:rsidRPr="00A4233F">
        <w:rPr>
          <w:color w:val="4C4747"/>
          <w:spacing w:val="20"/>
        </w:rPr>
        <w:t xml:space="preserve">El INDOTEL participó en el cuarto Simposio Mundial de Normalización en el cual se trataron las normas que pueden permitir la transformación digital para lograr los Objetivos de Desarrollo Sostenible. Participo en la “Asamblea Mundial de Normalización de las Telecomunicaciones (AMNT)” durante la AMNT, las administraciones y el sector de la industria elaboran y revisan las normas internacionales conocidas </w:t>
      </w:r>
      <w:r w:rsidR="005D0D8A" w:rsidRPr="00A4233F">
        <w:rPr>
          <w:color w:val="4C4747"/>
          <w:spacing w:val="20"/>
        </w:rPr>
        <w:t>como “Recomendaciones de la UIT”</w:t>
      </w:r>
      <w:r w:rsidRPr="00A4233F">
        <w:rPr>
          <w:color w:val="4C4747"/>
          <w:spacing w:val="20"/>
        </w:rPr>
        <w:t xml:space="preserve"> y las definiciones de la nomenclatura mundial de infraestructuras de las Tecnologías de la Información y la Comunicación (TIC). </w:t>
      </w:r>
    </w:p>
    <w:p w14:paraId="4863999C" w14:textId="781E7DAF" w:rsidR="00E353DD" w:rsidRPr="00A4233F" w:rsidRDefault="00E353DD" w:rsidP="00E353DD">
      <w:pPr>
        <w:pStyle w:val="NormalWeb"/>
        <w:spacing w:line="360" w:lineRule="auto"/>
        <w:jc w:val="both"/>
        <w:rPr>
          <w:color w:val="4C4747"/>
          <w:spacing w:val="20"/>
        </w:rPr>
      </w:pPr>
      <w:r w:rsidRPr="00A4233F">
        <w:rPr>
          <w:color w:val="4C4747"/>
          <w:spacing w:val="20"/>
        </w:rPr>
        <w:t>Se participó en la Conferencia de Plenipotenciarios, es el órgano político supremo de la Unión Internacional de Telecomunicaciones 2022 (PP-22), foro donde los Est</w:t>
      </w:r>
      <w:r w:rsidR="006B3B91" w:rsidRPr="00A4233F">
        <w:rPr>
          <w:color w:val="4C4747"/>
          <w:spacing w:val="20"/>
        </w:rPr>
        <w:t>ados Miembros de la UIT, decidieron</w:t>
      </w:r>
      <w:r w:rsidRPr="00A4233F">
        <w:rPr>
          <w:color w:val="4C4747"/>
          <w:spacing w:val="20"/>
        </w:rPr>
        <w:t xml:space="preserve"> mediante votaciones, cuál será el papel de la organización en el futuro, determinando así su capacidad para influir e intervenir en el desarrollo de las tecnologías de la información y la comunicación (TIC) a nivel mundial. Se adoptó el plan estratégico y financiero  para los próximos cuatro años.</w:t>
      </w:r>
    </w:p>
    <w:p w14:paraId="3008E0BF" w14:textId="77777777" w:rsidR="00E353DD" w:rsidRPr="00A4233F" w:rsidRDefault="00E353DD" w:rsidP="00E353DD">
      <w:pPr>
        <w:pStyle w:val="NormalWeb"/>
        <w:spacing w:line="360" w:lineRule="auto"/>
        <w:jc w:val="both"/>
        <w:rPr>
          <w:color w:val="4C4747"/>
          <w:spacing w:val="20"/>
        </w:rPr>
      </w:pPr>
      <w:r w:rsidRPr="00A4233F">
        <w:rPr>
          <w:color w:val="4C4747"/>
          <w:spacing w:val="20"/>
        </w:rPr>
        <w:lastRenderedPageBreak/>
        <w:t>En el marco de la Conferencia de Plenipotenciarios 2022, en nombre del Gobierno Dominicano, como Estado Miembro, el INDOTEL presentó una declaratoria, en la cual se estableció la posición que asumiría la República Dominicana ante las actas finales de la Conferencia de Plenipotenciarios.</w:t>
      </w:r>
    </w:p>
    <w:p w14:paraId="5FA2C884"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El otro pronunciamiento expresado como declaratoria fue “Reservar asimismo para el gobierno de la República Dominicana el derecho a formular cuantas reservas adicionales sean necesarias con respecto a las actas finales aprobadas por la Conferencia de Plenipotenciarios de la Unión Internacional de Telecomunicaciones 2022 (PP-22) hasta que se deposite el instrumento de ratificación pertinente.  </w:t>
      </w:r>
    </w:p>
    <w:p w14:paraId="02F35496" w14:textId="77777777" w:rsidR="00E353DD" w:rsidRPr="00A4233F" w:rsidRDefault="00E353DD" w:rsidP="00E353DD">
      <w:pPr>
        <w:pStyle w:val="NormalWeb"/>
        <w:spacing w:line="360" w:lineRule="auto"/>
        <w:jc w:val="both"/>
        <w:rPr>
          <w:color w:val="4C4747"/>
          <w:spacing w:val="20"/>
        </w:rPr>
      </w:pPr>
      <w:r w:rsidRPr="00A4233F">
        <w:rPr>
          <w:color w:val="4C4747"/>
          <w:spacing w:val="20"/>
        </w:rPr>
        <w:t>Asimismo de cara a los trabajos coordinados por la UIT, el INDOTEL se encuentra impulsando el Partner2Connect (P2C), que es una coalición creada para impulsar la transformación digital de las comunidades más difíciles de conectar, siendo las tecnologías de la información y la comunicación (TIC), la columna vertebral de la economía digital para acelerar el progreso de los Objetivos del Desarrollo Sostenible (ODS). Actualmente la República Dominicana fue  escogida como modelo a seguir en la región y se espera avanzar en alcanzar los Objetivos del Desarrollo Sostenible 2030.</w:t>
      </w:r>
    </w:p>
    <w:p w14:paraId="4C00AFCB" w14:textId="77777777" w:rsidR="00E353DD" w:rsidRPr="00A4233F" w:rsidRDefault="00E353DD" w:rsidP="00E353DD">
      <w:pPr>
        <w:pStyle w:val="NormalWeb"/>
        <w:spacing w:line="360" w:lineRule="auto"/>
        <w:jc w:val="both"/>
        <w:rPr>
          <w:color w:val="4C4747"/>
          <w:spacing w:val="20"/>
        </w:rPr>
      </w:pPr>
      <w:r w:rsidRPr="00A4233F">
        <w:rPr>
          <w:color w:val="4C4747"/>
          <w:spacing w:val="20"/>
        </w:rPr>
        <w:t>Dentro de los compromisos asumidos por República Dominicana se destacan:</w:t>
      </w:r>
    </w:p>
    <w:p w14:paraId="5164EC85"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Mejora de la conectividad para la transformación digital en la República Dominicana, compromiso que cuenta con dos componentes; 1) aumentar la conectividad de banda ancha asequible y de calidad a través del despliegue de infraestructura digital en zonas vulnerables; 2) Ayudar a desarrollar las habilidades digitales </w:t>
      </w:r>
      <w:r w:rsidRPr="00A4233F">
        <w:rPr>
          <w:color w:val="4C4747"/>
          <w:spacing w:val="20"/>
        </w:rPr>
        <w:lastRenderedPageBreak/>
        <w:t xml:space="preserve">de unas 50,000 personas de estos municipios marginados, para que puedan incluirse en el mundo tecnológico. </w:t>
      </w:r>
    </w:p>
    <w:p w14:paraId="27D278C5"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Dentro de los resultados de este avance, será la generación de empleos directos en técnicos en telecomunicaciones e ingenieros civiles. A su vez beneficiará a 26 municipios en su mayoría de la región Sur y zona fronteriza, que no cuentan con redes alámbricas. </w:t>
      </w:r>
    </w:p>
    <w:p w14:paraId="506FD7DC" w14:textId="77777777" w:rsidR="00E353DD" w:rsidRPr="00A4233F" w:rsidRDefault="00E353DD" w:rsidP="00E353DD">
      <w:pPr>
        <w:pStyle w:val="NormalWeb"/>
        <w:spacing w:line="360" w:lineRule="auto"/>
        <w:jc w:val="both"/>
        <w:rPr>
          <w:color w:val="4C4747"/>
          <w:spacing w:val="20"/>
        </w:rPr>
      </w:pPr>
      <w:r w:rsidRPr="00A4233F">
        <w:rPr>
          <w:color w:val="4C4747"/>
          <w:spacing w:val="20"/>
        </w:rPr>
        <w:t>La implementación de la red 5G en la República Dominicana, el despliegue de esta red dará paso a una nueva era digital en el país, que permitirá materializar la Agenda Digital 2030 del gobierno dominicano con la capacidad de conectar varios equipos en un mismo tiempo y facilitando el internet de las cosas. En el proceso de licitación internacional se adjudicaron dos empresas con 70MHz cada una de estas concesionarias.</w:t>
      </w:r>
    </w:p>
    <w:p w14:paraId="6DB8F8E6"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El Sandbox regulatorio proyecto en formato campo exploratorio que busca impulsar la innovación e identificar las mejores prácticas que permitan dinamizar el sector de las telecomunicaciones, con este proyecto se trata de facilitar la existencia de nuevos e innovadores modelos de negocios y permitan alcanzar el cierre de la brecha digital. </w:t>
      </w:r>
    </w:p>
    <w:p w14:paraId="6C31718F"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El proyecto Canasta Digital Social que tiene por objetivo contribuir a la autonomía e independencia de las mujeres encargadas de sus hogares con condiciones de vulnerabilidad, mediante el uso de internet y tecnologías digitales. </w:t>
      </w:r>
    </w:p>
    <w:p w14:paraId="3FDE6B44"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 xml:space="preserve">Comisión Técnica Regional de Telecomunicaciones (COMTELCA) </w:t>
      </w:r>
    </w:p>
    <w:p w14:paraId="09F3AB5F" w14:textId="77777777" w:rsidR="005D0D8A" w:rsidRPr="00A4233F" w:rsidRDefault="00E353DD" w:rsidP="00E353DD">
      <w:pPr>
        <w:pStyle w:val="NormalWeb"/>
        <w:spacing w:line="360" w:lineRule="auto"/>
        <w:jc w:val="both"/>
        <w:rPr>
          <w:color w:val="4C4747"/>
          <w:spacing w:val="20"/>
        </w:rPr>
      </w:pPr>
      <w:r w:rsidRPr="00A4233F">
        <w:rPr>
          <w:color w:val="4C4747"/>
          <w:spacing w:val="20"/>
        </w:rPr>
        <w:t xml:space="preserve">El INDOTEL participó con la Presidencia de la Comisión Técnica Regional de Telecomunicaciones (COMTELCA) en las reuniones </w:t>
      </w:r>
    </w:p>
    <w:p w14:paraId="52C5F455" w14:textId="64020BC3" w:rsidR="00E353DD" w:rsidRPr="00A4233F" w:rsidRDefault="00E353DD" w:rsidP="00E353DD">
      <w:pPr>
        <w:pStyle w:val="NormalWeb"/>
        <w:spacing w:line="360" w:lineRule="auto"/>
        <w:jc w:val="both"/>
        <w:rPr>
          <w:color w:val="4C4747"/>
          <w:spacing w:val="20"/>
        </w:rPr>
      </w:pPr>
      <w:r w:rsidRPr="00A4233F">
        <w:rPr>
          <w:color w:val="4C4747"/>
          <w:spacing w:val="20"/>
        </w:rPr>
        <w:lastRenderedPageBreak/>
        <w:t>ordinarias de la Junta Directiva para los temas de índole administrativo y financiero de esa institución. Se destacan los diferentes grupos de trabajo de los Comités Jurídicos, de Radiocomunicación, de Normalización y Desarrollo, donde se abordan los temas legales, estatutos, contratos, y acuerdos pertinentes al ámbito de COMTELCA; para este año se ha abordado el tema de las Ciudades Inteligentes.</w:t>
      </w:r>
    </w:p>
    <w:p w14:paraId="0F3B388C"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Durante el año 2022 el INDOTEL como miembro de pleno derecho de la Comisión Técnica Regional de Telecomunicaciones (COMTELCA), entidad especializada del Sistema de Integración Centroamericano (SICA), asumió la Presidencia  Pro Témpore del SICA, para seguir avanzando en el fortalecimiento de los lineamientos regionales establecidos en este organismo, a los fines de continuar el camino hacia el desarrollo de los países miembros de manera sostenible. </w:t>
      </w:r>
    </w:p>
    <w:p w14:paraId="6EFD8083" w14:textId="7A725137" w:rsidR="00E353DD" w:rsidRPr="00A4233F" w:rsidRDefault="00E353DD" w:rsidP="00E353DD">
      <w:pPr>
        <w:pStyle w:val="NormalWeb"/>
        <w:spacing w:line="360" w:lineRule="auto"/>
        <w:jc w:val="both"/>
        <w:rPr>
          <w:color w:val="4C4747"/>
          <w:spacing w:val="20"/>
        </w:rPr>
      </w:pPr>
      <w:r w:rsidRPr="00A4233F">
        <w:rPr>
          <w:color w:val="4C4747"/>
          <w:spacing w:val="20"/>
        </w:rPr>
        <w:t>A través del comité de asuntos jurídicos y aprobado por la junta directiva de COMTELCA, se logró la elaboración del Reglamento de Firma Digital que traerá grandes beneficios como la agilidad e inmediatez, efectividad, reducción de almacenamiento físico de documentos así como disminución de los costos de impresión y facilidades</w:t>
      </w:r>
      <w:r w:rsidR="005D0D8A" w:rsidRPr="00A4233F">
        <w:rPr>
          <w:color w:val="4C4747"/>
          <w:spacing w:val="20"/>
        </w:rPr>
        <w:t xml:space="preserve"> en la aprobación de documentos</w:t>
      </w:r>
    </w:p>
    <w:p w14:paraId="0E380B51" w14:textId="77777777" w:rsidR="00E353DD" w:rsidRPr="00A4233F" w:rsidRDefault="00E353DD" w:rsidP="00E353DD">
      <w:pPr>
        <w:pStyle w:val="NormalWeb"/>
        <w:spacing w:line="360" w:lineRule="auto"/>
        <w:jc w:val="both"/>
        <w:rPr>
          <w:color w:val="4C4747"/>
          <w:spacing w:val="20"/>
        </w:rPr>
      </w:pPr>
      <w:r w:rsidRPr="00A4233F">
        <w:rPr>
          <w:color w:val="4C4747"/>
          <w:spacing w:val="20"/>
        </w:rPr>
        <w:t>Asimismo la República Dominicana fue el anfitrión de la “155 Reunión Ordinaria de la Junta Directiva de COMTELCA”.</w:t>
      </w:r>
    </w:p>
    <w:p w14:paraId="1716E14B"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Comisión Interamericana de Telecomunicaciones (CITEL)</w:t>
      </w:r>
    </w:p>
    <w:p w14:paraId="360643C9" w14:textId="77777777" w:rsidR="00565AD0" w:rsidRPr="00A4233F" w:rsidRDefault="00E353DD" w:rsidP="00E353DD">
      <w:pPr>
        <w:pStyle w:val="NormalWeb"/>
        <w:spacing w:line="360" w:lineRule="auto"/>
        <w:jc w:val="both"/>
        <w:rPr>
          <w:color w:val="4C4747"/>
          <w:spacing w:val="20"/>
        </w:rPr>
      </w:pPr>
      <w:r w:rsidRPr="00A4233F">
        <w:rPr>
          <w:color w:val="4C4747"/>
          <w:spacing w:val="20"/>
        </w:rPr>
        <w:t>El INDOTEL participó en la “VIII Asamblea Ordinaria de la CITEL y en la 39 reunión del Comité Directivo de la CITEL (COM/CITEL)”, celebrada en Washington del 16 al 18 de febrero. El objetivo de esta</w:t>
      </w:r>
    </w:p>
    <w:p w14:paraId="63CDBCEE" w14:textId="60E4A923" w:rsidR="00E353DD" w:rsidRPr="00A4233F" w:rsidRDefault="00E353DD" w:rsidP="00E353DD">
      <w:pPr>
        <w:pStyle w:val="NormalWeb"/>
        <w:spacing w:line="360" w:lineRule="auto"/>
        <w:jc w:val="both"/>
        <w:rPr>
          <w:color w:val="4C4747"/>
          <w:spacing w:val="20"/>
        </w:rPr>
      </w:pPr>
      <w:r w:rsidRPr="00A4233F">
        <w:rPr>
          <w:color w:val="4C4747"/>
          <w:spacing w:val="20"/>
        </w:rPr>
        <w:lastRenderedPageBreak/>
        <w:t>Asamblea fue la elección de los miembros que presidirán los Comités Consultivos Permanente I y II y el Comité Directivo Permanente (COM/CITEL).</w:t>
      </w:r>
    </w:p>
    <w:p w14:paraId="71E8C15F" w14:textId="03A9525B" w:rsidR="00E353DD" w:rsidRPr="00A4233F" w:rsidRDefault="00E353DD" w:rsidP="00E353DD">
      <w:pPr>
        <w:pStyle w:val="NormalWeb"/>
        <w:spacing w:line="360" w:lineRule="auto"/>
        <w:jc w:val="both"/>
        <w:rPr>
          <w:color w:val="4C4747"/>
          <w:spacing w:val="20"/>
        </w:rPr>
      </w:pPr>
      <w:r w:rsidRPr="00A4233F">
        <w:rPr>
          <w:color w:val="4C4747"/>
          <w:spacing w:val="20"/>
        </w:rPr>
        <w:t>La Comisión Interamericana de Telecomunicaciones (CITEL) conjuntamente con el INDOTEL suscribió un M</w:t>
      </w:r>
      <w:r w:rsidR="00556352" w:rsidRPr="00A4233F">
        <w:rPr>
          <w:color w:val="4C4747"/>
          <w:spacing w:val="20"/>
        </w:rPr>
        <w:t xml:space="preserve">emorando de Entendimiento para </w:t>
      </w:r>
      <w:r w:rsidRPr="00A4233F">
        <w:rPr>
          <w:color w:val="4C4747"/>
          <w:spacing w:val="20"/>
        </w:rPr>
        <w:t>acompañamiento técnico, con el objetivo de establecer un marco de cooperación entre las partes en materia de telecomunicaciones y TIC, de acuerdo con las reglas aplicables a las mismas y a los tratados internacionales en los que sean parte, sobre una base de equidad, reciprocidad y beneficio mutuo.</w:t>
      </w:r>
    </w:p>
    <w:p w14:paraId="442EB36E" w14:textId="1DEB473B" w:rsidR="00E353DD" w:rsidRPr="00A4233F" w:rsidRDefault="00E353DD" w:rsidP="00E353DD">
      <w:pPr>
        <w:pStyle w:val="NormalWeb"/>
        <w:spacing w:line="360" w:lineRule="auto"/>
        <w:jc w:val="both"/>
        <w:rPr>
          <w:color w:val="4C4747"/>
          <w:spacing w:val="20"/>
        </w:rPr>
      </w:pPr>
      <w:r w:rsidRPr="00A4233F">
        <w:rPr>
          <w:color w:val="4C4747"/>
          <w:spacing w:val="20"/>
        </w:rPr>
        <w:t>Siendo el fin principal de ayudar a implementar en la República Dominicana las recomendaciones aprobadas por el Comité Directivo de la CITEL, que contiene las iniciativas para la expansión de las telecomunicaciones TIC en áreas rurales y en áreas desatendidas para conectar los no conectados con miras a fortalecer e implementa</w:t>
      </w:r>
      <w:r w:rsidR="00565AD0" w:rsidRPr="00A4233F">
        <w:rPr>
          <w:color w:val="4C4747"/>
          <w:spacing w:val="20"/>
        </w:rPr>
        <w:t>r la agenda digital en el país.</w:t>
      </w:r>
    </w:p>
    <w:p w14:paraId="4EA66E68"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Comité Consultivo Permanente I de la CITEL (CCP.I)</w:t>
      </w:r>
    </w:p>
    <w:p w14:paraId="61E677C0"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A su vez, el INDOTEL ha tenido varias participaciones en el CCPI de manera virtual y presencial. Dentro de los diferentes grupos de trabajo del Comité Consultivo Permanente I (CCPI). República Dominicana se beneficiará de estas acciones, debido a que fue declarado mediante el Decreto Presidencial 539-20 el acceso a un internet de banda ancha como derecho fundamental. </w:t>
      </w:r>
    </w:p>
    <w:p w14:paraId="618CF723" w14:textId="49375DDD" w:rsidR="00E353DD" w:rsidRPr="00A4233F" w:rsidRDefault="00E353DD" w:rsidP="00E353DD">
      <w:pPr>
        <w:pStyle w:val="NormalWeb"/>
        <w:spacing w:line="360" w:lineRule="auto"/>
        <w:jc w:val="both"/>
        <w:rPr>
          <w:color w:val="4C4747"/>
          <w:spacing w:val="20"/>
        </w:rPr>
      </w:pPr>
      <w:r w:rsidRPr="00A4233F">
        <w:rPr>
          <w:color w:val="4C4747"/>
          <w:spacing w:val="20"/>
        </w:rPr>
        <w:t xml:space="preserve">Los temas abordados durante el año </w:t>
      </w:r>
      <w:r w:rsidR="006B3B91" w:rsidRPr="00A4233F">
        <w:rPr>
          <w:color w:val="4C4747"/>
          <w:spacing w:val="20"/>
        </w:rPr>
        <w:t>fueron</w:t>
      </w:r>
      <w:r w:rsidRPr="00A4233F">
        <w:rPr>
          <w:color w:val="4C4747"/>
          <w:spacing w:val="20"/>
        </w:rPr>
        <w:t>:</w:t>
      </w:r>
    </w:p>
    <w:p w14:paraId="77F1D340" w14:textId="07C509B0" w:rsidR="00E353DD" w:rsidRPr="00A4233F" w:rsidRDefault="00E353DD" w:rsidP="00A02BDE">
      <w:pPr>
        <w:pStyle w:val="NormalWeb"/>
        <w:numPr>
          <w:ilvl w:val="0"/>
          <w:numId w:val="32"/>
        </w:numPr>
        <w:spacing w:line="360" w:lineRule="auto"/>
        <w:jc w:val="both"/>
        <w:rPr>
          <w:color w:val="4C4747"/>
          <w:spacing w:val="20"/>
        </w:rPr>
      </w:pPr>
      <w:r w:rsidRPr="00A4233F">
        <w:rPr>
          <w:color w:val="4C4747"/>
          <w:spacing w:val="20"/>
        </w:rPr>
        <w:t xml:space="preserve">Protección de los derechos de usuarios y calidad de los servicios de telecomunicaciones  </w:t>
      </w:r>
    </w:p>
    <w:p w14:paraId="134240C7" w14:textId="2D116288" w:rsidR="00E353DD" w:rsidRPr="00A4233F" w:rsidRDefault="00E353DD" w:rsidP="00A02BDE">
      <w:pPr>
        <w:pStyle w:val="NormalWeb"/>
        <w:numPr>
          <w:ilvl w:val="0"/>
          <w:numId w:val="32"/>
        </w:numPr>
        <w:spacing w:line="360" w:lineRule="auto"/>
        <w:jc w:val="both"/>
        <w:rPr>
          <w:color w:val="4C4747"/>
          <w:spacing w:val="20"/>
        </w:rPr>
      </w:pPr>
      <w:r w:rsidRPr="00A4233F">
        <w:rPr>
          <w:color w:val="4C4747"/>
          <w:spacing w:val="20"/>
        </w:rPr>
        <w:lastRenderedPageBreak/>
        <w:t xml:space="preserve">Aspectos económicos de telecomunicaciones  </w:t>
      </w:r>
    </w:p>
    <w:p w14:paraId="6FBBD5F3" w14:textId="0EFDBAB9" w:rsidR="00E353DD" w:rsidRPr="00A4233F" w:rsidRDefault="00E353DD" w:rsidP="00A02BDE">
      <w:pPr>
        <w:pStyle w:val="NormalWeb"/>
        <w:numPr>
          <w:ilvl w:val="0"/>
          <w:numId w:val="32"/>
        </w:numPr>
        <w:spacing w:line="360" w:lineRule="auto"/>
        <w:jc w:val="both"/>
        <w:rPr>
          <w:color w:val="4C4747"/>
          <w:spacing w:val="20"/>
        </w:rPr>
      </w:pPr>
      <w:r w:rsidRPr="00A4233F">
        <w:rPr>
          <w:color w:val="4C4747"/>
          <w:spacing w:val="20"/>
        </w:rPr>
        <w:t xml:space="preserve">Banda ancha, acceso universal, inclusión digital y equidad de género. </w:t>
      </w:r>
    </w:p>
    <w:p w14:paraId="140BCC4F" w14:textId="36F11157" w:rsidR="00E353DD" w:rsidRPr="00A4233F" w:rsidRDefault="00E353DD" w:rsidP="00A02BDE">
      <w:pPr>
        <w:pStyle w:val="NormalWeb"/>
        <w:numPr>
          <w:ilvl w:val="0"/>
          <w:numId w:val="32"/>
        </w:numPr>
        <w:spacing w:line="360" w:lineRule="auto"/>
        <w:jc w:val="both"/>
        <w:rPr>
          <w:color w:val="4C4747"/>
          <w:spacing w:val="20"/>
        </w:rPr>
      </w:pPr>
      <w:r w:rsidRPr="00A4233F">
        <w:rPr>
          <w:color w:val="4C4747"/>
          <w:spacing w:val="20"/>
        </w:rPr>
        <w:t xml:space="preserve">Conformidad, control de fraude, y dispositivos móviles ilegales o irregulares  </w:t>
      </w:r>
    </w:p>
    <w:p w14:paraId="23A99E16" w14:textId="5933110B" w:rsidR="00E353DD" w:rsidRPr="00A4233F" w:rsidRDefault="00E353DD" w:rsidP="00A02BDE">
      <w:pPr>
        <w:pStyle w:val="NormalWeb"/>
        <w:numPr>
          <w:ilvl w:val="0"/>
          <w:numId w:val="32"/>
        </w:numPr>
        <w:spacing w:line="360" w:lineRule="auto"/>
        <w:jc w:val="both"/>
        <w:rPr>
          <w:color w:val="4C4747"/>
          <w:spacing w:val="20"/>
        </w:rPr>
      </w:pPr>
      <w:r w:rsidRPr="00A4233F">
        <w:rPr>
          <w:color w:val="4C4747"/>
          <w:spacing w:val="20"/>
        </w:rPr>
        <w:t xml:space="preserve">Ciberseguridad, privacidad y protección de datos, evaluación de la vulnerabilidad y construcción de confianza  </w:t>
      </w:r>
    </w:p>
    <w:p w14:paraId="3D226BFD" w14:textId="1721B60E" w:rsidR="00E353DD" w:rsidRPr="00A4233F" w:rsidRDefault="00E353DD" w:rsidP="00A02BDE">
      <w:pPr>
        <w:pStyle w:val="NormalWeb"/>
        <w:numPr>
          <w:ilvl w:val="0"/>
          <w:numId w:val="32"/>
        </w:numPr>
        <w:spacing w:line="360" w:lineRule="auto"/>
        <w:jc w:val="both"/>
        <w:rPr>
          <w:color w:val="4C4747"/>
          <w:spacing w:val="20"/>
        </w:rPr>
      </w:pPr>
      <w:r w:rsidRPr="00A4233F">
        <w:rPr>
          <w:color w:val="4C4747"/>
          <w:spacing w:val="20"/>
        </w:rPr>
        <w:t xml:space="preserve">Prevención, respuesta y mitigación de catástrofes. TIC y cambio climático, protección del medio ambiente y economía circular </w:t>
      </w:r>
    </w:p>
    <w:p w14:paraId="6C959303" w14:textId="0351EF83" w:rsidR="00E353DD" w:rsidRPr="00A4233F" w:rsidRDefault="00E353DD" w:rsidP="00A02BDE">
      <w:pPr>
        <w:pStyle w:val="NormalWeb"/>
        <w:numPr>
          <w:ilvl w:val="0"/>
          <w:numId w:val="32"/>
        </w:numPr>
        <w:spacing w:line="360" w:lineRule="auto"/>
        <w:jc w:val="both"/>
        <w:rPr>
          <w:color w:val="4C4747"/>
          <w:spacing w:val="20"/>
        </w:rPr>
      </w:pPr>
      <w:r w:rsidRPr="00A4233F">
        <w:rPr>
          <w:color w:val="4C4747"/>
          <w:spacing w:val="20"/>
        </w:rPr>
        <w:t xml:space="preserve">Interoperabilidad, infraestructura, conectividad, numeración, servicios y aplicaciones, incluyendo la internet y la conectividad </w:t>
      </w:r>
    </w:p>
    <w:p w14:paraId="4135CC95" w14:textId="795E1F72" w:rsidR="00E353DD" w:rsidRPr="00A4233F" w:rsidRDefault="00E353DD" w:rsidP="00A02BDE">
      <w:pPr>
        <w:pStyle w:val="NormalWeb"/>
        <w:numPr>
          <w:ilvl w:val="0"/>
          <w:numId w:val="32"/>
        </w:numPr>
        <w:spacing w:line="360" w:lineRule="auto"/>
        <w:jc w:val="both"/>
        <w:rPr>
          <w:color w:val="4C4747"/>
          <w:spacing w:val="20"/>
        </w:rPr>
      </w:pPr>
      <w:r w:rsidRPr="00A4233F">
        <w:rPr>
          <w:color w:val="4C4747"/>
          <w:spacing w:val="20"/>
        </w:rPr>
        <w:t>Innovación tecnológica, economía digital, internet de las cosas, comunidades y ciudades inteligentes</w:t>
      </w:r>
    </w:p>
    <w:p w14:paraId="4BE59EC5" w14:textId="51BB19C0" w:rsidR="00E353DD" w:rsidRPr="00A4233F" w:rsidRDefault="00E353DD" w:rsidP="00E353DD">
      <w:pPr>
        <w:pStyle w:val="NormalWeb"/>
        <w:spacing w:line="360" w:lineRule="auto"/>
        <w:jc w:val="both"/>
        <w:rPr>
          <w:color w:val="4C4747"/>
          <w:spacing w:val="20"/>
        </w:rPr>
      </w:pPr>
      <w:r w:rsidRPr="00A4233F">
        <w:rPr>
          <w:color w:val="4C4747"/>
          <w:spacing w:val="20"/>
        </w:rPr>
        <w:t>Esta acción va a encaminar al país a cerrar la brecha digital, y más adelante podrá adjuntar todas las demás iniciativas una vez haya un mayor alcance a las tecnologías, como es el caso de la protección de los derechos de usuario</w:t>
      </w:r>
      <w:r w:rsidR="00565AD0" w:rsidRPr="00A4233F">
        <w:rPr>
          <w:color w:val="4C4747"/>
          <w:spacing w:val="20"/>
        </w:rPr>
        <w:t>s, ciberseguridad, entre otros.</w:t>
      </w:r>
    </w:p>
    <w:p w14:paraId="71664C8F"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Comité Consultivo Permanente II</w:t>
      </w:r>
    </w:p>
    <w:p w14:paraId="7C93ED4D" w14:textId="77777777" w:rsidR="00E353DD" w:rsidRPr="00A4233F" w:rsidRDefault="00E353DD" w:rsidP="00E353DD">
      <w:pPr>
        <w:pStyle w:val="NormalWeb"/>
        <w:spacing w:line="360" w:lineRule="auto"/>
        <w:jc w:val="both"/>
        <w:rPr>
          <w:color w:val="4C4747"/>
          <w:spacing w:val="20"/>
        </w:rPr>
      </w:pPr>
      <w:r w:rsidRPr="00A4233F">
        <w:rPr>
          <w:color w:val="4C4747"/>
          <w:spacing w:val="20"/>
        </w:rPr>
        <w:t>Con relación a la participación del INDOTEL en el grupo de trabajo del Comité Consultivo Permanente II (CCPII), indicamos los principales temas en beneficio del país y la región:</w:t>
      </w:r>
    </w:p>
    <w:p w14:paraId="52039DC8" w14:textId="1E7EBCEA" w:rsidR="00E353DD" w:rsidRPr="00A4233F" w:rsidRDefault="00E353DD" w:rsidP="00A02BDE">
      <w:pPr>
        <w:pStyle w:val="NormalWeb"/>
        <w:numPr>
          <w:ilvl w:val="0"/>
          <w:numId w:val="34"/>
        </w:numPr>
        <w:spacing w:line="360" w:lineRule="auto"/>
        <w:jc w:val="both"/>
        <w:rPr>
          <w:color w:val="4C4747"/>
          <w:spacing w:val="20"/>
        </w:rPr>
      </w:pPr>
      <w:r w:rsidRPr="00A4233F">
        <w:rPr>
          <w:color w:val="4C4747"/>
          <w:spacing w:val="20"/>
        </w:rPr>
        <w:t xml:space="preserve">Armonización de la banda de los 6 Ghz para telecomunicaciones móviles (Servicios inalámbricos de última generación, más conectividad y banda ancha)  </w:t>
      </w:r>
    </w:p>
    <w:p w14:paraId="6FC8D067" w14:textId="6C10E625" w:rsidR="00E353DD" w:rsidRPr="00A4233F" w:rsidRDefault="00E353DD" w:rsidP="00A02BDE">
      <w:pPr>
        <w:pStyle w:val="NormalWeb"/>
        <w:numPr>
          <w:ilvl w:val="0"/>
          <w:numId w:val="33"/>
        </w:numPr>
        <w:spacing w:line="360" w:lineRule="auto"/>
        <w:jc w:val="both"/>
        <w:rPr>
          <w:color w:val="4C4747"/>
          <w:spacing w:val="20"/>
        </w:rPr>
      </w:pPr>
      <w:r w:rsidRPr="00A4233F">
        <w:rPr>
          <w:color w:val="4C4747"/>
          <w:spacing w:val="20"/>
        </w:rPr>
        <w:lastRenderedPageBreak/>
        <w:t>Preparatoria de los temas para la próxima conferencia mundial de radiocomunicaciones CMR-23</w:t>
      </w:r>
    </w:p>
    <w:p w14:paraId="05EFFBF4" w14:textId="5F5A185E" w:rsidR="00E353DD" w:rsidRPr="00A4233F" w:rsidRDefault="00E353DD" w:rsidP="00A02BDE">
      <w:pPr>
        <w:pStyle w:val="NormalWeb"/>
        <w:numPr>
          <w:ilvl w:val="0"/>
          <w:numId w:val="33"/>
        </w:numPr>
        <w:spacing w:line="360" w:lineRule="auto"/>
        <w:jc w:val="both"/>
        <w:rPr>
          <w:color w:val="4C4747"/>
          <w:spacing w:val="20"/>
        </w:rPr>
      </w:pPr>
      <w:r w:rsidRPr="00A4233F">
        <w:rPr>
          <w:color w:val="4C4747"/>
          <w:spacing w:val="20"/>
        </w:rPr>
        <w:t>Innovación tecnológica, economía digital, internet de las cosas, comunidades y ciudades inteligentes.</w:t>
      </w:r>
    </w:p>
    <w:p w14:paraId="62A16EEB" w14:textId="1E65C2F7" w:rsidR="00E353DD" w:rsidRPr="00A4233F" w:rsidRDefault="00E353DD" w:rsidP="00A02BDE">
      <w:pPr>
        <w:pStyle w:val="NormalWeb"/>
        <w:numPr>
          <w:ilvl w:val="0"/>
          <w:numId w:val="33"/>
        </w:numPr>
        <w:spacing w:line="360" w:lineRule="auto"/>
        <w:jc w:val="both"/>
        <w:rPr>
          <w:color w:val="4C4747"/>
          <w:spacing w:val="20"/>
        </w:rPr>
      </w:pPr>
      <w:r w:rsidRPr="00A4233F">
        <w:rPr>
          <w:color w:val="4C4747"/>
          <w:spacing w:val="20"/>
        </w:rPr>
        <w:t>Documento de COMTELCA compilatorio del proceso de actualización de los Cuadros, Tablas, Planes Nacionales de Atribución de Bandas de Frecuencias, para la región de Centro América y en Caribe en armonización con la región II.</w:t>
      </w:r>
    </w:p>
    <w:p w14:paraId="528FEB8D"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Sistemas 5G y Salud Humana y la oportunidad económica de 5G NB-IoT NTN</w:t>
      </w:r>
    </w:p>
    <w:p w14:paraId="764C5FD4" w14:textId="77777777" w:rsidR="00E353DD" w:rsidRPr="00A4233F" w:rsidRDefault="00E353DD" w:rsidP="00E353DD">
      <w:pPr>
        <w:pStyle w:val="NormalWeb"/>
        <w:spacing w:line="360" w:lineRule="auto"/>
        <w:jc w:val="both"/>
        <w:rPr>
          <w:color w:val="4C4747"/>
          <w:spacing w:val="20"/>
        </w:rPr>
      </w:pPr>
      <w:r w:rsidRPr="00A4233F">
        <w:rPr>
          <w:color w:val="4C4747"/>
          <w:spacing w:val="20"/>
        </w:rPr>
        <w:t>Tendencia regional a mediano y largo plazo respecto del uso de la banda de frecuencias 5925-7125 MHz (6 GHz) en los países de COMTELCA.</w:t>
      </w:r>
    </w:p>
    <w:p w14:paraId="6B053F86" w14:textId="77777777" w:rsidR="00E353DD" w:rsidRPr="00A4233F" w:rsidRDefault="00E353DD" w:rsidP="00E353DD">
      <w:pPr>
        <w:pStyle w:val="NormalWeb"/>
        <w:spacing w:line="360" w:lineRule="auto"/>
        <w:jc w:val="both"/>
        <w:rPr>
          <w:color w:val="4C4747"/>
          <w:spacing w:val="20"/>
        </w:rPr>
      </w:pPr>
      <w:r w:rsidRPr="00A4233F">
        <w:rPr>
          <w:color w:val="4C4747"/>
          <w:spacing w:val="20"/>
        </w:rPr>
        <w:t>Proyecto de decisión sobre la respuesta a la declaración de coordinación para las actualizaciones de la armonización regional del uso del espectro por RSTT.</w:t>
      </w:r>
    </w:p>
    <w:p w14:paraId="7363EFB4"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Cooperación Internacional y Relaciones Bilaterales</w:t>
      </w:r>
    </w:p>
    <w:p w14:paraId="5BEFC746" w14:textId="77777777" w:rsidR="00E353DD" w:rsidRPr="00A4233F" w:rsidRDefault="00E353DD" w:rsidP="00E353DD">
      <w:pPr>
        <w:pStyle w:val="NormalWeb"/>
        <w:spacing w:line="360" w:lineRule="auto"/>
        <w:jc w:val="both"/>
        <w:rPr>
          <w:color w:val="4C4747"/>
          <w:spacing w:val="20"/>
        </w:rPr>
      </w:pPr>
      <w:r w:rsidRPr="00A4233F">
        <w:rPr>
          <w:color w:val="4C4747"/>
          <w:spacing w:val="20"/>
        </w:rPr>
        <w:t>Resaltamos el Proyecto Reglamento para la gestión integral de los Residuos de Aparatos Eléctricos y Electrónicos (RAEE). En donde la Unión Internacional de Telecomunicaciones (UIT), actualmente está ofreciendo apoyo al INDOTEL y al Ministerio de Medio Ambiente y Recursos Naturales (MIMARENA), instituciones del Gobierno dominicano, en el desarrollo de un reglamento dedicado a la gestión y disposición final de desechos electrónicos.</w:t>
      </w:r>
    </w:p>
    <w:p w14:paraId="5D524ED7" w14:textId="639A5C8B" w:rsidR="00565AD0" w:rsidRPr="00A4233F" w:rsidRDefault="00E353DD" w:rsidP="00E353DD">
      <w:pPr>
        <w:pStyle w:val="NormalWeb"/>
        <w:spacing w:line="360" w:lineRule="auto"/>
        <w:jc w:val="both"/>
        <w:rPr>
          <w:color w:val="4C4747"/>
          <w:spacing w:val="20"/>
        </w:rPr>
      </w:pPr>
      <w:r w:rsidRPr="00A4233F">
        <w:rPr>
          <w:color w:val="4C4747"/>
          <w:spacing w:val="20"/>
        </w:rPr>
        <w:t xml:space="preserve">El impacto directo que tendría la realización de este proyecto es reducir y optimizar el consumo de recursos naturales, sobre todo agua y energía. </w:t>
      </w:r>
    </w:p>
    <w:p w14:paraId="72CFC397"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lastRenderedPageBreak/>
        <w:t xml:space="preserve">Centro INDOTEL </w:t>
      </w:r>
    </w:p>
    <w:p w14:paraId="44B03833"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El Centro INDOTEL Cultura Digital es un lugar donde se difunde y fomenta la cultura digital y la innovación así como también se expone la historia de las telecomunicaciones a través de los protagonistas que fueron esculpiendo la historia de la radio, la televisión y el internet en nuestro país. </w:t>
      </w:r>
    </w:p>
    <w:p w14:paraId="3768C835"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El Centro INDOTEL, es un punto de encuentro y espacio abierto para promover el uso de las herramientas de las tecnologías de la información y la comunicación, implementar proyectos, generar experiencias y formar personas que sean agentes de cambio y de la transformación digital, a través de una amplia oferta de actividades educativas que incluyen talleres y cursos especializados en tecnologías digitales y charlas educativas. </w:t>
      </w:r>
    </w:p>
    <w:p w14:paraId="198E1559" w14:textId="58048BBA" w:rsidR="00E353DD" w:rsidRPr="00A4233F" w:rsidRDefault="00E353DD" w:rsidP="00E353DD">
      <w:pPr>
        <w:pStyle w:val="NormalWeb"/>
        <w:spacing w:line="360" w:lineRule="auto"/>
        <w:jc w:val="both"/>
        <w:rPr>
          <w:color w:val="4C4747"/>
          <w:spacing w:val="20"/>
        </w:rPr>
      </w:pPr>
      <w:r w:rsidRPr="00A4233F">
        <w:rPr>
          <w:color w:val="4C4747"/>
          <w:spacing w:val="20"/>
        </w:rPr>
        <w:t>En el año 2022 las visitas se incrementaron en más de un 100%, considerando que se recibieron más de 45,000 visitantes incluyendo dos eventos importantes como fueron la Feria del Li</w:t>
      </w:r>
      <w:r w:rsidR="00565AD0" w:rsidRPr="00A4233F">
        <w:rPr>
          <w:color w:val="4C4747"/>
          <w:spacing w:val="20"/>
        </w:rPr>
        <w:t>bro y la Noche Larga de Museos.</w:t>
      </w:r>
    </w:p>
    <w:p w14:paraId="7AD5A51C"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 xml:space="preserve">Exhibiciones Educativas y Paneles </w:t>
      </w:r>
    </w:p>
    <w:p w14:paraId="7EF37015" w14:textId="4D3EAA39" w:rsidR="00565AD0" w:rsidRPr="00A4233F" w:rsidRDefault="00E353DD" w:rsidP="00E353DD">
      <w:pPr>
        <w:pStyle w:val="NormalWeb"/>
        <w:spacing w:line="360" w:lineRule="auto"/>
        <w:jc w:val="both"/>
        <w:rPr>
          <w:color w:val="4C4747"/>
          <w:spacing w:val="20"/>
        </w:rPr>
      </w:pPr>
      <w:r w:rsidRPr="00A4233F">
        <w:rPr>
          <w:color w:val="4C4747"/>
          <w:spacing w:val="20"/>
        </w:rPr>
        <w:t>Exhibici</w:t>
      </w:r>
      <w:r w:rsidR="00565AD0" w:rsidRPr="00A4233F">
        <w:rPr>
          <w:color w:val="4C4747"/>
          <w:spacing w:val="20"/>
        </w:rPr>
        <w:t>ón de las mujeres en la ciencia</w:t>
      </w:r>
    </w:p>
    <w:p w14:paraId="453C0CDC" w14:textId="5C1FDFA5" w:rsidR="00E353DD" w:rsidRPr="00A4233F" w:rsidRDefault="00E353DD" w:rsidP="00E353DD">
      <w:pPr>
        <w:pStyle w:val="NormalWeb"/>
        <w:spacing w:line="360" w:lineRule="auto"/>
        <w:jc w:val="both"/>
        <w:rPr>
          <w:color w:val="4C4747"/>
          <w:spacing w:val="20"/>
        </w:rPr>
      </w:pPr>
      <w:r w:rsidRPr="00A4233F">
        <w:rPr>
          <w:color w:val="4C4747"/>
          <w:spacing w:val="20"/>
        </w:rPr>
        <w:t xml:space="preserve">La “Exposición de las Mujeres en la Ciencia”, abarcó los aportes de mujeres destacadas en la tecnología y la ciencia, la misma se encontraba de manera física y virtual. Fueron invitados colegios de todo el país con la finalidad de involucrar a las niñas, niños y jóvenes en la ciencia, tecnología, ingeniería, matemáticas y en el ámbito del apoyo de la mujer en la ciencia. </w:t>
      </w:r>
    </w:p>
    <w:p w14:paraId="2BC63A0D" w14:textId="78151CE1" w:rsidR="00E353DD" w:rsidRPr="005A11A8" w:rsidRDefault="00E353DD" w:rsidP="00E353DD">
      <w:pPr>
        <w:pStyle w:val="NormalWeb"/>
        <w:spacing w:line="360" w:lineRule="auto"/>
        <w:jc w:val="both"/>
        <w:rPr>
          <w:color w:val="4C4747"/>
          <w:spacing w:val="20"/>
        </w:rPr>
      </w:pPr>
      <w:r w:rsidRPr="005A11A8">
        <w:rPr>
          <w:color w:val="4C4747"/>
          <w:spacing w:val="20"/>
        </w:rPr>
        <w:lastRenderedPageBreak/>
        <w:t xml:space="preserve">Exposición Televisión Terrestre Digital “El Camino a la Transmisión Digital” </w:t>
      </w:r>
    </w:p>
    <w:p w14:paraId="7D68D9BC" w14:textId="4CAAA188" w:rsidR="00E353DD" w:rsidRPr="00A4233F" w:rsidRDefault="00E353DD" w:rsidP="00E353DD">
      <w:pPr>
        <w:pStyle w:val="NormalWeb"/>
        <w:spacing w:line="360" w:lineRule="auto"/>
        <w:jc w:val="both"/>
        <w:rPr>
          <w:color w:val="4C4747"/>
          <w:spacing w:val="20"/>
        </w:rPr>
      </w:pPr>
      <w:r w:rsidRPr="00A4233F">
        <w:rPr>
          <w:color w:val="4C4747"/>
          <w:spacing w:val="20"/>
        </w:rPr>
        <w:t>En el marco de la semana de las Telecomunicaciones y de la Sociedad de la Información, se realizó la exposición “El camino a la Transmisión Digital” la cual fue presentada junto a la televisora Color Visión, la primera transmisión de la televisión digital e</w:t>
      </w:r>
      <w:r w:rsidR="00565AD0" w:rsidRPr="00A4233F">
        <w:rPr>
          <w:color w:val="4C4747"/>
          <w:spacing w:val="20"/>
        </w:rPr>
        <w:t xml:space="preserve">n el país. </w:t>
      </w:r>
    </w:p>
    <w:p w14:paraId="3A75F849" w14:textId="5D01CB36" w:rsidR="00E353DD" w:rsidRPr="00A4233F" w:rsidRDefault="00E353DD" w:rsidP="00E353DD">
      <w:pPr>
        <w:pStyle w:val="NormalWeb"/>
        <w:spacing w:line="360" w:lineRule="auto"/>
        <w:jc w:val="both"/>
        <w:rPr>
          <w:color w:val="4C4747"/>
          <w:spacing w:val="20"/>
        </w:rPr>
      </w:pPr>
      <w:r w:rsidRPr="00A4233F">
        <w:rPr>
          <w:color w:val="4C4747"/>
          <w:spacing w:val="20"/>
        </w:rPr>
        <w:t>Panel “Nuevas tendencias y tecnologías para la industria de la radio”</w:t>
      </w:r>
    </w:p>
    <w:p w14:paraId="5AC2CD14" w14:textId="77777777" w:rsidR="00E353DD" w:rsidRPr="00A4233F" w:rsidRDefault="00E353DD" w:rsidP="00E353DD">
      <w:pPr>
        <w:pStyle w:val="NormalWeb"/>
        <w:spacing w:line="360" w:lineRule="auto"/>
        <w:jc w:val="both"/>
        <w:rPr>
          <w:color w:val="4C4747"/>
          <w:spacing w:val="20"/>
        </w:rPr>
      </w:pPr>
      <w:r w:rsidRPr="00A4233F">
        <w:rPr>
          <w:color w:val="4C4747"/>
          <w:spacing w:val="20"/>
        </w:rPr>
        <w:t>El evento sirvió para conocer la evolución en los hábitos de consumo de los radioescuchas, el impacto de las plataformas digitales, los nuevos canales de consumo; así como también los retos que tienen el sector por delante y la importancia de la radio y la contribución social que desempeña en las sociedades.</w:t>
      </w:r>
    </w:p>
    <w:p w14:paraId="7E4259D2" w14:textId="28DDD0FA" w:rsidR="00E353DD" w:rsidRPr="00A4233F" w:rsidRDefault="00E353DD" w:rsidP="00E353DD">
      <w:pPr>
        <w:pStyle w:val="NormalWeb"/>
        <w:spacing w:line="360" w:lineRule="auto"/>
        <w:jc w:val="both"/>
        <w:rPr>
          <w:color w:val="4C4747"/>
          <w:spacing w:val="20"/>
        </w:rPr>
      </w:pPr>
      <w:r w:rsidRPr="00A4233F">
        <w:rPr>
          <w:color w:val="4C4747"/>
          <w:spacing w:val="20"/>
        </w:rPr>
        <w:t xml:space="preserve">Panel “Ciberbullying, Prevención y Manejo” </w:t>
      </w:r>
    </w:p>
    <w:p w14:paraId="15FE8DE4" w14:textId="2D616A56" w:rsidR="00E353DD" w:rsidRPr="00A4233F" w:rsidRDefault="00E353DD" w:rsidP="00E353DD">
      <w:pPr>
        <w:pStyle w:val="NormalWeb"/>
        <w:spacing w:line="360" w:lineRule="auto"/>
        <w:jc w:val="both"/>
        <w:rPr>
          <w:color w:val="4C4747"/>
          <w:spacing w:val="20"/>
        </w:rPr>
      </w:pPr>
      <w:r w:rsidRPr="00A4233F">
        <w:rPr>
          <w:color w:val="4C4747"/>
          <w:spacing w:val="20"/>
        </w:rPr>
        <w:t xml:space="preserve">El evento se llevó a cabo junto a la Fundación MAFRE durante el mismo se explicaron las consecuencias legales de un mal uso de las redes sociales así como la importancia del uso seguro del internet en </w:t>
      </w:r>
      <w:r w:rsidR="00565AD0" w:rsidRPr="00A4233F">
        <w:rPr>
          <w:color w:val="4C4747"/>
          <w:spacing w:val="20"/>
        </w:rPr>
        <w:t xml:space="preserve">niños, niñas y adolescentes.   </w:t>
      </w:r>
    </w:p>
    <w:p w14:paraId="619612E2"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Eventos Conmemorativos y homenajes</w:t>
      </w:r>
    </w:p>
    <w:p w14:paraId="555F44A3" w14:textId="60A6D20C" w:rsidR="00E353DD" w:rsidRPr="00A4233F" w:rsidRDefault="00E353DD" w:rsidP="00E353DD">
      <w:pPr>
        <w:pStyle w:val="NormalWeb"/>
        <w:spacing w:line="360" w:lineRule="auto"/>
        <w:jc w:val="both"/>
        <w:rPr>
          <w:color w:val="4C4747"/>
          <w:spacing w:val="20"/>
        </w:rPr>
      </w:pPr>
      <w:r w:rsidRPr="00A4233F">
        <w:rPr>
          <w:color w:val="4C4747"/>
          <w:spacing w:val="20"/>
        </w:rPr>
        <w:t xml:space="preserve">Conmemoración del Día de la Mujer y homenaje a Anita Ontiveros </w:t>
      </w:r>
    </w:p>
    <w:p w14:paraId="42D90791"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Se rindió un homenaje a Anita Ontiveros. En este se desveló un mural en honor a la productora, editora, camarógrafa y directora de televisión, con una larga trayectoria en el mundo televisivo. </w:t>
      </w:r>
    </w:p>
    <w:p w14:paraId="582C0DE3" w14:textId="77777777" w:rsidR="00BB4D02" w:rsidRDefault="00BB4D02" w:rsidP="00E353DD">
      <w:pPr>
        <w:pStyle w:val="NormalWeb"/>
        <w:spacing w:line="360" w:lineRule="auto"/>
        <w:jc w:val="both"/>
        <w:rPr>
          <w:color w:val="4C4747"/>
          <w:spacing w:val="20"/>
        </w:rPr>
      </w:pPr>
    </w:p>
    <w:p w14:paraId="1B04242A" w14:textId="7AD4FE48" w:rsidR="00E353DD" w:rsidRPr="00A4233F" w:rsidRDefault="00E353DD" w:rsidP="00E353DD">
      <w:pPr>
        <w:pStyle w:val="NormalWeb"/>
        <w:spacing w:line="360" w:lineRule="auto"/>
        <w:jc w:val="both"/>
        <w:rPr>
          <w:color w:val="4C4747"/>
          <w:spacing w:val="20"/>
        </w:rPr>
      </w:pPr>
      <w:r w:rsidRPr="00A4233F">
        <w:rPr>
          <w:color w:val="4C4747"/>
          <w:spacing w:val="20"/>
        </w:rPr>
        <w:lastRenderedPageBreak/>
        <w:t>Celebración del Día Mundial de la Radio</w:t>
      </w:r>
    </w:p>
    <w:p w14:paraId="63DF64BC" w14:textId="3969C4AF" w:rsidR="00E353DD" w:rsidRPr="00A4233F" w:rsidRDefault="00E353DD" w:rsidP="00E353DD">
      <w:pPr>
        <w:pStyle w:val="NormalWeb"/>
        <w:spacing w:line="360" w:lineRule="auto"/>
        <w:jc w:val="both"/>
        <w:rPr>
          <w:color w:val="4C4747"/>
          <w:spacing w:val="20"/>
        </w:rPr>
      </w:pPr>
      <w:r w:rsidRPr="00A4233F">
        <w:rPr>
          <w:color w:val="4C4747"/>
          <w:spacing w:val="20"/>
        </w:rPr>
        <w:t>Desde el Centro INDOTEL fue celebrado el Día Mundial de la Radio. En el mismo se reunieron diferentes actores que inciden dentro de la radiofonía nacional para hacer un balance sobre la realidad del sector en la actualidad y crear consensos necesarios para enfrentar los reto</w:t>
      </w:r>
      <w:r w:rsidR="00565AD0" w:rsidRPr="00A4233F">
        <w:rPr>
          <w:color w:val="4C4747"/>
          <w:spacing w:val="20"/>
        </w:rPr>
        <w:t xml:space="preserve">s de la radio hacia el futuro. </w:t>
      </w:r>
    </w:p>
    <w:p w14:paraId="0C2865C1"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 xml:space="preserve">Eventos educativos </w:t>
      </w:r>
    </w:p>
    <w:p w14:paraId="04D44E58" w14:textId="2D1D8F83" w:rsidR="00E353DD" w:rsidRPr="00A4233F" w:rsidRDefault="00E353DD" w:rsidP="00E353DD">
      <w:pPr>
        <w:pStyle w:val="NormalWeb"/>
        <w:spacing w:line="360" w:lineRule="auto"/>
        <w:jc w:val="both"/>
        <w:rPr>
          <w:color w:val="4C4747"/>
          <w:spacing w:val="20"/>
        </w:rPr>
      </w:pPr>
      <w:r w:rsidRPr="00A4233F">
        <w:rPr>
          <w:color w:val="4C4747"/>
          <w:spacing w:val="20"/>
        </w:rPr>
        <w:t>CLUB CTIM</w:t>
      </w:r>
    </w:p>
    <w:p w14:paraId="5FCE4668"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El 18 de febrero se dio inicio al CLUB CTIM dirigido a niñas del colegio Divina Pastora de la comunidad de Santa Bárbara, en los grados 4to, 5to y 6to. Este club es una serie de talleres tecnológicos que se imparten todos los viernes de 2:00 pm a 3:30 pm. </w:t>
      </w:r>
    </w:p>
    <w:p w14:paraId="076FE5B7" w14:textId="77777777" w:rsidR="00E353DD" w:rsidRPr="00A4233F" w:rsidRDefault="00E353DD" w:rsidP="00E353DD">
      <w:pPr>
        <w:pStyle w:val="NormalWeb"/>
        <w:spacing w:line="360" w:lineRule="auto"/>
        <w:jc w:val="both"/>
        <w:rPr>
          <w:color w:val="4C4747"/>
          <w:spacing w:val="20"/>
        </w:rPr>
      </w:pPr>
      <w:r w:rsidRPr="00A4233F">
        <w:rPr>
          <w:color w:val="4C4747"/>
          <w:spacing w:val="20"/>
        </w:rPr>
        <w:t>El objetivo general de este club es desarrollar la vocación en materia de ciencia, tecnología, ingeniería y matemáticas, disminuyendo la brecha de género y digital, fomentando en las jóvenes el pensamiento crítico y el sentimiento haca la tecnología y la innovación, impulsando el uso de las TIC.</w:t>
      </w:r>
    </w:p>
    <w:p w14:paraId="6ACC6077" w14:textId="62176A75" w:rsidR="00E353DD" w:rsidRPr="00A4233F" w:rsidRDefault="00E353DD" w:rsidP="00E353DD">
      <w:pPr>
        <w:pStyle w:val="NormalWeb"/>
        <w:spacing w:line="360" w:lineRule="auto"/>
        <w:jc w:val="both"/>
        <w:rPr>
          <w:color w:val="4C4747"/>
          <w:spacing w:val="20"/>
        </w:rPr>
      </w:pPr>
      <w:r w:rsidRPr="00A4233F">
        <w:rPr>
          <w:color w:val="4C4747"/>
          <w:spacing w:val="20"/>
        </w:rPr>
        <w:t xml:space="preserve">Feria del Libro </w:t>
      </w:r>
    </w:p>
    <w:p w14:paraId="3D9D9DE8"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Este año participamos en la XXIV Feria Internacional del Libro realizada en la zona colonial, siendo cede del pabellón de negocios de la misma. En el Centro se realizaron diversas actividades en el marco de la feria como son charlas, conferencias, proyecciones cinematográficas, conversatorios, talleres, entre otros. </w:t>
      </w:r>
    </w:p>
    <w:p w14:paraId="29AB458B" w14:textId="77777777" w:rsidR="00565AD0" w:rsidRPr="00A4233F" w:rsidRDefault="00E353DD" w:rsidP="00E353DD">
      <w:pPr>
        <w:pStyle w:val="NormalWeb"/>
        <w:spacing w:line="360" w:lineRule="auto"/>
        <w:jc w:val="both"/>
        <w:rPr>
          <w:color w:val="4C4747"/>
          <w:spacing w:val="20"/>
        </w:rPr>
      </w:pPr>
      <w:r w:rsidRPr="00A4233F">
        <w:rPr>
          <w:color w:val="4C4747"/>
          <w:spacing w:val="20"/>
        </w:rPr>
        <w:t>De igual forma fuimos cede de la transmisión de Radio Francia para todo el mundo. En nuestro museo recibimos más de 13,000 personas</w:t>
      </w:r>
    </w:p>
    <w:p w14:paraId="62BF9DAD" w14:textId="6BC6525E" w:rsidR="00E353DD" w:rsidRPr="00A4233F" w:rsidRDefault="00E353DD" w:rsidP="00E353DD">
      <w:pPr>
        <w:pStyle w:val="NormalWeb"/>
        <w:spacing w:line="360" w:lineRule="auto"/>
        <w:jc w:val="both"/>
        <w:rPr>
          <w:color w:val="4C4747"/>
          <w:spacing w:val="20"/>
        </w:rPr>
      </w:pPr>
      <w:r w:rsidRPr="00A4233F">
        <w:rPr>
          <w:color w:val="4C4747"/>
          <w:spacing w:val="20"/>
        </w:rPr>
        <w:lastRenderedPageBreak/>
        <w:t>que se dieron cita para disfrutar del recorrido y conocer la historia de las telecomunicaciones.</w:t>
      </w:r>
    </w:p>
    <w:p w14:paraId="6C10F23A" w14:textId="375BEA7D" w:rsidR="00E353DD" w:rsidRPr="00A4233F" w:rsidRDefault="00E353DD" w:rsidP="00E353DD">
      <w:pPr>
        <w:pStyle w:val="NormalWeb"/>
        <w:spacing w:line="360" w:lineRule="auto"/>
        <w:jc w:val="both"/>
        <w:rPr>
          <w:color w:val="4C4747"/>
          <w:spacing w:val="20"/>
        </w:rPr>
      </w:pPr>
      <w:r w:rsidRPr="00A4233F">
        <w:rPr>
          <w:color w:val="4C4747"/>
          <w:spacing w:val="20"/>
        </w:rPr>
        <w:t>Noche larga de Museo</w:t>
      </w:r>
    </w:p>
    <w:p w14:paraId="612988FD" w14:textId="77777777" w:rsidR="00E353DD" w:rsidRPr="00A4233F" w:rsidRDefault="00E353DD" w:rsidP="00E353DD">
      <w:pPr>
        <w:pStyle w:val="NormalWeb"/>
        <w:spacing w:line="360" w:lineRule="auto"/>
        <w:jc w:val="both"/>
        <w:rPr>
          <w:color w:val="4C4747"/>
          <w:spacing w:val="20"/>
        </w:rPr>
      </w:pPr>
      <w:r w:rsidRPr="00A4233F">
        <w:rPr>
          <w:color w:val="4C4747"/>
          <w:spacing w:val="20"/>
        </w:rPr>
        <w:t>Fiesta interinstitucional cultural llena de emociones y actividades para la familia en coordinación con el Ministerio de Cultura, con diferentes y atractivas actividades enfocadas en el conocimiento y entretenimiento, entre ellas taller de manualidades donde los niños fueron los protagonistas, música en vivo, películas, entrevistas y obra de teatro de calle.</w:t>
      </w:r>
    </w:p>
    <w:p w14:paraId="11793DBC"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Eventos</w:t>
      </w:r>
      <w:r w:rsidRPr="00A4233F">
        <w:rPr>
          <w:b/>
          <w:color w:val="4C4747"/>
          <w:spacing w:val="20"/>
        </w:rPr>
        <w:tab/>
      </w:r>
    </w:p>
    <w:p w14:paraId="4987EC62" w14:textId="783A9B99" w:rsidR="00E353DD" w:rsidRPr="00A4233F" w:rsidRDefault="00E353DD" w:rsidP="00E353DD">
      <w:pPr>
        <w:pStyle w:val="NormalWeb"/>
        <w:spacing w:line="360" w:lineRule="auto"/>
        <w:jc w:val="both"/>
        <w:rPr>
          <w:color w:val="4C4747"/>
          <w:spacing w:val="20"/>
        </w:rPr>
      </w:pPr>
      <w:r w:rsidRPr="00A4233F">
        <w:rPr>
          <w:color w:val="4C4747"/>
          <w:spacing w:val="20"/>
        </w:rPr>
        <w:t>Sede y soporte para que además del INDOTEL, otras entidades y/o empresas puedan desarrollar sus eventos en los espacios del Centro INDOTEL, promoviendo así la co</w:t>
      </w:r>
      <w:r w:rsidR="00565AD0" w:rsidRPr="00A4233F">
        <w:rPr>
          <w:color w:val="4C4747"/>
          <w:spacing w:val="20"/>
        </w:rPr>
        <w:t xml:space="preserve">laboración interinstitucional. </w:t>
      </w:r>
    </w:p>
    <w:p w14:paraId="7E844716" w14:textId="77777777" w:rsidR="00E353DD" w:rsidRPr="00A4233F" w:rsidRDefault="00E353DD" w:rsidP="00E353DD">
      <w:pPr>
        <w:pStyle w:val="NormalWeb"/>
        <w:spacing w:line="360" w:lineRule="auto"/>
        <w:jc w:val="both"/>
        <w:rPr>
          <w:b/>
          <w:color w:val="4C4747"/>
          <w:spacing w:val="20"/>
        </w:rPr>
      </w:pPr>
      <w:r w:rsidRPr="00A4233F">
        <w:rPr>
          <w:b/>
          <w:color w:val="4C4747"/>
          <w:spacing w:val="20"/>
        </w:rPr>
        <w:t>Proyectos que Promueven la Cultura Digital</w:t>
      </w:r>
    </w:p>
    <w:p w14:paraId="33A80EE1" w14:textId="5C3F8B09" w:rsidR="00E353DD" w:rsidRPr="00A4233F" w:rsidRDefault="00E353DD" w:rsidP="00E353DD">
      <w:pPr>
        <w:pStyle w:val="NormalWeb"/>
        <w:spacing w:line="360" w:lineRule="auto"/>
        <w:jc w:val="both"/>
        <w:rPr>
          <w:color w:val="4C4747"/>
          <w:spacing w:val="20"/>
        </w:rPr>
      </w:pPr>
      <w:r w:rsidRPr="00A4233F">
        <w:rPr>
          <w:color w:val="4C4747"/>
          <w:spacing w:val="20"/>
        </w:rPr>
        <w:t>Talentos TIC</w:t>
      </w:r>
    </w:p>
    <w:p w14:paraId="75B4C344" w14:textId="570E8FAD" w:rsidR="00E353DD" w:rsidRPr="00A4233F" w:rsidRDefault="00E353DD" w:rsidP="00E353DD">
      <w:pPr>
        <w:pStyle w:val="NormalWeb"/>
        <w:spacing w:line="360" w:lineRule="auto"/>
        <w:jc w:val="both"/>
        <w:rPr>
          <w:color w:val="4C4747"/>
          <w:spacing w:val="20"/>
        </w:rPr>
      </w:pPr>
      <w:r w:rsidRPr="00A4233F">
        <w:rPr>
          <w:color w:val="4C4747"/>
          <w:spacing w:val="20"/>
        </w:rPr>
        <w:t>Se tuvo la participación de 30 talentos donde presentaron su testimonio sobre sus logros personales y como estas carreras TIC le abrieron puerta en el desarrollo personal. Este proyecto tiene como objetivo promocionar las carreras TIC</w:t>
      </w:r>
      <w:r w:rsidR="00565AD0" w:rsidRPr="00A4233F">
        <w:rPr>
          <w:color w:val="4C4747"/>
          <w:spacing w:val="20"/>
        </w:rPr>
        <w:t xml:space="preserve"> entre los jóvenes dominicanos.</w:t>
      </w:r>
    </w:p>
    <w:p w14:paraId="32B3F912" w14:textId="185721F3" w:rsidR="00E353DD" w:rsidRPr="00A4233F" w:rsidRDefault="00E353DD" w:rsidP="00E353DD">
      <w:pPr>
        <w:pStyle w:val="NormalWeb"/>
        <w:spacing w:line="360" w:lineRule="auto"/>
        <w:jc w:val="both"/>
        <w:rPr>
          <w:color w:val="4C4747"/>
          <w:spacing w:val="20"/>
        </w:rPr>
      </w:pPr>
      <w:r w:rsidRPr="00A4233F">
        <w:rPr>
          <w:color w:val="4C4747"/>
          <w:spacing w:val="20"/>
        </w:rPr>
        <w:t>Centro INDOTEL en tu Comunidad</w:t>
      </w:r>
    </w:p>
    <w:p w14:paraId="3D66FAA3" w14:textId="77777777" w:rsidR="00E353DD" w:rsidRPr="00A4233F" w:rsidRDefault="00E353DD" w:rsidP="00E353DD">
      <w:pPr>
        <w:pStyle w:val="NormalWeb"/>
        <w:spacing w:line="360" w:lineRule="auto"/>
        <w:jc w:val="both"/>
        <w:rPr>
          <w:color w:val="4C4747"/>
          <w:spacing w:val="20"/>
        </w:rPr>
      </w:pPr>
      <w:r w:rsidRPr="00A4233F">
        <w:rPr>
          <w:color w:val="4C4747"/>
          <w:spacing w:val="20"/>
        </w:rPr>
        <w:t>Fue creada la visita guiada de manera virtual al museo ubicado en el Centro INDOTEL, esto con la finalidad de motivar a directores y maestros a visitar el museo promoviendo la cultura digital.</w:t>
      </w:r>
    </w:p>
    <w:p w14:paraId="32AA038D" w14:textId="77777777" w:rsidR="00E353DD" w:rsidRPr="005A11A8" w:rsidRDefault="00E353DD" w:rsidP="00E353DD">
      <w:pPr>
        <w:pStyle w:val="NormalWeb"/>
        <w:spacing w:line="360" w:lineRule="auto"/>
        <w:jc w:val="both"/>
        <w:rPr>
          <w:color w:val="4C4747"/>
          <w:spacing w:val="20"/>
        </w:rPr>
      </w:pPr>
    </w:p>
    <w:p w14:paraId="3F5704E0" w14:textId="61BE1ECC" w:rsidR="00E353DD" w:rsidRPr="00A4233F" w:rsidRDefault="00E353DD" w:rsidP="00E353DD">
      <w:pPr>
        <w:pStyle w:val="NormalWeb"/>
        <w:spacing w:line="360" w:lineRule="auto"/>
        <w:jc w:val="both"/>
        <w:rPr>
          <w:color w:val="4C4747"/>
          <w:spacing w:val="20"/>
        </w:rPr>
      </w:pPr>
      <w:r w:rsidRPr="00A4233F">
        <w:rPr>
          <w:color w:val="4C4747"/>
          <w:spacing w:val="20"/>
        </w:rPr>
        <w:lastRenderedPageBreak/>
        <w:t xml:space="preserve">Proyecto testimonio </w:t>
      </w:r>
    </w:p>
    <w:p w14:paraId="0862D840" w14:textId="77777777" w:rsidR="00E353DD" w:rsidRPr="00A4233F" w:rsidRDefault="00E353DD" w:rsidP="00E353DD">
      <w:pPr>
        <w:pStyle w:val="NormalWeb"/>
        <w:spacing w:line="360" w:lineRule="auto"/>
        <w:jc w:val="both"/>
        <w:rPr>
          <w:color w:val="4C4747"/>
          <w:spacing w:val="20"/>
        </w:rPr>
      </w:pPr>
      <w:r w:rsidRPr="00A4233F">
        <w:rPr>
          <w:color w:val="4C4747"/>
          <w:spacing w:val="20"/>
        </w:rPr>
        <w:t xml:space="preserve">Se tuvo la participación de 12 testimonios que persigue recoger las voces de los protagonistas de la radiodifusión, la televisión y el internet en República Dominicana. El proyecto testimonio trabaja en la grabación audiovisual y levantamiento de los recuerdos, vivencias, documentos e informaciones de quienes fueron las figuras relevantes en los diferentes períodos de la historia y desarrollo de los medios tecnológicos de información y comunicación en nuestro país, en especial, de la radio, la televisión y el internet. </w:t>
      </w:r>
    </w:p>
    <w:p w14:paraId="1A1A6CD2" w14:textId="0451EA3C" w:rsidR="00E353DD" w:rsidRPr="00A4233F" w:rsidRDefault="00E353DD" w:rsidP="00E353DD">
      <w:pPr>
        <w:pStyle w:val="NormalWeb"/>
        <w:spacing w:line="360" w:lineRule="auto"/>
        <w:jc w:val="both"/>
        <w:rPr>
          <w:color w:val="4C4747"/>
          <w:spacing w:val="20"/>
        </w:rPr>
      </w:pPr>
      <w:r w:rsidRPr="00A4233F">
        <w:rPr>
          <w:color w:val="4C4747"/>
          <w:spacing w:val="20"/>
        </w:rPr>
        <w:t>El proyecto será parte del acervo cultural de la nación y se le enviará copia al Archivo General de la Nación para que pueda ser consultado por investigadores e historiadores del área de los medios de comunicación y estudiantes en g</w:t>
      </w:r>
      <w:r w:rsidR="00565AD0" w:rsidRPr="00A4233F">
        <w:rPr>
          <w:color w:val="4C4747"/>
          <w:spacing w:val="20"/>
        </w:rPr>
        <w:t xml:space="preserve">eneral interesados en el tema. </w:t>
      </w:r>
    </w:p>
    <w:p w14:paraId="5593B31F" w14:textId="77777777" w:rsidR="00565AD0" w:rsidRPr="00A4233F" w:rsidRDefault="00565AD0" w:rsidP="00E353DD">
      <w:pPr>
        <w:pStyle w:val="NormalWeb"/>
        <w:spacing w:line="360" w:lineRule="auto"/>
        <w:jc w:val="both"/>
        <w:rPr>
          <w:color w:val="4C4747"/>
          <w:spacing w:val="20"/>
        </w:rPr>
      </w:pPr>
    </w:p>
    <w:p w14:paraId="1E4B965D" w14:textId="77777777" w:rsidR="00565AD0" w:rsidRPr="00A4233F" w:rsidRDefault="00565AD0" w:rsidP="00E353DD">
      <w:pPr>
        <w:pStyle w:val="NormalWeb"/>
        <w:spacing w:line="360" w:lineRule="auto"/>
        <w:jc w:val="both"/>
        <w:rPr>
          <w:color w:val="4C4747"/>
          <w:spacing w:val="20"/>
        </w:rPr>
      </w:pPr>
    </w:p>
    <w:p w14:paraId="54D4290D" w14:textId="77777777" w:rsidR="00565AD0" w:rsidRPr="00A4233F" w:rsidRDefault="00565AD0" w:rsidP="00E353DD">
      <w:pPr>
        <w:pStyle w:val="NormalWeb"/>
        <w:spacing w:line="360" w:lineRule="auto"/>
        <w:jc w:val="both"/>
        <w:rPr>
          <w:color w:val="4C4747"/>
          <w:spacing w:val="20"/>
        </w:rPr>
      </w:pPr>
    </w:p>
    <w:p w14:paraId="6A37CB8F" w14:textId="77777777" w:rsidR="00565AD0" w:rsidRPr="00A4233F" w:rsidRDefault="00565AD0" w:rsidP="00E353DD">
      <w:pPr>
        <w:pStyle w:val="NormalWeb"/>
        <w:spacing w:line="360" w:lineRule="auto"/>
        <w:jc w:val="both"/>
        <w:rPr>
          <w:color w:val="4C4747"/>
          <w:spacing w:val="20"/>
        </w:rPr>
      </w:pPr>
    </w:p>
    <w:p w14:paraId="7989261B" w14:textId="77777777" w:rsidR="00565AD0" w:rsidRPr="00A4233F" w:rsidRDefault="00565AD0" w:rsidP="00E353DD">
      <w:pPr>
        <w:pStyle w:val="NormalWeb"/>
        <w:spacing w:line="360" w:lineRule="auto"/>
        <w:jc w:val="both"/>
        <w:rPr>
          <w:color w:val="4C4747"/>
          <w:spacing w:val="20"/>
        </w:rPr>
      </w:pPr>
    </w:p>
    <w:p w14:paraId="1D87CF00" w14:textId="77777777" w:rsidR="00565AD0" w:rsidRPr="00A4233F" w:rsidRDefault="00565AD0" w:rsidP="00E353DD">
      <w:pPr>
        <w:pStyle w:val="NormalWeb"/>
        <w:spacing w:line="360" w:lineRule="auto"/>
        <w:jc w:val="both"/>
        <w:rPr>
          <w:color w:val="4C4747"/>
          <w:spacing w:val="20"/>
        </w:rPr>
      </w:pPr>
    </w:p>
    <w:p w14:paraId="7E1CE9C5" w14:textId="77777777" w:rsidR="00565AD0" w:rsidRPr="005A11A8" w:rsidRDefault="00565AD0" w:rsidP="00E353DD">
      <w:pPr>
        <w:pStyle w:val="NormalWeb"/>
        <w:spacing w:line="360" w:lineRule="auto"/>
        <w:jc w:val="both"/>
        <w:rPr>
          <w:color w:val="4C4747"/>
          <w:spacing w:val="20"/>
        </w:rPr>
      </w:pPr>
    </w:p>
    <w:p w14:paraId="3641224E" w14:textId="77777777" w:rsidR="00565AD0" w:rsidRPr="005A11A8" w:rsidRDefault="00565AD0" w:rsidP="00E353DD">
      <w:pPr>
        <w:pStyle w:val="NormalWeb"/>
        <w:spacing w:line="360" w:lineRule="auto"/>
        <w:jc w:val="both"/>
        <w:rPr>
          <w:color w:val="4C4747"/>
          <w:spacing w:val="20"/>
        </w:rPr>
      </w:pPr>
    </w:p>
    <w:p w14:paraId="7BCDC800" w14:textId="77777777" w:rsidR="00565AD0" w:rsidRPr="005A11A8" w:rsidRDefault="00565AD0" w:rsidP="00E353DD">
      <w:pPr>
        <w:pStyle w:val="NormalWeb"/>
        <w:spacing w:line="360" w:lineRule="auto"/>
        <w:jc w:val="both"/>
        <w:rPr>
          <w:color w:val="4C4747"/>
          <w:spacing w:val="20"/>
        </w:rPr>
      </w:pPr>
    </w:p>
    <w:p w14:paraId="207E94A6" w14:textId="77777777" w:rsidR="00565AD0" w:rsidRPr="005A11A8" w:rsidRDefault="00565AD0" w:rsidP="00E353DD">
      <w:pPr>
        <w:pStyle w:val="NormalWeb"/>
        <w:spacing w:line="360" w:lineRule="auto"/>
        <w:jc w:val="both"/>
        <w:rPr>
          <w:color w:val="4C4747"/>
          <w:spacing w:val="20"/>
        </w:rPr>
      </w:pPr>
    </w:p>
    <w:p w14:paraId="627BA791" w14:textId="77777777" w:rsidR="00E353DD" w:rsidRPr="005A11A8" w:rsidRDefault="00E353DD" w:rsidP="00E353DD">
      <w:pPr>
        <w:pStyle w:val="NormalWeb"/>
        <w:spacing w:line="360" w:lineRule="auto"/>
        <w:jc w:val="both"/>
        <w:rPr>
          <w:b/>
          <w:color w:val="4C4747"/>
          <w:spacing w:val="20"/>
        </w:rPr>
      </w:pPr>
      <w:r w:rsidRPr="005A11A8">
        <w:rPr>
          <w:b/>
          <w:color w:val="4C4747"/>
          <w:spacing w:val="20"/>
        </w:rPr>
        <w:lastRenderedPageBreak/>
        <w:t>Comisión de Integridad Gubernamental y Complimiento Normativo (CIGCN)</w:t>
      </w:r>
    </w:p>
    <w:p w14:paraId="50768C33" w14:textId="4A145B69" w:rsidR="00E353DD" w:rsidRPr="005A11A8" w:rsidRDefault="00E353DD" w:rsidP="00E353DD">
      <w:pPr>
        <w:pStyle w:val="NormalWeb"/>
        <w:spacing w:line="360" w:lineRule="auto"/>
        <w:jc w:val="both"/>
        <w:rPr>
          <w:color w:val="4C4747"/>
          <w:spacing w:val="20"/>
        </w:rPr>
      </w:pPr>
      <w:r w:rsidRPr="005A11A8">
        <w:rPr>
          <w:color w:val="4C4747"/>
          <w:spacing w:val="20"/>
        </w:rPr>
        <w:t>Dando cumplimiento a lo establecido en el Decreto Presidencial número 791-2 el viernes 27 de mayo 2022, se llevó a cabo en el INDOTEL la votación de manera digital para elegir los miembros de la Comisión de Integridad Gubernamental y Cumplimiento Normativo (CIGCN), los colaboradores que resultaron seleccionados fueron dado a conocer a todo el personal el día 03 de junio de 2022.</w:t>
      </w:r>
    </w:p>
    <w:p w14:paraId="6EED67A0" w14:textId="4BA32946" w:rsidR="00E353DD" w:rsidRPr="005A11A8" w:rsidRDefault="00E353DD" w:rsidP="00E353DD">
      <w:pPr>
        <w:pStyle w:val="NormalWeb"/>
        <w:spacing w:line="360" w:lineRule="auto"/>
        <w:jc w:val="both"/>
        <w:rPr>
          <w:color w:val="4C4747"/>
          <w:spacing w:val="20"/>
        </w:rPr>
      </w:pPr>
      <w:r w:rsidRPr="005A11A8">
        <w:rPr>
          <w:color w:val="4C4747"/>
          <w:spacing w:val="20"/>
        </w:rPr>
        <w:t xml:space="preserve">En cumplimento con lo establecido por la DIGEIG, CIGCN, se realizaron capacitaciones para los miembros elegidos, requisito obligatorio como parte del proceso de formación para la habilitación y posterior juramentación </w:t>
      </w:r>
      <w:r w:rsidR="006B3B91" w:rsidRPr="005A11A8">
        <w:rPr>
          <w:color w:val="4C4747"/>
          <w:spacing w:val="20"/>
        </w:rPr>
        <w:t>de los miembros de la CIGCN</w:t>
      </w:r>
      <w:r w:rsidRPr="005A11A8">
        <w:rPr>
          <w:color w:val="4C4747"/>
          <w:spacing w:val="20"/>
        </w:rPr>
        <w:t>.</w:t>
      </w:r>
    </w:p>
    <w:p w14:paraId="24AD62EE" w14:textId="44C1CD26" w:rsidR="00E353DD" w:rsidRPr="005A11A8" w:rsidRDefault="00E353DD" w:rsidP="00E353DD">
      <w:pPr>
        <w:pStyle w:val="NormalWeb"/>
        <w:spacing w:line="360" w:lineRule="auto"/>
        <w:jc w:val="both"/>
        <w:rPr>
          <w:color w:val="4C4747"/>
          <w:spacing w:val="20"/>
        </w:rPr>
      </w:pPr>
      <w:r w:rsidRPr="005A11A8">
        <w:rPr>
          <w:color w:val="4C4747"/>
          <w:spacing w:val="20"/>
        </w:rPr>
        <w:t>Agotado el proceso de formación citado,</w:t>
      </w:r>
      <w:r w:rsidR="006B3B91" w:rsidRPr="005A11A8">
        <w:rPr>
          <w:color w:val="4C4747"/>
          <w:spacing w:val="20"/>
        </w:rPr>
        <w:t xml:space="preserve"> la CIGCN fue convocada para </w:t>
      </w:r>
      <w:r w:rsidRPr="005A11A8">
        <w:rPr>
          <w:color w:val="4C4747"/>
          <w:spacing w:val="20"/>
        </w:rPr>
        <w:t>l</w:t>
      </w:r>
      <w:r w:rsidR="006B3B91" w:rsidRPr="005A11A8">
        <w:rPr>
          <w:color w:val="4C4747"/>
          <w:spacing w:val="20"/>
        </w:rPr>
        <w:t xml:space="preserve">a habilitación y juramentación </w:t>
      </w:r>
      <w:r w:rsidRPr="005A11A8">
        <w:rPr>
          <w:color w:val="4C4747"/>
          <w:spacing w:val="20"/>
        </w:rPr>
        <w:t>el 18 al 20 de octubre de 2022 de manera conjunta con otras comisiones de diferentes instituciones.</w:t>
      </w:r>
    </w:p>
    <w:p w14:paraId="2AB91D67" w14:textId="77777777" w:rsidR="00E353DD" w:rsidRPr="005A11A8" w:rsidRDefault="00E353DD" w:rsidP="00E353DD">
      <w:pPr>
        <w:pStyle w:val="NormalWeb"/>
        <w:spacing w:line="360" w:lineRule="auto"/>
        <w:jc w:val="both"/>
        <w:rPr>
          <w:color w:val="4C4747"/>
          <w:spacing w:val="20"/>
        </w:rPr>
      </w:pPr>
      <w:r w:rsidRPr="005A11A8">
        <w:rPr>
          <w:color w:val="4C4747"/>
          <w:spacing w:val="20"/>
        </w:rPr>
        <w:t>A requerimiento de la DIGEIG se está trabajando en el proceso de revisión y actualización del Código de Integridad y en la elaboración del borrador, para ser publicado el viernes 09 de diciembre de 2022.</w:t>
      </w:r>
    </w:p>
    <w:p w14:paraId="1AA9C333" w14:textId="77777777" w:rsidR="00E353DD" w:rsidRPr="005A11A8" w:rsidRDefault="00E353DD" w:rsidP="00E353DD">
      <w:pPr>
        <w:pStyle w:val="NormalWeb"/>
        <w:spacing w:line="360" w:lineRule="auto"/>
        <w:jc w:val="both"/>
        <w:rPr>
          <w:color w:val="4C4747"/>
          <w:spacing w:val="20"/>
        </w:rPr>
      </w:pPr>
    </w:p>
    <w:p w14:paraId="33196678" w14:textId="77777777" w:rsidR="00565AD0" w:rsidRPr="005A11A8" w:rsidRDefault="00565AD0" w:rsidP="00E353DD">
      <w:pPr>
        <w:pStyle w:val="NormalWeb"/>
        <w:spacing w:line="360" w:lineRule="auto"/>
        <w:jc w:val="both"/>
        <w:rPr>
          <w:color w:val="4C4747"/>
          <w:spacing w:val="20"/>
        </w:rPr>
      </w:pPr>
    </w:p>
    <w:p w14:paraId="707CCBFA" w14:textId="77777777" w:rsidR="00565AD0" w:rsidRPr="005A11A8" w:rsidRDefault="00565AD0" w:rsidP="00E353DD">
      <w:pPr>
        <w:pStyle w:val="NormalWeb"/>
        <w:spacing w:line="360" w:lineRule="auto"/>
        <w:jc w:val="both"/>
        <w:rPr>
          <w:color w:val="4C4747"/>
          <w:spacing w:val="20"/>
        </w:rPr>
      </w:pPr>
    </w:p>
    <w:p w14:paraId="7EAA3379" w14:textId="77777777" w:rsidR="00565AD0" w:rsidRPr="005A11A8" w:rsidRDefault="00565AD0" w:rsidP="00E353DD">
      <w:pPr>
        <w:pStyle w:val="NormalWeb"/>
        <w:spacing w:line="360" w:lineRule="auto"/>
        <w:jc w:val="both"/>
        <w:rPr>
          <w:color w:val="4C4747"/>
          <w:spacing w:val="20"/>
        </w:rPr>
      </w:pPr>
    </w:p>
    <w:p w14:paraId="62859A52" w14:textId="77777777" w:rsidR="00565AD0" w:rsidRPr="005A11A8" w:rsidRDefault="00565AD0" w:rsidP="00E353DD">
      <w:pPr>
        <w:pStyle w:val="NormalWeb"/>
        <w:spacing w:line="360" w:lineRule="auto"/>
        <w:jc w:val="both"/>
        <w:rPr>
          <w:color w:val="4C4747"/>
          <w:spacing w:val="20"/>
        </w:rPr>
      </w:pPr>
    </w:p>
    <w:p w14:paraId="368DC44E" w14:textId="77777777" w:rsidR="00565AD0" w:rsidRPr="005A11A8" w:rsidRDefault="00565AD0" w:rsidP="00E353DD">
      <w:pPr>
        <w:pStyle w:val="NormalWeb"/>
        <w:spacing w:line="360" w:lineRule="auto"/>
        <w:jc w:val="both"/>
        <w:rPr>
          <w:color w:val="4C4747"/>
          <w:spacing w:val="20"/>
        </w:rPr>
      </w:pPr>
    </w:p>
    <w:p w14:paraId="16CD9C96" w14:textId="46B2055D" w:rsidR="00565AD0" w:rsidRPr="005A11A8" w:rsidRDefault="00565AD0" w:rsidP="00E353DD">
      <w:pPr>
        <w:pStyle w:val="NormalWeb"/>
        <w:spacing w:line="360" w:lineRule="auto"/>
        <w:jc w:val="both"/>
        <w:rPr>
          <w:b/>
          <w:color w:val="4C4747"/>
          <w:spacing w:val="20"/>
        </w:rPr>
      </w:pPr>
      <w:r w:rsidRPr="005A11A8">
        <w:rPr>
          <w:b/>
          <w:color w:val="4C4747"/>
          <w:spacing w:val="20"/>
        </w:rPr>
        <w:lastRenderedPageBreak/>
        <w:t xml:space="preserve">Consejo Directivo </w:t>
      </w:r>
    </w:p>
    <w:p w14:paraId="644BB029" w14:textId="43E6396B" w:rsidR="00565AD0" w:rsidRPr="005A11A8" w:rsidRDefault="00513ACC" w:rsidP="00E353DD">
      <w:pPr>
        <w:pStyle w:val="NormalWeb"/>
        <w:spacing w:line="360" w:lineRule="auto"/>
        <w:jc w:val="both"/>
        <w:rPr>
          <w:color w:val="4C4747"/>
          <w:spacing w:val="20"/>
        </w:rPr>
      </w:pPr>
      <w:r>
        <w:rPr>
          <w:color w:val="4C4747"/>
          <w:spacing w:val="20"/>
        </w:rPr>
        <w:t xml:space="preserve">Resoluciones emitidas </w:t>
      </w:r>
      <w:r w:rsidR="00565AD0" w:rsidRPr="005A11A8">
        <w:rPr>
          <w:color w:val="4C4747"/>
          <w:spacing w:val="20"/>
        </w:rPr>
        <w:t xml:space="preserve">el </w:t>
      </w:r>
      <w:r>
        <w:rPr>
          <w:color w:val="4C4747"/>
          <w:spacing w:val="20"/>
        </w:rPr>
        <w:t xml:space="preserve">Consejo Directivo del INDOTEL durante el año 2022:  </w:t>
      </w:r>
    </w:p>
    <w:tbl>
      <w:tblPr>
        <w:tblStyle w:val="Tablaconcuadrcula"/>
        <w:tblW w:w="7920" w:type="dxa"/>
        <w:tblInd w:w="-5" w:type="dxa"/>
        <w:tblLook w:val="04A0" w:firstRow="1" w:lastRow="0" w:firstColumn="1" w:lastColumn="0" w:noHBand="0" w:noVBand="1"/>
      </w:tblPr>
      <w:tblGrid>
        <w:gridCol w:w="5220"/>
        <w:gridCol w:w="2700"/>
      </w:tblGrid>
      <w:tr w:rsidR="00565AD0" w:rsidRPr="002713B0" w14:paraId="4C93498B" w14:textId="77777777" w:rsidTr="00565AD0">
        <w:trPr>
          <w:trHeight w:val="440"/>
          <w:tblHeader/>
        </w:trPr>
        <w:tc>
          <w:tcPr>
            <w:tcW w:w="5220" w:type="dxa"/>
            <w:shd w:val="clear" w:color="auto" w:fill="002060"/>
          </w:tcPr>
          <w:p w14:paraId="39D55A3E" w14:textId="77777777" w:rsidR="00565AD0" w:rsidRPr="00565AD0" w:rsidRDefault="00565AD0" w:rsidP="00513ACC">
            <w:pPr>
              <w:jc w:val="center"/>
              <w:rPr>
                <w:rFonts w:ascii="Times New Roman" w:eastAsia="Times New Roman" w:hAnsi="Times New Roman" w:cs="Times New Roman"/>
                <w:b/>
                <w:color w:val="FFFFFF" w:themeColor="background1"/>
                <w:spacing w:val="20"/>
                <w:sz w:val="24"/>
                <w:szCs w:val="24"/>
                <w:lang w:val="es-DO" w:eastAsia="es-DO"/>
              </w:rPr>
            </w:pPr>
            <w:r w:rsidRPr="00565AD0">
              <w:rPr>
                <w:rFonts w:ascii="Times New Roman" w:eastAsia="Times New Roman" w:hAnsi="Times New Roman" w:cs="Times New Roman"/>
                <w:b/>
                <w:color w:val="FFFFFF" w:themeColor="background1"/>
                <w:spacing w:val="20"/>
                <w:sz w:val="24"/>
                <w:szCs w:val="24"/>
                <w:lang w:val="es-DO" w:eastAsia="es-DO"/>
              </w:rPr>
              <w:t>Nombre Resolución</w:t>
            </w:r>
          </w:p>
        </w:tc>
        <w:tc>
          <w:tcPr>
            <w:tcW w:w="2700" w:type="dxa"/>
            <w:shd w:val="clear" w:color="auto" w:fill="002060"/>
          </w:tcPr>
          <w:p w14:paraId="48F3D085" w14:textId="77777777" w:rsidR="00565AD0" w:rsidRPr="00565AD0" w:rsidRDefault="00565AD0" w:rsidP="00513ACC">
            <w:pPr>
              <w:jc w:val="center"/>
              <w:rPr>
                <w:rFonts w:ascii="Times New Roman" w:eastAsia="Times New Roman" w:hAnsi="Times New Roman" w:cs="Times New Roman"/>
                <w:b/>
                <w:color w:val="FFFFFF" w:themeColor="background1"/>
                <w:spacing w:val="20"/>
                <w:sz w:val="24"/>
                <w:szCs w:val="24"/>
                <w:lang w:val="es-DO" w:eastAsia="es-DO"/>
              </w:rPr>
            </w:pPr>
            <w:r w:rsidRPr="00565AD0">
              <w:rPr>
                <w:rFonts w:ascii="Times New Roman" w:eastAsia="Times New Roman" w:hAnsi="Times New Roman" w:cs="Times New Roman"/>
                <w:b/>
                <w:color w:val="FFFFFF" w:themeColor="background1"/>
                <w:spacing w:val="20"/>
                <w:sz w:val="24"/>
                <w:szCs w:val="24"/>
                <w:lang w:val="es-DO" w:eastAsia="es-DO"/>
              </w:rPr>
              <w:t>Número de la Resolución</w:t>
            </w:r>
          </w:p>
        </w:tc>
      </w:tr>
      <w:tr w:rsidR="00565AD0" w:rsidRPr="00790E59" w14:paraId="77C41CD7" w14:textId="77777777" w:rsidTr="00565AD0">
        <w:trPr>
          <w:trHeight w:val="731"/>
        </w:trPr>
        <w:tc>
          <w:tcPr>
            <w:tcW w:w="5220" w:type="dxa"/>
          </w:tcPr>
          <w:p w14:paraId="4979416C" w14:textId="77777777" w:rsidR="00565AD0" w:rsidRPr="009714C2" w:rsidRDefault="00565AD0" w:rsidP="005A11A8">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la migración de la frecuencia 99.5 MHZ. a la frecuencia 99.9 MHZ en la provincia San Pedro de Macorís</w:t>
            </w:r>
          </w:p>
        </w:tc>
        <w:tc>
          <w:tcPr>
            <w:tcW w:w="2700" w:type="dxa"/>
          </w:tcPr>
          <w:p w14:paraId="789B82E0" w14:textId="637E8052"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4BCFA39A" w14:textId="00F8CA88"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108-2022</w:t>
            </w:r>
          </w:p>
        </w:tc>
      </w:tr>
      <w:tr w:rsidR="00565AD0" w:rsidRPr="00790E59" w14:paraId="49D0C608" w14:textId="77777777" w:rsidTr="00565AD0">
        <w:trPr>
          <w:trHeight w:val="731"/>
        </w:trPr>
        <w:tc>
          <w:tcPr>
            <w:tcW w:w="5220" w:type="dxa"/>
          </w:tcPr>
          <w:p w14:paraId="39935267" w14:textId="77777777" w:rsidR="00565AD0" w:rsidRPr="009714C2" w:rsidRDefault="00565AD0" w:rsidP="005A11A8">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declara la extinción de los derechos y efectos jurídicos derivados de las autorización expedida por el Instituto Dominicano De Las Telecomunicaciones (INDOTEL), a favor de la Sociedad Teleantillas,</w:t>
            </w:r>
          </w:p>
        </w:tc>
        <w:tc>
          <w:tcPr>
            <w:tcW w:w="2700" w:type="dxa"/>
          </w:tcPr>
          <w:p w14:paraId="0CC21C99" w14:textId="070DBD7C"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63CCFB47" w14:textId="0DCFD142"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107-2022</w:t>
            </w:r>
          </w:p>
        </w:tc>
      </w:tr>
      <w:tr w:rsidR="00565AD0" w:rsidRPr="00790E59" w14:paraId="0DB35F81" w14:textId="77777777" w:rsidTr="00565AD0">
        <w:trPr>
          <w:trHeight w:val="731"/>
        </w:trPr>
        <w:tc>
          <w:tcPr>
            <w:tcW w:w="5220" w:type="dxa"/>
          </w:tcPr>
          <w:p w14:paraId="694A08AE" w14:textId="77777777" w:rsidR="00565AD0" w:rsidRPr="009714C2" w:rsidRDefault="00565AD0" w:rsidP="005A11A8">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cuatrocientos sesenta y cinco (465) pares de frecuencias para operar enlaces radioeléctricos a favor de la Sociedad Compañía Dominicana De Teléfonos</w:t>
            </w:r>
          </w:p>
        </w:tc>
        <w:tc>
          <w:tcPr>
            <w:tcW w:w="2700" w:type="dxa"/>
          </w:tcPr>
          <w:p w14:paraId="3184266C" w14:textId="352AE802"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83BEB01" w14:textId="35C2C9BD"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104-2022</w:t>
            </w:r>
          </w:p>
        </w:tc>
      </w:tr>
      <w:tr w:rsidR="00565AD0" w:rsidRPr="00790E59" w14:paraId="321BF86E" w14:textId="77777777" w:rsidTr="00565AD0">
        <w:trPr>
          <w:trHeight w:val="731"/>
        </w:trPr>
        <w:tc>
          <w:tcPr>
            <w:tcW w:w="5220" w:type="dxa"/>
          </w:tcPr>
          <w:p w14:paraId="35639F0C" w14:textId="77777777" w:rsidR="00565AD0" w:rsidRPr="009714C2" w:rsidRDefault="00565AD0" w:rsidP="005A11A8">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sobre la solicitud de concesión para prestar los servicios públicos de telecomunicaciones de difusión por cable y acceso a internet en el Distrito Nacional y en los municipios Santo Domingo Este, Santo Domingo Oeste y Santo Domingo Norte de la provincia Santo Domingo</w:t>
            </w:r>
          </w:p>
        </w:tc>
        <w:tc>
          <w:tcPr>
            <w:tcW w:w="2700" w:type="dxa"/>
          </w:tcPr>
          <w:p w14:paraId="5A6F6016" w14:textId="4A1363C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49D95844" w14:textId="7DC60A40"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105-2022</w:t>
            </w:r>
          </w:p>
        </w:tc>
      </w:tr>
      <w:tr w:rsidR="00565AD0" w:rsidRPr="00790E59" w14:paraId="12089518" w14:textId="77777777" w:rsidTr="00565AD0">
        <w:trPr>
          <w:trHeight w:val="731"/>
        </w:trPr>
        <w:tc>
          <w:tcPr>
            <w:tcW w:w="5220" w:type="dxa"/>
          </w:tcPr>
          <w:p w14:paraId="761651A0" w14:textId="77777777" w:rsidR="00565AD0" w:rsidRPr="009714C2" w:rsidRDefault="00565AD0" w:rsidP="005A11A8">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aprueba el “reglamento para la prestación del servicio de difusión televisiva por suscripción”.</w:t>
            </w:r>
          </w:p>
        </w:tc>
        <w:tc>
          <w:tcPr>
            <w:tcW w:w="2700" w:type="dxa"/>
          </w:tcPr>
          <w:p w14:paraId="7243FB7E" w14:textId="64E794F8"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14653C5" w14:textId="3513FA20"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101-2022</w:t>
            </w:r>
          </w:p>
        </w:tc>
      </w:tr>
      <w:tr w:rsidR="00565AD0" w:rsidRPr="00790E59" w14:paraId="077E8374" w14:textId="77777777" w:rsidTr="00565AD0">
        <w:trPr>
          <w:trHeight w:val="731"/>
        </w:trPr>
        <w:tc>
          <w:tcPr>
            <w:tcW w:w="5220" w:type="dxa"/>
          </w:tcPr>
          <w:p w14:paraId="6E4C7C1A" w14:textId="77777777" w:rsidR="00565AD0" w:rsidRPr="009714C2" w:rsidRDefault="00565AD0" w:rsidP="005A11A8">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decide sobre el recurso de reconsideración interpuesto por las prestadoras de servicios publicos de telecomunicaciones Compañía Dominicana De Telefonos, S. A (Claro), Altice Dominicana, S. A y Trilogy Dominicana (Viva) contra la resolución del Consejo Directivo No. 082- 2022,</w:t>
            </w:r>
          </w:p>
        </w:tc>
        <w:tc>
          <w:tcPr>
            <w:tcW w:w="2700" w:type="dxa"/>
          </w:tcPr>
          <w:p w14:paraId="6F231801" w14:textId="234AD978"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0741EF1B" w14:textId="305CC6D1"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102-2022</w:t>
            </w:r>
          </w:p>
        </w:tc>
      </w:tr>
      <w:tr w:rsidR="00565AD0" w:rsidRPr="00790E59" w14:paraId="4F1416E1" w14:textId="77777777" w:rsidTr="00565AD0">
        <w:trPr>
          <w:trHeight w:val="731"/>
        </w:trPr>
        <w:tc>
          <w:tcPr>
            <w:tcW w:w="5220" w:type="dxa"/>
          </w:tcPr>
          <w:p w14:paraId="1B85A5CD" w14:textId="77777777" w:rsidR="00565AD0" w:rsidRPr="009714C2" w:rsidRDefault="00565AD0" w:rsidP="005A11A8">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la migración de la frecuencia 99.1 MHZ. a la frecuencia 95.9 MHZ en la provincia de Azua y la frecuencia 99.3 MHZ a la 99.9 MHZ en la provincia Pedernales</w:t>
            </w:r>
          </w:p>
        </w:tc>
        <w:tc>
          <w:tcPr>
            <w:tcW w:w="2700" w:type="dxa"/>
          </w:tcPr>
          <w:p w14:paraId="6159089A" w14:textId="09858F3D"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713666D6" w14:textId="2FABDBFC"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096-2022</w:t>
            </w:r>
          </w:p>
        </w:tc>
      </w:tr>
      <w:tr w:rsidR="00565AD0" w:rsidRPr="00790E59" w14:paraId="1477D694" w14:textId="77777777" w:rsidTr="00565AD0">
        <w:trPr>
          <w:trHeight w:val="731"/>
        </w:trPr>
        <w:tc>
          <w:tcPr>
            <w:tcW w:w="5220" w:type="dxa"/>
          </w:tcPr>
          <w:p w14:paraId="50BE8862"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declara la extinción de los derechos y efectos jurídicos derivados de las autorizaciones expedidas por la Dirección General De Telecomunicaciones (DGT), a favor de la Sociedad Comunicaciones Dominicana, S.R.L. (COMDOSA), para el uso de las frecuencias 148.15 MHZ, 408.050 MHZ, 408.100 MHZ, 413.050 MHZ, y 413.100 MHZ.</w:t>
            </w:r>
          </w:p>
        </w:tc>
        <w:tc>
          <w:tcPr>
            <w:tcW w:w="2700" w:type="dxa"/>
          </w:tcPr>
          <w:p w14:paraId="040D0266" w14:textId="63D4C4F1"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882FEDB" w14:textId="0221AF91"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095-2022</w:t>
            </w:r>
          </w:p>
        </w:tc>
      </w:tr>
      <w:tr w:rsidR="00565AD0" w:rsidRPr="00790E59" w14:paraId="13767A01" w14:textId="77777777" w:rsidTr="00565AD0">
        <w:trPr>
          <w:trHeight w:val="731"/>
        </w:trPr>
        <w:tc>
          <w:tcPr>
            <w:tcW w:w="5220" w:type="dxa"/>
          </w:tcPr>
          <w:p w14:paraId="546F9606"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la solicitud de autorización de aumento y asignación de frecuencia de enlace para la frecuencia 97.1 MHZ, en la prestación del servicio público de telecomunicaciones de radiodifusión sonora interpuesta por la concesionaria Inversiones Matos, S.R.L.</w:t>
            </w:r>
          </w:p>
        </w:tc>
        <w:tc>
          <w:tcPr>
            <w:tcW w:w="2700" w:type="dxa"/>
          </w:tcPr>
          <w:p w14:paraId="7C7A7990" w14:textId="74942AB6"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7DB4F1A" w14:textId="019674D7"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094-2022</w:t>
            </w:r>
          </w:p>
        </w:tc>
      </w:tr>
      <w:tr w:rsidR="00565AD0" w:rsidRPr="002D3D4A" w14:paraId="32A5C3E9" w14:textId="77777777" w:rsidTr="00565AD0">
        <w:trPr>
          <w:trHeight w:val="731"/>
        </w:trPr>
        <w:tc>
          <w:tcPr>
            <w:tcW w:w="5220" w:type="dxa"/>
          </w:tcPr>
          <w:p w14:paraId="43333EDF"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conoce la solicitud de autorización de los servicios electrónicos de confianza a ser prestados por la Sociedad Thomas Signe Copel, S.A.S., de conformidad a lo establecido en la ley núm. 126-02 de comercio electrónico, documentos y firmas digitales.</w:t>
            </w:r>
          </w:p>
        </w:tc>
        <w:tc>
          <w:tcPr>
            <w:tcW w:w="2700" w:type="dxa"/>
          </w:tcPr>
          <w:p w14:paraId="548C2EC6" w14:textId="73378E29"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1FFFC7EE" w14:textId="20EB431D"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099-2022</w:t>
            </w:r>
          </w:p>
        </w:tc>
      </w:tr>
      <w:tr w:rsidR="00565AD0" w:rsidRPr="002D3D4A" w14:paraId="6085D148" w14:textId="77777777" w:rsidTr="00565AD0">
        <w:trPr>
          <w:trHeight w:val="731"/>
        </w:trPr>
        <w:tc>
          <w:tcPr>
            <w:tcW w:w="5220" w:type="dxa"/>
          </w:tcPr>
          <w:p w14:paraId="1C59A24E"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sobre la solicitud de ampliación de concesión y expansión del área geográfica presentada por la sociedad Telecable Sabaneta, S.R.L. para, en adición al servicio público de telecomunicaciones de difusión por cable en el municipio San Ignacio de Sabaneta,</w:t>
            </w:r>
          </w:p>
        </w:tc>
        <w:tc>
          <w:tcPr>
            <w:tcW w:w="2700" w:type="dxa"/>
          </w:tcPr>
          <w:p w14:paraId="03CA5B91" w14:textId="3555B973"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5B449F3" w14:textId="05276CF9"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093-2022</w:t>
            </w:r>
          </w:p>
        </w:tc>
      </w:tr>
      <w:tr w:rsidR="00565AD0" w:rsidRPr="002D3D4A" w14:paraId="5121BF49" w14:textId="77777777" w:rsidTr="00565AD0">
        <w:trPr>
          <w:trHeight w:val="731"/>
        </w:trPr>
        <w:tc>
          <w:tcPr>
            <w:tcW w:w="5220" w:type="dxa"/>
          </w:tcPr>
          <w:p w14:paraId="08BAA77A"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sobre la solicitud de transferencia de control social presentada ante el Indotel por la concesionaria Sistema Radial del Este, S.R.L, a favor de los señores Juan Carlos Harrigan Martínez y Diana Margarita Hernández Jiménez por parte del señor Yderbrando Valerio Bonet.</w:t>
            </w:r>
          </w:p>
        </w:tc>
        <w:tc>
          <w:tcPr>
            <w:tcW w:w="2700" w:type="dxa"/>
          </w:tcPr>
          <w:p w14:paraId="397CAE8D" w14:textId="34B842AD"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7BB7B182" w14:textId="7F41363A"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092-2022</w:t>
            </w:r>
          </w:p>
        </w:tc>
      </w:tr>
      <w:tr w:rsidR="00565AD0" w:rsidRPr="002D3D4A" w14:paraId="06FE46E8" w14:textId="77777777" w:rsidTr="00565AD0">
        <w:trPr>
          <w:trHeight w:val="731"/>
        </w:trPr>
        <w:tc>
          <w:tcPr>
            <w:tcW w:w="5220" w:type="dxa"/>
          </w:tcPr>
          <w:p w14:paraId="16B4457D"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declara la extinción de los derechos y efectos jurídicos derivados de las autorizaciones expedidas por el Instituto Dominicano de las Telecomunicaciones (Indotel), a favor de la Sociedad Telesistema Dominicano, S.A.S., para el uso de las frecuencias 10.442 Ghz, 7,025.00 Mhz y 7,180.00 Mhz.</w:t>
            </w:r>
          </w:p>
        </w:tc>
        <w:tc>
          <w:tcPr>
            <w:tcW w:w="2700" w:type="dxa"/>
          </w:tcPr>
          <w:p w14:paraId="57312E39" w14:textId="1BE2AEC8"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1CDA8A74" w14:textId="14C73659"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091-2022</w:t>
            </w:r>
          </w:p>
        </w:tc>
      </w:tr>
      <w:tr w:rsidR="00565AD0" w:rsidRPr="002D3D4A" w14:paraId="74A1AB0C" w14:textId="77777777" w:rsidTr="00565AD0">
        <w:trPr>
          <w:trHeight w:val="731"/>
        </w:trPr>
        <w:tc>
          <w:tcPr>
            <w:tcW w:w="5220" w:type="dxa"/>
          </w:tcPr>
          <w:p w14:paraId="63F2DFB0"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dispone la extensión del plazo de la suspensión provisional para la expedición de las autorizaciones requeridas para el uso de frecuencias radioeléctricas en la prestación de servicios públicos de radiodifusión sonora.</w:t>
            </w:r>
          </w:p>
        </w:tc>
        <w:tc>
          <w:tcPr>
            <w:tcW w:w="2700" w:type="dxa"/>
          </w:tcPr>
          <w:p w14:paraId="71C91622" w14:textId="6257F084"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777C3F9F" w14:textId="4A631BE0"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090-2022</w:t>
            </w:r>
          </w:p>
        </w:tc>
      </w:tr>
      <w:tr w:rsidR="00565AD0" w:rsidRPr="002D3D4A" w14:paraId="4978D621" w14:textId="77777777" w:rsidTr="00565AD0">
        <w:trPr>
          <w:trHeight w:val="731"/>
        </w:trPr>
        <w:tc>
          <w:tcPr>
            <w:tcW w:w="5220" w:type="dxa"/>
          </w:tcPr>
          <w:p w14:paraId="792BE7F6"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la solicitud de licencias vinculadas a una inscripción en registro especial presentada por La Sociedad Consorcio Energético Punta Cana – Macao (CEPM), S.A. para el uso de las frecuencias 457.5000- 457.5625 MHZ, 462.5000-462.5625 MHZ, 5,955 MHZ y 6,195 MHZ, a fin de operar el servicio privado de radiocomunicación de telemetría, en los municipios Higüey y San Rafael del Yuma, provincia la Altagracia, municipio la Romana, provincia la Romana y municipio Miches, provincia el Seibo.</w:t>
            </w:r>
          </w:p>
        </w:tc>
        <w:tc>
          <w:tcPr>
            <w:tcW w:w="2700" w:type="dxa"/>
          </w:tcPr>
          <w:p w14:paraId="6C7BA52E" w14:textId="62B2EB31"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246ECB45" w14:textId="5E7CB8C4"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089-2022</w:t>
            </w:r>
          </w:p>
        </w:tc>
      </w:tr>
      <w:tr w:rsidR="00565AD0" w:rsidRPr="002D3D4A" w14:paraId="6EA36561" w14:textId="77777777" w:rsidTr="00565AD0">
        <w:trPr>
          <w:trHeight w:val="731"/>
        </w:trPr>
        <w:tc>
          <w:tcPr>
            <w:tcW w:w="5220" w:type="dxa"/>
          </w:tcPr>
          <w:p w14:paraId="3BBB9571"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extiende el plazo de consulta pública para establecer las condiciones de aplicación del mecanismo para innovaciones y pruebas regulatorias (sandbox regulatorio) dispuesto en la resolución del Consejo Directivo No. 081-2022.</w:t>
            </w:r>
          </w:p>
        </w:tc>
        <w:tc>
          <w:tcPr>
            <w:tcW w:w="2700" w:type="dxa"/>
          </w:tcPr>
          <w:p w14:paraId="556A0343" w14:textId="04F59E95"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2660E7A5" w14:textId="5F0C0DD6"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088-2022</w:t>
            </w:r>
          </w:p>
        </w:tc>
      </w:tr>
      <w:tr w:rsidR="00565AD0" w:rsidRPr="002D3D4A" w14:paraId="3B37A0A4" w14:textId="77777777" w:rsidTr="00565AD0">
        <w:trPr>
          <w:trHeight w:val="731"/>
        </w:trPr>
        <w:tc>
          <w:tcPr>
            <w:tcW w:w="5220" w:type="dxa"/>
          </w:tcPr>
          <w:p w14:paraId="0D751C2C"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asigna el segmento de frecuencias definitivo y el número de canal virtual a favor de Teleunión, S.R.L., para la </w:t>
            </w:r>
            <w:r w:rsidRPr="009714C2">
              <w:rPr>
                <w:rFonts w:ascii="Times New Roman" w:eastAsia="Times New Roman" w:hAnsi="Times New Roman" w:cs="Times New Roman"/>
                <w:color w:val="4C4747"/>
                <w:spacing w:val="20"/>
                <w:sz w:val="24"/>
                <w:szCs w:val="24"/>
                <w:lang w:val="es-DO" w:eastAsia="es-DO"/>
              </w:rPr>
              <w:lastRenderedPageBreak/>
              <w:t>prestación del servicio de televisión terrestre digital.</w:t>
            </w:r>
          </w:p>
        </w:tc>
        <w:tc>
          <w:tcPr>
            <w:tcW w:w="2700" w:type="dxa"/>
          </w:tcPr>
          <w:p w14:paraId="0EF17763" w14:textId="5DD15D32"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60C6870B" w14:textId="607DCE8E"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087-2022</w:t>
            </w:r>
          </w:p>
        </w:tc>
      </w:tr>
      <w:tr w:rsidR="00565AD0" w:rsidRPr="009714C2" w14:paraId="18DB4CCA" w14:textId="77777777" w:rsidTr="00565AD0">
        <w:trPr>
          <w:trHeight w:val="731"/>
        </w:trPr>
        <w:tc>
          <w:tcPr>
            <w:tcW w:w="5220" w:type="dxa"/>
          </w:tcPr>
          <w:p w14:paraId="601A7FC7"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aprueba las condiciones para autorizar la ampliación de la concesión a las concesionarias del servicio de difusión por cable para ofrecer el servicio de acceso a internet.</w:t>
            </w:r>
          </w:p>
        </w:tc>
        <w:tc>
          <w:tcPr>
            <w:tcW w:w="2700" w:type="dxa"/>
          </w:tcPr>
          <w:p w14:paraId="26D4EF63" w14:textId="43F1214E"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73A4EB14" w14:textId="51F068CE"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086-2022</w:t>
            </w:r>
          </w:p>
        </w:tc>
      </w:tr>
      <w:tr w:rsidR="00565AD0" w:rsidRPr="009714C2" w14:paraId="15184DFC" w14:textId="77777777" w:rsidTr="00565AD0">
        <w:trPr>
          <w:trHeight w:val="731"/>
        </w:trPr>
        <w:tc>
          <w:tcPr>
            <w:tcW w:w="5220" w:type="dxa"/>
          </w:tcPr>
          <w:p w14:paraId="301D91DD"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dispone el inicio del proceso de consulta pública para dictar el “establecimiento de límites máximos a la tenencia de espectro radioeléctrico en bandas identificadas para servicios moviles (IMT) por el PNAF”</w:t>
            </w:r>
          </w:p>
        </w:tc>
        <w:tc>
          <w:tcPr>
            <w:tcW w:w="2700" w:type="dxa"/>
          </w:tcPr>
          <w:p w14:paraId="2FA33B3E" w14:textId="14977485"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797192C3" w14:textId="24247CD0"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085-2022</w:t>
            </w:r>
          </w:p>
        </w:tc>
      </w:tr>
      <w:tr w:rsidR="00565AD0" w:rsidRPr="009714C2" w14:paraId="49E44A4F" w14:textId="77777777" w:rsidTr="00565AD0">
        <w:trPr>
          <w:trHeight w:val="731"/>
        </w:trPr>
        <w:tc>
          <w:tcPr>
            <w:tcW w:w="5220" w:type="dxa"/>
          </w:tcPr>
          <w:p w14:paraId="60747BDC"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actualiza el plan de transición a la televisión Terrestre Digital y las resoluciones de asignación de frecuencia definitiva que se derivan de este, conforme al decreto presidencial No. 437-22.</w:t>
            </w:r>
          </w:p>
        </w:tc>
        <w:tc>
          <w:tcPr>
            <w:tcW w:w="2700" w:type="dxa"/>
          </w:tcPr>
          <w:p w14:paraId="5A3464FF" w14:textId="115DDB3A"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6FC0936A" w14:textId="27136F58"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083-2022</w:t>
            </w:r>
          </w:p>
        </w:tc>
      </w:tr>
      <w:tr w:rsidR="00565AD0" w:rsidRPr="009714C2" w14:paraId="72E3C7AA" w14:textId="77777777" w:rsidTr="00565AD0">
        <w:trPr>
          <w:trHeight w:val="731"/>
        </w:trPr>
        <w:tc>
          <w:tcPr>
            <w:tcW w:w="5220" w:type="dxa"/>
          </w:tcPr>
          <w:p w14:paraId="56039BD4"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establece las condiciones para operar en la banda 5925-7125 MHZ de equipos de baja y muy baja potencia mediante el esquema de licencias genéricas.</w:t>
            </w:r>
          </w:p>
        </w:tc>
        <w:tc>
          <w:tcPr>
            <w:tcW w:w="2700" w:type="dxa"/>
          </w:tcPr>
          <w:p w14:paraId="0D598137" w14:textId="58AFE96E"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637DF9C4" w14:textId="3DBEC265"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082-2022</w:t>
            </w:r>
          </w:p>
        </w:tc>
      </w:tr>
      <w:tr w:rsidR="00565AD0" w:rsidRPr="009714C2" w14:paraId="539C5F29" w14:textId="77777777" w:rsidTr="00565AD0">
        <w:trPr>
          <w:trHeight w:val="731"/>
        </w:trPr>
        <w:tc>
          <w:tcPr>
            <w:tcW w:w="5220" w:type="dxa"/>
          </w:tcPr>
          <w:p w14:paraId="276FC171"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la solicitud de renovación de las licencias vinculadas a la renovación de la concesión otorgada a la Sociedad Onemax, S.A. mediante resolución del Consejo Directivo No. 127-2021.</w:t>
            </w:r>
          </w:p>
        </w:tc>
        <w:tc>
          <w:tcPr>
            <w:tcW w:w="2700" w:type="dxa"/>
          </w:tcPr>
          <w:p w14:paraId="677D73E0" w14:textId="6F9B04FD"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055CC91F" w14:textId="52D34060"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084-2022</w:t>
            </w:r>
          </w:p>
        </w:tc>
      </w:tr>
      <w:tr w:rsidR="00565AD0" w:rsidRPr="009714C2" w14:paraId="7EE7AC24" w14:textId="77777777" w:rsidTr="00565AD0">
        <w:trPr>
          <w:trHeight w:val="731"/>
        </w:trPr>
        <w:tc>
          <w:tcPr>
            <w:tcW w:w="5220" w:type="dxa"/>
          </w:tcPr>
          <w:p w14:paraId="30FB8AE0"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ordena el inicio del proceso de consulta pública para establecer las </w:t>
            </w:r>
            <w:r w:rsidRPr="009714C2">
              <w:rPr>
                <w:rFonts w:ascii="Times New Roman" w:eastAsia="Times New Roman" w:hAnsi="Times New Roman" w:cs="Times New Roman"/>
                <w:color w:val="4C4747"/>
                <w:spacing w:val="20"/>
                <w:sz w:val="24"/>
                <w:szCs w:val="24"/>
                <w:lang w:val="es-DO" w:eastAsia="es-DO"/>
              </w:rPr>
              <w:lastRenderedPageBreak/>
              <w:t>condiciones de aplicación del mecanismo para innovaciones y pruebas regulatorias (Sandbox Regulatorio).</w:t>
            </w:r>
          </w:p>
        </w:tc>
        <w:tc>
          <w:tcPr>
            <w:tcW w:w="2700" w:type="dxa"/>
          </w:tcPr>
          <w:p w14:paraId="62DFDA26" w14:textId="291B4A8F"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3D0B8B31" w14:textId="40C0E0C9"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081-2022</w:t>
            </w:r>
          </w:p>
        </w:tc>
      </w:tr>
      <w:tr w:rsidR="00565AD0" w:rsidRPr="009714C2" w14:paraId="5402C261" w14:textId="77777777" w:rsidTr="00565AD0">
        <w:trPr>
          <w:trHeight w:val="731"/>
        </w:trPr>
        <w:tc>
          <w:tcPr>
            <w:tcW w:w="5220" w:type="dxa"/>
          </w:tcPr>
          <w:p w14:paraId="18C3DD03"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conoce el recurso de reconsideración interpuesto por la Corporación de Televisión y Microondas Rafa, S.A., contra la resolución del Consejo Directivo No. 050-2022 que decide sobre la solicitud de la corporación de televisión y Microondas Rafa, S.A. sobre el reconocimiento del derecho de uso y explotación del canal 3 VHF.</w:t>
            </w:r>
          </w:p>
        </w:tc>
        <w:tc>
          <w:tcPr>
            <w:tcW w:w="2700" w:type="dxa"/>
          </w:tcPr>
          <w:p w14:paraId="4B58DE49" w14:textId="1708121D"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2D02805A" w14:textId="2B547A2D"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080-2022</w:t>
            </w:r>
          </w:p>
        </w:tc>
      </w:tr>
      <w:tr w:rsidR="00565AD0" w:rsidRPr="009714C2" w14:paraId="79912DBB" w14:textId="77777777" w:rsidTr="00565AD0">
        <w:trPr>
          <w:trHeight w:val="731"/>
        </w:trPr>
        <w:tc>
          <w:tcPr>
            <w:tcW w:w="5220" w:type="dxa"/>
          </w:tcPr>
          <w:p w14:paraId="08E7DA3C"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sobre la solicitud de concesión para prestar los servicios públicos de telecomunicaciones de difusión por cable y acceso a internet en los sectores Villa Mella, los Guaricanos y Sabana Perdida del municipio Santo Domingo Norte; los sectores el Tamarindo, San José de Mendoza, Hainamosa, Brisa Oriental, el Almirante, los Frailes, Ciudad Satélite, Brisas del Este y la Ureña del municipio Santo Domingo Este; los municipios Santo Domingo Oeste, los Alcarrizos, Pedro Brand y Boca Chica de la provincia Santo Domingo, presentada por la Sociedad Consorcio Flexus, S.R.L.-</w:t>
            </w:r>
          </w:p>
        </w:tc>
        <w:tc>
          <w:tcPr>
            <w:tcW w:w="2700" w:type="dxa"/>
          </w:tcPr>
          <w:p w14:paraId="297950B9" w14:textId="2BABA4EC"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41ABDEDA" w14:textId="2E1A8B25"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079-2022</w:t>
            </w:r>
          </w:p>
        </w:tc>
      </w:tr>
      <w:tr w:rsidR="00565AD0" w:rsidRPr="009714C2" w14:paraId="7ACE21D0" w14:textId="77777777" w:rsidTr="00565AD0">
        <w:trPr>
          <w:trHeight w:val="731"/>
        </w:trPr>
        <w:tc>
          <w:tcPr>
            <w:tcW w:w="5220" w:type="dxa"/>
          </w:tcPr>
          <w:p w14:paraId="51944549"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decide sobre la solicitud de concesión presentada por la Sociedad Dominican </w:t>
            </w:r>
            <w:r w:rsidRPr="009714C2">
              <w:rPr>
                <w:rFonts w:ascii="Times New Roman" w:eastAsia="Times New Roman" w:hAnsi="Times New Roman" w:cs="Times New Roman"/>
                <w:color w:val="4C4747"/>
                <w:spacing w:val="20"/>
                <w:sz w:val="24"/>
                <w:szCs w:val="24"/>
                <w:lang w:val="es-DO" w:eastAsia="es-DO"/>
              </w:rPr>
              <w:lastRenderedPageBreak/>
              <w:t>Cable Group, S.R.L., para la prestación del servicio público de telecomunicaciones servicios portadores de telecomunicaciones en todo el Territorio Nacional.</w:t>
            </w:r>
          </w:p>
        </w:tc>
        <w:tc>
          <w:tcPr>
            <w:tcW w:w="2700" w:type="dxa"/>
          </w:tcPr>
          <w:p w14:paraId="041CD1F9"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4032E027" w14:textId="5AA93C40"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078-2022</w:t>
            </w:r>
          </w:p>
        </w:tc>
      </w:tr>
      <w:tr w:rsidR="00565AD0" w:rsidRPr="009714C2" w14:paraId="61D4204B" w14:textId="77777777" w:rsidTr="00565AD0">
        <w:trPr>
          <w:trHeight w:val="731"/>
        </w:trPr>
        <w:tc>
          <w:tcPr>
            <w:tcW w:w="5220" w:type="dxa"/>
          </w:tcPr>
          <w:p w14:paraId="50F42D1C"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decide el procedimiento sancionador administrativo seguido contra el señor Freddy Antonio Dorville González y la razón social Dorville Comunicaciones, por la comisión de la conducta tipificada como falta administrativa muy grave, conforme las disposiciones contenidas en el literal d) del artículo 105 de la Ley General De Telecomunicaciones, No. 153-98.</w:t>
            </w:r>
          </w:p>
        </w:tc>
        <w:tc>
          <w:tcPr>
            <w:tcW w:w="2700" w:type="dxa"/>
          </w:tcPr>
          <w:p w14:paraId="22AD5F73" w14:textId="72E2C906"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42737173" w14:textId="70338907"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076-2022</w:t>
            </w:r>
          </w:p>
        </w:tc>
      </w:tr>
      <w:tr w:rsidR="00565AD0" w:rsidRPr="009714C2" w14:paraId="0459A267" w14:textId="77777777" w:rsidTr="00565AD0">
        <w:trPr>
          <w:trHeight w:val="731"/>
        </w:trPr>
        <w:tc>
          <w:tcPr>
            <w:tcW w:w="5220" w:type="dxa"/>
          </w:tcPr>
          <w:p w14:paraId="21E7BD15"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dicta la enmienda número 03 al pliego de condiciones de la licitación pública internacional Indotel-BID-LPI-001-2022, para la “Adquisición y Entrega de Cajas Convertidoras de Señal de Televisión Digital a los Hogares Seleccionados”.</w:t>
            </w:r>
          </w:p>
        </w:tc>
        <w:tc>
          <w:tcPr>
            <w:tcW w:w="2700" w:type="dxa"/>
          </w:tcPr>
          <w:p w14:paraId="4FECC200" w14:textId="0146DC7A"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24D8E51" w14:textId="48DB5DE1"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075-2022</w:t>
            </w:r>
          </w:p>
        </w:tc>
      </w:tr>
      <w:tr w:rsidR="00565AD0" w:rsidRPr="009714C2" w14:paraId="123D84F7" w14:textId="77777777" w:rsidTr="00565AD0">
        <w:trPr>
          <w:trHeight w:val="731"/>
        </w:trPr>
        <w:tc>
          <w:tcPr>
            <w:tcW w:w="5220" w:type="dxa"/>
          </w:tcPr>
          <w:p w14:paraId="7DB80F3F"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la solicitud de concesión y licencia para prestar el servicio público de telecomunicaciones de acceso a internet en todo el territorio nacional presentada por la Sociedad Starlink Dominican Republic, S.R.L.</w:t>
            </w:r>
          </w:p>
        </w:tc>
        <w:tc>
          <w:tcPr>
            <w:tcW w:w="2700" w:type="dxa"/>
          </w:tcPr>
          <w:p w14:paraId="540D4E9A" w14:textId="1684DA03"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192DEF2E" w14:textId="1D8D4715"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072-2022</w:t>
            </w:r>
          </w:p>
        </w:tc>
      </w:tr>
      <w:tr w:rsidR="00565AD0" w:rsidRPr="009714C2" w14:paraId="3439994A" w14:textId="77777777" w:rsidTr="00565AD0">
        <w:trPr>
          <w:trHeight w:val="731"/>
        </w:trPr>
        <w:tc>
          <w:tcPr>
            <w:tcW w:w="5220" w:type="dxa"/>
          </w:tcPr>
          <w:p w14:paraId="5D22B59F"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decide el procedimiento sancionador administrativo seguido contra el señor José Aníbal Martínez Bido, por la comisión de </w:t>
            </w:r>
            <w:r w:rsidRPr="009714C2">
              <w:rPr>
                <w:rFonts w:ascii="Times New Roman" w:eastAsia="Times New Roman" w:hAnsi="Times New Roman" w:cs="Times New Roman"/>
                <w:color w:val="4C4747"/>
                <w:spacing w:val="20"/>
                <w:sz w:val="24"/>
                <w:szCs w:val="24"/>
                <w:lang w:val="es-DO" w:eastAsia="es-DO"/>
              </w:rPr>
              <w:lastRenderedPageBreak/>
              <w:t>las conductas tipificadas como faltas administrativas muy graves y graves conforme las disposiciones contenidas en el literal d) del artículo 105 y en el literal b) del artículo 106 de la Ley General De Telecomunicaciones, No. 153-98.</w:t>
            </w:r>
          </w:p>
        </w:tc>
        <w:tc>
          <w:tcPr>
            <w:tcW w:w="2700" w:type="dxa"/>
          </w:tcPr>
          <w:p w14:paraId="33B1FFD3" w14:textId="01AC6695"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179E6FF4" w14:textId="4EB01473"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074-2022</w:t>
            </w:r>
          </w:p>
        </w:tc>
      </w:tr>
      <w:tr w:rsidR="00565AD0" w:rsidRPr="009714C2" w14:paraId="2EBBB511" w14:textId="77777777" w:rsidTr="00565AD0">
        <w:trPr>
          <w:trHeight w:val="731"/>
        </w:trPr>
        <w:tc>
          <w:tcPr>
            <w:tcW w:w="5220" w:type="dxa"/>
          </w:tcPr>
          <w:p w14:paraId="20BA87D2" w14:textId="61C00B42"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 xml:space="preserve">Que conoce la solicitud de </w:t>
            </w:r>
            <w:r w:rsidR="00513ACC" w:rsidRPr="009714C2">
              <w:rPr>
                <w:rFonts w:ascii="Times New Roman" w:eastAsia="Times New Roman" w:hAnsi="Times New Roman" w:cs="Times New Roman"/>
                <w:color w:val="4C4747"/>
                <w:spacing w:val="20"/>
                <w:sz w:val="24"/>
                <w:szCs w:val="24"/>
                <w:lang w:val="es-DO" w:eastAsia="es-DO"/>
              </w:rPr>
              <w:t>renovación</w:t>
            </w:r>
            <w:r w:rsidRPr="009714C2">
              <w:rPr>
                <w:rFonts w:ascii="Times New Roman" w:eastAsia="Times New Roman" w:hAnsi="Times New Roman" w:cs="Times New Roman"/>
                <w:color w:val="4C4747"/>
                <w:spacing w:val="20"/>
                <w:sz w:val="24"/>
                <w:szCs w:val="24"/>
                <w:lang w:val="es-DO" w:eastAsia="es-DO"/>
              </w:rPr>
              <w:t xml:space="preserve"> de autorización para operar como entidad de certificación presentada por la Sociedad Avansi S.R.L., de conformidad a lo establecido en la ley No. 126-02 de comercio electrónico, documentos y firmas digitales y </w:t>
            </w:r>
            <w:r w:rsidR="00513ACC" w:rsidRPr="009714C2">
              <w:rPr>
                <w:rFonts w:ascii="Times New Roman" w:eastAsia="Times New Roman" w:hAnsi="Times New Roman" w:cs="Times New Roman"/>
                <w:color w:val="4C4747"/>
                <w:spacing w:val="20"/>
                <w:sz w:val="24"/>
                <w:szCs w:val="24"/>
                <w:lang w:val="es-DO" w:eastAsia="es-DO"/>
              </w:rPr>
              <w:t>demás</w:t>
            </w:r>
            <w:r w:rsidRPr="009714C2">
              <w:rPr>
                <w:rFonts w:ascii="Times New Roman" w:eastAsia="Times New Roman" w:hAnsi="Times New Roman" w:cs="Times New Roman"/>
                <w:color w:val="4C4747"/>
                <w:spacing w:val="20"/>
                <w:sz w:val="24"/>
                <w:szCs w:val="24"/>
                <w:lang w:val="es-DO" w:eastAsia="es-DO"/>
              </w:rPr>
              <w:t xml:space="preserve"> normas complementarias y reglamentos.</w:t>
            </w:r>
          </w:p>
        </w:tc>
        <w:tc>
          <w:tcPr>
            <w:tcW w:w="2700" w:type="dxa"/>
          </w:tcPr>
          <w:p w14:paraId="650A0E07" w14:textId="4DE817AA"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2EF95842" w14:textId="4DC9042D"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070-2022</w:t>
            </w:r>
          </w:p>
        </w:tc>
      </w:tr>
      <w:tr w:rsidR="00565AD0" w:rsidRPr="009714C2" w14:paraId="6C2AEEBA" w14:textId="77777777" w:rsidTr="00565AD0">
        <w:trPr>
          <w:trHeight w:val="731"/>
        </w:trPr>
        <w:tc>
          <w:tcPr>
            <w:tcW w:w="5220" w:type="dxa"/>
          </w:tcPr>
          <w:p w14:paraId="721E25E3"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declara la extinción de los derechos y efectos jurídicos derivados de las autorizaciones expedidas por la Dirección General De Telecomunicaciones (DGT), a favor de Electrocompu, C. por A., para el uso de diversas frecuencias en distintas localidades del territorio nacional para la prestación del servicio de radiocomunicación privada.</w:t>
            </w:r>
          </w:p>
        </w:tc>
        <w:tc>
          <w:tcPr>
            <w:tcW w:w="2700" w:type="dxa"/>
          </w:tcPr>
          <w:p w14:paraId="0036F813" w14:textId="5BE0B96D"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09A07812" w14:textId="57D7A367"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071-2022</w:t>
            </w:r>
          </w:p>
        </w:tc>
      </w:tr>
      <w:tr w:rsidR="00565AD0" w:rsidRPr="009714C2" w14:paraId="75F9280D" w14:textId="77777777" w:rsidTr="00565AD0">
        <w:trPr>
          <w:trHeight w:val="731"/>
        </w:trPr>
        <w:tc>
          <w:tcPr>
            <w:tcW w:w="5220" w:type="dxa"/>
          </w:tcPr>
          <w:p w14:paraId="46154B82"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corrige errores materiales consignados en la resolución No. 046- 2022 emitida por el Consejo Directivo en fecha diecinueve (19) del mes de mayo del dos mil veintidós (2022), “que ordena la migración de la frecuencia 92.3 MHz. a la frecuencia 91.5 </w:t>
            </w:r>
            <w:r w:rsidRPr="009714C2">
              <w:rPr>
                <w:rFonts w:ascii="Times New Roman" w:eastAsia="Times New Roman" w:hAnsi="Times New Roman" w:cs="Times New Roman"/>
                <w:color w:val="4C4747"/>
                <w:spacing w:val="20"/>
                <w:sz w:val="24"/>
                <w:szCs w:val="24"/>
                <w:lang w:val="es-DO" w:eastAsia="es-DO"/>
              </w:rPr>
              <w:lastRenderedPageBreak/>
              <w:t>MHZ, asignada a favor de la Sociedad Natura F.M. 92.3, S.R.L., para el servicio público de telecomunicaciones de radiodifusión sonora en la provincia La Vega”</w:t>
            </w:r>
          </w:p>
        </w:tc>
        <w:tc>
          <w:tcPr>
            <w:tcW w:w="2700" w:type="dxa"/>
          </w:tcPr>
          <w:p w14:paraId="0BA33A38" w14:textId="57366988"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39FE9078" w14:textId="724BE7D7" w:rsidR="00565AD0" w:rsidRPr="009714C2" w:rsidRDefault="00513ACC"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w:t>
            </w:r>
            <w:r w:rsidR="00565AD0" w:rsidRPr="009714C2">
              <w:rPr>
                <w:rFonts w:ascii="Times New Roman" w:eastAsia="Times New Roman" w:hAnsi="Times New Roman" w:cs="Times New Roman"/>
                <w:color w:val="4C4747"/>
                <w:spacing w:val="20"/>
                <w:sz w:val="24"/>
                <w:szCs w:val="24"/>
                <w:lang w:val="es-DO" w:eastAsia="es-DO"/>
              </w:rPr>
              <w:t>. 067-2022</w:t>
            </w:r>
          </w:p>
        </w:tc>
      </w:tr>
      <w:tr w:rsidR="00565AD0" w:rsidRPr="009714C2" w14:paraId="4B3885CF" w14:textId="77777777" w:rsidTr="00565AD0">
        <w:trPr>
          <w:trHeight w:val="731"/>
        </w:trPr>
        <w:tc>
          <w:tcPr>
            <w:tcW w:w="5220" w:type="dxa"/>
          </w:tcPr>
          <w:p w14:paraId="72828078" w14:textId="77777777" w:rsidR="00565AD0" w:rsidRPr="00A4233F"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lastRenderedPageBreak/>
              <w:t>Que dispone el inicio del proceso de consulta pública para modificar el “Plan Nacional De Atribución De Frecuencias (PNAF)”.</w:t>
            </w:r>
          </w:p>
        </w:tc>
        <w:tc>
          <w:tcPr>
            <w:tcW w:w="2700" w:type="dxa"/>
          </w:tcPr>
          <w:p w14:paraId="536D9775" w14:textId="5D7B6590" w:rsidR="00513ACC"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Resolución</w:t>
            </w:r>
          </w:p>
          <w:p w14:paraId="13875E47" w14:textId="2E5846DC" w:rsidR="00565AD0"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No. 069-2022</w:t>
            </w:r>
          </w:p>
        </w:tc>
      </w:tr>
      <w:tr w:rsidR="00565AD0" w:rsidRPr="009714C2" w14:paraId="64004D10" w14:textId="77777777" w:rsidTr="00565AD0">
        <w:trPr>
          <w:trHeight w:val="731"/>
        </w:trPr>
        <w:tc>
          <w:tcPr>
            <w:tcW w:w="5220" w:type="dxa"/>
          </w:tcPr>
          <w:p w14:paraId="527242FF" w14:textId="77777777" w:rsidR="00565AD0" w:rsidRPr="00A4233F"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Que ordena el inicio del proceso de consulta pública para dictar el “reglamento para la prestación del servicio de difusión televisiva por suscripción”.</w:t>
            </w:r>
          </w:p>
        </w:tc>
        <w:tc>
          <w:tcPr>
            <w:tcW w:w="2700" w:type="dxa"/>
          </w:tcPr>
          <w:p w14:paraId="36E330AC" w14:textId="61F43960" w:rsidR="00513ACC"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Resolución</w:t>
            </w:r>
          </w:p>
          <w:p w14:paraId="04810097" w14:textId="44CEFA85" w:rsidR="00565AD0"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No. 068-2022</w:t>
            </w:r>
          </w:p>
        </w:tc>
      </w:tr>
      <w:tr w:rsidR="00565AD0" w:rsidRPr="009714C2" w14:paraId="4A35E597" w14:textId="77777777" w:rsidTr="00565AD0">
        <w:trPr>
          <w:trHeight w:val="731"/>
        </w:trPr>
        <w:tc>
          <w:tcPr>
            <w:tcW w:w="5220" w:type="dxa"/>
          </w:tcPr>
          <w:p w14:paraId="7A993F18" w14:textId="48A9347A" w:rsidR="00565AD0" w:rsidRPr="00A4233F"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 xml:space="preserve">Que declara adecuada a las disposiciones de la Ley General De Telecomunicaciones No. 153-98, LA autorización expedida por la Dirección General De Telecomunicaciones (DGT), que ampara el derecho de uso de la frecuencia 98.1 MHZ en el municipio de Nagua, provincia María Trinidad Sánchez a favor de Abraham A. Victoria Gelabert y a la vez autoriza la operación de transferencia de </w:t>
            </w:r>
            <w:r w:rsidR="00790E59" w:rsidRPr="00A4233F">
              <w:rPr>
                <w:rFonts w:ascii="Times New Roman" w:eastAsia="Times New Roman" w:hAnsi="Times New Roman" w:cs="Times New Roman"/>
                <w:color w:val="4C4747"/>
                <w:spacing w:val="20"/>
                <w:sz w:val="24"/>
                <w:szCs w:val="24"/>
                <w:lang w:val="es-DO" w:eastAsia="es-DO"/>
              </w:rPr>
              <w:t>está</w:t>
            </w:r>
            <w:r w:rsidRPr="00A4233F">
              <w:rPr>
                <w:rFonts w:ascii="Times New Roman" w:eastAsia="Times New Roman" w:hAnsi="Times New Roman" w:cs="Times New Roman"/>
                <w:color w:val="4C4747"/>
                <w:spacing w:val="20"/>
                <w:sz w:val="24"/>
                <w:szCs w:val="24"/>
                <w:lang w:val="es-DO" w:eastAsia="es-DO"/>
              </w:rPr>
              <w:t xml:space="preserve"> a favor de la Sociedad Viccom, S.R.L.</w:t>
            </w:r>
          </w:p>
        </w:tc>
        <w:tc>
          <w:tcPr>
            <w:tcW w:w="2700" w:type="dxa"/>
          </w:tcPr>
          <w:p w14:paraId="7D9663AC" w14:textId="7149FF93" w:rsidR="00513ACC"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Resolución</w:t>
            </w:r>
          </w:p>
          <w:p w14:paraId="64166537" w14:textId="0D7AB0F4" w:rsidR="00565AD0"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No. 066-2022</w:t>
            </w:r>
          </w:p>
        </w:tc>
      </w:tr>
      <w:tr w:rsidR="00565AD0" w:rsidRPr="009714C2" w14:paraId="1DAC8591" w14:textId="77777777" w:rsidTr="00565AD0">
        <w:trPr>
          <w:trHeight w:val="731"/>
        </w:trPr>
        <w:tc>
          <w:tcPr>
            <w:tcW w:w="5220" w:type="dxa"/>
          </w:tcPr>
          <w:p w14:paraId="10B5C04E"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dispone la extensión del plazo de la suspensión provisional para la expedición de las autorizaciones requeridas para el uso de frecuencias radioeléctricas en la </w:t>
            </w:r>
            <w:r w:rsidRPr="009714C2">
              <w:rPr>
                <w:rFonts w:ascii="Times New Roman" w:eastAsia="Times New Roman" w:hAnsi="Times New Roman" w:cs="Times New Roman"/>
                <w:color w:val="4C4747"/>
                <w:spacing w:val="20"/>
                <w:sz w:val="24"/>
                <w:szCs w:val="24"/>
                <w:lang w:val="es-DO" w:eastAsia="es-DO"/>
              </w:rPr>
              <w:lastRenderedPageBreak/>
              <w:t>prestación de servicios públicos de radiodifusión sonora.</w:t>
            </w:r>
          </w:p>
        </w:tc>
        <w:tc>
          <w:tcPr>
            <w:tcW w:w="2700" w:type="dxa"/>
          </w:tcPr>
          <w:p w14:paraId="3AA038F7" w14:textId="3EDE933A"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279F19C6" w14:textId="2FB63EDD"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065-2022</w:t>
            </w:r>
          </w:p>
        </w:tc>
      </w:tr>
      <w:tr w:rsidR="00565AD0" w:rsidRPr="009714C2" w14:paraId="6A788036" w14:textId="77777777" w:rsidTr="00565AD0">
        <w:trPr>
          <w:trHeight w:val="731"/>
        </w:trPr>
        <w:tc>
          <w:tcPr>
            <w:tcW w:w="5220" w:type="dxa"/>
          </w:tcPr>
          <w:p w14:paraId="7E8CCDD5"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instruye a la Directora Ejecutiva a continuar el Procedimiento para la Fijación de los cargos de Interconexión dispuesto en la Resolución Núm. 104-2021 y presentar un nuevo estudio de costos.</w:t>
            </w:r>
          </w:p>
        </w:tc>
        <w:tc>
          <w:tcPr>
            <w:tcW w:w="2700" w:type="dxa"/>
          </w:tcPr>
          <w:p w14:paraId="56BEB6BA" w14:textId="7BC2F66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7AC1737D" w14:textId="6D74F321"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064-2022</w:t>
            </w:r>
          </w:p>
        </w:tc>
      </w:tr>
      <w:tr w:rsidR="00565AD0" w:rsidRPr="009714C2" w14:paraId="18B5D412" w14:textId="77777777" w:rsidTr="00565AD0">
        <w:trPr>
          <w:trHeight w:val="731"/>
        </w:trPr>
        <w:tc>
          <w:tcPr>
            <w:tcW w:w="5220" w:type="dxa"/>
          </w:tcPr>
          <w:p w14:paraId="2BDB96EC"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dictamina las adendas a los Contratos de Interconexión suscritos entre las concesionarias: (i) Compañía Dominicana de Teléfonos, s. a. (Claro) y Altice Dominicana, S. A. (Altice), con fecha 1-0 de mayo de 2022; (ii) Altice Dominicana, S. A. (Altice) y Trilogy Dominicana, S. A. (Viva), con fecha 11 de mayo de 2022; (iii) Compañía Dominicana de Teléfonos, S. A. (Claro) y Onemax, S. A., con fecha 12 de Mayo de 2022; (iv) Compañía Dominicana de Teléfonos, S. A. (Claro) y Trilogy Dominicana, S. A. (Viva), con fecha 13 de Mayo de 2022; (v) Onemax, s. a. y Trilogy Dominicana, . a. (viva), con fecha 11 de mayo de 2022; (vi) Altice Dominicana, S. A. (Altice) y Onemax, S. A., con fecha 12 de mayo de 2022.</w:t>
            </w:r>
          </w:p>
        </w:tc>
        <w:tc>
          <w:tcPr>
            <w:tcW w:w="2700" w:type="dxa"/>
          </w:tcPr>
          <w:p w14:paraId="078FDB85" w14:textId="0173C190"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2239A684" w14:textId="34E52B66"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063-2022</w:t>
            </w:r>
          </w:p>
        </w:tc>
      </w:tr>
      <w:tr w:rsidR="00565AD0" w:rsidRPr="009714C2" w14:paraId="5916978A" w14:textId="77777777" w:rsidTr="00565AD0">
        <w:trPr>
          <w:trHeight w:val="731"/>
        </w:trPr>
        <w:tc>
          <w:tcPr>
            <w:tcW w:w="5220" w:type="dxa"/>
          </w:tcPr>
          <w:p w14:paraId="12958046"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dicta la enmienda número 02 al pliego de condiciones de la Licitación Pública Internacional Indotel-BID-LPI-001-2022, para la “adquisición y entrega de cajas </w:t>
            </w:r>
            <w:r w:rsidRPr="009714C2">
              <w:rPr>
                <w:rFonts w:ascii="Times New Roman" w:eastAsia="Times New Roman" w:hAnsi="Times New Roman" w:cs="Times New Roman"/>
                <w:color w:val="4C4747"/>
                <w:spacing w:val="20"/>
                <w:sz w:val="24"/>
                <w:szCs w:val="24"/>
                <w:lang w:val="es-DO" w:eastAsia="es-DO"/>
              </w:rPr>
              <w:lastRenderedPageBreak/>
              <w:t>convertidoras de señal de televisión digital a los hogares seleccionados”.</w:t>
            </w:r>
          </w:p>
        </w:tc>
        <w:tc>
          <w:tcPr>
            <w:tcW w:w="2700" w:type="dxa"/>
          </w:tcPr>
          <w:p w14:paraId="7692AB62" w14:textId="50D5536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0C66A6B8" w14:textId="73C5D52C"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062-2022</w:t>
            </w:r>
          </w:p>
        </w:tc>
      </w:tr>
      <w:tr w:rsidR="00565AD0" w:rsidRPr="009714C2" w14:paraId="5CE5A9EB" w14:textId="77777777" w:rsidTr="00565AD0">
        <w:trPr>
          <w:trHeight w:val="731"/>
        </w:trPr>
        <w:tc>
          <w:tcPr>
            <w:tcW w:w="5220" w:type="dxa"/>
          </w:tcPr>
          <w:p w14:paraId="52C079E6"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declara adecuada a las disposiciones de la Ley General De Telecomunicaciones No. 153-98, la autorización expedida por la Dirección General De Telecomunicaciones (DGT), que ampara el derecho de uso del canal 65 UHF a nivel nacional de la entidad canal del Sol, S.R.L.; autoriza la operación de transferencia del control social de la misma y finalmente, asigna el segmento de frecuencias 542-548 MHZ (canal 26) como su canal radioeléctrico televisivo (canal fisico) y el canal 65 como su canal virtual.</w:t>
            </w:r>
          </w:p>
        </w:tc>
        <w:tc>
          <w:tcPr>
            <w:tcW w:w="2700" w:type="dxa"/>
          </w:tcPr>
          <w:p w14:paraId="099FCEC4" w14:textId="22ED8910"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D11548E" w14:textId="52CBFC16"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056-2022</w:t>
            </w:r>
          </w:p>
        </w:tc>
      </w:tr>
      <w:tr w:rsidR="00565AD0" w:rsidRPr="009714C2" w14:paraId="4AA06AF8" w14:textId="77777777" w:rsidTr="00565AD0">
        <w:trPr>
          <w:trHeight w:val="731"/>
        </w:trPr>
        <w:tc>
          <w:tcPr>
            <w:tcW w:w="5220" w:type="dxa"/>
          </w:tcPr>
          <w:p w14:paraId="71B49082"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dicta la enmienda No. 01 al pliego de condiciones de la Licitación Pública Internacional INDOTEL-BID-LPI-001-2022, para la “adquisición y entrega de cajas convertidoras de señal de televisión digital a los hogares seleccionados”.</w:t>
            </w:r>
          </w:p>
        </w:tc>
        <w:tc>
          <w:tcPr>
            <w:tcW w:w="2700" w:type="dxa"/>
          </w:tcPr>
          <w:p w14:paraId="72DC2D80" w14:textId="0DAFE64F"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718B9E6" w14:textId="03CA7965"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061-2022</w:t>
            </w:r>
          </w:p>
        </w:tc>
      </w:tr>
      <w:tr w:rsidR="00565AD0" w:rsidRPr="009714C2" w14:paraId="7E73195B" w14:textId="77777777" w:rsidTr="00565AD0">
        <w:trPr>
          <w:trHeight w:val="731"/>
        </w:trPr>
        <w:tc>
          <w:tcPr>
            <w:tcW w:w="5220" w:type="dxa"/>
          </w:tcPr>
          <w:p w14:paraId="073491B3"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el procedimiento sancionador administrativo seguido contra el señor Andrés Paz, por la comisión de las conductas tipificadas como faltas administrativas muy graves conforme las disposiciones contenidas en el literal d) del artículo 105 de la Ley General De Telecomunicaciones, No. 153-98.</w:t>
            </w:r>
          </w:p>
        </w:tc>
        <w:tc>
          <w:tcPr>
            <w:tcW w:w="2700" w:type="dxa"/>
          </w:tcPr>
          <w:p w14:paraId="4A097378" w14:textId="302320B8"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06C63F32" w14:textId="679FA725"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060-2022</w:t>
            </w:r>
          </w:p>
        </w:tc>
      </w:tr>
      <w:tr w:rsidR="00565AD0" w:rsidRPr="009714C2" w14:paraId="39835F73" w14:textId="77777777" w:rsidTr="00565AD0">
        <w:trPr>
          <w:trHeight w:val="731"/>
        </w:trPr>
        <w:tc>
          <w:tcPr>
            <w:tcW w:w="5220" w:type="dxa"/>
          </w:tcPr>
          <w:p w14:paraId="20A0C11B"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decide el procedimiento sancionador administrativo seguido contra el señor Adolfo Antonio Lora Vásquez, por la comisión de las conductas tipificadas como falta administrativa muy grave conforme las disposiciones contenidas en el literal d) del artículo 105 de La Ley General De Telecomunicaciones, No. 153-98.</w:t>
            </w:r>
          </w:p>
        </w:tc>
        <w:tc>
          <w:tcPr>
            <w:tcW w:w="2700" w:type="dxa"/>
          </w:tcPr>
          <w:p w14:paraId="28E7C97B" w14:textId="4EAAF94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21CE4D3" w14:textId="5F292F53"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057-2022</w:t>
            </w:r>
          </w:p>
        </w:tc>
      </w:tr>
      <w:tr w:rsidR="00565AD0" w:rsidRPr="009714C2" w14:paraId="3FC56D83" w14:textId="77777777" w:rsidTr="00565AD0">
        <w:trPr>
          <w:trHeight w:val="731"/>
        </w:trPr>
        <w:tc>
          <w:tcPr>
            <w:tcW w:w="5220" w:type="dxa"/>
          </w:tcPr>
          <w:p w14:paraId="7FF18EB9"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el procedimiento sancionador administrativo seguido contra el señor Juan Rafael Pineda Sánchez, por la comisión de las conductas tipificadas como falta administrativa muy grave conforme la disposiciones contenidas en el literal d) del artículo 105 de la Ley General De Telecomunicaciones, No. 153-98.</w:t>
            </w:r>
          </w:p>
        </w:tc>
        <w:tc>
          <w:tcPr>
            <w:tcW w:w="2700" w:type="dxa"/>
          </w:tcPr>
          <w:p w14:paraId="04437EB9" w14:textId="1029E8BF"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70FD4823" w14:textId="2C613981"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058-2022</w:t>
            </w:r>
          </w:p>
        </w:tc>
      </w:tr>
      <w:tr w:rsidR="00565AD0" w:rsidRPr="009714C2" w14:paraId="35A2D1ED" w14:textId="77777777" w:rsidTr="00565AD0">
        <w:trPr>
          <w:trHeight w:val="731"/>
        </w:trPr>
        <w:tc>
          <w:tcPr>
            <w:tcW w:w="5220" w:type="dxa"/>
          </w:tcPr>
          <w:p w14:paraId="14070BBD"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modifica el nombre del Comité Administrador de los Medios Web (CAM WEB) del indotel, por Comité de Implementación y Gestión de Estándares TIC (CIGETIC), confirma los miembros que lo integran y actualiza sus atribuciones y funciones.</w:t>
            </w:r>
          </w:p>
        </w:tc>
        <w:tc>
          <w:tcPr>
            <w:tcW w:w="2700" w:type="dxa"/>
          </w:tcPr>
          <w:p w14:paraId="20FD5EB6" w14:textId="32D29398"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6D5A20A2" w14:textId="33274309"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052-2022</w:t>
            </w:r>
          </w:p>
        </w:tc>
      </w:tr>
      <w:tr w:rsidR="00565AD0" w:rsidRPr="009714C2" w14:paraId="0B9EBF96" w14:textId="77777777" w:rsidTr="00565AD0">
        <w:trPr>
          <w:trHeight w:val="731"/>
        </w:trPr>
        <w:tc>
          <w:tcPr>
            <w:tcW w:w="5220" w:type="dxa"/>
          </w:tcPr>
          <w:p w14:paraId="425C3A4E"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la frecuencia definitiva y el número de canal virtual a Teleamericas, S.R.L., para la prestación del servicio de televisión terrestre digital.</w:t>
            </w:r>
          </w:p>
        </w:tc>
        <w:tc>
          <w:tcPr>
            <w:tcW w:w="2700" w:type="dxa"/>
          </w:tcPr>
          <w:p w14:paraId="5E948FB9" w14:textId="53750E80"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67358791" w14:textId="045A8DC5"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055-2022</w:t>
            </w:r>
          </w:p>
        </w:tc>
      </w:tr>
      <w:tr w:rsidR="00565AD0" w:rsidRPr="009714C2" w14:paraId="2A478FF7" w14:textId="77777777" w:rsidTr="00565AD0">
        <w:trPr>
          <w:trHeight w:val="731"/>
        </w:trPr>
        <w:tc>
          <w:tcPr>
            <w:tcW w:w="5220" w:type="dxa"/>
          </w:tcPr>
          <w:p w14:paraId="6428A546" w14:textId="77777777" w:rsidR="00565AD0" w:rsidRPr="00A4233F"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lastRenderedPageBreak/>
              <w:t>Que decide la migración de la frecuencia 99.1 MHZ. a la frecuencia 97.1 MHZ, asignada a favor de la entidad fundación Frank &amp; Haydee Rainieri, INC., para el servicio público de telecomunicaciones de radiodifusión sonora en la localidad de Punta Cana, provincia La Altagracia.</w:t>
            </w:r>
          </w:p>
        </w:tc>
        <w:tc>
          <w:tcPr>
            <w:tcW w:w="2700" w:type="dxa"/>
          </w:tcPr>
          <w:p w14:paraId="6C6C13DB" w14:textId="4CBA2E00" w:rsidR="00513ACC"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Resolución</w:t>
            </w:r>
          </w:p>
          <w:p w14:paraId="065948B9" w14:textId="0942B132" w:rsidR="00565AD0"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No. 053-2022</w:t>
            </w:r>
          </w:p>
        </w:tc>
      </w:tr>
      <w:tr w:rsidR="00565AD0" w:rsidRPr="009714C2" w14:paraId="06311E3F" w14:textId="77777777" w:rsidTr="00565AD0">
        <w:trPr>
          <w:trHeight w:val="731"/>
        </w:trPr>
        <w:tc>
          <w:tcPr>
            <w:tcW w:w="5220" w:type="dxa"/>
          </w:tcPr>
          <w:p w14:paraId="166AB765" w14:textId="77777777" w:rsidR="00565AD0" w:rsidRPr="00A4233F"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Que asigna el segmento de frecuencias definitivo y el número de canal virtual a favor de Turivisión del Este, S.R.L., para la prestación del servicio de televisión terrestre digital.</w:t>
            </w:r>
          </w:p>
        </w:tc>
        <w:tc>
          <w:tcPr>
            <w:tcW w:w="2700" w:type="dxa"/>
          </w:tcPr>
          <w:p w14:paraId="1CA6F40D" w14:textId="1D838640" w:rsidR="00513ACC"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Resolución</w:t>
            </w:r>
          </w:p>
          <w:p w14:paraId="170A6E2B" w14:textId="4BED5F41" w:rsidR="00565AD0"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No. 054-2022</w:t>
            </w:r>
          </w:p>
        </w:tc>
      </w:tr>
      <w:tr w:rsidR="00565AD0" w:rsidRPr="009714C2" w14:paraId="5E6E739A" w14:textId="77777777" w:rsidTr="00565AD0">
        <w:trPr>
          <w:trHeight w:val="731"/>
        </w:trPr>
        <w:tc>
          <w:tcPr>
            <w:tcW w:w="5220" w:type="dxa"/>
          </w:tcPr>
          <w:p w14:paraId="25621A53" w14:textId="03E7F8CA" w:rsidR="00565AD0" w:rsidRPr="00A4233F" w:rsidRDefault="00513ACC" w:rsidP="0033627E">
            <w:pPr>
              <w:spacing w:line="360" w:lineRule="auto"/>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Que declara adecuada a las disposiciones de la ley general de telecomunicaciones no. 153-98, la autorización que fue otorgada por la antigua dirección general de telecomunicaciones (DGT), a favor de la concesionaria sultana FM, C. Por A, para la prestación de servicios públicos de telecomunicaciones utilizando frecuencias atribuidas al servicio de radiodifusión sonora.</w:t>
            </w:r>
          </w:p>
        </w:tc>
        <w:tc>
          <w:tcPr>
            <w:tcW w:w="2700" w:type="dxa"/>
          </w:tcPr>
          <w:p w14:paraId="2894412B" w14:textId="59C20D54" w:rsidR="00513ACC"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Resolución</w:t>
            </w:r>
          </w:p>
          <w:p w14:paraId="3F98A7E9" w14:textId="5A94E1CA" w:rsidR="00565AD0"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No. 098-08</w:t>
            </w:r>
          </w:p>
        </w:tc>
      </w:tr>
      <w:tr w:rsidR="00565AD0" w:rsidRPr="009714C2" w14:paraId="5E07842C" w14:textId="77777777" w:rsidTr="00565AD0">
        <w:trPr>
          <w:trHeight w:val="731"/>
        </w:trPr>
        <w:tc>
          <w:tcPr>
            <w:tcW w:w="5220" w:type="dxa"/>
          </w:tcPr>
          <w:p w14:paraId="4E55D29B" w14:textId="77777777" w:rsidR="00565AD0" w:rsidRPr="00A4233F"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Que decide sobre la solicitud de concesión presentada por la Sociedad VIU Comunicaciones, S.R.L., para prestar el servicio público de telecomunicaciones de difusión por cable y acceso a internet en la provincia Hermanas Mirabal.</w:t>
            </w:r>
          </w:p>
        </w:tc>
        <w:tc>
          <w:tcPr>
            <w:tcW w:w="2700" w:type="dxa"/>
          </w:tcPr>
          <w:p w14:paraId="3D19D3EF" w14:textId="048645AE" w:rsidR="00513ACC"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Resolución</w:t>
            </w:r>
          </w:p>
          <w:p w14:paraId="4D7D6138" w14:textId="22E43A10" w:rsidR="00565AD0" w:rsidRPr="00A4233F"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A4233F">
              <w:rPr>
                <w:rFonts w:ascii="Times New Roman" w:eastAsia="Times New Roman" w:hAnsi="Times New Roman" w:cs="Times New Roman"/>
                <w:color w:val="4C4747"/>
                <w:spacing w:val="20"/>
                <w:sz w:val="24"/>
                <w:szCs w:val="24"/>
                <w:lang w:val="es-DO" w:eastAsia="es-DO"/>
              </w:rPr>
              <w:t>No. 051-2022</w:t>
            </w:r>
          </w:p>
        </w:tc>
      </w:tr>
      <w:tr w:rsidR="00565AD0" w:rsidRPr="009714C2" w14:paraId="4C11F3DA" w14:textId="77777777" w:rsidTr="00565AD0">
        <w:trPr>
          <w:trHeight w:val="731"/>
        </w:trPr>
        <w:tc>
          <w:tcPr>
            <w:tcW w:w="5220" w:type="dxa"/>
          </w:tcPr>
          <w:p w14:paraId="61667C3A"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decide sobre la solicitud de la Corporación de Televisión y Microondas Rafa, S.A., sobre el reconocimiento del derecho de uso y explotación del Canal 3 VHF.</w:t>
            </w:r>
          </w:p>
        </w:tc>
        <w:tc>
          <w:tcPr>
            <w:tcW w:w="2700" w:type="dxa"/>
          </w:tcPr>
          <w:p w14:paraId="4404F464" w14:textId="3368A4DF"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3B89AA8" w14:textId="0D2083B0"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050-2022</w:t>
            </w:r>
          </w:p>
        </w:tc>
      </w:tr>
      <w:tr w:rsidR="00565AD0" w:rsidRPr="009714C2" w14:paraId="13C95260" w14:textId="77777777" w:rsidTr="00565AD0">
        <w:trPr>
          <w:trHeight w:val="731"/>
        </w:trPr>
        <w:tc>
          <w:tcPr>
            <w:tcW w:w="5220" w:type="dxa"/>
          </w:tcPr>
          <w:p w14:paraId="67C4BD59"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el segmento de frecuencias definitivo y el número de canal virtual a favor de circuito de televisión Tele-Duarte (CTT), S.R.L., para la prestación del servicio de televisión terrestre digital.</w:t>
            </w:r>
          </w:p>
        </w:tc>
        <w:tc>
          <w:tcPr>
            <w:tcW w:w="2700" w:type="dxa"/>
          </w:tcPr>
          <w:p w14:paraId="6B0C8FC4" w14:textId="5089BFC0"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01A0E04B" w14:textId="5BF43E40"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049-2022</w:t>
            </w:r>
          </w:p>
        </w:tc>
      </w:tr>
      <w:tr w:rsidR="00565AD0" w:rsidRPr="009714C2" w14:paraId="7EEF77D2" w14:textId="77777777" w:rsidTr="00565AD0">
        <w:trPr>
          <w:trHeight w:val="731"/>
        </w:trPr>
        <w:tc>
          <w:tcPr>
            <w:tcW w:w="5220" w:type="dxa"/>
          </w:tcPr>
          <w:p w14:paraId="2D69D809"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corrige el error material, consignado en la resolución No. 122-2021 del Consejo Directivo del Indotel, en su anexo (a), para rectificar la zona de servicio de la Sociedad Circuito de Televisión Tele-Duarte, S.R.L. para la prestación del servicio público de televisión terrestre digital.</w:t>
            </w:r>
          </w:p>
        </w:tc>
        <w:tc>
          <w:tcPr>
            <w:tcW w:w="2700" w:type="dxa"/>
          </w:tcPr>
          <w:p w14:paraId="78E78AA6" w14:textId="4F8E0031"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091A839" w14:textId="65BEFD69"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048-2022</w:t>
            </w:r>
          </w:p>
        </w:tc>
      </w:tr>
      <w:tr w:rsidR="00565AD0" w:rsidRPr="009714C2" w14:paraId="5E4B6BA5" w14:textId="77777777" w:rsidTr="00565AD0">
        <w:trPr>
          <w:trHeight w:val="731"/>
        </w:trPr>
        <w:tc>
          <w:tcPr>
            <w:tcW w:w="5220" w:type="dxa"/>
          </w:tcPr>
          <w:p w14:paraId="43D4A508"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sobre la solicitud de ampliación de concesión presentada por la Sociedad Redes Televisivas Satelital, S. R. L. (RETEVISA), para en adición al servicio público de telecomunicaciones de difusión por cable, prestar el servicio público de telecomunicaciones de acceso a internet en el Distrito Nacional y la provincia Santo Domingo.</w:t>
            </w:r>
          </w:p>
        </w:tc>
        <w:tc>
          <w:tcPr>
            <w:tcW w:w="2700" w:type="dxa"/>
          </w:tcPr>
          <w:p w14:paraId="78410AE8" w14:textId="15AA30AB"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4FCBF38E" w14:textId="724C6C66"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047-2022</w:t>
            </w:r>
          </w:p>
        </w:tc>
      </w:tr>
      <w:tr w:rsidR="00565AD0" w:rsidRPr="009714C2" w14:paraId="52E3E672" w14:textId="77777777" w:rsidTr="00565AD0">
        <w:trPr>
          <w:trHeight w:val="731"/>
        </w:trPr>
        <w:tc>
          <w:tcPr>
            <w:tcW w:w="5220" w:type="dxa"/>
          </w:tcPr>
          <w:p w14:paraId="0E6D89B6"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ordena la migración de la frecuencia 92.3 MHZ. a la frecuencia 91.5 MHZ, </w:t>
            </w:r>
            <w:r w:rsidRPr="009714C2">
              <w:rPr>
                <w:rFonts w:ascii="Times New Roman" w:eastAsia="Times New Roman" w:hAnsi="Times New Roman" w:cs="Times New Roman"/>
                <w:color w:val="4C4747"/>
                <w:spacing w:val="20"/>
                <w:sz w:val="24"/>
                <w:szCs w:val="24"/>
                <w:lang w:val="es-DO" w:eastAsia="es-DO"/>
              </w:rPr>
              <w:lastRenderedPageBreak/>
              <w:t>asignada a favor de la Sociedad Natura F.M. 92.3, S.R.L., para el servicio público de telecomunicaciones de radiodifusión sonora en la provincia La Vega.</w:t>
            </w:r>
          </w:p>
        </w:tc>
        <w:tc>
          <w:tcPr>
            <w:tcW w:w="2700" w:type="dxa"/>
          </w:tcPr>
          <w:p w14:paraId="09EDDA4B" w14:textId="0B04D234"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1B48CCC2" w14:textId="04DC1B02"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046-2022</w:t>
            </w:r>
          </w:p>
        </w:tc>
      </w:tr>
      <w:tr w:rsidR="00565AD0" w:rsidRPr="009714C2" w14:paraId="6F261187" w14:textId="77777777" w:rsidTr="00565AD0">
        <w:trPr>
          <w:trHeight w:val="731"/>
        </w:trPr>
        <w:tc>
          <w:tcPr>
            <w:tcW w:w="5220" w:type="dxa"/>
          </w:tcPr>
          <w:p w14:paraId="0C0C978E"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ordena el inicio del proceso de consulta pública para establecer las condiciones para autorizar a las concesionarias del servicio de difusión televisiva por cable para ofrecer el servicio de acceso a internet.</w:t>
            </w:r>
          </w:p>
        </w:tc>
        <w:tc>
          <w:tcPr>
            <w:tcW w:w="2700" w:type="dxa"/>
          </w:tcPr>
          <w:p w14:paraId="2A500B1F" w14:textId="5300CA63"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A1EEAE4" w14:textId="5BC75AA9"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045-2022</w:t>
            </w:r>
          </w:p>
        </w:tc>
      </w:tr>
      <w:tr w:rsidR="00565AD0" w:rsidRPr="009714C2" w14:paraId="184E4237" w14:textId="77777777" w:rsidTr="00565AD0">
        <w:trPr>
          <w:trHeight w:val="731"/>
        </w:trPr>
        <w:tc>
          <w:tcPr>
            <w:tcW w:w="5220" w:type="dxa"/>
          </w:tcPr>
          <w:p w14:paraId="227B6D0B"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ordena el inicio del proceso de consulta pública para establecer las “condiciones de operación en la banda 5925-7125 MHZ, de equipos de baja potencia para uso exclusivamente en espacios interiores, que quedan autorizados bajo el esquema de licencias genéricas”.</w:t>
            </w:r>
          </w:p>
        </w:tc>
        <w:tc>
          <w:tcPr>
            <w:tcW w:w="2700" w:type="dxa"/>
          </w:tcPr>
          <w:p w14:paraId="467D06E8" w14:textId="60612C54"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7413025B" w14:textId="457EBE1C"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044-2022</w:t>
            </w:r>
          </w:p>
        </w:tc>
      </w:tr>
      <w:tr w:rsidR="00565AD0" w:rsidRPr="009714C2" w14:paraId="40BA207E" w14:textId="77777777" w:rsidTr="00565AD0">
        <w:trPr>
          <w:trHeight w:val="731"/>
        </w:trPr>
        <w:tc>
          <w:tcPr>
            <w:tcW w:w="5220" w:type="dxa"/>
          </w:tcPr>
          <w:p w14:paraId="0D4EF3DA"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el segmento de frecuencias definitivo y el número de canal virtual a favor de Telemedios Dominicana, S. A., para la prestación del servicio de televisión terrestre digital.</w:t>
            </w:r>
          </w:p>
        </w:tc>
        <w:tc>
          <w:tcPr>
            <w:tcW w:w="2700" w:type="dxa"/>
          </w:tcPr>
          <w:p w14:paraId="207F5F01" w14:textId="0AEE6FBB"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28EDAAB1" w14:textId="516C6574"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043-2022</w:t>
            </w:r>
          </w:p>
        </w:tc>
      </w:tr>
      <w:tr w:rsidR="00565AD0" w:rsidRPr="009714C2" w14:paraId="0F9921D8" w14:textId="77777777" w:rsidTr="00565AD0">
        <w:trPr>
          <w:trHeight w:val="731"/>
        </w:trPr>
        <w:tc>
          <w:tcPr>
            <w:tcW w:w="5220" w:type="dxa"/>
          </w:tcPr>
          <w:p w14:paraId="3F7D5398"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aprueba el pliego de condiciones, designa el comité evaluador y convoca a la Licitación Pública Internacional Indotel-BID-LPI-001- 2022, para la “adquisición y entrega de cajas convertidoras de señal de </w:t>
            </w:r>
            <w:r w:rsidRPr="009714C2">
              <w:rPr>
                <w:rFonts w:ascii="Times New Roman" w:eastAsia="Times New Roman" w:hAnsi="Times New Roman" w:cs="Times New Roman"/>
                <w:color w:val="4C4747"/>
                <w:spacing w:val="20"/>
                <w:sz w:val="24"/>
                <w:szCs w:val="24"/>
                <w:lang w:val="es-DO" w:eastAsia="es-DO"/>
              </w:rPr>
              <w:lastRenderedPageBreak/>
              <w:t>televisión digital a los hogares seleccionados”.</w:t>
            </w:r>
          </w:p>
        </w:tc>
        <w:tc>
          <w:tcPr>
            <w:tcW w:w="2700" w:type="dxa"/>
          </w:tcPr>
          <w:p w14:paraId="34B203D4" w14:textId="7CB5B354" w:rsidR="00513ACC" w:rsidRPr="009714C2" w:rsidRDefault="00565AD0" w:rsidP="00A23B48">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45FCD58B" w14:textId="2C49A659" w:rsidR="00565AD0" w:rsidRPr="009714C2" w:rsidRDefault="00565AD0" w:rsidP="00A23B48">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042-2022</w:t>
            </w:r>
          </w:p>
        </w:tc>
      </w:tr>
      <w:tr w:rsidR="00565AD0" w:rsidRPr="009714C2" w14:paraId="7C65458C" w14:textId="77777777" w:rsidTr="00565AD0">
        <w:trPr>
          <w:trHeight w:val="731"/>
        </w:trPr>
        <w:tc>
          <w:tcPr>
            <w:tcW w:w="5220" w:type="dxa"/>
          </w:tcPr>
          <w:p w14:paraId="00B427FA"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aprueba el pliego de condiciones, designa el comité evaluador y convoca a la Licitación Pública Internacional Indotel-BID-LPI-001- 2022, para la “adquisición y entrega de cajas convertidoras de señal de televisión digital a los hogares seleccionados”.</w:t>
            </w:r>
          </w:p>
        </w:tc>
        <w:tc>
          <w:tcPr>
            <w:tcW w:w="2700" w:type="dxa"/>
          </w:tcPr>
          <w:p w14:paraId="2D9649B9" w14:textId="2FAE4DA5"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1A6E4065" w14:textId="194FC65E" w:rsidR="00565AD0" w:rsidRPr="009714C2" w:rsidRDefault="00A23B48"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042-2022 Anexo</w:t>
            </w:r>
          </w:p>
          <w:p w14:paraId="12A91A5E" w14:textId="77777777"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p>
        </w:tc>
      </w:tr>
      <w:tr w:rsidR="00565AD0" w:rsidRPr="009714C2" w14:paraId="74A03865" w14:textId="77777777" w:rsidTr="00565AD0">
        <w:trPr>
          <w:trHeight w:val="731"/>
        </w:trPr>
        <w:tc>
          <w:tcPr>
            <w:tcW w:w="5220" w:type="dxa"/>
          </w:tcPr>
          <w:p w14:paraId="542A19A9"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dispone la extensión del plazo de la suspensión provisional para la expedición de las autorizaciones requeridas para el uso de frecuencias radioeléctricas en la prestación de servicios públicos de radiodifusión sonora.</w:t>
            </w:r>
          </w:p>
        </w:tc>
        <w:tc>
          <w:tcPr>
            <w:tcW w:w="2700" w:type="dxa"/>
          </w:tcPr>
          <w:p w14:paraId="3EC3588E" w14:textId="4CE56D4F"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6E274C1F" w14:textId="672911A1"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041-2022</w:t>
            </w:r>
          </w:p>
        </w:tc>
      </w:tr>
      <w:tr w:rsidR="00565AD0" w:rsidRPr="009714C2" w14:paraId="2706460B" w14:textId="77777777" w:rsidTr="00565AD0">
        <w:trPr>
          <w:trHeight w:val="731"/>
        </w:trPr>
        <w:tc>
          <w:tcPr>
            <w:tcW w:w="5220" w:type="dxa"/>
          </w:tcPr>
          <w:p w14:paraId="41A073B3"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declara adecuada a las disposiciones de la Ley General de Telecomunicaciones No. 153-98, las autorizaciones expedidas por la Dirección General de Telecomunicaciones (DGT) a favor de la Sociedad Hibi Radio, AM y FM (h-102), S.R.L., para la operación de las frecuencias 1070 KHZ, atribuida al servicio de radiodifusión sonora en Amplitud Modulada (AM) en San Francisco de Macorís y 102.3 MHZ, atribuida al servicio de radiofusión sonora en la banda de Frecuencia Modulada (FM), en la loma el Mogote.</w:t>
            </w:r>
          </w:p>
        </w:tc>
        <w:tc>
          <w:tcPr>
            <w:tcW w:w="2700" w:type="dxa"/>
          </w:tcPr>
          <w:p w14:paraId="71C04E55" w14:textId="189F5CA6"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4383815B" w14:textId="798A03DE"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040-2022</w:t>
            </w:r>
          </w:p>
        </w:tc>
      </w:tr>
      <w:tr w:rsidR="00565AD0" w:rsidRPr="009714C2" w14:paraId="061BA75D" w14:textId="77777777" w:rsidTr="00565AD0">
        <w:trPr>
          <w:trHeight w:val="731"/>
        </w:trPr>
        <w:tc>
          <w:tcPr>
            <w:tcW w:w="5220" w:type="dxa"/>
          </w:tcPr>
          <w:p w14:paraId="36B9E080"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decide sobre la solicitud de transferencia de control social presentada ante el Indotel por la concesionaria Gold Data Dominicana, S.A.S., a favor de la Sociedad Gold Data Usa, INC.</w:t>
            </w:r>
          </w:p>
        </w:tc>
        <w:tc>
          <w:tcPr>
            <w:tcW w:w="2700" w:type="dxa"/>
          </w:tcPr>
          <w:p w14:paraId="7C1A8179" w14:textId="5618B29A"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13E65370" w14:textId="1FE60348"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039-2022</w:t>
            </w:r>
          </w:p>
        </w:tc>
      </w:tr>
      <w:tr w:rsidR="00565AD0" w:rsidRPr="009714C2" w14:paraId="387FC6DA" w14:textId="77777777" w:rsidTr="00565AD0">
        <w:trPr>
          <w:trHeight w:val="731"/>
        </w:trPr>
        <w:tc>
          <w:tcPr>
            <w:tcW w:w="5220" w:type="dxa"/>
          </w:tcPr>
          <w:p w14:paraId="6DF04CAF"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conoce la solicitud de autorización para la ampliación de los servicios electrónicos de confianza prestados por la Sociedad Lleidanet Dominicana S.R.L., de conformidad a lo establecido en la ley No. 126-02 de comercio electrónico, documentos y firmas digitales.</w:t>
            </w:r>
          </w:p>
        </w:tc>
        <w:tc>
          <w:tcPr>
            <w:tcW w:w="2700" w:type="dxa"/>
          </w:tcPr>
          <w:p w14:paraId="4F69AB47"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6BAD4BA" w14:textId="61EA7F17"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038-2022</w:t>
            </w:r>
          </w:p>
        </w:tc>
      </w:tr>
      <w:tr w:rsidR="00565AD0" w:rsidRPr="009714C2" w14:paraId="65C07033" w14:textId="77777777" w:rsidTr="00565AD0">
        <w:trPr>
          <w:trHeight w:val="731"/>
        </w:trPr>
        <w:tc>
          <w:tcPr>
            <w:tcW w:w="5220" w:type="dxa"/>
          </w:tcPr>
          <w:p w14:paraId="18FC6686"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sobre los recursos de reconsideración interpuestos por Compañía Dominicana de Teléfonos, S. A. (Claro), Altice Dominicana S. A. (Altice), Trilogy Dominicana, S. A. (Viva) y la Asociación de Empresas de Comunicación y Tecnología, INC. (COMTEC), contra la resolución del Consejo Directivo No. 102-2020, que aprueba las “modificaciones del reglamento general de servicio telefónico, la norma de calidad del servicio de telefonía y acceso a internet y el reglamento sobre los derechos y obligaciones de los usuarios y prestadoras de servicios públicos de telecomunicaciones”.</w:t>
            </w:r>
          </w:p>
        </w:tc>
        <w:tc>
          <w:tcPr>
            <w:tcW w:w="2700" w:type="dxa"/>
          </w:tcPr>
          <w:p w14:paraId="5B942EAB" w14:textId="0C88A8CC"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25F5E78A" w14:textId="5ECF3D25"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036-2022</w:t>
            </w:r>
          </w:p>
        </w:tc>
      </w:tr>
      <w:tr w:rsidR="00565AD0" w:rsidRPr="009714C2" w14:paraId="21F56AF7" w14:textId="77777777" w:rsidTr="00565AD0">
        <w:trPr>
          <w:trHeight w:val="731"/>
        </w:trPr>
        <w:tc>
          <w:tcPr>
            <w:tcW w:w="5220" w:type="dxa"/>
          </w:tcPr>
          <w:p w14:paraId="229D30EB"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actualiza el reordenamiento y servicios autorizados de la banda de 3300 a 3600 mhz en apego a los lineamientos establecidos en las resoluciones del Consejo Directivo números 115-2021, 116-2021, 119- 2021 y 010-2022.</w:t>
            </w:r>
          </w:p>
        </w:tc>
        <w:tc>
          <w:tcPr>
            <w:tcW w:w="2700" w:type="dxa"/>
          </w:tcPr>
          <w:p w14:paraId="31FF3237" w14:textId="07716A8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036A596D" w14:textId="26362D37"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035-2022</w:t>
            </w:r>
          </w:p>
        </w:tc>
      </w:tr>
      <w:tr w:rsidR="00565AD0" w:rsidRPr="009714C2" w14:paraId="5665CCD9" w14:textId="77777777" w:rsidTr="00565AD0">
        <w:trPr>
          <w:trHeight w:val="731"/>
        </w:trPr>
        <w:tc>
          <w:tcPr>
            <w:tcW w:w="5220" w:type="dxa"/>
          </w:tcPr>
          <w:p w14:paraId="5F153A54"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el procedimiento sancionador administrativo seguido contra el Señor Robert Porfirio Matos Nina, por la comisión de las conductas tipificadas como faltas administrativas muy graves y graves conforme las disposiciones contenidas en el literal “d” del artículo 105 y en el literal “b” del artículo 106 de la Ley General de Telecomunicaciones, núm. 153-98.</w:t>
            </w:r>
          </w:p>
        </w:tc>
        <w:tc>
          <w:tcPr>
            <w:tcW w:w="2700" w:type="dxa"/>
          </w:tcPr>
          <w:p w14:paraId="5DC00AB2" w14:textId="251084D4"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4C6B95FC" w14:textId="2B6738EA"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034-2022</w:t>
            </w:r>
          </w:p>
        </w:tc>
      </w:tr>
      <w:tr w:rsidR="00565AD0" w:rsidRPr="009714C2" w14:paraId="0F08C2AC" w14:textId="77777777" w:rsidTr="00565AD0">
        <w:trPr>
          <w:trHeight w:val="731"/>
        </w:trPr>
        <w:tc>
          <w:tcPr>
            <w:tcW w:w="5220" w:type="dxa"/>
          </w:tcPr>
          <w:p w14:paraId="1A7074AE"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decide el recurso de reconsideración interpuesto en fecha 3 de septiembre de 2021, por el Señor Odalis Nicudemus Páez, contra la resolución núm. 074-2021 dictada en fecha 22 de julio de 2021, la cual decidió un proceso sancionador administrativo (PSA) en su contra por la comisión de las conductas tipificadas como faltas administrativas muy graves y graves, conforme las disposiciones contenidas en el literal “d” del artículo 105 y literal “b” del artículo 106 de la Ley </w:t>
            </w:r>
            <w:r w:rsidRPr="009714C2">
              <w:rPr>
                <w:rFonts w:ascii="Times New Roman" w:eastAsia="Times New Roman" w:hAnsi="Times New Roman" w:cs="Times New Roman"/>
                <w:color w:val="4C4747"/>
                <w:spacing w:val="20"/>
                <w:sz w:val="24"/>
                <w:szCs w:val="24"/>
                <w:lang w:val="es-DO" w:eastAsia="es-DO"/>
              </w:rPr>
              <w:lastRenderedPageBreak/>
              <w:t>General de Telecomunicaciones, núm. 153-98.</w:t>
            </w:r>
          </w:p>
        </w:tc>
        <w:tc>
          <w:tcPr>
            <w:tcW w:w="2700" w:type="dxa"/>
          </w:tcPr>
          <w:p w14:paraId="7D10BAFD" w14:textId="05C46CF2"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6738F480" w14:textId="05E282C9"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033-2022</w:t>
            </w:r>
          </w:p>
        </w:tc>
      </w:tr>
      <w:tr w:rsidR="00565AD0" w:rsidRPr="009714C2" w14:paraId="5E86EDB9" w14:textId="77777777" w:rsidTr="00565AD0">
        <w:trPr>
          <w:trHeight w:val="731"/>
        </w:trPr>
        <w:tc>
          <w:tcPr>
            <w:tcW w:w="5220" w:type="dxa"/>
          </w:tcPr>
          <w:p w14:paraId="5E20F0BD"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decide el procedimiento sancionador administrativo seguido contra el Señor Florentino Gómez Díaz, por la comisión de las conductas tipificadas como faltas administrativas muy graves y graves conforme las disposiciones contenidas en el literal d) del artículo 105 y en el literal b) del artículo 106 de la Ley General de Telecomunicaciones, núm. 153-98.</w:t>
            </w:r>
          </w:p>
        </w:tc>
        <w:tc>
          <w:tcPr>
            <w:tcW w:w="2700" w:type="dxa"/>
          </w:tcPr>
          <w:p w14:paraId="630346CE" w14:textId="5CC3280C"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0C05B9A" w14:textId="0FC03BCF"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032-2022</w:t>
            </w:r>
          </w:p>
        </w:tc>
      </w:tr>
      <w:tr w:rsidR="00565AD0" w:rsidRPr="009714C2" w14:paraId="530D3AC5" w14:textId="77777777" w:rsidTr="00565AD0">
        <w:trPr>
          <w:trHeight w:val="731"/>
        </w:trPr>
        <w:tc>
          <w:tcPr>
            <w:tcW w:w="5220" w:type="dxa"/>
          </w:tcPr>
          <w:p w14:paraId="795AB6AF"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el procedimiento sancionador administrativo seguido contra el Señor Isael Salvador, por la comisión de las conductas tipificadas como faltas administrativas muy graves y graves conforme las disposiciones contenidas en el literal d) del artículo 105 y en el literal b) del artículo 106 de la Ley General de Telecomunicaciones, núm. 153-98.</w:t>
            </w:r>
          </w:p>
        </w:tc>
        <w:tc>
          <w:tcPr>
            <w:tcW w:w="2700" w:type="dxa"/>
          </w:tcPr>
          <w:p w14:paraId="5499C453" w14:textId="45E448DF"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281F47AB" w14:textId="2A0D8064"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031-2022</w:t>
            </w:r>
          </w:p>
        </w:tc>
      </w:tr>
      <w:tr w:rsidR="00565AD0" w:rsidRPr="009714C2" w14:paraId="718728D3" w14:textId="77777777" w:rsidTr="00565AD0">
        <w:trPr>
          <w:trHeight w:val="731"/>
        </w:trPr>
        <w:tc>
          <w:tcPr>
            <w:tcW w:w="5220" w:type="dxa"/>
          </w:tcPr>
          <w:p w14:paraId="3D9474A1"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decide el procedimiento sancionador administrativo seguido contra el Señor Nicober Hilartides Moreno Carvajal, por la comisión de las conductas tipificadas como faltas administrativas muy graves y graves conforme las disposiciones contenidas en el literal d) del artículo 105 y en el literal b) del artículo 106 de la Ley </w:t>
            </w:r>
            <w:r w:rsidRPr="009714C2">
              <w:rPr>
                <w:rFonts w:ascii="Times New Roman" w:eastAsia="Times New Roman" w:hAnsi="Times New Roman" w:cs="Times New Roman"/>
                <w:color w:val="4C4747"/>
                <w:spacing w:val="20"/>
                <w:sz w:val="24"/>
                <w:szCs w:val="24"/>
                <w:lang w:val="es-DO" w:eastAsia="es-DO"/>
              </w:rPr>
              <w:lastRenderedPageBreak/>
              <w:t>General de Telecomunicaciones, núm. 153-98.</w:t>
            </w:r>
          </w:p>
        </w:tc>
        <w:tc>
          <w:tcPr>
            <w:tcW w:w="2700" w:type="dxa"/>
          </w:tcPr>
          <w:p w14:paraId="666FA022" w14:textId="61CC7E28"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034B0EE5" w14:textId="635F284C"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030-2022</w:t>
            </w:r>
          </w:p>
        </w:tc>
      </w:tr>
      <w:tr w:rsidR="00565AD0" w:rsidRPr="009714C2" w14:paraId="0C610790" w14:textId="77777777" w:rsidTr="00565AD0">
        <w:trPr>
          <w:trHeight w:val="731"/>
        </w:trPr>
        <w:tc>
          <w:tcPr>
            <w:tcW w:w="5220" w:type="dxa"/>
          </w:tcPr>
          <w:p w14:paraId="69362B5A"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declara adecuada a las disposiciones de la Ley General de Telecomunicaciones No. 153-98, la autorización otorgada por la Dirección General de Telecomunicaciones (DGT), a favor de la Sociedad Sistema Televisivo del Sur, S.R.L. (SISTESUR), para la prestación del servicio de radiodifusión televisiva a través del canal 49 UHF, en la zona 1 y migra el segmento de frecuencias 680-686 mhz correspondiente al canal 49 UHF, al segmento de frecuencias 626-632 mhz correspondiente al canal 40 UHF, una vez entre vigencia la televisión terrestre digital.</w:t>
            </w:r>
          </w:p>
        </w:tc>
        <w:tc>
          <w:tcPr>
            <w:tcW w:w="2700" w:type="dxa"/>
          </w:tcPr>
          <w:p w14:paraId="643ED15C" w14:textId="70BF9C0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E2A0079" w14:textId="58F2AC0F"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029-2022</w:t>
            </w:r>
          </w:p>
        </w:tc>
      </w:tr>
      <w:tr w:rsidR="00565AD0" w:rsidRPr="009714C2" w14:paraId="77BAB66B" w14:textId="77777777" w:rsidTr="00565AD0">
        <w:trPr>
          <w:trHeight w:val="731"/>
        </w:trPr>
        <w:tc>
          <w:tcPr>
            <w:tcW w:w="5220" w:type="dxa"/>
          </w:tcPr>
          <w:p w14:paraId="016BDE7B"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declara adecuada a las disposiciones de la Ley General de Telecomunicaciones No. 153-98, la autorización otorgada por la Dirección General de Telecomunicaciones (DGT), a favor de la Sociedad Trendy S.A.S., para la prestación del servicio de radiodifusión televisiva a través del canal 21 UHF, en el Territorio Nacional y asigna el segmento de frecuencia definitivo y el canal virtual para la prestación del servicio de radiodifusión terrestre digital.</w:t>
            </w:r>
          </w:p>
        </w:tc>
        <w:tc>
          <w:tcPr>
            <w:tcW w:w="2700" w:type="dxa"/>
          </w:tcPr>
          <w:p w14:paraId="762D75AD" w14:textId="01D1BDEB"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2242CCE2" w14:textId="4908735F"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027-2022</w:t>
            </w:r>
          </w:p>
        </w:tc>
      </w:tr>
      <w:tr w:rsidR="00565AD0" w:rsidRPr="009714C2" w14:paraId="29D12592" w14:textId="77777777" w:rsidTr="00565AD0">
        <w:trPr>
          <w:trHeight w:val="731"/>
        </w:trPr>
        <w:tc>
          <w:tcPr>
            <w:tcW w:w="5220" w:type="dxa"/>
          </w:tcPr>
          <w:p w14:paraId="50F514AE"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aprueba el presupuesto de ingresos, gastos e inversión del Instituto Dominicano de las Telecomunicaciones (Indotel) y del Fondo de Desarrollo de las Telecomunicaciones (FDT), correspondiente al ejercicio fiscal del año 2022.</w:t>
            </w:r>
          </w:p>
        </w:tc>
        <w:tc>
          <w:tcPr>
            <w:tcW w:w="2700" w:type="dxa"/>
          </w:tcPr>
          <w:p w14:paraId="78BFCD29" w14:textId="23A51712"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6527255C" w14:textId="712E98B4"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026-2022</w:t>
            </w:r>
          </w:p>
        </w:tc>
      </w:tr>
      <w:tr w:rsidR="00565AD0" w:rsidRPr="009714C2" w14:paraId="502C57BF" w14:textId="77777777" w:rsidTr="00565AD0">
        <w:trPr>
          <w:trHeight w:val="731"/>
        </w:trPr>
        <w:tc>
          <w:tcPr>
            <w:tcW w:w="5220" w:type="dxa"/>
          </w:tcPr>
          <w:p w14:paraId="579B2223"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decide la solicitud de renovación de la licencia otorgada a la Sociedad Pueblo Viejo Dominicana Jersey 2 Limited, que ampara el derecho de uso de la Frecuencia 5180 mhz, para la operación de Servicios Privados de Radiocomunicaciones.</w:t>
            </w:r>
          </w:p>
        </w:tc>
        <w:tc>
          <w:tcPr>
            <w:tcW w:w="2700" w:type="dxa"/>
          </w:tcPr>
          <w:p w14:paraId="5640784F" w14:textId="0F72D3C0"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75797938" w14:textId="025457FA"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028-2022</w:t>
            </w:r>
          </w:p>
        </w:tc>
      </w:tr>
      <w:tr w:rsidR="00565AD0" w:rsidRPr="009714C2" w14:paraId="0A83405D" w14:textId="77777777" w:rsidTr="00565AD0">
        <w:trPr>
          <w:trHeight w:val="731"/>
        </w:trPr>
        <w:tc>
          <w:tcPr>
            <w:tcW w:w="5220" w:type="dxa"/>
          </w:tcPr>
          <w:p w14:paraId="502F24B6"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conoce los recursos de reconsideración interpuestos por las prestadoras de servicios públicos de telecomunicaciones Compañía Dominicana de Teléfonos, S. A. (Claro) y Altice Dominicana, S. A. (Altice) contra la resolución del consejo directivo No. 104-2021 que da inicio al procedimiento para la fijación de los cargos de interconexión conforme lo establecido en el reglamento de tarifas y costos de servicios y en cumplimiento a lo dispuesto en la resolución No. 053-2021.</w:t>
            </w:r>
          </w:p>
        </w:tc>
        <w:tc>
          <w:tcPr>
            <w:tcW w:w="2700" w:type="dxa"/>
          </w:tcPr>
          <w:p w14:paraId="46B51732" w14:textId="433227CB"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BA02A4B" w14:textId="2C47B6E7"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023-2022</w:t>
            </w:r>
          </w:p>
        </w:tc>
      </w:tr>
      <w:tr w:rsidR="00565AD0" w:rsidRPr="009714C2" w14:paraId="5D19C61E" w14:textId="77777777" w:rsidTr="00565AD0">
        <w:trPr>
          <w:trHeight w:val="731"/>
        </w:trPr>
        <w:tc>
          <w:tcPr>
            <w:tcW w:w="5220" w:type="dxa"/>
          </w:tcPr>
          <w:p w14:paraId="6848DD57"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conoce el recurso de reconsideración interpuesto por Compañía Dominicana de Teléfonos, S. A. (Claro) contra la </w:t>
            </w:r>
            <w:r w:rsidRPr="009714C2">
              <w:rPr>
                <w:rFonts w:ascii="Times New Roman" w:eastAsia="Times New Roman" w:hAnsi="Times New Roman" w:cs="Times New Roman"/>
                <w:color w:val="4C4747"/>
                <w:spacing w:val="20"/>
                <w:sz w:val="24"/>
                <w:szCs w:val="24"/>
                <w:lang w:val="es-DO" w:eastAsia="es-DO"/>
              </w:rPr>
              <w:lastRenderedPageBreak/>
              <w:t>resolución del consejo directivo No. 114-2021 de fecha 28 de octubre de 2021.</w:t>
            </w:r>
          </w:p>
        </w:tc>
        <w:tc>
          <w:tcPr>
            <w:tcW w:w="2700" w:type="dxa"/>
          </w:tcPr>
          <w:p w14:paraId="5C785B5C" w14:textId="6248E099" w:rsidR="00513ACC" w:rsidRPr="009714C2" w:rsidRDefault="00565AD0" w:rsidP="00A23B48">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4E603D3A" w14:textId="1055CD63" w:rsidR="00565AD0" w:rsidRPr="009714C2" w:rsidRDefault="00565AD0" w:rsidP="00A23B48">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024-2022</w:t>
            </w:r>
          </w:p>
        </w:tc>
      </w:tr>
      <w:tr w:rsidR="00565AD0" w:rsidRPr="009714C2" w14:paraId="12B6E86D" w14:textId="77777777" w:rsidTr="00565AD0">
        <w:trPr>
          <w:trHeight w:val="731"/>
        </w:trPr>
        <w:tc>
          <w:tcPr>
            <w:tcW w:w="5220" w:type="dxa"/>
          </w:tcPr>
          <w:p w14:paraId="40D243E4"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dispone el procedimiento para el levantamiento de los servicios de telecomunicaciones utilizados desde los centros penitenciarios en la República Dominicana.</w:t>
            </w:r>
          </w:p>
        </w:tc>
        <w:tc>
          <w:tcPr>
            <w:tcW w:w="2700" w:type="dxa"/>
          </w:tcPr>
          <w:p w14:paraId="32BF01E8" w14:textId="6E981C08"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D83573F" w14:textId="64B8E35E"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025-2022</w:t>
            </w:r>
          </w:p>
        </w:tc>
      </w:tr>
      <w:tr w:rsidR="00565AD0" w:rsidRPr="009714C2" w14:paraId="1E424F89" w14:textId="77777777" w:rsidTr="00565AD0">
        <w:trPr>
          <w:trHeight w:val="731"/>
        </w:trPr>
        <w:tc>
          <w:tcPr>
            <w:tcW w:w="5220" w:type="dxa"/>
          </w:tcPr>
          <w:p w14:paraId="0DFF5D97"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dicta el nuevo reglamento para la celebración de consultas y audiencias públicas para la elaboración de normas y reglamentos del Instituto Dominicano de las Telecomunicaciones (INDOTEL).</w:t>
            </w:r>
          </w:p>
        </w:tc>
        <w:tc>
          <w:tcPr>
            <w:tcW w:w="2700" w:type="dxa"/>
          </w:tcPr>
          <w:p w14:paraId="3A852BF6" w14:textId="23F76EEF"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18B621FB" w14:textId="21F4431A"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022-2022</w:t>
            </w:r>
          </w:p>
        </w:tc>
      </w:tr>
      <w:tr w:rsidR="00565AD0" w:rsidRPr="009714C2" w14:paraId="7AE39D1E" w14:textId="77777777" w:rsidTr="00565AD0">
        <w:trPr>
          <w:trHeight w:val="731"/>
        </w:trPr>
        <w:tc>
          <w:tcPr>
            <w:tcW w:w="5220" w:type="dxa"/>
          </w:tcPr>
          <w:p w14:paraId="70F1FAD5"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posterga la entrada en vigencia de la resolución del Consejo Directivo núm 102-2020, que aprueba las “modificaciones del Reglamento General de Servicio Telefónico, la norma de calidad del servicio de telefonía y acceso a internet y el reglamento sobre los derechos y obligaciones de los usuarios y prestadoras de servicios públicos de telecomunicaciones”.</w:t>
            </w:r>
          </w:p>
        </w:tc>
        <w:tc>
          <w:tcPr>
            <w:tcW w:w="2700" w:type="dxa"/>
          </w:tcPr>
          <w:p w14:paraId="257C3737" w14:textId="66677BDF"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0E30A2D6" w14:textId="295EF261"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021-2022</w:t>
            </w:r>
          </w:p>
        </w:tc>
      </w:tr>
      <w:tr w:rsidR="00565AD0" w:rsidRPr="009714C2" w14:paraId="0FD811C3" w14:textId="77777777" w:rsidTr="00565AD0">
        <w:trPr>
          <w:trHeight w:val="731"/>
        </w:trPr>
        <w:tc>
          <w:tcPr>
            <w:tcW w:w="5220" w:type="dxa"/>
          </w:tcPr>
          <w:p w14:paraId="090F7CA4"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el segmento de frecuencias definitvo y el número de canal virtual a favor de Digital Cable TV S.R.L., para la prestación del servicio de Televisión Terrestre Digital.</w:t>
            </w:r>
          </w:p>
        </w:tc>
        <w:tc>
          <w:tcPr>
            <w:tcW w:w="2700" w:type="dxa"/>
          </w:tcPr>
          <w:p w14:paraId="3E43A9F0" w14:textId="2B080AEE" w:rsidR="00513ACC" w:rsidRPr="009714C2" w:rsidRDefault="00513ACC"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22D530E" w14:textId="44DB380D"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020-2022</w:t>
            </w:r>
          </w:p>
        </w:tc>
      </w:tr>
      <w:tr w:rsidR="00565AD0" w:rsidRPr="009714C2" w14:paraId="0C7FBF22" w14:textId="77777777" w:rsidTr="00565AD0">
        <w:trPr>
          <w:trHeight w:val="731"/>
        </w:trPr>
        <w:tc>
          <w:tcPr>
            <w:tcW w:w="5220" w:type="dxa"/>
          </w:tcPr>
          <w:p w14:paraId="6F2E18DD"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asigna el segmento de frecuencias definitiva y el número de canal virtual a </w:t>
            </w:r>
            <w:r w:rsidRPr="009714C2">
              <w:rPr>
                <w:rFonts w:ascii="Times New Roman" w:eastAsia="Times New Roman" w:hAnsi="Times New Roman" w:cs="Times New Roman"/>
                <w:color w:val="4C4747"/>
                <w:spacing w:val="20"/>
                <w:sz w:val="24"/>
                <w:szCs w:val="24"/>
                <w:lang w:val="es-DO" w:eastAsia="es-DO"/>
              </w:rPr>
              <w:lastRenderedPageBreak/>
              <w:t>Telenorte S.R.L., para la prestación del servicio de Televisión Terrestre Digital.</w:t>
            </w:r>
          </w:p>
        </w:tc>
        <w:tc>
          <w:tcPr>
            <w:tcW w:w="2700" w:type="dxa"/>
          </w:tcPr>
          <w:p w14:paraId="290218BA" w14:textId="6C78685E" w:rsidR="00513ACC" w:rsidRPr="009714C2" w:rsidRDefault="00565AD0" w:rsidP="00A23B48">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567CCADF" w14:textId="507B4E6B" w:rsidR="00565AD0" w:rsidRPr="009714C2" w:rsidRDefault="00565AD0" w:rsidP="00A23B48">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019-2022</w:t>
            </w:r>
          </w:p>
        </w:tc>
      </w:tr>
      <w:tr w:rsidR="00565AD0" w:rsidRPr="009714C2" w14:paraId="39494F8E" w14:textId="77777777" w:rsidTr="00565AD0">
        <w:trPr>
          <w:trHeight w:val="731"/>
        </w:trPr>
        <w:tc>
          <w:tcPr>
            <w:tcW w:w="5220" w:type="dxa"/>
          </w:tcPr>
          <w:p w14:paraId="1BD420F8"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asigna los segmentos de frecuencias definitivos y los números de canales virtuales a Telesistema Dominicano, S.A.S., para la prestación del servicio de Televisión Terrestre Digital.</w:t>
            </w:r>
          </w:p>
        </w:tc>
        <w:tc>
          <w:tcPr>
            <w:tcW w:w="2700" w:type="dxa"/>
          </w:tcPr>
          <w:p w14:paraId="715F185A"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3401849D" w14:textId="6836332C"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018-2022</w:t>
            </w:r>
          </w:p>
        </w:tc>
      </w:tr>
      <w:tr w:rsidR="00565AD0" w:rsidRPr="009714C2" w14:paraId="4960A594" w14:textId="77777777" w:rsidTr="00565AD0">
        <w:trPr>
          <w:trHeight w:val="731"/>
        </w:trPr>
        <w:tc>
          <w:tcPr>
            <w:tcW w:w="5220" w:type="dxa"/>
          </w:tcPr>
          <w:p w14:paraId="4C7DD03B"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el segmento de frecuencias definitivas y el número de canal virtual a Canal 27 UHF C. por A., para la prestación del servicio de Televisión Terrestre Digital.</w:t>
            </w:r>
          </w:p>
        </w:tc>
        <w:tc>
          <w:tcPr>
            <w:tcW w:w="2700" w:type="dxa"/>
          </w:tcPr>
          <w:p w14:paraId="02561035"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11AA3284" w14:textId="3AB85FFA"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017-2022</w:t>
            </w:r>
          </w:p>
        </w:tc>
      </w:tr>
      <w:tr w:rsidR="00565AD0" w:rsidRPr="009714C2" w14:paraId="4E910727" w14:textId="77777777" w:rsidTr="00565AD0">
        <w:trPr>
          <w:trHeight w:val="731"/>
        </w:trPr>
        <w:tc>
          <w:tcPr>
            <w:tcW w:w="5220" w:type="dxa"/>
          </w:tcPr>
          <w:p w14:paraId="1BBCFE60"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otorga poderes de firma para la aprobación de desembolsos, pagos y el manejo de las cuentas bancarias e instrumentos financieros del proyecto mejora de la conectividad para la transformación digital en la República Dominicana.</w:t>
            </w:r>
          </w:p>
        </w:tc>
        <w:tc>
          <w:tcPr>
            <w:tcW w:w="2700" w:type="dxa"/>
          </w:tcPr>
          <w:p w14:paraId="4E46BF6E"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3C777A06" w14:textId="0B2AC5FE"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016-2022</w:t>
            </w:r>
          </w:p>
        </w:tc>
      </w:tr>
      <w:tr w:rsidR="00565AD0" w:rsidRPr="009714C2" w14:paraId="6CFC104B" w14:textId="77777777" w:rsidTr="00565AD0">
        <w:trPr>
          <w:trHeight w:val="731"/>
        </w:trPr>
        <w:tc>
          <w:tcPr>
            <w:tcW w:w="5220" w:type="dxa"/>
          </w:tcPr>
          <w:p w14:paraId="2CCC4E3E"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actualiza el valor del cargo por incumplimiento (CI), establecido en el artículo 108 de la Ley General de Telecomunicaciones, No. 153-98, para el año 2022</w:t>
            </w:r>
          </w:p>
        </w:tc>
        <w:tc>
          <w:tcPr>
            <w:tcW w:w="2700" w:type="dxa"/>
          </w:tcPr>
          <w:p w14:paraId="02FA4B63"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34E269A8" w14:textId="572ACB96"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015-2022</w:t>
            </w:r>
          </w:p>
        </w:tc>
      </w:tr>
      <w:tr w:rsidR="00565AD0" w:rsidRPr="009714C2" w14:paraId="587FC414" w14:textId="77777777" w:rsidTr="00565AD0">
        <w:trPr>
          <w:trHeight w:val="731"/>
        </w:trPr>
        <w:tc>
          <w:tcPr>
            <w:tcW w:w="5220" w:type="dxa"/>
          </w:tcPr>
          <w:p w14:paraId="1D0A0B47"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aprueba el cierre definitivo y emite acta de aceptación final del proyecto mejora de la conectividad de fibra óptica de la región Sur correspondiente al Plan </w:t>
            </w:r>
            <w:r w:rsidRPr="009714C2">
              <w:rPr>
                <w:rFonts w:ascii="Times New Roman" w:eastAsia="Times New Roman" w:hAnsi="Times New Roman" w:cs="Times New Roman"/>
                <w:color w:val="4C4747"/>
                <w:spacing w:val="20"/>
                <w:sz w:val="24"/>
                <w:szCs w:val="24"/>
                <w:lang w:val="es-DO" w:eastAsia="es-DO"/>
              </w:rPr>
              <w:lastRenderedPageBreak/>
              <w:t>Bianual de Proyectos de Desarrollo 2019-2020.</w:t>
            </w:r>
          </w:p>
        </w:tc>
        <w:tc>
          <w:tcPr>
            <w:tcW w:w="2700" w:type="dxa"/>
          </w:tcPr>
          <w:p w14:paraId="1FD1234C"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 xml:space="preserve">Resolución </w:t>
            </w:r>
          </w:p>
          <w:p w14:paraId="255F6A5A" w14:textId="3543D102"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014-2022</w:t>
            </w:r>
          </w:p>
        </w:tc>
      </w:tr>
      <w:tr w:rsidR="00565AD0" w:rsidRPr="009714C2" w14:paraId="5260F6EB" w14:textId="77777777" w:rsidTr="00565AD0">
        <w:trPr>
          <w:trHeight w:val="731"/>
        </w:trPr>
        <w:tc>
          <w:tcPr>
            <w:tcW w:w="5220" w:type="dxa"/>
          </w:tcPr>
          <w:p w14:paraId="389214C0"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aprueba el cierre definitivo y emite acta de aceptación final de los proyectos “Fondo Indotel para la Excelencia Académica” y “Mujeres en las Tecnologías de Información y Comunicación-Itla” correspondientes al Plan Bianual de Proyectos de Desarrollo 2017-2018</w:t>
            </w:r>
          </w:p>
        </w:tc>
        <w:tc>
          <w:tcPr>
            <w:tcW w:w="2700" w:type="dxa"/>
          </w:tcPr>
          <w:p w14:paraId="4A3130BD" w14:textId="77FEDCE9"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5732C94A" w14:textId="5C27A557"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013-2022</w:t>
            </w:r>
          </w:p>
        </w:tc>
      </w:tr>
      <w:tr w:rsidR="00565AD0" w:rsidRPr="009714C2" w14:paraId="1A4A9389" w14:textId="77777777" w:rsidTr="00565AD0">
        <w:trPr>
          <w:trHeight w:val="731"/>
        </w:trPr>
        <w:tc>
          <w:tcPr>
            <w:tcW w:w="5220" w:type="dxa"/>
          </w:tcPr>
          <w:p w14:paraId="6CED89CF"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otorga a la Sociedad Corporación Puerto Plata de Electricidad, S.A.S. las licencias que amparan el derecho de uso de las frecuencias 463.4125 MHZ, 463.4625 MHZ, 463.5125 MHZ, 463.5625 MHZ y 468.4125 MHZ, 468.4625 MHZ, 468.5125 MHZ, 468.5625 MHZ para la operación de un sistema medición de contadores inalámbricos en los municipios de Sosua, Villa Montellano y Puerto Plato de la provincia Puerto Plata</w:t>
            </w:r>
          </w:p>
        </w:tc>
        <w:tc>
          <w:tcPr>
            <w:tcW w:w="2700" w:type="dxa"/>
          </w:tcPr>
          <w:p w14:paraId="40117D15" w14:textId="076DBC7A"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6FCCAE60" w14:textId="79F86B16"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012-2022</w:t>
            </w:r>
          </w:p>
        </w:tc>
      </w:tr>
      <w:tr w:rsidR="00565AD0" w:rsidRPr="009714C2" w14:paraId="36ED13E1" w14:textId="77777777" w:rsidTr="00565AD0">
        <w:trPr>
          <w:trHeight w:val="731"/>
        </w:trPr>
        <w:tc>
          <w:tcPr>
            <w:tcW w:w="5220" w:type="dxa"/>
          </w:tcPr>
          <w:p w14:paraId="3A0AAF95"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las frecuencias definitivas y el número de canal virtual a Megamedios S.R.L., para la prestación del servicio de Televisión Terrestre Digital.</w:t>
            </w:r>
          </w:p>
        </w:tc>
        <w:tc>
          <w:tcPr>
            <w:tcW w:w="2700" w:type="dxa"/>
          </w:tcPr>
          <w:p w14:paraId="168362CE" w14:textId="17E4421B"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46FEC58A" w14:textId="497246C3"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003-2022</w:t>
            </w:r>
          </w:p>
        </w:tc>
      </w:tr>
      <w:tr w:rsidR="00565AD0" w:rsidRPr="009714C2" w14:paraId="0546F2AE" w14:textId="77777777" w:rsidTr="00565AD0">
        <w:trPr>
          <w:trHeight w:val="731"/>
        </w:trPr>
        <w:tc>
          <w:tcPr>
            <w:tcW w:w="5220" w:type="dxa"/>
          </w:tcPr>
          <w:p w14:paraId="402062EC"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la frecuencia definitiva y el número de canal virtual a favor de Ondas y Medios, S. A., para la prestación del servicio de Televisión Terrestre Digital.</w:t>
            </w:r>
          </w:p>
        </w:tc>
        <w:tc>
          <w:tcPr>
            <w:tcW w:w="2700" w:type="dxa"/>
          </w:tcPr>
          <w:p w14:paraId="774E5EB5" w14:textId="2AC8B89D"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Resolución</w:t>
            </w:r>
          </w:p>
          <w:p w14:paraId="357FDCD0" w14:textId="149440B7"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007-2022</w:t>
            </w:r>
          </w:p>
        </w:tc>
      </w:tr>
      <w:tr w:rsidR="00565AD0" w:rsidRPr="009714C2" w14:paraId="611EBE0F" w14:textId="77777777" w:rsidTr="00565AD0">
        <w:trPr>
          <w:trHeight w:val="731"/>
        </w:trPr>
        <w:tc>
          <w:tcPr>
            <w:tcW w:w="5220" w:type="dxa"/>
          </w:tcPr>
          <w:p w14:paraId="0DD8ABE5"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asigna las frecuencias definitivas y el número de canal virtual a canales Progressio, S.A. para la prestación del servicio de Televisión Terrestre Digital.</w:t>
            </w:r>
          </w:p>
        </w:tc>
        <w:tc>
          <w:tcPr>
            <w:tcW w:w="2700" w:type="dxa"/>
          </w:tcPr>
          <w:p w14:paraId="5A791B05"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4C4729E3" w14:textId="730E6CEC"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004-2022</w:t>
            </w:r>
          </w:p>
        </w:tc>
      </w:tr>
      <w:tr w:rsidR="00565AD0" w:rsidRPr="009714C2" w14:paraId="7EC80E00" w14:textId="77777777" w:rsidTr="00565AD0">
        <w:trPr>
          <w:trHeight w:val="731"/>
        </w:trPr>
        <w:tc>
          <w:tcPr>
            <w:tcW w:w="5220" w:type="dxa"/>
          </w:tcPr>
          <w:p w14:paraId="736E220F"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el segmento de frecuencias definitivo y el número de canal virtual a Frecuencias y Medios, S. A., para la prestación del servicio de Televisión Terrestre Digital.</w:t>
            </w:r>
          </w:p>
        </w:tc>
        <w:tc>
          <w:tcPr>
            <w:tcW w:w="2700" w:type="dxa"/>
          </w:tcPr>
          <w:p w14:paraId="0B759F56"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631D86C5" w14:textId="3A6E54A0"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006-2022</w:t>
            </w:r>
          </w:p>
        </w:tc>
      </w:tr>
      <w:tr w:rsidR="00565AD0" w:rsidRPr="009714C2" w14:paraId="21AEFFFF" w14:textId="77777777" w:rsidTr="00565AD0">
        <w:trPr>
          <w:trHeight w:val="731"/>
        </w:trPr>
        <w:tc>
          <w:tcPr>
            <w:tcW w:w="5220" w:type="dxa"/>
          </w:tcPr>
          <w:p w14:paraId="5BCE1F6B"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el segmento de frecuencias definitivo y el número de canal virtual a favor de Frecuencias Dominicanas, S. A. S., para la prestación del servicio de Televisión Terrestre Digital.</w:t>
            </w:r>
          </w:p>
        </w:tc>
        <w:tc>
          <w:tcPr>
            <w:tcW w:w="2700" w:type="dxa"/>
          </w:tcPr>
          <w:p w14:paraId="35B14250"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0D982ACF" w14:textId="6C49B5C6"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002-2022</w:t>
            </w:r>
          </w:p>
        </w:tc>
      </w:tr>
      <w:tr w:rsidR="00565AD0" w:rsidRPr="009714C2" w14:paraId="55308760" w14:textId="77777777" w:rsidTr="00565AD0">
        <w:trPr>
          <w:trHeight w:val="731"/>
        </w:trPr>
        <w:tc>
          <w:tcPr>
            <w:tcW w:w="5220" w:type="dxa"/>
          </w:tcPr>
          <w:p w14:paraId="519FA756"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conoce los recursos de reconsideración interpuestos por las prestadoras de servicios públicos de telecomunicaciones Compañía Dominicana de Teléfonos, S. A. (Claro) y Altice Dominicana, S.A. (Altice), contra la Resolución del Consejo Directivo No. 098-2021 que identifica los mercados relevantes del sector de las telecomunicaciones y establece los mercados relevantes sujetos de regulación ex ante del sector de las telecomunicaciones de la República Dominicana.</w:t>
            </w:r>
          </w:p>
        </w:tc>
        <w:tc>
          <w:tcPr>
            <w:tcW w:w="2700" w:type="dxa"/>
          </w:tcPr>
          <w:p w14:paraId="62CF6E67"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74E375F1" w14:textId="4ACB60D3"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011-2022</w:t>
            </w:r>
          </w:p>
        </w:tc>
      </w:tr>
      <w:tr w:rsidR="00565AD0" w:rsidRPr="009714C2" w14:paraId="4A7EC7FF" w14:textId="77777777" w:rsidTr="00565AD0">
        <w:trPr>
          <w:trHeight w:val="731"/>
        </w:trPr>
        <w:tc>
          <w:tcPr>
            <w:tcW w:w="5220" w:type="dxa"/>
          </w:tcPr>
          <w:p w14:paraId="140BEDD5" w14:textId="77777777" w:rsidR="00B94CCD" w:rsidRPr="009714C2" w:rsidRDefault="00B94CCD" w:rsidP="0033627E">
            <w:pPr>
              <w:spacing w:line="360" w:lineRule="auto"/>
              <w:rPr>
                <w:rFonts w:ascii="Times New Roman" w:eastAsia="Times New Roman" w:hAnsi="Times New Roman" w:cs="Times New Roman"/>
                <w:color w:val="4C4747"/>
                <w:spacing w:val="20"/>
                <w:sz w:val="24"/>
                <w:szCs w:val="24"/>
                <w:lang w:val="es-DO" w:eastAsia="es-DO"/>
              </w:rPr>
            </w:pPr>
          </w:p>
          <w:p w14:paraId="41C64C36"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declara la conformidad de ALTICE DOMINICANA, S. A. con los criterios generales indicados por la resolución núm. 022-2020, para establecer los procedimientos, términos y condiciones especiales para la inclusión de atribución móvil a licencia dentro del segmento de frecuencias 3470-3500 mhz</w:t>
            </w:r>
          </w:p>
        </w:tc>
        <w:tc>
          <w:tcPr>
            <w:tcW w:w="2700" w:type="dxa"/>
          </w:tcPr>
          <w:p w14:paraId="6AF7AE22"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6F668164" w14:textId="3AE04D5B"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010-2022</w:t>
            </w:r>
          </w:p>
        </w:tc>
      </w:tr>
      <w:tr w:rsidR="00565AD0" w:rsidRPr="009714C2" w14:paraId="7A36D5B2" w14:textId="77777777" w:rsidTr="00565AD0">
        <w:trPr>
          <w:trHeight w:val="731"/>
        </w:trPr>
        <w:tc>
          <w:tcPr>
            <w:tcW w:w="5220" w:type="dxa"/>
          </w:tcPr>
          <w:p w14:paraId="7CCB6669"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declara la extinción de los derechos y efectos jurídicos derivados de las autorizaciones expedidas por la Dirección General de Telecomunicaciones (DGT) y el Instituto Dominicano de las Telecomunicaciones (INDOTEL), a favor de la embajada de los Estados Unidos de América (Embassy Of The United States Of America), para el uso de las frecuencias 2.5990 MHZ, 2.6110 MHZ, 3.4900 MHZ, 4,018.300 MHZ, 6,243.830 MHZ, 8,100.000 MHZ, 162.1250 MHZ, 162.3500 MHZ, 162.5250 MHZ, 162.7250 MHZ y 162.7500 MHZ.</w:t>
            </w:r>
          </w:p>
        </w:tc>
        <w:tc>
          <w:tcPr>
            <w:tcW w:w="2700" w:type="dxa"/>
          </w:tcPr>
          <w:p w14:paraId="4A047167"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2224D61D" w14:textId="277F51FD"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009-2022</w:t>
            </w:r>
          </w:p>
        </w:tc>
      </w:tr>
      <w:tr w:rsidR="00565AD0" w:rsidRPr="009714C2" w14:paraId="2E112508" w14:textId="77777777" w:rsidTr="00565AD0">
        <w:trPr>
          <w:trHeight w:val="731"/>
        </w:trPr>
        <w:tc>
          <w:tcPr>
            <w:tcW w:w="5220" w:type="dxa"/>
          </w:tcPr>
          <w:p w14:paraId="24B11297"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Que decide la solicitud de licencias presentada por la Sociedad Pueblo Viejo Dominicana Jersey 2 Limited que amparan el derecho de uso de las frecuencias 451.1125 MHZ, 453.1125 MHZ, 456.1125 MHZ, 457.1125 MHZ, 458.1125 MHZ, </w:t>
            </w:r>
            <w:r w:rsidRPr="009714C2">
              <w:rPr>
                <w:rFonts w:ascii="Times New Roman" w:eastAsia="Times New Roman" w:hAnsi="Times New Roman" w:cs="Times New Roman"/>
                <w:color w:val="4C4747"/>
                <w:spacing w:val="20"/>
                <w:sz w:val="24"/>
                <w:szCs w:val="24"/>
                <w:lang w:val="es-DO" w:eastAsia="es-DO"/>
              </w:rPr>
              <w:lastRenderedPageBreak/>
              <w:t>462.1125 MHZ, 463.1125 MHZ, 464.1125 MHZ, 468.1125 MHZ y 469.1125 MHZ, para operar servicios privados de telecomunicaciones en la provincia Sánchez Ramírez.</w:t>
            </w:r>
          </w:p>
        </w:tc>
        <w:tc>
          <w:tcPr>
            <w:tcW w:w="2700" w:type="dxa"/>
          </w:tcPr>
          <w:p w14:paraId="16B9720E" w14:textId="6FB76DAE"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Resolución</w:t>
            </w:r>
          </w:p>
          <w:p w14:paraId="3822E753" w14:textId="635930F1"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008-2022</w:t>
            </w:r>
          </w:p>
        </w:tc>
      </w:tr>
      <w:tr w:rsidR="00565AD0" w:rsidRPr="009714C2" w14:paraId="04C4F960" w14:textId="77777777" w:rsidTr="00565AD0">
        <w:trPr>
          <w:trHeight w:val="731"/>
        </w:trPr>
        <w:tc>
          <w:tcPr>
            <w:tcW w:w="5220" w:type="dxa"/>
          </w:tcPr>
          <w:p w14:paraId="62C6817D"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lastRenderedPageBreak/>
              <w:t>Que asigna las frecuencias definitivas y los números de canal virtual a Teleantillas, S.A.S. para la prestación del servicio de Televisión Terrestre Digita</w:t>
            </w:r>
          </w:p>
        </w:tc>
        <w:tc>
          <w:tcPr>
            <w:tcW w:w="2700" w:type="dxa"/>
          </w:tcPr>
          <w:p w14:paraId="0CD0F4AC"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74629397" w14:textId="47472A06"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005-2022</w:t>
            </w:r>
          </w:p>
        </w:tc>
      </w:tr>
      <w:tr w:rsidR="00565AD0" w:rsidRPr="009714C2" w14:paraId="1C881E0B" w14:textId="77777777" w:rsidTr="00565AD0">
        <w:trPr>
          <w:trHeight w:val="731"/>
        </w:trPr>
        <w:tc>
          <w:tcPr>
            <w:tcW w:w="5220" w:type="dxa"/>
          </w:tcPr>
          <w:p w14:paraId="139F928C" w14:textId="77777777" w:rsidR="00565AD0" w:rsidRPr="009714C2" w:rsidRDefault="00565AD0" w:rsidP="0033627E">
            <w:pPr>
              <w:spacing w:line="360" w:lineRule="auto"/>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Que asigna el segmento de frecuencias definitivo y el número de canal virtual a favor de Franasyl, S.S.L., para la prestación del servicio de Televisión Terrestre Digital.</w:t>
            </w:r>
          </w:p>
        </w:tc>
        <w:tc>
          <w:tcPr>
            <w:tcW w:w="2700" w:type="dxa"/>
          </w:tcPr>
          <w:p w14:paraId="10240339" w14:textId="77777777" w:rsidR="00513ACC"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 xml:space="preserve">Resolución </w:t>
            </w:r>
          </w:p>
          <w:p w14:paraId="6BC5C0F3" w14:textId="509C496B" w:rsidR="00565AD0" w:rsidRPr="009714C2" w:rsidRDefault="00565AD0" w:rsidP="00513ACC">
            <w:pPr>
              <w:spacing w:line="360" w:lineRule="auto"/>
              <w:jc w:val="center"/>
              <w:rPr>
                <w:rFonts w:ascii="Times New Roman" w:eastAsia="Times New Roman" w:hAnsi="Times New Roman" w:cs="Times New Roman"/>
                <w:color w:val="4C4747"/>
                <w:spacing w:val="20"/>
                <w:sz w:val="24"/>
                <w:szCs w:val="24"/>
                <w:lang w:val="es-DO" w:eastAsia="es-DO"/>
              </w:rPr>
            </w:pPr>
            <w:r w:rsidRPr="009714C2">
              <w:rPr>
                <w:rFonts w:ascii="Times New Roman" w:eastAsia="Times New Roman" w:hAnsi="Times New Roman" w:cs="Times New Roman"/>
                <w:color w:val="4C4747"/>
                <w:spacing w:val="20"/>
                <w:sz w:val="24"/>
                <w:szCs w:val="24"/>
                <w:lang w:val="es-DO" w:eastAsia="es-DO"/>
              </w:rPr>
              <w:t>No 001-2022</w:t>
            </w:r>
          </w:p>
        </w:tc>
      </w:tr>
    </w:tbl>
    <w:p w14:paraId="06539F9B" w14:textId="77777777" w:rsidR="00565AD0" w:rsidRPr="009714C2" w:rsidRDefault="00565AD0" w:rsidP="00E353DD">
      <w:pPr>
        <w:pStyle w:val="NormalWeb"/>
        <w:spacing w:line="360" w:lineRule="auto"/>
        <w:jc w:val="both"/>
        <w:rPr>
          <w:color w:val="4C4747"/>
          <w:spacing w:val="20"/>
        </w:rPr>
      </w:pPr>
    </w:p>
    <w:p w14:paraId="11829C0B" w14:textId="77777777" w:rsidR="00F60454" w:rsidRPr="009714C2" w:rsidRDefault="00F60454" w:rsidP="00E353DD">
      <w:pPr>
        <w:pStyle w:val="NormalWeb"/>
        <w:spacing w:line="360" w:lineRule="auto"/>
        <w:jc w:val="both"/>
        <w:rPr>
          <w:color w:val="4C4747"/>
          <w:spacing w:val="20"/>
        </w:rPr>
      </w:pPr>
    </w:p>
    <w:p w14:paraId="5AA908B1" w14:textId="77777777" w:rsidR="00F60454" w:rsidRPr="009714C2" w:rsidRDefault="00F60454" w:rsidP="00E353DD">
      <w:pPr>
        <w:pStyle w:val="NormalWeb"/>
        <w:spacing w:line="360" w:lineRule="auto"/>
        <w:jc w:val="both"/>
        <w:rPr>
          <w:color w:val="4C4747"/>
          <w:spacing w:val="20"/>
        </w:rPr>
      </w:pPr>
    </w:p>
    <w:p w14:paraId="21BF5F12" w14:textId="77777777" w:rsidR="00F60454" w:rsidRPr="009714C2" w:rsidRDefault="00F60454" w:rsidP="00E353DD">
      <w:pPr>
        <w:pStyle w:val="NormalWeb"/>
        <w:spacing w:line="360" w:lineRule="auto"/>
        <w:jc w:val="both"/>
        <w:rPr>
          <w:color w:val="4C4747"/>
          <w:spacing w:val="20"/>
        </w:rPr>
      </w:pPr>
    </w:p>
    <w:p w14:paraId="45AEF72D" w14:textId="77777777" w:rsidR="00F60454" w:rsidRPr="009714C2" w:rsidRDefault="00F60454" w:rsidP="00E353DD">
      <w:pPr>
        <w:pStyle w:val="NormalWeb"/>
        <w:spacing w:line="360" w:lineRule="auto"/>
        <w:jc w:val="both"/>
        <w:rPr>
          <w:color w:val="4C4747"/>
          <w:spacing w:val="20"/>
        </w:rPr>
      </w:pPr>
    </w:p>
    <w:p w14:paraId="644D57AE" w14:textId="77777777" w:rsidR="00F60454" w:rsidRPr="009714C2" w:rsidRDefault="00F60454" w:rsidP="00E353DD">
      <w:pPr>
        <w:pStyle w:val="NormalWeb"/>
        <w:spacing w:line="360" w:lineRule="auto"/>
        <w:jc w:val="both"/>
        <w:rPr>
          <w:color w:val="4C4747"/>
          <w:spacing w:val="20"/>
        </w:rPr>
      </w:pPr>
    </w:p>
    <w:p w14:paraId="0629A25B" w14:textId="77777777" w:rsidR="00F60454" w:rsidRPr="009714C2" w:rsidRDefault="00F60454" w:rsidP="00E353DD">
      <w:pPr>
        <w:pStyle w:val="NormalWeb"/>
        <w:spacing w:line="360" w:lineRule="auto"/>
        <w:jc w:val="both"/>
        <w:rPr>
          <w:color w:val="4C4747"/>
          <w:spacing w:val="20"/>
        </w:rPr>
      </w:pPr>
    </w:p>
    <w:p w14:paraId="06461F01" w14:textId="77777777" w:rsidR="00F60454" w:rsidRPr="009714C2" w:rsidRDefault="00F60454" w:rsidP="00E353DD">
      <w:pPr>
        <w:pStyle w:val="NormalWeb"/>
        <w:spacing w:line="360" w:lineRule="auto"/>
        <w:jc w:val="both"/>
        <w:rPr>
          <w:color w:val="4C4747"/>
          <w:spacing w:val="20"/>
        </w:rPr>
      </w:pPr>
    </w:p>
    <w:p w14:paraId="4B2027B4" w14:textId="77777777" w:rsidR="00F60454" w:rsidRPr="009714C2" w:rsidRDefault="00F60454" w:rsidP="00E353DD">
      <w:pPr>
        <w:pStyle w:val="NormalWeb"/>
        <w:spacing w:line="360" w:lineRule="auto"/>
        <w:jc w:val="both"/>
        <w:rPr>
          <w:color w:val="4C4747"/>
          <w:spacing w:val="20"/>
        </w:rPr>
      </w:pPr>
    </w:p>
    <w:p w14:paraId="2BA00307" w14:textId="77777777" w:rsidR="00F60454" w:rsidRPr="009714C2" w:rsidRDefault="00F60454" w:rsidP="00E353DD">
      <w:pPr>
        <w:pStyle w:val="NormalWeb"/>
        <w:spacing w:line="360" w:lineRule="auto"/>
        <w:jc w:val="both"/>
        <w:rPr>
          <w:color w:val="4C4747"/>
          <w:spacing w:val="20"/>
        </w:rPr>
      </w:pPr>
    </w:p>
    <w:p w14:paraId="567E4283" w14:textId="0B3430A1" w:rsidR="00FA019C" w:rsidRPr="009714C2" w:rsidRDefault="00FA019C" w:rsidP="00A02BDE">
      <w:pPr>
        <w:pStyle w:val="Ttulo1"/>
        <w:numPr>
          <w:ilvl w:val="0"/>
          <w:numId w:val="27"/>
        </w:numPr>
        <w:jc w:val="center"/>
        <w:rPr>
          <w:b/>
          <w:color w:val="4C4747"/>
          <w:lang w:val="es-DO"/>
        </w:rPr>
      </w:pPr>
      <w:bookmarkStart w:id="35" w:name="_Toc122425251"/>
      <w:r w:rsidRPr="009714C2">
        <w:rPr>
          <w:b/>
          <w:color w:val="4C4747"/>
          <w:lang w:val="es-DO"/>
        </w:rPr>
        <w:t>SERVICIO AL CIUDADANO Y TRANSPARENCIA INSTITUCIONAL</w:t>
      </w:r>
      <w:bookmarkEnd w:id="35"/>
    </w:p>
    <w:p w14:paraId="44CA8BE8" w14:textId="77777777" w:rsidR="00FA019C" w:rsidRPr="009714C2" w:rsidRDefault="00FA019C" w:rsidP="00FA019C">
      <w:pPr>
        <w:jc w:val="both"/>
        <w:rPr>
          <w:rFonts w:ascii="Times New Roman" w:eastAsia="Calibri" w:hAnsi="Times New Roman" w:cs="Times New Roman"/>
          <w:color w:val="4C4747"/>
          <w:sz w:val="18"/>
          <w:lang w:val="es-DO"/>
        </w:rPr>
      </w:pPr>
      <w:r w:rsidRPr="009714C2">
        <w:rPr>
          <w:rFonts w:ascii="Times New Roman" w:eastAsia="Calibri" w:hAnsi="Times New Roman" w:cs="Times New Roman"/>
          <w:noProof/>
          <w:color w:val="4C4747"/>
          <w:sz w:val="18"/>
        </w:rPr>
        <mc:AlternateContent>
          <mc:Choice Requires="wps">
            <w:drawing>
              <wp:anchor distT="0" distB="0" distL="114300" distR="114300" simplePos="0" relativeHeight="251717632" behindDoc="0" locked="0" layoutInCell="1" allowOverlap="1" wp14:anchorId="49790E53" wp14:editId="313F0EB6">
                <wp:simplePos x="0" y="0"/>
                <wp:positionH relativeFrom="margin">
                  <wp:posOffset>2568803</wp:posOffset>
                </wp:positionH>
                <wp:positionV relativeFrom="paragraph">
                  <wp:posOffset>36830</wp:posOffset>
                </wp:positionV>
                <wp:extent cx="463550" cy="0"/>
                <wp:effectExtent l="22860" t="15875" r="18415" b="22225"/>
                <wp:wrapNone/>
                <wp:docPr id="1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12263" id="Straight Connector 21"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25pt,2.9pt" to="238.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LoNA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" strokecolor="#ee2a24" strokeweight="2.25pt">
                <v:stroke joinstyle="miter"/>
                <w10:wrap anchorx="margin"/>
              </v:line>
            </w:pict>
          </mc:Fallback>
        </mc:AlternateContent>
      </w:r>
    </w:p>
    <w:p w14:paraId="4F130D70" w14:textId="704A515D" w:rsidR="00FA019C" w:rsidRPr="009714C2" w:rsidRDefault="00591C1B" w:rsidP="005342DE">
      <w:pPr>
        <w:jc w:val="center"/>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Memoria Institucional</w:t>
      </w:r>
      <w:r w:rsidR="00FA019C" w:rsidRPr="009714C2">
        <w:rPr>
          <w:rFonts w:ascii="Times New Roman" w:eastAsia="Calibri" w:hAnsi="Times New Roman" w:cs="Times New Roman"/>
          <w:color w:val="4C4747"/>
          <w:spacing w:val="20"/>
          <w:sz w:val="24"/>
          <w:szCs w:val="24"/>
          <w:lang w:val="es-DO"/>
        </w:rPr>
        <w:t xml:space="preserve"> 202</w:t>
      </w:r>
      <w:r w:rsidR="005342DE" w:rsidRPr="009714C2">
        <w:rPr>
          <w:rFonts w:ascii="Times New Roman" w:eastAsia="Calibri" w:hAnsi="Times New Roman" w:cs="Times New Roman"/>
          <w:color w:val="4C4747"/>
          <w:spacing w:val="20"/>
          <w:sz w:val="24"/>
          <w:szCs w:val="24"/>
          <w:lang w:val="es-DO"/>
        </w:rPr>
        <w:t>2</w:t>
      </w:r>
    </w:p>
    <w:p w14:paraId="7E3BD859" w14:textId="77777777" w:rsidR="005342DE" w:rsidRPr="00F60454" w:rsidRDefault="005342DE" w:rsidP="005342DE">
      <w:pPr>
        <w:jc w:val="center"/>
        <w:rPr>
          <w:rFonts w:ascii="Times New Roman" w:eastAsia="Calibri" w:hAnsi="Times New Roman" w:cs="Times New Roman"/>
          <w:color w:val="4C4747"/>
          <w:spacing w:val="20"/>
          <w:sz w:val="24"/>
          <w:szCs w:val="36"/>
          <w:lang w:val="es-DO"/>
        </w:rPr>
      </w:pPr>
    </w:p>
    <w:p w14:paraId="1C0982BC" w14:textId="3452239B" w:rsidR="008C215F" w:rsidRPr="009714C2" w:rsidRDefault="00C12AA8" w:rsidP="00565AD0">
      <w:pPr>
        <w:keepNext/>
        <w:spacing w:before="240" w:after="60"/>
        <w:jc w:val="both"/>
        <w:outlineLvl w:val="2"/>
        <w:rPr>
          <w:rFonts w:ascii="Times New Roman" w:eastAsia="Times New Roman" w:hAnsi="Times New Roman" w:cs="Times New Roman"/>
          <w:b/>
          <w:bCs/>
          <w:color w:val="4C4747"/>
          <w:sz w:val="24"/>
          <w:szCs w:val="28"/>
          <w:lang w:val="es-DO" w:eastAsia="es-DO"/>
        </w:rPr>
      </w:pPr>
      <w:bookmarkStart w:id="36" w:name="_Toc79678431"/>
      <w:bookmarkStart w:id="37" w:name="_Toc122425252"/>
      <w:r w:rsidRPr="009714C2">
        <w:rPr>
          <w:rFonts w:ascii="Times New Roman" w:eastAsia="Calibri" w:hAnsi="Times New Roman" w:cs="Times New Roman"/>
          <w:b/>
          <w:color w:val="4C4747"/>
          <w:spacing w:val="20"/>
          <w:sz w:val="24"/>
          <w:szCs w:val="24"/>
          <w:lang w:val="es-DO"/>
        </w:rPr>
        <w:t xml:space="preserve">5.1 </w:t>
      </w:r>
      <w:r w:rsidR="00F50004" w:rsidRPr="009714C2">
        <w:rPr>
          <w:rFonts w:ascii="Times New Roman" w:eastAsia="Times New Roman" w:hAnsi="Times New Roman" w:cs="Times New Roman"/>
          <w:b/>
          <w:bCs/>
          <w:color w:val="4C4747"/>
          <w:sz w:val="24"/>
          <w:szCs w:val="28"/>
          <w:lang w:val="es-DO" w:eastAsia="es-DO"/>
        </w:rPr>
        <w:t>Nivel de la Satisfacción con el Servicio</w:t>
      </w:r>
      <w:bookmarkEnd w:id="36"/>
      <w:bookmarkEnd w:id="37"/>
    </w:p>
    <w:p w14:paraId="472DC700" w14:textId="69F85398" w:rsidR="0057321D" w:rsidRPr="009714C2" w:rsidRDefault="006B3B91" w:rsidP="00565AD0">
      <w:pPr>
        <w:spacing w:before="24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En el 2022 se realizó una</w:t>
      </w:r>
      <w:r w:rsidR="008C215F" w:rsidRPr="009714C2">
        <w:rPr>
          <w:rFonts w:ascii="Times New Roman" w:eastAsia="Calibri" w:hAnsi="Times New Roman" w:cs="Times New Roman"/>
          <w:color w:val="4C4747"/>
          <w:spacing w:val="20"/>
          <w:sz w:val="24"/>
          <w:szCs w:val="24"/>
          <w:lang w:val="es-DO"/>
        </w:rPr>
        <w:t xml:space="preserve"> encuesta de satisfacción, la cual contó con una muestra de 382 usuarios de las telecomunicaciones entre ciudadanos y empresas, obteniendo como resultado un índice de satisfacción de 91%. En adición a esto, el 85.04% de los usuarios percibieron que el servicio ofrecido fue mejor o mucho mejor de lo que esperaban. Las dimensiones evaluadas fueron: Elementos tangibles, fiabilidad, capacidad de respuesta, seguridad y empatía.</w:t>
      </w:r>
      <w:bookmarkStart w:id="38" w:name="_Toc79678432"/>
    </w:p>
    <w:p w14:paraId="49C9A21E" w14:textId="4E2CAF80" w:rsidR="00F50004" w:rsidRPr="009714C2" w:rsidRDefault="00C12AA8" w:rsidP="00F50004">
      <w:pPr>
        <w:keepNext/>
        <w:spacing w:before="240" w:after="60"/>
        <w:jc w:val="both"/>
        <w:outlineLvl w:val="2"/>
        <w:rPr>
          <w:rFonts w:ascii="Times New Roman" w:eastAsia="Calibri" w:hAnsi="Times New Roman" w:cs="Times New Roman"/>
          <w:b/>
          <w:color w:val="4C4747"/>
          <w:spacing w:val="20"/>
          <w:sz w:val="24"/>
          <w:szCs w:val="24"/>
          <w:lang w:val="es-DO"/>
        </w:rPr>
      </w:pPr>
      <w:bookmarkStart w:id="39" w:name="_Toc122425253"/>
      <w:r w:rsidRPr="009714C2">
        <w:rPr>
          <w:rFonts w:ascii="Times New Roman" w:eastAsia="Calibri" w:hAnsi="Times New Roman" w:cs="Times New Roman"/>
          <w:b/>
          <w:color w:val="4C4747"/>
          <w:spacing w:val="20"/>
          <w:sz w:val="24"/>
          <w:szCs w:val="24"/>
          <w:lang w:val="es-DO"/>
        </w:rPr>
        <w:t xml:space="preserve">5.2 </w:t>
      </w:r>
      <w:r w:rsidR="00F50004" w:rsidRPr="009714C2">
        <w:rPr>
          <w:rFonts w:ascii="Times New Roman" w:eastAsia="Times New Roman" w:hAnsi="Times New Roman" w:cs="Times New Roman"/>
          <w:b/>
          <w:bCs/>
          <w:color w:val="4C4747"/>
          <w:sz w:val="24"/>
          <w:szCs w:val="28"/>
          <w:lang w:val="es-DO" w:eastAsia="es-DO"/>
        </w:rPr>
        <w:t>Nivel de Cumplimiento Acceso a la Información</w:t>
      </w:r>
      <w:bookmarkEnd w:id="38"/>
      <w:bookmarkEnd w:id="39"/>
    </w:p>
    <w:p w14:paraId="107EFF4D" w14:textId="77777777" w:rsidR="00F50004" w:rsidRPr="009714C2" w:rsidRDefault="00F50004" w:rsidP="00F50004">
      <w:pPr>
        <w:pStyle w:val="Sinespaciado"/>
        <w:rPr>
          <w:color w:val="4C4747"/>
          <w:lang w:val="es-DO"/>
        </w:rPr>
      </w:pPr>
    </w:p>
    <w:p w14:paraId="667BDDCA" w14:textId="1266CCF1" w:rsidR="000D34AA" w:rsidRPr="009714C2" w:rsidRDefault="000D34AA" w:rsidP="000D34AA">
      <w:pPr>
        <w:spacing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En el período enero - noviembre del 2022 la Oficina de Acceso a la Información (OAI) </w:t>
      </w:r>
      <w:r w:rsidR="006B3B91" w:rsidRPr="009714C2">
        <w:rPr>
          <w:rFonts w:ascii="Times New Roman" w:eastAsia="Calibri" w:hAnsi="Times New Roman" w:cs="Times New Roman"/>
          <w:color w:val="4C4747"/>
          <w:spacing w:val="20"/>
          <w:sz w:val="24"/>
          <w:szCs w:val="24"/>
          <w:lang w:val="es-DO"/>
        </w:rPr>
        <w:t xml:space="preserve">recibió </w:t>
      </w:r>
      <w:r w:rsidRPr="009714C2">
        <w:rPr>
          <w:rFonts w:ascii="Times New Roman" w:eastAsia="Calibri" w:hAnsi="Times New Roman" w:cs="Times New Roman"/>
          <w:color w:val="4C4747"/>
          <w:spacing w:val="20"/>
          <w:sz w:val="24"/>
          <w:szCs w:val="24"/>
          <w:lang w:val="es-DO"/>
        </w:rPr>
        <w:t>un total de 78 so</w:t>
      </w:r>
      <w:r w:rsidR="001D27B0" w:rsidRPr="009714C2">
        <w:rPr>
          <w:rFonts w:ascii="Times New Roman" w:eastAsia="Calibri" w:hAnsi="Times New Roman" w:cs="Times New Roman"/>
          <w:color w:val="4C4747"/>
          <w:spacing w:val="20"/>
          <w:sz w:val="24"/>
          <w:szCs w:val="24"/>
          <w:lang w:val="es-DO"/>
        </w:rPr>
        <w:t>licitudes acogiéndose a la Ley número</w:t>
      </w:r>
      <w:r w:rsidRPr="009714C2">
        <w:rPr>
          <w:rFonts w:ascii="Times New Roman" w:eastAsia="Calibri" w:hAnsi="Times New Roman" w:cs="Times New Roman"/>
          <w:color w:val="4C4747"/>
          <w:spacing w:val="20"/>
          <w:sz w:val="24"/>
          <w:szCs w:val="24"/>
          <w:lang w:val="es-DO"/>
        </w:rPr>
        <w:t xml:space="preserve"> 200-04 de Libre Acceso a la Información Pública, para un promedio de recepción de 7 solicitudes</w:t>
      </w:r>
      <w:r w:rsidR="007C2CE1" w:rsidRPr="009714C2">
        <w:rPr>
          <w:rFonts w:ascii="Times New Roman" w:eastAsia="Calibri" w:hAnsi="Times New Roman" w:cs="Times New Roman"/>
          <w:color w:val="4C4747"/>
          <w:spacing w:val="20"/>
          <w:sz w:val="24"/>
          <w:szCs w:val="24"/>
          <w:lang w:val="es-DO"/>
        </w:rPr>
        <w:t xml:space="preserve"> por mes. La institución dio</w:t>
      </w:r>
      <w:r w:rsidRPr="009714C2">
        <w:rPr>
          <w:rFonts w:ascii="Times New Roman" w:eastAsia="Calibri" w:hAnsi="Times New Roman" w:cs="Times New Roman"/>
          <w:color w:val="4C4747"/>
          <w:spacing w:val="20"/>
          <w:sz w:val="24"/>
          <w:szCs w:val="24"/>
          <w:lang w:val="es-DO"/>
        </w:rPr>
        <w:t xml:space="preserve"> respuesta</w:t>
      </w:r>
      <w:r w:rsidR="007C2CE1" w:rsidRPr="009714C2">
        <w:rPr>
          <w:rFonts w:ascii="Times New Roman" w:eastAsia="Calibri" w:hAnsi="Times New Roman" w:cs="Times New Roman"/>
          <w:color w:val="4C4747"/>
          <w:spacing w:val="20"/>
          <w:sz w:val="24"/>
          <w:szCs w:val="24"/>
          <w:lang w:val="es-DO"/>
        </w:rPr>
        <w:t>s</w:t>
      </w:r>
      <w:r w:rsidRPr="009714C2">
        <w:rPr>
          <w:rFonts w:ascii="Times New Roman" w:eastAsia="Calibri" w:hAnsi="Times New Roman" w:cs="Times New Roman"/>
          <w:color w:val="4C4747"/>
          <w:spacing w:val="20"/>
          <w:sz w:val="24"/>
          <w:szCs w:val="24"/>
          <w:lang w:val="es-DO"/>
        </w:rPr>
        <w:t xml:space="preserve"> a las mismas cumpliendo con los plazos establecidos en el artículo 8 de dicha Ley “Toda solicitud de información requerida en</w:t>
      </w:r>
      <w:r w:rsidR="00513ACC" w:rsidRPr="009714C2">
        <w:rPr>
          <w:rFonts w:ascii="Times New Roman" w:eastAsia="Calibri" w:hAnsi="Times New Roman" w:cs="Times New Roman"/>
          <w:color w:val="4C4747"/>
          <w:spacing w:val="20"/>
          <w:sz w:val="24"/>
          <w:szCs w:val="24"/>
          <w:lang w:val="es-DO"/>
        </w:rPr>
        <w:t xml:space="preserve"> </w:t>
      </w:r>
      <w:r w:rsidRPr="009714C2">
        <w:rPr>
          <w:rFonts w:ascii="Times New Roman" w:eastAsia="Calibri" w:hAnsi="Times New Roman" w:cs="Times New Roman"/>
          <w:color w:val="4C4747"/>
          <w:spacing w:val="20"/>
          <w:sz w:val="24"/>
          <w:szCs w:val="24"/>
          <w:lang w:val="es-DO"/>
        </w:rPr>
        <w:t>los términos de la presente ley deben ser satisfecha en un plazo no mayor de quince (15) días hábiles [...]”. De igual manera, el promedio de días para responder en el período indicado es de 5 días.</w:t>
      </w:r>
    </w:p>
    <w:p w14:paraId="38F8691F" w14:textId="77777777" w:rsidR="000D34AA" w:rsidRPr="009714C2" w:rsidRDefault="000D34AA" w:rsidP="000D34AA">
      <w:pPr>
        <w:spacing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A continuación, la distribución de la recepción de solicitudes en el período señalado:</w:t>
      </w:r>
    </w:p>
    <w:p w14:paraId="2CE5A2D4" w14:textId="77777777" w:rsidR="000D34AA" w:rsidRPr="009714C2" w:rsidRDefault="000D34AA" w:rsidP="000D34AA">
      <w:pPr>
        <w:spacing w:line="360" w:lineRule="auto"/>
        <w:jc w:val="both"/>
        <w:rPr>
          <w:rFonts w:ascii="Times New Roman" w:eastAsia="Calibri" w:hAnsi="Times New Roman" w:cs="Times New Roman"/>
          <w:color w:val="4C4747"/>
          <w:spacing w:val="20"/>
          <w:sz w:val="24"/>
          <w:szCs w:val="24"/>
          <w:lang w:val="es-DO"/>
        </w:rPr>
      </w:pPr>
    </w:p>
    <w:p w14:paraId="00A46D52" w14:textId="77777777" w:rsidR="000D34AA" w:rsidRPr="009714C2" w:rsidRDefault="000D34AA" w:rsidP="000D34AA">
      <w:pPr>
        <w:spacing w:line="360" w:lineRule="auto"/>
        <w:jc w:val="both"/>
        <w:rPr>
          <w:rFonts w:ascii="Times New Roman" w:eastAsia="Calibri" w:hAnsi="Times New Roman" w:cs="Times New Roman"/>
          <w:noProof/>
          <w:color w:val="4C4747"/>
          <w:spacing w:val="20"/>
          <w:sz w:val="24"/>
          <w:szCs w:val="24"/>
          <w:lang w:val="es-DO"/>
        </w:rPr>
      </w:pPr>
      <w:r w:rsidRPr="009714C2">
        <w:rPr>
          <w:noProof/>
          <w:color w:val="4C4747"/>
        </w:rPr>
        <w:lastRenderedPageBreak/>
        <w:drawing>
          <wp:inline distT="0" distB="0" distL="0" distR="0" wp14:anchorId="603A6CA9" wp14:editId="58EC9572">
            <wp:extent cx="5133975" cy="3590925"/>
            <wp:effectExtent l="0" t="0" r="9525" b="9525"/>
            <wp:docPr id="2067" name="Gráfico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2EB727" w14:textId="631E553D" w:rsidR="004919AA" w:rsidRPr="009714C2" w:rsidRDefault="000D34AA" w:rsidP="00F50004">
      <w:pPr>
        <w:spacing w:line="360" w:lineRule="auto"/>
        <w:jc w:val="both"/>
        <w:rPr>
          <w:rFonts w:ascii="Times New Roman" w:eastAsia="Calibri" w:hAnsi="Times New Roman" w:cs="Times New Roman"/>
          <w:noProof/>
          <w:color w:val="4C4747"/>
          <w:spacing w:val="20"/>
          <w:sz w:val="18"/>
          <w:szCs w:val="24"/>
          <w:lang w:val="es-DO"/>
        </w:rPr>
      </w:pPr>
      <w:r w:rsidRPr="009714C2">
        <w:rPr>
          <w:rFonts w:ascii="Times New Roman" w:eastAsia="Calibri" w:hAnsi="Times New Roman" w:cs="Times New Roman"/>
          <w:b/>
          <w:noProof/>
          <w:color w:val="4C4747"/>
          <w:spacing w:val="20"/>
          <w:sz w:val="18"/>
          <w:szCs w:val="24"/>
          <w:lang w:val="es-DO"/>
        </w:rPr>
        <w:t>Fuente:</w:t>
      </w:r>
      <w:r w:rsidRPr="009714C2">
        <w:rPr>
          <w:rFonts w:ascii="Times New Roman" w:eastAsia="Calibri" w:hAnsi="Times New Roman" w:cs="Times New Roman"/>
          <w:noProof/>
          <w:color w:val="4C4747"/>
          <w:spacing w:val="20"/>
          <w:sz w:val="18"/>
          <w:szCs w:val="24"/>
          <w:lang w:val="es-DO"/>
        </w:rPr>
        <w:t xml:space="preserve"> Oficina de Acceso a la Información (OAI)</w:t>
      </w:r>
    </w:p>
    <w:p w14:paraId="615016B3" w14:textId="77777777" w:rsidR="00162A8A" w:rsidRPr="009714C2" w:rsidRDefault="00162A8A" w:rsidP="00F50004">
      <w:pPr>
        <w:spacing w:line="360" w:lineRule="auto"/>
        <w:jc w:val="both"/>
        <w:rPr>
          <w:rFonts w:ascii="Times New Roman" w:eastAsia="Calibri" w:hAnsi="Times New Roman" w:cs="Times New Roman"/>
          <w:color w:val="4C4747"/>
          <w:spacing w:val="20"/>
          <w:sz w:val="18"/>
          <w:szCs w:val="24"/>
          <w:lang w:val="es-DO"/>
        </w:rPr>
      </w:pPr>
    </w:p>
    <w:p w14:paraId="1A1B88EE" w14:textId="23559233" w:rsidR="00F50004" w:rsidRPr="009714C2" w:rsidRDefault="00C12AA8" w:rsidP="00F50004">
      <w:pPr>
        <w:keepNext/>
        <w:spacing w:before="240" w:after="60"/>
        <w:jc w:val="both"/>
        <w:outlineLvl w:val="2"/>
        <w:rPr>
          <w:rFonts w:ascii="Times New Roman" w:eastAsia="Calibri" w:hAnsi="Times New Roman" w:cs="Times New Roman"/>
          <w:b/>
          <w:noProof/>
          <w:color w:val="4C4747"/>
          <w:spacing w:val="20"/>
          <w:sz w:val="24"/>
          <w:szCs w:val="24"/>
          <w:lang w:val="es-DO"/>
        </w:rPr>
      </w:pPr>
      <w:bookmarkStart w:id="40" w:name="_Toc79678433"/>
      <w:bookmarkStart w:id="41" w:name="_Toc122425254"/>
      <w:r w:rsidRPr="009714C2">
        <w:rPr>
          <w:rFonts w:ascii="Times New Roman" w:eastAsia="Calibri" w:hAnsi="Times New Roman" w:cs="Times New Roman"/>
          <w:b/>
          <w:noProof/>
          <w:color w:val="4C4747"/>
          <w:spacing w:val="20"/>
          <w:sz w:val="24"/>
          <w:szCs w:val="24"/>
          <w:lang w:val="es-DO"/>
        </w:rPr>
        <w:t xml:space="preserve">5.3 </w:t>
      </w:r>
      <w:r w:rsidR="00F50004" w:rsidRPr="009714C2">
        <w:rPr>
          <w:rFonts w:ascii="Times New Roman" w:eastAsia="Times New Roman" w:hAnsi="Times New Roman" w:cs="Times New Roman"/>
          <w:b/>
          <w:bCs/>
          <w:color w:val="4C4747"/>
          <w:sz w:val="24"/>
          <w:szCs w:val="28"/>
          <w:lang w:val="es-DO" w:eastAsia="es-DO"/>
        </w:rPr>
        <w:t>Resultado Sistema de Quejas, Reclamos y Sugerencias</w:t>
      </w:r>
      <w:bookmarkEnd w:id="40"/>
      <w:bookmarkEnd w:id="41"/>
    </w:p>
    <w:p w14:paraId="7A6DCCA0" w14:textId="77777777" w:rsidR="00162A8A" w:rsidRPr="009714C2" w:rsidRDefault="00162A8A" w:rsidP="00162A8A">
      <w:pPr>
        <w:spacing w:after="0" w:line="360" w:lineRule="auto"/>
        <w:jc w:val="both"/>
        <w:rPr>
          <w:rFonts w:ascii="Times New Roman" w:eastAsia="Calibri" w:hAnsi="Times New Roman" w:cs="Times New Roman"/>
          <w:noProof/>
          <w:color w:val="4C4747"/>
          <w:spacing w:val="20"/>
          <w:sz w:val="24"/>
          <w:szCs w:val="24"/>
          <w:lang w:val="es-DO"/>
        </w:rPr>
      </w:pPr>
    </w:p>
    <w:p w14:paraId="570D370A" w14:textId="79DEBBDB" w:rsidR="00DF71E1" w:rsidRPr="00A4233F" w:rsidRDefault="00DF71E1" w:rsidP="00DF71E1">
      <w:pPr>
        <w:spacing w:line="360" w:lineRule="auto"/>
        <w:jc w:val="both"/>
        <w:rPr>
          <w:rFonts w:ascii="Times New Roman" w:eastAsia="Calibri" w:hAnsi="Times New Roman" w:cs="Times New Roman"/>
          <w:noProof/>
          <w:color w:val="4C4747"/>
          <w:spacing w:val="20"/>
          <w:sz w:val="24"/>
          <w:szCs w:val="24"/>
          <w:lang w:val="es-DO"/>
        </w:rPr>
      </w:pPr>
      <w:r w:rsidRPr="00A4233F">
        <w:rPr>
          <w:rFonts w:ascii="Times New Roman" w:eastAsia="Calibri" w:hAnsi="Times New Roman" w:cs="Times New Roman"/>
          <w:noProof/>
          <w:color w:val="4C4747"/>
          <w:spacing w:val="20"/>
          <w:sz w:val="24"/>
          <w:szCs w:val="24"/>
          <w:lang w:val="es-DO"/>
        </w:rPr>
        <w:t>El Sistema 311 de Atención Ciudadana tiene como finalidad permitirle al ciudadano realizar sus denuncias, quejas, reclamaciones y sugerencias referentes a cualquier entidad o servidor del gobierno de la República Dominicana, para que las mismas puedan ser canalizadas a los organismos correspondientes. En tal sentido, cumplie</w:t>
      </w:r>
      <w:r w:rsidR="001D27B0" w:rsidRPr="00A4233F">
        <w:rPr>
          <w:rFonts w:ascii="Times New Roman" w:eastAsia="Calibri" w:hAnsi="Times New Roman" w:cs="Times New Roman"/>
          <w:noProof/>
          <w:color w:val="4C4747"/>
          <w:spacing w:val="20"/>
          <w:sz w:val="24"/>
          <w:szCs w:val="24"/>
          <w:lang w:val="es-DO"/>
        </w:rPr>
        <w:t>ndo lo dispuesto en el Decreto número</w:t>
      </w:r>
      <w:r w:rsidRPr="00A4233F">
        <w:rPr>
          <w:rFonts w:ascii="Times New Roman" w:eastAsia="Calibri" w:hAnsi="Times New Roman" w:cs="Times New Roman"/>
          <w:noProof/>
          <w:color w:val="4C4747"/>
          <w:spacing w:val="20"/>
          <w:sz w:val="24"/>
          <w:szCs w:val="24"/>
          <w:lang w:val="es-DO"/>
        </w:rPr>
        <w:t xml:space="preserve"> 694-09 de fecha 17 de septiembre de 2009, que establece el referido Sistema mediante el Portal de Transparencia, se reciben las quejas y reclamaciones por parte de la ciudadanía a la Administración Pública y crea la Línea Telefónica 311 y el Portal web www.311.gob.do.</w:t>
      </w:r>
    </w:p>
    <w:p w14:paraId="42856B67" w14:textId="77777777" w:rsidR="00F65C89" w:rsidRDefault="00F65C89" w:rsidP="00DF71E1">
      <w:pPr>
        <w:spacing w:line="360" w:lineRule="auto"/>
        <w:jc w:val="both"/>
        <w:rPr>
          <w:rFonts w:ascii="Times New Roman" w:eastAsia="Calibri" w:hAnsi="Times New Roman" w:cs="Times New Roman"/>
          <w:noProof/>
          <w:color w:val="4C4747"/>
          <w:spacing w:val="20"/>
          <w:sz w:val="24"/>
          <w:szCs w:val="24"/>
          <w:lang w:val="es-DO"/>
        </w:rPr>
      </w:pPr>
    </w:p>
    <w:p w14:paraId="31056A5A" w14:textId="13761EAB" w:rsidR="00DF71E1" w:rsidRPr="00A4233F" w:rsidRDefault="00DF71E1" w:rsidP="00DF71E1">
      <w:pPr>
        <w:spacing w:line="360" w:lineRule="auto"/>
        <w:jc w:val="both"/>
        <w:rPr>
          <w:rFonts w:ascii="Times New Roman" w:eastAsia="Calibri" w:hAnsi="Times New Roman" w:cs="Times New Roman"/>
          <w:noProof/>
          <w:color w:val="4C4747"/>
          <w:spacing w:val="20"/>
          <w:sz w:val="24"/>
          <w:szCs w:val="24"/>
          <w:lang w:val="es-DO"/>
        </w:rPr>
      </w:pPr>
      <w:r w:rsidRPr="00A4233F">
        <w:rPr>
          <w:rFonts w:ascii="Times New Roman" w:eastAsia="Calibri" w:hAnsi="Times New Roman" w:cs="Times New Roman"/>
          <w:noProof/>
          <w:color w:val="4C4747"/>
          <w:spacing w:val="20"/>
          <w:sz w:val="24"/>
          <w:szCs w:val="24"/>
          <w:lang w:val="es-DO"/>
        </w:rPr>
        <w:lastRenderedPageBreak/>
        <w:t xml:space="preserve">A través del referido Sistema de Atención Ciudadana 3-1-1, en el período </w:t>
      </w:r>
      <w:r w:rsidR="001D27B0" w:rsidRPr="00A4233F">
        <w:rPr>
          <w:rFonts w:ascii="Times New Roman" w:eastAsia="Calibri" w:hAnsi="Times New Roman" w:cs="Times New Roman"/>
          <w:noProof/>
          <w:color w:val="4C4747"/>
          <w:spacing w:val="20"/>
          <w:sz w:val="24"/>
          <w:szCs w:val="24"/>
          <w:lang w:val="es-DO"/>
        </w:rPr>
        <w:t>e</w:t>
      </w:r>
      <w:r w:rsidRPr="00A4233F">
        <w:rPr>
          <w:rFonts w:ascii="Times New Roman" w:eastAsia="Calibri" w:hAnsi="Times New Roman" w:cs="Times New Roman"/>
          <w:noProof/>
          <w:color w:val="4C4747"/>
          <w:spacing w:val="20"/>
          <w:sz w:val="24"/>
          <w:szCs w:val="24"/>
          <w:lang w:val="es-DO"/>
        </w:rPr>
        <w:t xml:space="preserve">nero - </w:t>
      </w:r>
      <w:r w:rsidR="001D27B0" w:rsidRPr="00A4233F">
        <w:rPr>
          <w:rFonts w:ascii="Times New Roman" w:eastAsia="Calibri" w:hAnsi="Times New Roman" w:cs="Times New Roman"/>
          <w:noProof/>
          <w:color w:val="4C4747"/>
          <w:spacing w:val="20"/>
          <w:sz w:val="24"/>
          <w:szCs w:val="24"/>
          <w:lang w:val="es-DO"/>
        </w:rPr>
        <w:t>n</w:t>
      </w:r>
      <w:r w:rsidRPr="00A4233F">
        <w:rPr>
          <w:rFonts w:ascii="Times New Roman" w:eastAsia="Calibri" w:hAnsi="Times New Roman" w:cs="Times New Roman"/>
          <w:noProof/>
          <w:color w:val="4C4747"/>
          <w:spacing w:val="20"/>
          <w:sz w:val="24"/>
          <w:szCs w:val="24"/>
          <w:lang w:val="es-DO"/>
        </w:rPr>
        <w:t xml:space="preserve">oviembre de 2022 la OAI ha recibido un total de </w:t>
      </w:r>
      <w:r w:rsidRPr="00A4233F">
        <w:rPr>
          <w:rFonts w:ascii="Times New Roman" w:eastAsia="Calibri" w:hAnsi="Times New Roman" w:cs="Times New Roman"/>
          <w:b/>
          <w:bCs/>
          <w:noProof/>
          <w:color w:val="4C4747"/>
          <w:spacing w:val="20"/>
          <w:sz w:val="24"/>
          <w:szCs w:val="24"/>
          <w:lang w:val="es-DO"/>
        </w:rPr>
        <w:t>8</w:t>
      </w:r>
      <w:r w:rsidRPr="00A4233F">
        <w:rPr>
          <w:rFonts w:ascii="Times New Roman" w:eastAsia="Calibri" w:hAnsi="Times New Roman" w:cs="Times New Roman"/>
          <w:noProof/>
          <w:color w:val="4C4747"/>
          <w:spacing w:val="20"/>
          <w:sz w:val="24"/>
          <w:szCs w:val="24"/>
          <w:lang w:val="es-DO"/>
        </w:rPr>
        <w:t xml:space="preserve"> quejas, </w:t>
      </w:r>
      <w:r w:rsidRPr="00A4233F">
        <w:rPr>
          <w:rFonts w:ascii="Times New Roman" w:eastAsia="Calibri" w:hAnsi="Times New Roman" w:cs="Times New Roman"/>
          <w:b/>
          <w:bCs/>
          <w:noProof/>
          <w:color w:val="4C4747"/>
          <w:spacing w:val="20"/>
          <w:sz w:val="24"/>
          <w:szCs w:val="24"/>
          <w:lang w:val="es-DO"/>
        </w:rPr>
        <w:t>2</w:t>
      </w:r>
      <w:r w:rsidRPr="00A4233F">
        <w:rPr>
          <w:rFonts w:ascii="Times New Roman" w:eastAsia="Calibri" w:hAnsi="Times New Roman" w:cs="Times New Roman"/>
          <w:noProof/>
          <w:color w:val="4C4747"/>
          <w:spacing w:val="20"/>
          <w:sz w:val="24"/>
          <w:szCs w:val="24"/>
          <w:lang w:val="es-DO"/>
        </w:rPr>
        <w:t xml:space="preserve"> reclamacion y </w:t>
      </w:r>
      <w:r w:rsidRPr="00A4233F">
        <w:rPr>
          <w:rFonts w:ascii="Times New Roman" w:eastAsia="Calibri" w:hAnsi="Times New Roman" w:cs="Times New Roman"/>
          <w:b/>
          <w:bCs/>
          <w:noProof/>
          <w:color w:val="4C4747"/>
          <w:spacing w:val="20"/>
          <w:sz w:val="24"/>
          <w:szCs w:val="24"/>
          <w:lang w:val="es-DO"/>
        </w:rPr>
        <w:t>0</w:t>
      </w:r>
      <w:r w:rsidRPr="00A4233F">
        <w:rPr>
          <w:rFonts w:ascii="Times New Roman" w:eastAsia="Calibri" w:hAnsi="Times New Roman" w:cs="Times New Roman"/>
          <w:noProof/>
          <w:color w:val="4C4747"/>
          <w:spacing w:val="20"/>
          <w:sz w:val="24"/>
          <w:szCs w:val="24"/>
          <w:lang w:val="es-DO"/>
        </w:rPr>
        <w:t xml:space="preserve"> sugerencias.</w:t>
      </w:r>
    </w:p>
    <w:p w14:paraId="6DF8FCF3" w14:textId="07A0A8B8" w:rsidR="00DF71E1" w:rsidRPr="009714C2" w:rsidRDefault="00DF71E1" w:rsidP="00DF71E1">
      <w:pPr>
        <w:spacing w:line="360" w:lineRule="auto"/>
        <w:jc w:val="both"/>
        <w:rPr>
          <w:rFonts w:ascii="Times New Roman" w:eastAsia="Calibri" w:hAnsi="Times New Roman" w:cs="Times New Roman"/>
          <w:b/>
          <w:noProof/>
          <w:color w:val="4C4747"/>
          <w:spacing w:val="20"/>
          <w:sz w:val="18"/>
          <w:szCs w:val="24"/>
          <w:lang w:val="es-DO"/>
        </w:rPr>
      </w:pPr>
      <w:r w:rsidRPr="009714C2">
        <w:rPr>
          <w:noProof/>
          <w:color w:val="4C4747"/>
        </w:rPr>
        <w:drawing>
          <wp:inline distT="0" distB="0" distL="0" distR="0" wp14:anchorId="7DC09C3A" wp14:editId="63A1D105">
            <wp:extent cx="5086350" cy="2933700"/>
            <wp:effectExtent l="0" t="0" r="0" b="0"/>
            <wp:docPr id="2068" name="Chart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40CE52D" w14:textId="77777777" w:rsidR="00DF71E1" w:rsidRPr="009714C2" w:rsidRDefault="00DF71E1" w:rsidP="00DF71E1">
      <w:pPr>
        <w:spacing w:line="360" w:lineRule="auto"/>
        <w:jc w:val="both"/>
        <w:rPr>
          <w:rFonts w:ascii="Times New Roman" w:eastAsia="Calibri" w:hAnsi="Times New Roman" w:cs="Times New Roman"/>
          <w:noProof/>
          <w:color w:val="4C4747"/>
          <w:spacing w:val="20"/>
          <w:sz w:val="18"/>
          <w:szCs w:val="24"/>
          <w:lang w:val="es-DO"/>
        </w:rPr>
      </w:pPr>
      <w:r w:rsidRPr="009714C2">
        <w:rPr>
          <w:rFonts w:ascii="Times New Roman" w:eastAsia="Calibri" w:hAnsi="Times New Roman" w:cs="Times New Roman"/>
          <w:b/>
          <w:noProof/>
          <w:color w:val="4C4747"/>
          <w:spacing w:val="20"/>
          <w:sz w:val="18"/>
          <w:szCs w:val="24"/>
          <w:lang w:val="es-DO"/>
        </w:rPr>
        <w:t>Fuente:</w:t>
      </w:r>
      <w:r w:rsidRPr="009714C2">
        <w:rPr>
          <w:rFonts w:ascii="Times New Roman" w:eastAsia="Calibri" w:hAnsi="Times New Roman" w:cs="Times New Roman"/>
          <w:noProof/>
          <w:color w:val="4C4747"/>
          <w:spacing w:val="20"/>
          <w:sz w:val="18"/>
          <w:szCs w:val="24"/>
          <w:lang w:val="es-DO"/>
        </w:rPr>
        <w:t xml:space="preserve"> Oficina de Acceso a la Información (OAI).</w:t>
      </w:r>
    </w:p>
    <w:p w14:paraId="595F6292" w14:textId="24D67A0F" w:rsidR="00F50004" w:rsidRPr="009714C2" w:rsidRDefault="00C12AA8" w:rsidP="00565AD0">
      <w:pPr>
        <w:keepNext/>
        <w:spacing w:before="240" w:after="60"/>
        <w:jc w:val="both"/>
        <w:outlineLvl w:val="2"/>
        <w:rPr>
          <w:rFonts w:ascii="Times New Roman" w:eastAsia="Times New Roman" w:hAnsi="Times New Roman" w:cs="Times New Roman"/>
          <w:b/>
          <w:bCs/>
          <w:color w:val="4C4747"/>
          <w:sz w:val="24"/>
          <w:szCs w:val="28"/>
          <w:lang w:val="es-DO" w:eastAsia="es-DO"/>
        </w:rPr>
      </w:pPr>
      <w:bookmarkStart w:id="42" w:name="_Toc79678434"/>
      <w:bookmarkStart w:id="43" w:name="_Toc122425255"/>
      <w:r w:rsidRPr="009714C2">
        <w:rPr>
          <w:rFonts w:ascii="Times New Roman" w:eastAsia="Times New Roman" w:hAnsi="Times New Roman" w:cs="Times New Roman"/>
          <w:b/>
          <w:bCs/>
          <w:color w:val="4C4747"/>
          <w:sz w:val="24"/>
          <w:szCs w:val="28"/>
          <w:lang w:val="es-DO" w:eastAsia="es-DO"/>
        </w:rPr>
        <w:t xml:space="preserve">5.4 </w:t>
      </w:r>
      <w:r w:rsidR="00F50004" w:rsidRPr="009714C2">
        <w:rPr>
          <w:rFonts w:ascii="Times New Roman" w:eastAsia="Times New Roman" w:hAnsi="Times New Roman" w:cs="Times New Roman"/>
          <w:b/>
          <w:bCs/>
          <w:color w:val="4C4747"/>
          <w:sz w:val="24"/>
          <w:szCs w:val="28"/>
          <w:lang w:val="es-DO" w:eastAsia="es-DO"/>
        </w:rPr>
        <w:t>Resultado Mediciones del Portal de Transparencia</w:t>
      </w:r>
      <w:bookmarkEnd w:id="42"/>
      <w:bookmarkEnd w:id="43"/>
    </w:p>
    <w:p w14:paraId="3C8C3988" w14:textId="4BCC2282" w:rsidR="00DF71E1" w:rsidRPr="009714C2" w:rsidRDefault="00DF71E1" w:rsidP="00565AD0">
      <w:pPr>
        <w:spacing w:before="240" w:after="0" w:line="360" w:lineRule="auto"/>
        <w:jc w:val="both"/>
        <w:rPr>
          <w:rFonts w:ascii="Times New Roman" w:eastAsia="Calibri" w:hAnsi="Times New Roman" w:cs="Times New Roman"/>
          <w:color w:val="4C4747"/>
          <w:sz w:val="24"/>
          <w:lang w:val="es-DO" w:eastAsia="es-DO"/>
        </w:rPr>
      </w:pPr>
      <w:r w:rsidRPr="009714C2">
        <w:rPr>
          <w:rFonts w:ascii="Times New Roman" w:eastAsia="Calibri" w:hAnsi="Times New Roman" w:cs="Times New Roman"/>
          <w:noProof/>
          <w:color w:val="4C4747"/>
          <w:spacing w:val="20"/>
          <w:sz w:val="24"/>
          <w:szCs w:val="24"/>
          <w:lang w:val="es-DO"/>
        </w:rPr>
        <w:t>En las evaluaciones del Portal de Transparencia realizadas por la Dirección General de Ética e Integridad Gubernamental (DIGEIG)</w:t>
      </w:r>
      <w:r w:rsidR="001D27B0" w:rsidRPr="009714C2">
        <w:rPr>
          <w:rFonts w:ascii="Times New Roman" w:eastAsia="Calibri" w:hAnsi="Times New Roman" w:cs="Times New Roman"/>
          <w:noProof/>
          <w:color w:val="4C4747"/>
          <w:spacing w:val="20"/>
          <w:sz w:val="24"/>
          <w:szCs w:val="24"/>
          <w:lang w:val="es-DO"/>
        </w:rPr>
        <w:t>,</w:t>
      </w:r>
      <w:r w:rsidRPr="009714C2">
        <w:rPr>
          <w:rFonts w:ascii="Times New Roman" w:eastAsia="Calibri" w:hAnsi="Times New Roman" w:cs="Times New Roman"/>
          <w:noProof/>
          <w:color w:val="4C4747"/>
          <w:spacing w:val="20"/>
          <w:sz w:val="24"/>
          <w:szCs w:val="24"/>
          <w:lang w:val="es-DO"/>
        </w:rPr>
        <w:t xml:space="preserve"> desde enero hasta </w:t>
      </w:r>
      <w:r w:rsidR="001D27B0" w:rsidRPr="009714C2">
        <w:rPr>
          <w:rFonts w:ascii="Times New Roman" w:eastAsia="Calibri" w:hAnsi="Times New Roman" w:cs="Times New Roman"/>
          <w:noProof/>
          <w:color w:val="4C4747"/>
          <w:spacing w:val="20"/>
          <w:sz w:val="24"/>
          <w:szCs w:val="24"/>
          <w:lang w:val="es-DO"/>
        </w:rPr>
        <w:t>n</w:t>
      </w:r>
      <w:r w:rsidRPr="009714C2">
        <w:rPr>
          <w:rFonts w:ascii="Times New Roman" w:eastAsia="Calibri" w:hAnsi="Times New Roman" w:cs="Times New Roman"/>
          <w:noProof/>
          <w:color w:val="4C4747"/>
          <w:spacing w:val="20"/>
          <w:sz w:val="24"/>
          <w:szCs w:val="24"/>
          <w:lang w:val="es-DO"/>
        </w:rPr>
        <w:t xml:space="preserve">oviembre del 2022 la institución ha obtenido un promedio de puntuación de </w:t>
      </w:r>
      <w:r w:rsidRPr="009714C2">
        <w:rPr>
          <w:rFonts w:ascii="Times New Roman" w:eastAsia="Calibri" w:hAnsi="Times New Roman" w:cs="Times New Roman"/>
          <w:b/>
          <w:bCs/>
          <w:noProof/>
          <w:color w:val="4C4747"/>
          <w:spacing w:val="20"/>
          <w:sz w:val="24"/>
          <w:szCs w:val="24"/>
          <w:lang w:val="es-DO"/>
        </w:rPr>
        <w:t>96%</w:t>
      </w:r>
      <w:r w:rsidRPr="009714C2">
        <w:rPr>
          <w:rFonts w:ascii="Times New Roman" w:eastAsia="Calibri" w:hAnsi="Times New Roman" w:cs="Times New Roman"/>
          <w:noProof/>
          <w:color w:val="4C4747"/>
          <w:spacing w:val="20"/>
          <w:sz w:val="24"/>
          <w:szCs w:val="24"/>
          <w:lang w:val="es-DO"/>
        </w:rPr>
        <w:t xml:space="preserve">. Actualmente, nos encontramos a la espera de las evaluaciónes correspondientes de los meses de </w:t>
      </w:r>
      <w:r w:rsidR="001D27B0" w:rsidRPr="009714C2">
        <w:rPr>
          <w:rFonts w:ascii="Times New Roman" w:eastAsia="Calibri" w:hAnsi="Times New Roman" w:cs="Times New Roman"/>
          <w:noProof/>
          <w:color w:val="4C4747"/>
          <w:spacing w:val="20"/>
          <w:sz w:val="24"/>
          <w:szCs w:val="24"/>
          <w:lang w:val="es-DO"/>
        </w:rPr>
        <w:t>o</w:t>
      </w:r>
      <w:r w:rsidRPr="009714C2">
        <w:rPr>
          <w:rFonts w:ascii="Times New Roman" w:eastAsia="Calibri" w:hAnsi="Times New Roman" w:cs="Times New Roman"/>
          <w:noProof/>
          <w:color w:val="4C4747"/>
          <w:spacing w:val="20"/>
          <w:sz w:val="24"/>
          <w:szCs w:val="24"/>
          <w:lang w:val="es-DO"/>
        </w:rPr>
        <w:t>ctubre</w:t>
      </w:r>
      <w:r w:rsidR="001D27B0" w:rsidRPr="009714C2">
        <w:rPr>
          <w:rFonts w:ascii="Times New Roman" w:eastAsia="Calibri" w:hAnsi="Times New Roman" w:cs="Times New Roman"/>
          <w:noProof/>
          <w:color w:val="4C4747"/>
          <w:spacing w:val="20"/>
          <w:sz w:val="24"/>
          <w:szCs w:val="24"/>
          <w:lang w:val="es-DO"/>
        </w:rPr>
        <w:t xml:space="preserve"> y n</w:t>
      </w:r>
      <w:r w:rsidRPr="009714C2">
        <w:rPr>
          <w:rFonts w:ascii="Times New Roman" w:eastAsia="Calibri" w:hAnsi="Times New Roman" w:cs="Times New Roman"/>
          <w:noProof/>
          <w:color w:val="4C4747"/>
          <w:spacing w:val="20"/>
          <w:sz w:val="24"/>
          <w:szCs w:val="24"/>
          <w:lang w:val="es-DO"/>
        </w:rPr>
        <w:t>oviembre de 2022.</w:t>
      </w:r>
    </w:p>
    <w:p w14:paraId="79F64B21" w14:textId="3BE03FDF" w:rsidR="00DF71E1" w:rsidRPr="009714C2" w:rsidRDefault="00DF71E1" w:rsidP="00DF71E1">
      <w:pPr>
        <w:spacing w:after="0" w:line="360" w:lineRule="auto"/>
        <w:jc w:val="both"/>
        <w:rPr>
          <w:noProof/>
          <w:color w:val="4C4747"/>
        </w:rPr>
      </w:pPr>
      <w:r w:rsidRPr="009714C2">
        <w:rPr>
          <w:noProof/>
          <w:color w:val="4C4747"/>
        </w:rPr>
        <w:lastRenderedPageBreak/>
        <w:drawing>
          <wp:inline distT="0" distB="0" distL="0" distR="0" wp14:anchorId="150AE380" wp14:editId="4AD7D191">
            <wp:extent cx="4991100" cy="2781300"/>
            <wp:effectExtent l="0" t="0" r="0" b="0"/>
            <wp:docPr id="2069" name="Gráfico 2069">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AD1A1C" w14:textId="77777777" w:rsidR="00DF71E1" w:rsidRPr="009714C2" w:rsidRDefault="00DF71E1" w:rsidP="00DF71E1">
      <w:pPr>
        <w:spacing w:line="360" w:lineRule="auto"/>
        <w:jc w:val="both"/>
        <w:rPr>
          <w:rFonts w:ascii="Times New Roman" w:eastAsia="Calibri" w:hAnsi="Times New Roman" w:cs="Times New Roman"/>
          <w:noProof/>
          <w:color w:val="4C4747"/>
          <w:spacing w:val="20"/>
          <w:sz w:val="24"/>
          <w:szCs w:val="24"/>
          <w:lang w:val="es-DO"/>
        </w:rPr>
      </w:pPr>
      <w:r w:rsidRPr="009714C2">
        <w:rPr>
          <w:rFonts w:ascii="Times New Roman" w:eastAsia="Calibri" w:hAnsi="Times New Roman" w:cs="Times New Roman"/>
          <w:b/>
          <w:noProof/>
          <w:color w:val="4C4747"/>
          <w:spacing w:val="20"/>
          <w:sz w:val="18"/>
          <w:szCs w:val="24"/>
          <w:lang w:val="es-DO"/>
        </w:rPr>
        <w:t>Fuente:</w:t>
      </w:r>
      <w:r w:rsidRPr="009714C2">
        <w:rPr>
          <w:rFonts w:ascii="Times New Roman" w:eastAsia="Calibri" w:hAnsi="Times New Roman" w:cs="Times New Roman"/>
          <w:noProof/>
          <w:color w:val="4C4747"/>
          <w:spacing w:val="20"/>
          <w:sz w:val="18"/>
          <w:szCs w:val="24"/>
          <w:lang w:val="es-DO"/>
        </w:rPr>
        <w:t xml:space="preserve"> Oficina de Acceso a la Información (OAI).</w:t>
      </w:r>
    </w:p>
    <w:p w14:paraId="23CF9E62" w14:textId="77777777" w:rsidR="00DF71E1" w:rsidRPr="009714C2" w:rsidRDefault="00DF71E1" w:rsidP="00162A8A">
      <w:pPr>
        <w:spacing w:after="0" w:line="360" w:lineRule="auto"/>
        <w:jc w:val="both"/>
        <w:rPr>
          <w:rFonts w:ascii="Times New Roman" w:eastAsia="Calibri" w:hAnsi="Times New Roman" w:cs="Times New Roman"/>
          <w:noProof/>
          <w:color w:val="4C4747"/>
          <w:spacing w:val="20"/>
          <w:sz w:val="24"/>
          <w:szCs w:val="24"/>
          <w:lang w:val="es-DO"/>
        </w:rPr>
      </w:pPr>
    </w:p>
    <w:p w14:paraId="4DD944DE" w14:textId="16957004" w:rsidR="00DF71E1" w:rsidRPr="00A4233F" w:rsidRDefault="00DF71E1" w:rsidP="00DF71E1">
      <w:pPr>
        <w:spacing w:line="360" w:lineRule="auto"/>
        <w:jc w:val="both"/>
        <w:rPr>
          <w:rFonts w:ascii="Times New Roman" w:eastAsia="Calibri" w:hAnsi="Times New Roman" w:cs="Times New Roman"/>
          <w:noProof/>
          <w:color w:val="4C4747"/>
          <w:spacing w:val="20"/>
          <w:sz w:val="24"/>
          <w:szCs w:val="24"/>
          <w:lang w:val="es-DO"/>
        </w:rPr>
      </w:pPr>
      <w:r w:rsidRPr="00A4233F">
        <w:rPr>
          <w:rFonts w:ascii="Times New Roman" w:eastAsia="Calibri" w:hAnsi="Times New Roman" w:cs="Times New Roman"/>
          <w:noProof/>
          <w:color w:val="4C4747"/>
          <w:spacing w:val="20"/>
          <w:sz w:val="24"/>
          <w:szCs w:val="24"/>
          <w:lang w:val="es-DO"/>
        </w:rPr>
        <w:t xml:space="preserve">El INDOTEL cumple con los estándares </w:t>
      </w:r>
      <w:r w:rsidR="001D27B0" w:rsidRPr="00A4233F">
        <w:rPr>
          <w:rFonts w:ascii="Times New Roman" w:eastAsia="Calibri" w:hAnsi="Times New Roman" w:cs="Times New Roman"/>
          <w:noProof/>
          <w:color w:val="4C4747"/>
          <w:spacing w:val="20"/>
          <w:sz w:val="24"/>
          <w:szCs w:val="24"/>
          <w:lang w:val="es-DO"/>
        </w:rPr>
        <w:t xml:space="preserve">del </w:t>
      </w:r>
      <w:r w:rsidRPr="00A4233F">
        <w:rPr>
          <w:rFonts w:ascii="Times New Roman" w:eastAsia="Calibri" w:hAnsi="Times New Roman" w:cs="Times New Roman"/>
          <w:noProof/>
          <w:color w:val="4C4747"/>
          <w:spacing w:val="20"/>
          <w:sz w:val="24"/>
          <w:szCs w:val="24"/>
          <w:lang w:val="es-DO"/>
        </w:rPr>
        <w:t xml:space="preserve"> Portal de Transparencia Institucional de acuerdo a lo establecido en </w:t>
      </w:r>
      <w:r w:rsidR="001D27B0" w:rsidRPr="00A4233F">
        <w:rPr>
          <w:rFonts w:ascii="Times New Roman" w:eastAsia="Calibri" w:hAnsi="Times New Roman" w:cs="Times New Roman"/>
          <w:noProof/>
          <w:color w:val="4C4747"/>
          <w:spacing w:val="20"/>
          <w:sz w:val="24"/>
          <w:szCs w:val="24"/>
          <w:lang w:val="es-DO"/>
        </w:rPr>
        <w:t xml:space="preserve">la Resolución número </w:t>
      </w:r>
      <w:r w:rsidRPr="00A4233F">
        <w:rPr>
          <w:rFonts w:ascii="Times New Roman" w:eastAsia="Calibri" w:hAnsi="Times New Roman" w:cs="Times New Roman"/>
          <w:noProof/>
          <w:color w:val="4C4747"/>
          <w:spacing w:val="20"/>
          <w:sz w:val="24"/>
          <w:szCs w:val="24"/>
          <w:lang w:val="es-DO"/>
        </w:rPr>
        <w:t>002/2021 de la DIGEIG que crea El Portal Único de Solicitudes de Transparencia el cual</w:t>
      </w:r>
      <w:r w:rsidR="001D27B0" w:rsidRPr="00A4233F">
        <w:rPr>
          <w:rFonts w:ascii="Times New Roman" w:eastAsia="Calibri" w:hAnsi="Times New Roman" w:cs="Times New Roman"/>
          <w:noProof/>
          <w:color w:val="4C4747"/>
          <w:spacing w:val="20"/>
          <w:sz w:val="24"/>
          <w:szCs w:val="24"/>
          <w:lang w:val="es-DO"/>
        </w:rPr>
        <w:t xml:space="preserve"> e</w:t>
      </w:r>
      <w:r w:rsidRPr="00A4233F">
        <w:rPr>
          <w:rFonts w:ascii="Times New Roman" w:eastAsia="Calibri" w:hAnsi="Times New Roman" w:cs="Times New Roman"/>
          <w:noProof/>
          <w:color w:val="4C4747"/>
          <w:spacing w:val="20"/>
          <w:sz w:val="24"/>
          <w:szCs w:val="24"/>
          <w:lang w:val="es-DO"/>
        </w:rPr>
        <w:t>stablece las Políticas de Estandarización.</w:t>
      </w:r>
      <w:r w:rsidR="00565AD0" w:rsidRPr="00A4233F">
        <w:rPr>
          <w:rFonts w:ascii="Times New Roman" w:eastAsia="Calibri" w:hAnsi="Times New Roman" w:cs="Times New Roman"/>
          <w:noProof/>
          <w:color w:val="4C4747"/>
          <w:spacing w:val="20"/>
          <w:sz w:val="24"/>
          <w:szCs w:val="24"/>
          <w:lang w:val="es-DO"/>
        </w:rPr>
        <w:t xml:space="preserve"> </w:t>
      </w:r>
    </w:p>
    <w:p w14:paraId="2333CB4C" w14:textId="77777777" w:rsidR="00DF71E1" w:rsidRPr="009714C2" w:rsidRDefault="00DF71E1" w:rsidP="00DF71E1">
      <w:pPr>
        <w:rPr>
          <w:color w:val="4C4747"/>
          <w:lang w:val="es-DO"/>
        </w:rPr>
      </w:pPr>
    </w:p>
    <w:p w14:paraId="420B57F0" w14:textId="77777777" w:rsidR="004C557A" w:rsidRPr="009714C2" w:rsidRDefault="004C557A" w:rsidP="002B4451">
      <w:pPr>
        <w:spacing w:line="360" w:lineRule="auto"/>
        <w:jc w:val="both"/>
        <w:rPr>
          <w:rFonts w:ascii="Times New Roman" w:eastAsia="Calibri" w:hAnsi="Times New Roman" w:cs="Times New Roman"/>
          <w:color w:val="4C4747"/>
          <w:spacing w:val="20"/>
          <w:sz w:val="24"/>
          <w:szCs w:val="24"/>
          <w:lang w:val="es-DO"/>
        </w:rPr>
      </w:pPr>
    </w:p>
    <w:p w14:paraId="48397C49" w14:textId="77777777" w:rsidR="004C557A" w:rsidRPr="009714C2" w:rsidRDefault="004C557A" w:rsidP="002B4451">
      <w:pPr>
        <w:spacing w:line="360" w:lineRule="auto"/>
        <w:jc w:val="both"/>
        <w:rPr>
          <w:rFonts w:ascii="Times New Roman" w:eastAsia="Calibri" w:hAnsi="Times New Roman" w:cs="Times New Roman"/>
          <w:color w:val="4C4747"/>
          <w:spacing w:val="20"/>
          <w:sz w:val="24"/>
          <w:szCs w:val="24"/>
          <w:lang w:val="es-DO"/>
        </w:rPr>
      </w:pPr>
    </w:p>
    <w:p w14:paraId="6061DE26" w14:textId="77777777" w:rsidR="004C557A" w:rsidRPr="009714C2" w:rsidRDefault="004C557A" w:rsidP="002B4451">
      <w:pPr>
        <w:spacing w:line="360" w:lineRule="auto"/>
        <w:jc w:val="both"/>
        <w:rPr>
          <w:rFonts w:ascii="Times New Roman" w:eastAsia="Calibri" w:hAnsi="Times New Roman" w:cs="Times New Roman"/>
          <w:color w:val="4C4747"/>
          <w:spacing w:val="20"/>
          <w:sz w:val="24"/>
          <w:szCs w:val="24"/>
          <w:lang w:val="es-DO"/>
        </w:rPr>
      </w:pPr>
    </w:p>
    <w:p w14:paraId="25944BA5" w14:textId="77777777" w:rsidR="004C557A" w:rsidRPr="009714C2" w:rsidRDefault="004C557A" w:rsidP="002B4451">
      <w:pPr>
        <w:spacing w:line="360" w:lineRule="auto"/>
        <w:jc w:val="both"/>
        <w:rPr>
          <w:rFonts w:ascii="Times New Roman" w:eastAsia="Calibri" w:hAnsi="Times New Roman" w:cs="Times New Roman"/>
          <w:color w:val="4C4747"/>
          <w:spacing w:val="20"/>
          <w:sz w:val="24"/>
          <w:szCs w:val="24"/>
          <w:lang w:val="es-DO"/>
        </w:rPr>
      </w:pPr>
    </w:p>
    <w:p w14:paraId="4526CBBD" w14:textId="77777777" w:rsidR="004C557A" w:rsidRPr="009714C2" w:rsidRDefault="004C557A" w:rsidP="002B4451">
      <w:pPr>
        <w:spacing w:line="360" w:lineRule="auto"/>
        <w:jc w:val="both"/>
        <w:rPr>
          <w:rFonts w:ascii="Times New Roman" w:eastAsia="Calibri" w:hAnsi="Times New Roman" w:cs="Times New Roman"/>
          <w:color w:val="4C4747"/>
          <w:spacing w:val="20"/>
          <w:sz w:val="24"/>
          <w:szCs w:val="24"/>
          <w:lang w:val="es-DO"/>
        </w:rPr>
      </w:pPr>
    </w:p>
    <w:p w14:paraId="08B84864" w14:textId="77777777" w:rsidR="00CF5F9D" w:rsidRPr="009714C2" w:rsidRDefault="00CF5F9D" w:rsidP="002B4451">
      <w:pPr>
        <w:spacing w:line="360" w:lineRule="auto"/>
        <w:jc w:val="both"/>
        <w:rPr>
          <w:rFonts w:ascii="Times New Roman" w:eastAsia="Calibri" w:hAnsi="Times New Roman" w:cs="Times New Roman"/>
          <w:color w:val="4C4747"/>
          <w:spacing w:val="20"/>
          <w:sz w:val="24"/>
          <w:szCs w:val="24"/>
          <w:lang w:val="es-DO"/>
        </w:rPr>
      </w:pPr>
    </w:p>
    <w:p w14:paraId="20BDD662" w14:textId="77777777" w:rsidR="00CF5F9D" w:rsidRPr="009714C2" w:rsidRDefault="00CF5F9D" w:rsidP="002B4451">
      <w:pPr>
        <w:spacing w:line="360" w:lineRule="auto"/>
        <w:jc w:val="both"/>
        <w:rPr>
          <w:rFonts w:ascii="Times New Roman" w:eastAsia="Calibri" w:hAnsi="Times New Roman" w:cs="Times New Roman"/>
          <w:color w:val="4C4747"/>
          <w:spacing w:val="20"/>
          <w:sz w:val="24"/>
          <w:szCs w:val="24"/>
          <w:lang w:val="es-DO"/>
        </w:rPr>
      </w:pPr>
    </w:p>
    <w:p w14:paraId="2923613E" w14:textId="77777777" w:rsidR="009A6D07" w:rsidRPr="009714C2" w:rsidRDefault="009A6D07" w:rsidP="009A6D07">
      <w:pPr>
        <w:spacing w:line="360" w:lineRule="auto"/>
        <w:jc w:val="both"/>
        <w:rPr>
          <w:rFonts w:ascii="Times New Roman" w:eastAsia="Calibri" w:hAnsi="Times New Roman" w:cs="Times New Roman"/>
          <w:color w:val="4C4747"/>
          <w:spacing w:val="20"/>
          <w:sz w:val="24"/>
          <w:szCs w:val="24"/>
          <w:lang w:val="es-DO"/>
        </w:rPr>
      </w:pPr>
    </w:p>
    <w:p w14:paraId="4D564869" w14:textId="77777777" w:rsidR="009A6D07" w:rsidRPr="009714C2" w:rsidRDefault="009A6D07" w:rsidP="009A6D07">
      <w:pPr>
        <w:spacing w:line="360" w:lineRule="auto"/>
        <w:jc w:val="both"/>
        <w:rPr>
          <w:rFonts w:ascii="Times New Roman" w:eastAsia="Calibri" w:hAnsi="Times New Roman" w:cs="Times New Roman"/>
          <w:color w:val="4C4747"/>
          <w:spacing w:val="20"/>
          <w:sz w:val="24"/>
          <w:szCs w:val="24"/>
          <w:lang w:val="es-DO"/>
        </w:rPr>
      </w:pPr>
    </w:p>
    <w:p w14:paraId="0224C987" w14:textId="675419F1" w:rsidR="009A6D07" w:rsidRPr="009714C2" w:rsidRDefault="009A6D07" w:rsidP="00A02BDE">
      <w:pPr>
        <w:pStyle w:val="Ttulo1"/>
        <w:numPr>
          <w:ilvl w:val="0"/>
          <w:numId w:val="27"/>
        </w:numPr>
        <w:jc w:val="center"/>
        <w:rPr>
          <w:b/>
          <w:color w:val="4C4747"/>
          <w:lang w:val="es-DO"/>
        </w:rPr>
      </w:pPr>
      <w:bookmarkStart w:id="44" w:name="_Toc122425256"/>
      <w:r w:rsidRPr="009714C2">
        <w:rPr>
          <w:b/>
          <w:color w:val="4C4747"/>
          <w:lang w:val="es-DO"/>
        </w:rPr>
        <w:lastRenderedPageBreak/>
        <w:t>PROYECCIONES AL PROXIMO AÑO</w:t>
      </w:r>
      <w:bookmarkEnd w:id="44"/>
    </w:p>
    <w:p w14:paraId="5853EA4D" w14:textId="77777777" w:rsidR="009A6D07" w:rsidRPr="009714C2" w:rsidRDefault="009A6D07" w:rsidP="009A6D07">
      <w:pPr>
        <w:jc w:val="both"/>
        <w:rPr>
          <w:rFonts w:ascii="Times New Roman" w:eastAsia="Calibri" w:hAnsi="Times New Roman" w:cs="Times New Roman"/>
          <w:color w:val="4C4747"/>
          <w:sz w:val="18"/>
          <w:lang w:val="es-DO"/>
        </w:rPr>
      </w:pPr>
      <w:r w:rsidRPr="009714C2">
        <w:rPr>
          <w:rFonts w:ascii="Times New Roman" w:eastAsia="Calibri" w:hAnsi="Times New Roman" w:cs="Times New Roman"/>
          <w:noProof/>
          <w:color w:val="4C4747"/>
          <w:sz w:val="18"/>
        </w:rPr>
        <mc:AlternateContent>
          <mc:Choice Requires="wps">
            <w:drawing>
              <wp:anchor distT="0" distB="0" distL="114300" distR="114300" simplePos="0" relativeHeight="251730944" behindDoc="0" locked="0" layoutInCell="1" allowOverlap="1" wp14:anchorId="77EE27BF" wp14:editId="37F01559">
                <wp:simplePos x="0" y="0"/>
                <wp:positionH relativeFrom="margin">
                  <wp:posOffset>2351100</wp:posOffset>
                </wp:positionH>
                <wp:positionV relativeFrom="paragraph">
                  <wp:posOffset>43815</wp:posOffset>
                </wp:positionV>
                <wp:extent cx="463550" cy="0"/>
                <wp:effectExtent l="0" t="19050" r="31750" b="19050"/>
                <wp:wrapNone/>
                <wp:docPr id="2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008A4" id="Straight Connector 21"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5.15pt,3.45pt" to="221.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ANA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" strokecolor="#ee2a24" strokeweight="2.25pt">
                <v:stroke joinstyle="miter"/>
                <w10:wrap anchorx="margin"/>
              </v:line>
            </w:pict>
          </mc:Fallback>
        </mc:AlternateContent>
      </w:r>
    </w:p>
    <w:p w14:paraId="265076E6" w14:textId="77777777" w:rsidR="009A6D07" w:rsidRPr="009714C2" w:rsidRDefault="009A6D07" w:rsidP="009A6D07">
      <w:pPr>
        <w:jc w:val="center"/>
        <w:rPr>
          <w:rFonts w:ascii="Times New Roman" w:eastAsia="Calibri" w:hAnsi="Times New Roman" w:cs="Times New Roman"/>
          <w:color w:val="4C4747"/>
          <w:spacing w:val="20"/>
          <w:sz w:val="24"/>
          <w:szCs w:val="36"/>
          <w:lang w:val="es-DO"/>
        </w:rPr>
      </w:pPr>
      <w:r w:rsidRPr="009714C2">
        <w:rPr>
          <w:rFonts w:ascii="Times New Roman" w:eastAsia="Calibri" w:hAnsi="Times New Roman" w:cs="Times New Roman"/>
          <w:color w:val="4C4747"/>
          <w:spacing w:val="20"/>
          <w:sz w:val="24"/>
          <w:szCs w:val="36"/>
          <w:lang w:val="es-DO"/>
        </w:rPr>
        <w:t>Memoria Institucional 2022</w:t>
      </w:r>
    </w:p>
    <w:p w14:paraId="00A21DD9" w14:textId="77777777" w:rsidR="009A6D07" w:rsidRPr="009714C2" w:rsidRDefault="009A6D07" w:rsidP="002B4451">
      <w:pPr>
        <w:spacing w:line="360" w:lineRule="auto"/>
        <w:jc w:val="both"/>
        <w:rPr>
          <w:rFonts w:ascii="Times New Roman" w:eastAsia="Calibri" w:hAnsi="Times New Roman" w:cs="Times New Roman"/>
          <w:color w:val="4C4747"/>
          <w:spacing w:val="20"/>
          <w:sz w:val="24"/>
          <w:szCs w:val="24"/>
          <w:lang w:val="es-DO"/>
        </w:rPr>
      </w:pPr>
    </w:p>
    <w:p w14:paraId="58BF955F" w14:textId="64169C0B" w:rsidR="00E86F9C" w:rsidRPr="009714C2" w:rsidRDefault="003F48A9" w:rsidP="002B4451">
      <w:pPr>
        <w:spacing w:line="360" w:lineRule="auto"/>
        <w:jc w:val="both"/>
        <w:rPr>
          <w:rFonts w:ascii="Times New Roman" w:eastAsia="Calibri" w:hAnsi="Times New Roman" w:cs="Times New Roman"/>
          <w:b/>
          <w:color w:val="4C4747"/>
          <w:spacing w:val="20"/>
          <w:sz w:val="24"/>
          <w:szCs w:val="24"/>
          <w:lang w:val="es-DO"/>
        </w:rPr>
      </w:pPr>
      <w:r w:rsidRPr="009714C2">
        <w:rPr>
          <w:rFonts w:ascii="Times New Roman" w:eastAsia="Calibri" w:hAnsi="Times New Roman" w:cs="Times New Roman"/>
          <w:b/>
          <w:color w:val="4C4747"/>
          <w:spacing w:val="20"/>
          <w:sz w:val="24"/>
          <w:szCs w:val="24"/>
          <w:lang w:val="es-DO"/>
        </w:rPr>
        <w:t>Proyecciones Año 2023</w:t>
      </w:r>
    </w:p>
    <w:p w14:paraId="7D34785A" w14:textId="77777777" w:rsidR="00EF195C" w:rsidRPr="009714C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9714C2">
        <w:rPr>
          <w:rFonts w:ascii="Times New Roman" w:eastAsia="Calibri" w:hAnsi="Times New Roman" w:cs="Times New Roman"/>
          <w:b/>
          <w:color w:val="4C4747"/>
          <w:spacing w:val="20"/>
          <w:sz w:val="24"/>
          <w:szCs w:val="24"/>
          <w:lang w:val="es-DO"/>
        </w:rPr>
        <w:t>Plan Bianual de Proyectos de Desarrollo para el Período 2021-2022</w:t>
      </w:r>
    </w:p>
    <w:p w14:paraId="760EC124" w14:textId="77777777" w:rsidR="00EF195C" w:rsidRPr="009714C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9714C2">
        <w:rPr>
          <w:rFonts w:ascii="Times New Roman" w:eastAsia="Calibri" w:hAnsi="Times New Roman" w:cs="Times New Roman"/>
          <w:b/>
          <w:color w:val="4C4747"/>
          <w:spacing w:val="20"/>
          <w:sz w:val="24"/>
          <w:szCs w:val="24"/>
          <w:lang w:val="es-DO"/>
        </w:rPr>
        <w:t>Proyecto: Conectar a los No Conectados</w:t>
      </w:r>
    </w:p>
    <w:p w14:paraId="2F14850E" w14:textId="77777777" w:rsidR="00EF195C" w:rsidRPr="009714C2" w:rsidRDefault="00EF195C" w:rsidP="00EF195C">
      <w:pPr>
        <w:spacing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Es un proyecto integral que dotará a comunidades rurales no servidas o con bajos niveles de penetración de internet, que viven bajo línea de pobreza, del acceso y conectividad a la banda ancha de calidad, que contribuya a la reducción de la brecha digital de la República Dominicana, bajo las premisas de una conectividad significativa, que se refiere a un uso regular de internet, un dispositivo móvil apropiado,  datos suficientes y una conexión con un ancho de banda mínimo de 10 Mbps, que haga posible que estas tecnologías tengan un impacto positivo en su calidad de vida.</w:t>
      </w:r>
    </w:p>
    <w:p w14:paraId="7D034D5B" w14:textId="77777777" w:rsidR="00EF195C" w:rsidRPr="009714C2" w:rsidRDefault="00EF195C" w:rsidP="00EF195C">
      <w:pPr>
        <w:spacing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El proyecto está conformado por tres (3) componentes principales:</w:t>
      </w:r>
    </w:p>
    <w:p w14:paraId="02BB9E83" w14:textId="31B92BBE" w:rsidR="00EF195C" w:rsidRPr="009714C2" w:rsidRDefault="00EF195C" w:rsidP="00A02BDE">
      <w:pPr>
        <w:pStyle w:val="Prrafodelista"/>
        <w:numPr>
          <w:ilvl w:val="1"/>
          <w:numId w:val="35"/>
        </w:numPr>
        <w:spacing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Acceso e Infraestructura;</w:t>
      </w:r>
    </w:p>
    <w:p w14:paraId="72BCC434" w14:textId="3881AB1E" w:rsidR="00EF195C" w:rsidRPr="009714C2" w:rsidRDefault="00EF195C" w:rsidP="00A02BDE">
      <w:pPr>
        <w:pStyle w:val="Prrafodelista"/>
        <w:numPr>
          <w:ilvl w:val="1"/>
          <w:numId w:val="35"/>
        </w:numPr>
        <w:spacing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Subsidio a la Demanda;</w:t>
      </w:r>
    </w:p>
    <w:p w14:paraId="4EBFFD12" w14:textId="720A9505" w:rsidR="00EF195C" w:rsidRPr="009714C2" w:rsidRDefault="00EF195C" w:rsidP="00A02BDE">
      <w:pPr>
        <w:pStyle w:val="Prrafodelista"/>
        <w:numPr>
          <w:ilvl w:val="1"/>
          <w:numId w:val="35"/>
        </w:numPr>
        <w:spacing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Apropiación Social y Desarrollo de Habilidades.</w:t>
      </w:r>
    </w:p>
    <w:p w14:paraId="365C87F6" w14:textId="77777777" w:rsidR="00EF195C" w:rsidRPr="009714C2" w:rsidRDefault="00EF195C" w:rsidP="00EF195C">
      <w:pPr>
        <w:spacing w:line="360" w:lineRule="auto"/>
        <w:jc w:val="both"/>
        <w:rPr>
          <w:rFonts w:ascii="Times New Roman" w:eastAsia="Calibri" w:hAnsi="Times New Roman" w:cs="Times New Roman"/>
          <w:b/>
          <w:color w:val="4C4747"/>
          <w:spacing w:val="20"/>
          <w:sz w:val="24"/>
          <w:szCs w:val="24"/>
          <w:lang w:val="es-DO"/>
        </w:rPr>
      </w:pPr>
    </w:p>
    <w:p w14:paraId="023ADDDE" w14:textId="77777777" w:rsidR="00EF195C" w:rsidRPr="009714C2" w:rsidRDefault="00EF195C" w:rsidP="00EF195C">
      <w:pPr>
        <w:spacing w:line="360" w:lineRule="auto"/>
        <w:jc w:val="both"/>
        <w:rPr>
          <w:rFonts w:ascii="Times New Roman" w:eastAsia="Calibri" w:hAnsi="Times New Roman" w:cs="Times New Roman"/>
          <w:b/>
          <w:color w:val="4C4747"/>
          <w:spacing w:val="20"/>
          <w:sz w:val="24"/>
          <w:szCs w:val="24"/>
          <w:lang w:val="es-DO"/>
        </w:rPr>
      </w:pPr>
    </w:p>
    <w:p w14:paraId="275E2F7B" w14:textId="77777777" w:rsidR="00EF195C" w:rsidRPr="009714C2" w:rsidRDefault="00EF195C" w:rsidP="00EF195C">
      <w:pPr>
        <w:spacing w:line="360" w:lineRule="auto"/>
        <w:jc w:val="both"/>
        <w:rPr>
          <w:rFonts w:ascii="Times New Roman" w:eastAsia="Calibri" w:hAnsi="Times New Roman" w:cs="Times New Roman"/>
          <w:b/>
          <w:color w:val="4C4747"/>
          <w:spacing w:val="20"/>
          <w:sz w:val="24"/>
          <w:szCs w:val="24"/>
          <w:lang w:val="es-DO"/>
        </w:rPr>
      </w:pPr>
    </w:p>
    <w:p w14:paraId="635048C1" w14:textId="77777777" w:rsidR="00EF195C" w:rsidRPr="009714C2" w:rsidRDefault="00EF195C" w:rsidP="00EF195C">
      <w:pPr>
        <w:spacing w:line="360" w:lineRule="auto"/>
        <w:jc w:val="both"/>
        <w:rPr>
          <w:rFonts w:ascii="Times New Roman" w:eastAsia="Calibri" w:hAnsi="Times New Roman" w:cs="Times New Roman"/>
          <w:b/>
          <w:color w:val="4C4747"/>
          <w:spacing w:val="20"/>
          <w:sz w:val="24"/>
          <w:szCs w:val="24"/>
          <w:lang w:val="es-DO"/>
        </w:rPr>
      </w:pPr>
    </w:p>
    <w:p w14:paraId="1A03FCC1" w14:textId="77777777" w:rsidR="00EF195C" w:rsidRPr="009714C2" w:rsidRDefault="00EF195C" w:rsidP="00EF195C">
      <w:pPr>
        <w:spacing w:line="360" w:lineRule="auto"/>
        <w:jc w:val="both"/>
        <w:rPr>
          <w:rFonts w:ascii="Times New Roman" w:eastAsia="Calibri" w:hAnsi="Times New Roman" w:cs="Times New Roman"/>
          <w:b/>
          <w:color w:val="4C4747"/>
          <w:spacing w:val="20"/>
          <w:sz w:val="24"/>
          <w:szCs w:val="24"/>
          <w:lang w:val="es-DO"/>
        </w:rPr>
      </w:pPr>
    </w:p>
    <w:p w14:paraId="13AAE7EC" w14:textId="106C61C4"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BB4D02">
        <w:rPr>
          <w:rFonts w:ascii="Times New Roman" w:eastAsia="Calibri" w:hAnsi="Times New Roman" w:cs="Times New Roman"/>
          <w:b/>
          <w:color w:val="4C4747"/>
          <w:spacing w:val="20"/>
          <w:sz w:val="24"/>
          <w:szCs w:val="24"/>
          <w:lang w:val="es-DO"/>
        </w:rPr>
        <w:lastRenderedPageBreak/>
        <w:t>Finalización de la Ejecución</w:t>
      </w:r>
      <w:r w:rsidR="00385197" w:rsidRPr="00BB4D02">
        <w:rPr>
          <w:rFonts w:ascii="Times New Roman" w:eastAsia="Calibri" w:hAnsi="Times New Roman" w:cs="Times New Roman"/>
          <w:b/>
          <w:color w:val="4C4747"/>
          <w:spacing w:val="20"/>
          <w:sz w:val="24"/>
          <w:szCs w:val="24"/>
          <w:lang w:val="es-DO"/>
        </w:rPr>
        <w:t xml:space="preserve"> del Plan Bianual de Proyectos </w:t>
      </w:r>
    </w:p>
    <w:p w14:paraId="1E9000C8"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Para el año 2023, estaremos finalizando con la implementación del componente  Acceso e Infraestructura y la Apropiación Social y Desarrollo de Habilidades Digitales.  </w:t>
      </w:r>
    </w:p>
    <w:p w14:paraId="157ACD67" w14:textId="0380093C"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Además se completarán las capacitaciones que propiciarán el desarrollo de habilidades digitales con enfoque de género a las beneficiarias de la Canasta Digital, </w:t>
      </w:r>
    </w:p>
    <w:p w14:paraId="2326AC9B"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Tal como nos instruye nuestra Ley Orgánica Núm. 153-98, Ley General de las Telecomunicaciones y en consonancia con la Política Social de Servicio Universal, estaremos aprobando el Plan Bianual de Proyectos de Desarrollo 2023-2024.</w:t>
      </w:r>
    </w:p>
    <w:p w14:paraId="61EEF260" w14:textId="77777777" w:rsidR="00EF195C" w:rsidRPr="00BB4D02" w:rsidRDefault="00EF195C" w:rsidP="00EF195C">
      <w:pPr>
        <w:spacing w:line="360" w:lineRule="auto"/>
        <w:jc w:val="both"/>
        <w:rPr>
          <w:rFonts w:ascii="Times New Roman" w:eastAsia="Calibri" w:hAnsi="Times New Roman" w:cs="Times New Roman"/>
          <w:b/>
          <w:color w:val="4C4747"/>
          <w:spacing w:val="20"/>
          <w:sz w:val="8"/>
          <w:szCs w:val="8"/>
          <w:lang w:val="es-DO"/>
        </w:rPr>
      </w:pPr>
    </w:p>
    <w:p w14:paraId="486E424B" w14:textId="77777777"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BB4D02">
        <w:rPr>
          <w:rFonts w:ascii="Times New Roman" w:eastAsia="Calibri" w:hAnsi="Times New Roman" w:cs="Times New Roman"/>
          <w:b/>
          <w:color w:val="4C4747"/>
          <w:spacing w:val="20"/>
          <w:sz w:val="24"/>
          <w:szCs w:val="24"/>
          <w:lang w:val="es-DO"/>
        </w:rPr>
        <w:t>Agenda Regulatoria para el año 2023</w:t>
      </w:r>
    </w:p>
    <w:p w14:paraId="48F20C4A"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El listado propuesto para la Agenda Regulatoria para el año 2023 es el siguiente: </w:t>
      </w:r>
    </w:p>
    <w:p w14:paraId="08CE52F2" w14:textId="1BBA91D5" w:rsidR="00EF195C" w:rsidRPr="00BB4D02" w:rsidRDefault="00EF195C"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Modificación al Reglamento para la Reventa de Servicios Públicos de Telecomunicaciones </w:t>
      </w:r>
    </w:p>
    <w:p w14:paraId="6E50BC24" w14:textId="3F979907" w:rsidR="00EF195C" w:rsidRPr="00BB4D02" w:rsidRDefault="00EF195C"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Modificación al Reglamento Procedimiento Sancionador Administrativo </w:t>
      </w:r>
    </w:p>
    <w:p w14:paraId="2A4EB40E" w14:textId="42A3AB72" w:rsidR="00EF195C" w:rsidRPr="00BB4D02" w:rsidRDefault="00EF195C"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Modificación al Reglamento de Autorizaciones para Servicios de Telecomunicaciones </w:t>
      </w:r>
    </w:p>
    <w:p w14:paraId="285E440B" w14:textId="321A4C1F" w:rsidR="00EF195C" w:rsidRPr="00BB4D02" w:rsidRDefault="00EF195C"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Estudio de Mercados Relevantes – 2023 </w:t>
      </w:r>
    </w:p>
    <w:p w14:paraId="4365345C" w14:textId="5655E167" w:rsidR="00EF195C" w:rsidRPr="00BB4D02" w:rsidRDefault="00EF195C" w:rsidP="00A02BDE">
      <w:pPr>
        <w:pStyle w:val="Prrafodelista"/>
        <w:numPr>
          <w:ilvl w:val="0"/>
          <w:numId w:val="29"/>
        </w:num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Reglamento de Aplicación de la nueva Ley de Comercio Electrónico, Documentos y Firmas Digitales</w:t>
      </w:r>
    </w:p>
    <w:p w14:paraId="1C968983" w14:textId="77777777"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BB4D02">
        <w:rPr>
          <w:rFonts w:ascii="Times New Roman" w:eastAsia="Calibri" w:hAnsi="Times New Roman" w:cs="Times New Roman"/>
          <w:b/>
          <w:color w:val="4C4747"/>
          <w:spacing w:val="20"/>
          <w:sz w:val="24"/>
          <w:szCs w:val="24"/>
          <w:lang w:val="es-DO"/>
        </w:rPr>
        <w:t>Actualización y modernización de la Ley General de Telecomunicaciones</w:t>
      </w:r>
    </w:p>
    <w:p w14:paraId="56262322"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El objetivo principal de la actualización y modernización de la Ley General de Telecomunicaciones número 153-98 es para facilitar el </w:t>
      </w:r>
      <w:r w:rsidRPr="00BB4D02">
        <w:rPr>
          <w:rFonts w:ascii="Times New Roman" w:eastAsia="Calibri" w:hAnsi="Times New Roman" w:cs="Times New Roman"/>
          <w:color w:val="4C4747"/>
          <w:spacing w:val="20"/>
          <w:sz w:val="24"/>
          <w:szCs w:val="24"/>
          <w:lang w:val="es-DO"/>
        </w:rPr>
        <w:lastRenderedPageBreak/>
        <w:t xml:space="preserve">despliegue y ampliación de las redes, impulsar condiciones de competencia más efectivas y dar un uso más eficiente del espectro radioeléctrico, que redunden en mejores ofertas para los usuarios, acompañadas de una adecuada protección de los datos de carácter personal y la privacidad de éstos; el fortalecimiento de las capacidades de regulación y control del INDOTEL para ordenar el funcionamiento del mercado e intervenir ante fallas en el mismo, de cara al cumplimiento de los Objetivos de Desarrollo Sostenible (ODS) y la Estrategia Nacional de Desarrollo (END) 2030. </w:t>
      </w:r>
    </w:p>
    <w:p w14:paraId="101EA034"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Asimismo, unificar principios y criterios consignados en diferentes normas asociadas a elementos y componentes relacionados con las TIC y, en consecuencia, evitar dispersión y garantizar la articulación y visión uniforme de las reglas aplicables al sector, de manera simplificada, coherente y armónica, promoviendo la coordinación entre entes y órganos del Estado dada la transversalidad de las TIC.</w:t>
      </w:r>
    </w:p>
    <w:p w14:paraId="01F49DFF"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Se tiene programado para el año 2023 la aprobación por el Congreso Nacional de la modificación a la Ley General de Telecomunicaciones.  </w:t>
      </w:r>
    </w:p>
    <w:p w14:paraId="205DEE78" w14:textId="77777777" w:rsidR="00EF195C" w:rsidRPr="00BB4D02" w:rsidRDefault="00EF195C" w:rsidP="00EF195C">
      <w:pPr>
        <w:spacing w:line="360" w:lineRule="auto"/>
        <w:jc w:val="both"/>
        <w:rPr>
          <w:rFonts w:ascii="Times New Roman" w:eastAsia="Calibri" w:hAnsi="Times New Roman" w:cs="Times New Roman"/>
          <w:b/>
          <w:color w:val="4C4747"/>
          <w:spacing w:val="20"/>
          <w:sz w:val="8"/>
          <w:szCs w:val="8"/>
          <w:lang w:val="es-DO"/>
        </w:rPr>
      </w:pPr>
    </w:p>
    <w:p w14:paraId="4E92393A" w14:textId="77777777"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BB4D02">
        <w:rPr>
          <w:rFonts w:ascii="Times New Roman" w:eastAsia="Calibri" w:hAnsi="Times New Roman" w:cs="Times New Roman"/>
          <w:b/>
          <w:color w:val="4C4747"/>
          <w:spacing w:val="20"/>
          <w:sz w:val="24"/>
          <w:szCs w:val="24"/>
          <w:lang w:val="es-DO"/>
        </w:rPr>
        <w:t>Plan de Transición a la Televisión Terrestre Digital</w:t>
      </w:r>
    </w:p>
    <w:p w14:paraId="5AAA496D"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El Plan de Transición a la Televisión Terrestre Digital (TTD) es el documento que contiene la planificación programada de etapas técnicas que rigen la implementación y migración hacia la Televisión Terrestre Digital (TTD) basadas en el estándar ATSC 1.0 adoptado. Este plan establece el marco normativo para la extinción del cese de las emisiones de televisión analógica y de su plena sustitución por emisiones de televisión digital.</w:t>
      </w:r>
    </w:p>
    <w:p w14:paraId="51CFAEE4"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Tiene por objeto establecer las condiciones y directrices a seguir por parte de las concesionarias del servicio de radiodifusión televisiva y que deberán tomar en consideración para la transición de la televisión </w:t>
      </w:r>
      <w:r w:rsidRPr="00BB4D02">
        <w:rPr>
          <w:rFonts w:ascii="Times New Roman" w:eastAsia="Calibri" w:hAnsi="Times New Roman" w:cs="Times New Roman"/>
          <w:color w:val="4C4747"/>
          <w:spacing w:val="20"/>
          <w:sz w:val="24"/>
          <w:szCs w:val="24"/>
          <w:lang w:val="es-DO"/>
        </w:rPr>
        <w:lastRenderedPageBreak/>
        <w:t>analógica a la digital, así como definir el cronograma de implementación de la Televisión Terrestre Digital a fin de cumplir con los mandatos establecidos por Decreto, la Ley Núm. 153-98 y las reglamentaciones aplicables.</w:t>
      </w:r>
    </w:p>
    <w:p w14:paraId="277547EE"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El 31 de agosto del 2023 es la fecha límite para que las concesionarias del servicio de radiodifusión televisiva procedan a realizar el apagón analógico y el 31 de diciembre del 2023 es la fecha límite del encendido digital.  </w:t>
      </w:r>
    </w:p>
    <w:p w14:paraId="59554CE7" w14:textId="77777777"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p>
    <w:p w14:paraId="387412C9" w14:textId="77777777"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BB4D02">
        <w:rPr>
          <w:rFonts w:ascii="Times New Roman" w:eastAsia="Calibri" w:hAnsi="Times New Roman" w:cs="Times New Roman"/>
          <w:b/>
          <w:color w:val="4C4747"/>
          <w:spacing w:val="20"/>
          <w:sz w:val="24"/>
          <w:szCs w:val="24"/>
          <w:lang w:val="es-DO"/>
        </w:rPr>
        <w:t>Programa para Mejorar la Conectividad para la Transformación Digital en la República Dominicana</w:t>
      </w:r>
    </w:p>
    <w:p w14:paraId="58016CD4"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El Gobierno Dominicano se embarcó en un préstamo con el Banco Interamericano de Desarrollo (BID), para la ejecución del “Programa para Mejorar la Conectividad para la Transformación Digital en la República Dominicana” (DR-L1147), su objetivo general es transformar digitalmente a la República Dominicana proveyéndola con un servicio de internet de calidad y asequible con una inversión de US$115 millones de dólares; para dichos fines se creó la Dirección de la Unidad Ejecutora del Proyecto BID, la cual es responsable de la ejecución del préstamo.</w:t>
      </w:r>
    </w:p>
    <w:p w14:paraId="49B8E99E"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Se planificaron tres áreas de ejecución, cada una es abordada por un componente específico. </w:t>
      </w:r>
    </w:p>
    <w:p w14:paraId="55E71BC1"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 Componente 1. Garantizar que la transición de la televisión análoga a digital tenga un carácter socialmente incluyente. En el 2023 se tiene previsto distribuir las 450,000 mil cajas convertidoras junto a SUPERATE en hogares vulnerables.  </w:t>
      </w:r>
    </w:p>
    <w:p w14:paraId="1E208E49"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 Componente 2. Ampliar las redes alámbricas de acceso a internet, expandir la Red Nacional de Fibra Óptica (RNFO) y garantizar la </w:t>
      </w:r>
      <w:r w:rsidRPr="00BB4D02">
        <w:rPr>
          <w:rFonts w:ascii="Times New Roman" w:eastAsia="Calibri" w:hAnsi="Times New Roman" w:cs="Times New Roman"/>
          <w:color w:val="4C4747"/>
          <w:spacing w:val="20"/>
          <w:sz w:val="24"/>
          <w:szCs w:val="24"/>
          <w:lang w:val="es-DO"/>
        </w:rPr>
        <w:lastRenderedPageBreak/>
        <w:t>disponibilidad de conectividad internacional.  En el 2023 se tiene provisto la expansión de redes alámbricas de transporte de datos a internet en dos municipios en el marco del Plan Nacional de Banda Ancha.</w:t>
      </w:r>
    </w:p>
    <w:p w14:paraId="61FF51D2"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Componente 3. Capacitar a la ciudadanía en el uso productivo de las TIC. Se tiene previsto para el 2023 capacitar en habilidades digitales a 5,000 personas.</w:t>
      </w:r>
    </w:p>
    <w:p w14:paraId="1AF2D42F" w14:textId="77777777" w:rsidR="00EF195C" w:rsidRPr="00BB4D02" w:rsidRDefault="00EF195C" w:rsidP="00EF195C">
      <w:pPr>
        <w:spacing w:line="360" w:lineRule="auto"/>
        <w:jc w:val="both"/>
        <w:rPr>
          <w:rFonts w:ascii="Times New Roman" w:eastAsia="Calibri" w:hAnsi="Times New Roman" w:cs="Times New Roman"/>
          <w:b/>
          <w:color w:val="4C4747"/>
          <w:spacing w:val="20"/>
          <w:sz w:val="8"/>
          <w:szCs w:val="8"/>
          <w:lang w:val="es-DO"/>
        </w:rPr>
      </w:pPr>
    </w:p>
    <w:p w14:paraId="70C2E251" w14:textId="77777777"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BB4D02">
        <w:rPr>
          <w:rFonts w:ascii="Times New Roman" w:eastAsia="Calibri" w:hAnsi="Times New Roman" w:cs="Times New Roman"/>
          <w:b/>
          <w:color w:val="4C4747"/>
          <w:spacing w:val="20"/>
          <w:sz w:val="24"/>
          <w:szCs w:val="24"/>
          <w:lang w:val="es-DO"/>
        </w:rPr>
        <w:t>Plataforma Web para el Sello de Confianza de Comercio Electrónico de la República Dominicana</w:t>
      </w:r>
    </w:p>
    <w:p w14:paraId="7F71360F"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El rol del INDOTEL en torno al Comercio Electrónico, prevé dotar a este tipo de comercio de reglas claras sobre el perfeccionamiento de los compromisos asumidos a través de expresiones de la voluntad por la vía electrónica, lo cual brindará un marco de seguridad y confianza para el desarrollo de transacciones electrónicas con plena identificación de sus participantes y certeza respecto de la integridad del contenido de los documentos digitales y mensajes de datos emitidos por estos. </w:t>
      </w:r>
    </w:p>
    <w:p w14:paraId="3533C85F"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Este proyecto tiene como finalidad favorecer crear la normalización, reglamentación técnica y acreditación que garantice el cumplimiento de los requisitos de los mercados globales y un compromiso con la excelencia; según lo establece el EJE 3 (3.5.2) de la Estrategia Nacional de Desarrollo 2030 (END), para lo cual se implementará un portal web para promover mecanismos que generen confianza a los usuarios finales y empresas mediante la presentación de mejores prácticas.</w:t>
      </w:r>
    </w:p>
    <w:p w14:paraId="1E9AC625"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 xml:space="preserve">El proyecto propone la transformación digital mediante la implementación de nuevos servicios de auditorías a las empresas que soliciten ser acreditadas con el Sello de Confianza. Se realizarán </w:t>
      </w:r>
      <w:r w:rsidRPr="00BB4D02">
        <w:rPr>
          <w:rFonts w:ascii="Times New Roman" w:eastAsia="Calibri" w:hAnsi="Times New Roman" w:cs="Times New Roman"/>
          <w:color w:val="4C4747"/>
          <w:spacing w:val="20"/>
          <w:sz w:val="24"/>
          <w:szCs w:val="24"/>
          <w:lang w:val="es-DO"/>
        </w:rPr>
        <w:lastRenderedPageBreak/>
        <w:t xml:space="preserve">proceso de validación de cumplimiento de buenas prácticas en materia de comercio electrónico de estos sitios web usando diverso mecanismos y herramientas. </w:t>
      </w:r>
    </w:p>
    <w:p w14:paraId="32B046EB"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Como parte del plan de trabajo del año 2023 se tiene previsto la implementación del Sello de Confianza de Comercio Electrónico de la República Dominicana.</w:t>
      </w:r>
    </w:p>
    <w:p w14:paraId="0870706D" w14:textId="77777777" w:rsidR="00EF195C" w:rsidRPr="00BB4D02" w:rsidRDefault="00EF195C" w:rsidP="00EF195C">
      <w:pPr>
        <w:spacing w:line="360" w:lineRule="auto"/>
        <w:jc w:val="both"/>
        <w:rPr>
          <w:rFonts w:ascii="Times New Roman" w:eastAsia="Calibri" w:hAnsi="Times New Roman" w:cs="Times New Roman"/>
          <w:b/>
          <w:color w:val="4C4747"/>
          <w:spacing w:val="20"/>
          <w:sz w:val="8"/>
          <w:szCs w:val="8"/>
          <w:lang w:val="es-DO"/>
        </w:rPr>
      </w:pPr>
    </w:p>
    <w:p w14:paraId="4717D872" w14:textId="77777777"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BB4D02">
        <w:rPr>
          <w:rFonts w:ascii="Times New Roman" w:eastAsia="Calibri" w:hAnsi="Times New Roman" w:cs="Times New Roman"/>
          <w:b/>
          <w:color w:val="4C4747"/>
          <w:spacing w:val="20"/>
          <w:sz w:val="24"/>
          <w:szCs w:val="24"/>
          <w:lang w:val="es-DO"/>
        </w:rPr>
        <w:t>Construcción Edificio Sede INDOTEL:</w:t>
      </w:r>
    </w:p>
    <w:p w14:paraId="78D76A8C"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Se planea comenzar la construcción en el año 2023 inmediatamente culmine la licitación de construcción de la nueva Sede del INDOTEL.</w:t>
      </w:r>
    </w:p>
    <w:p w14:paraId="5C321585" w14:textId="77777777" w:rsidR="00EF195C" w:rsidRPr="00BB4D02" w:rsidRDefault="00EF195C" w:rsidP="00EF195C">
      <w:pPr>
        <w:spacing w:line="360" w:lineRule="auto"/>
        <w:jc w:val="both"/>
        <w:rPr>
          <w:rFonts w:ascii="Times New Roman" w:eastAsia="Calibri" w:hAnsi="Times New Roman" w:cs="Times New Roman"/>
          <w:b/>
          <w:color w:val="4C4747"/>
          <w:spacing w:val="20"/>
          <w:sz w:val="8"/>
          <w:szCs w:val="8"/>
          <w:lang w:val="es-DO"/>
        </w:rPr>
      </w:pPr>
    </w:p>
    <w:p w14:paraId="7B1F7497" w14:textId="77777777"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BB4D02">
        <w:rPr>
          <w:rFonts w:ascii="Times New Roman" w:eastAsia="Calibri" w:hAnsi="Times New Roman" w:cs="Times New Roman"/>
          <w:b/>
          <w:color w:val="4C4747"/>
          <w:spacing w:val="20"/>
          <w:sz w:val="24"/>
          <w:szCs w:val="24"/>
          <w:lang w:val="es-DO"/>
        </w:rPr>
        <w:t>Sello Igualando RD para el Sector Publico:</w:t>
      </w:r>
    </w:p>
    <w:p w14:paraId="00C8CF41" w14:textId="77777777" w:rsidR="00EF195C"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Se tiene previsto obtener la certificación del Sello Igualando RD en el mes de abril del 2023.</w:t>
      </w:r>
    </w:p>
    <w:p w14:paraId="4D08C4BC" w14:textId="77777777" w:rsidR="00EF195C" w:rsidRPr="00BB4D02" w:rsidRDefault="00EF195C" w:rsidP="00EF195C">
      <w:pPr>
        <w:spacing w:line="360" w:lineRule="auto"/>
        <w:jc w:val="both"/>
        <w:rPr>
          <w:rFonts w:ascii="Times New Roman" w:eastAsia="Calibri" w:hAnsi="Times New Roman" w:cs="Times New Roman"/>
          <w:b/>
          <w:color w:val="4C4747"/>
          <w:spacing w:val="20"/>
          <w:sz w:val="8"/>
          <w:szCs w:val="8"/>
          <w:lang w:val="es-DO"/>
        </w:rPr>
      </w:pPr>
    </w:p>
    <w:p w14:paraId="32C3909C" w14:textId="77777777" w:rsidR="00EF195C" w:rsidRPr="00BB4D02" w:rsidRDefault="00EF195C" w:rsidP="00EF195C">
      <w:pPr>
        <w:spacing w:line="360" w:lineRule="auto"/>
        <w:jc w:val="both"/>
        <w:rPr>
          <w:rFonts w:ascii="Times New Roman" w:eastAsia="Calibri" w:hAnsi="Times New Roman" w:cs="Times New Roman"/>
          <w:b/>
          <w:color w:val="4C4747"/>
          <w:spacing w:val="20"/>
          <w:sz w:val="24"/>
          <w:szCs w:val="24"/>
          <w:lang w:val="es-DO"/>
        </w:rPr>
      </w:pPr>
      <w:r w:rsidRPr="00BB4D02">
        <w:rPr>
          <w:rFonts w:ascii="Times New Roman" w:eastAsia="Calibri" w:hAnsi="Times New Roman" w:cs="Times New Roman"/>
          <w:b/>
          <w:color w:val="4C4747"/>
          <w:spacing w:val="20"/>
          <w:sz w:val="24"/>
          <w:szCs w:val="24"/>
          <w:lang w:val="es-DO"/>
        </w:rPr>
        <w:t>Programa Burocracia Cero:</w:t>
      </w:r>
    </w:p>
    <w:p w14:paraId="526D4682" w14:textId="138F79A8" w:rsidR="003F48A9" w:rsidRPr="00BB4D02" w:rsidRDefault="00EF195C" w:rsidP="00EF195C">
      <w:pPr>
        <w:spacing w:line="360" w:lineRule="auto"/>
        <w:jc w:val="both"/>
        <w:rPr>
          <w:rFonts w:ascii="Times New Roman" w:eastAsia="Calibri" w:hAnsi="Times New Roman" w:cs="Times New Roman"/>
          <w:color w:val="4C4747"/>
          <w:spacing w:val="20"/>
          <w:sz w:val="24"/>
          <w:szCs w:val="24"/>
          <w:lang w:val="es-DO"/>
        </w:rPr>
      </w:pPr>
      <w:r w:rsidRPr="00BB4D02">
        <w:rPr>
          <w:rFonts w:ascii="Times New Roman" w:eastAsia="Calibri" w:hAnsi="Times New Roman" w:cs="Times New Roman"/>
          <w:color w:val="4C4747"/>
          <w:spacing w:val="20"/>
          <w:sz w:val="24"/>
          <w:szCs w:val="24"/>
          <w:lang w:val="es-DO"/>
        </w:rPr>
        <w:t>Para el año 2023 se tiene previsto la implementación de la segunda fase del programa Burocracia Cero la cual consiste en la automatización de los procesos de los siete servicios que se encuentran disponibles en el portal de Servicios del Gobierno Dominicano.</w:t>
      </w:r>
    </w:p>
    <w:p w14:paraId="4EF37D17" w14:textId="77777777" w:rsidR="00E86F9C" w:rsidRPr="00BB4D02" w:rsidRDefault="00E86F9C" w:rsidP="002B4451">
      <w:pPr>
        <w:spacing w:line="360" w:lineRule="auto"/>
        <w:jc w:val="both"/>
        <w:rPr>
          <w:rFonts w:ascii="Times New Roman" w:eastAsia="Calibri" w:hAnsi="Times New Roman" w:cs="Times New Roman"/>
          <w:color w:val="4C4747"/>
          <w:spacing w:val="20"/>
          <w:sz w:val="24"/>
          <w:szCs w:val="24"/>
          <w:lang w:val="es-DO"/>
        </w:rPr>
      </w:pPr>
    </w:p>
    <w:p w14:paraId="28EF4E68" w14:textId="77777777" w:rsidR="00385197" w:rsidRPr="00BB4D02" w:rsidRDefault="00385197" w:rsidP="002B4451">
      <w:pPr>
        <w:spacing w:line="360" w:lineRule="auto"/>
        <w:jc w:val="both"/>
        <w:rPr>
          <w:rFonts w:ascii="Times New Roman" w:eastAsia="Calibri" w:hAnsi="Times New Roman" w:cs="Times New Roman"/>
          <w:color w:val="4C4747"/>
          <w:spacing w:val="20"/>
          <w:sz w:val="24"/>
          <w:szCs w:val="24"/>
          <w:lang w:val="es-DO"/>
        </w:rPr>
      </w:pPr>
    </w:p>
    <w:p w14:paraId="7F9FBA14" w14:textId="77777777" w:rsidR="00385197" w:rsidRPr="00BB4D02" w:rsidRDefault="00385197" w:rsidP="002B4451">
      <w:pPr>
        <w:spacing w:line="360" w:lineRule="auto"/>
        <w:jc w:val="both"/>
        <w:rPr>
          <w:rFonts w:ascii="Times New Roman" w:eastAsia="Calibri" w:hAnsi="Times New Roman" w:cs="Times New Roman"/>
          <w:color w:val="4C4747"/>
          <w:spacing w:val="20"/>
          <w:sz w:val="24"/>
          <w:szCs w:val="24"/>
          <w:lang w:val="es-DO"/>
        </w:rPr>
      </w:pPr>
    </w:p>
    <w:p w14:paraId="2DB28A5A" w14:textId="77777777" w:rsidR="00385197" w:rsidRPr="00BB4D02" w:rsidRDefault="00385197" w:rsidP="002B4451">
      <w:pPr>
        <w:spacing w:line="360" w:lineRule="auto"/>
        <w:jc w:val="both"/>
        <w:rPr>
          <w:rFonts w:ascii="Times New Roman" w:eastAsia="Calibri" w:hAnsi="Times New Roman" w:cs="Times New Roman"/>
          <w:color w:val="4C4747"/>
          <w:spacing w:val="20"/>
          <w:sz w:val="24"/>
          <w:szCs w:val="24"/>
          <w:lang w:val="es-DO"/>
        </w:rPr>
      </w:pPr>
    </w:p>
    <w:p w14:paraId="3572668D" w14:textId="77777777" w:rsidR="00385197" w:rsidRPr="00BB4D02" w:rsidRDefault="00385197" w:rsidP="002B4451">
      <w:pPr>
        <w:spacing w:line="360" w:lineRule="auto"/>
        <w:jc w:val="both"/>
        <w:rPr>
          <w:rFonts w:ascii="Times New Roman" w:eastAsia="Calibri" w:hAnsi="Times New Roman" w:cs="Times New Roman"/>
          <w:color w:val="4C4747"/>
          <w:spacing w:val="20"/>
          <w:sz w:val="24"/>
          <w:szCs w:val="24"/>
          <w:lang w:val="es-DO"/>
        </w:rPr>
      </w:pPr>
    </w:p>
    <w:p w14:paraId="4CA56211" w14:textId="4D887244" w:rsidR="00FA019C" w:rsidRPr="009714C2" w:rsidRDefault="00163B61" w:rsidP="00A02BDE">
      <w:pPr>
        <w:pStyle w:val="Ttulo1"/>
        <w:numPr>
          <w:ilvl w:val="0"/>
          <w:numId w:val="27"/>
        </w:numPr>
        <w:jc w:val="center"/>
        <w:rPr>
          <w:b/>
          <w:color w:val="4C4747"/>
          <w:lang w:val="es-DO"/>
        </w:rPr>
      </w:pPr>
      <w:bookmarkStart w:id="45" w:name="_Toc122425257"/>
      <w:r w:rsidRPr="009714C2">
        <w:rPr>
          <w:b/>
          <w:color w:val="4C4747"/>
          <w:lang w:val="es-DO"/>
        </w:rPr>
        <w:lastRenderedPageBreak/>
        <w:t>ANEXOS</w:t>
      </w:r>
      <w:bookmarkEnd w:id="45"/>
    </w:p>
    <w:p w14:paraId="7FAFF7B2" w14:textId="77777777" w:rsidR="00FA019C" w:rsidRPr="009714C2" w:rsidRDefault="00FA019C" w:rsidP="00FA019C">
      <w:pPr>
        <w:jc w:val="both"/>
        <w:rPr>
          <w:rFonts w:ascii="Times New Roman" w:eastAsia="Calibri" w:hAnsi="Times New Roman" w:cs="Times New Roman"/>
          <w:color w:val="4C4747"/>
          <w:sz w:val="18"/>
          <w:lang w:val="es-DO"/>
        </w:rPr>
      </w:pPr>
      <w:r w:rsidRPr="009714C2">
        <w:rPr>
          <w:rFonts w:ascii="Times New Roman" w:eastAsia="Calibri" w:hAnsi="Times New Roman" w:cs="Times New Roman"/>
          <w:noProof/>
          <w:color w:val="4C4747"/>
          <w:sz w:val="18"/>
        </w:rPr>
        <mc:AlternateContent>
          <mc:Choice Requires="wps">
            <w:drawing>
              <wp:anchor distT="0" distB="0" distL="114300" distR="114300" simplePos="0" relativeHeight="251719680" behindDoc="0" locked="0" layoutInCell="1" allowOverlap="1" wp14:anchorId="7EBBCEDB" wp14:editId="05FBB241">
                <wp:simplePos x="0" y="0"/>
                <wp:positionH relativeFrom="margin">
                  <wp:posOffset>2254250</wp:posOffset>
                </wp:positionH>
                <wp:positionV relativeFrom="paragraph">
                  <wp:posOffset>36830</wp:posOffset>
                </wp:positionV>
                <wp:extent cx="463550" cy="0"/>
                <wp:effectExtent l="22860" t="15875" r="18415" b="22225"/>
                <wp:wrapNone/>
                <wp:docPr id="1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E354F" id="Straight Connector 2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IANQIAAFA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" strokecolor="#ee2a24" strokeweight="2.25pt">
                <v:stroke joinstyle="miter"/>
                <w10:wrap anchorx="margin"/>
              </v:line>
            </w:pict>
          </mc:Fallback>
        </mc:AlternateContent>
      </w:r>
    </w:p>
    <w:p w14:paraId="5D4A5C00" w14:textId="0E08FBAD" w:rsidR="00CF5F9D" w:rsidRPr="009714C2" w:rsidRDefault="00A23B48" w:rsidP="00CF5F9D">
      <w:pPr>
        <w:jc w:val="center"/>
        <w:rPr>
          <w:rFonts w:ascii="Times New Roman" w:eastAsia="Calibri" w:hAnsi="Times New Roman" w:cs="Times New Roman"/>
          <w:color w:val="4C4747"/>
          <w:spacing w:val="20"/>
          <w:sz w:val="24"/>
          <w:szCs w:val="36"/>
          <w:lang w:val="es-DO"/>
        </w:rPr>
      </w:pPr>
      <w:r w:rsidRPr="009714C2">
        <w:rPr>
          <w:rFonts w:ascii="Times New Roman" w:eastAsia="Calibri" w:hAnsi="Times New Roman" w:cs="Times New Roman"/>
          <w:color w:val="4C4747"/>
          <w:spacing w:val="20"/>
          <w:sz w:val="24"/>
          <w:szCs w:val="36"/>
          <w:lang w:val="es-DO"/>
        </w:rPr>
        <w:t xml:space="preserve">Memoria Institucional </w:t>
      </w:r>
      <w:r w:rsidR="00FA019C" w:rsidRPr="009714C2">
        <w:rPr>
          <w:rFonts w:ascii="Times New Roman" w:eastAsia="Calibri" w:hAnsi="Times New Roman" w:cs="Times New Roman"/>
          <w:color w:val="4C4747"/>
          <w:spacing w:val="20"/>
          <w:sz w:val="24"/>
          <w:szCs w:val="36"/>
          <w:lang w:val="es-DO"/>
        </w:rPr>
        <w:t>2022</w:t>
      </w:r>
      <w:bookmarkStart w:id="46" w:name="_Toc79678436"/>
    </w:p>
    <w:p w14:paraId="157C11AC" w14:textId="77777777" w:rsidR="00156419" w:rsidRPr="00F60454" w:rsidRDefault="00156419" w:rsidP="00156419">
      <w:pPr>
        <w:rPr>
          <w:rFonts w:ascii="Times New Roman" w:eastAsia="Calibri" w:hAnsi="Times New Roman" w:cs="Times New Roman"/>
          <w:color w:val="4C4747"/>
          <w:spacing w:val="20"/>
          <w:sz w:val="24"/>
          <w:szCs w:val="36"/>
          <w:lang w:val="es-DO"/>
        </w:rPr>
      </w:pPr>
    </w:p>
    <w:p w14:paraId="4AC53141" w14:textId="1A4C10D2" w:rsidR="00A93998" w:rsidRDefault="00A56B68" w:rsidP="008B0DE2">
      <w:pPr>
        <w:pStyle w:val="Prrafodelista"/>
        <w:keepNext/>
        <w:numPr>
          <w:ilvl w:val="0"/>
          <w:numId w:val="36"/>
        </w:numPr>
        <w:spacing w:before="240" w:after="60"/>
        <w:jc w:val="both"/>
        <w:outlineLvl w:val="2"/>
        <w:rPr>
          <w:rFonts w:ascii="Times New Roman" w:eastAsia="Times New Roman" w:hAnsi="Times New Roman" w:cs="Times New Roman"/>
          <w:b/>
          <w:bCs/>
          <w:color w:val="4C4747"/>
          <w:sz w:val="24"/>
          <w:szCs w:val="26"/>
          <w:lang w:val="es-DO" w:eastAsia="es-DO"/>
        </w:rPr>
      </w:pPr>
      <w:bookmarkStart w:id="47" w:name="_Toc122425258"/>
      <w:r w:rsidRPr="000D7F32">
        <w:rPr>
          <w:rFonts w:ascii="Times New Roman" w:eastAsia="Times New Roman" w:hAnsi="Times New Roman" w:cs="Times New Roman"/>
          <w:b/>
          <w:bCs/>
          <w:color w:val="4C4747"/>
          <w:sz w:val="24"/>
          <w:szCs w:val="26"/>
          <w:lang w:val="es-DO" w:eastAsia="es-DO"/>
        </w:rPr>
        <w:t>Matriz de Principales Indicadores de Gestión por Proceso</w:t>
      </w:r>
      <w:bookmarkEnd w:id="46"/>
      <w:bookmarkEnd w:id="47"/>
    </w:p>
    <w:p w14:paraId="732E086D" w14:textId="77777777" w:rsidR="008B0DE2" w:rsidRPr="008B0DE2" w:rsidRDefault="008B0DE2" w:rsidP="008B0DE2">
      <w:pPr>
        <w:pStyle w:val="Sinespaciado"/>
        <w:rPr>
          <w:lang w:val="es-DO" w:eastAsia="es-DO"/>
        </w:rPr>
      </w:pPr>
    </w:p>
    <w:tbl>
      <w:tblPr>
        <w:tblStyle w:val="Tablaconcuadrcula"/>
        <w:tblW w:w="9445" w:type="dxa"/>
        <w:tblLayout w:type="fixed"/>
        <w:tblLook w:val="04A0" w:firstRow="1" w:lastRow="0" w:firstColumn="1" w:lastColumn="0" w:noHBand="0" w:noVBand="1"/>
      </w:tblPr>
      <w:tblGrid>
        <w:gridCol w:w="447"/>
        <w:gridCol w:w="1078"/>
        <w:gridCol w:w="1620"/>
        <w:gridCol w:w="1350"/>
        <w:gridCol w:w="1170"/>
        <w:gridCol w:w="900"/>
        <w:gridCol w:w="900"/>
        <w:gridCol w:w="810"/>
        <w:gridCol w:w="1170"/>
      </w:tblGrid>
      <w:tr w:rsidR="00A93998" w:rsidRPr="00883FD2" w14:paraId="6CFF3C8A" w14:textId="77777777" w:rsidTr="008B0DE2">
        <w:trPr>
          <w:trHeight w:val="975"/>
          <w:tblHeader/>
        </w:trPr>
        <w:tc>
          <w:tcPr>
            <w:tcW w:w="447" w:type="dxa"/>
            <w:shd w:val="clear" w:color="auto" w:fill="002060"/>
            <w:vAlign w:val="center"/>
            <w:hideMark/>
          </w:tcPr>
          <w:p w14:paraId="6F73634C" w14:textId="77777777" w:rsidR="004A7120" w:rsidRPr="00C44CE8" w:rsidRDefault="004A7120" w:rsidP="00C62BB6">
            <w:pPr>
              <w:jc w:val="center"/>
              <w:rPr>
                <w:rFonts w:ascii="Times New Roman" w:hAnsi="Times New Roman" w:cs="Times New Roman"/>
                <w:b/>
                <w:bCs/>
                <w:sz w:val="20"/>
                <w:szCs w:val="20"/>
              </w:rPr>
            </w:pPr>
            <w:r w:rsidRPr="00C44CE8">
              <w:rPr>
                <w:rFonts w:ascii="Times New Roman" w:hAnsi="Times New Roman" w:cs="Times New Roman"/>
                <w:b/>
                <w:bCs/>
                <w:sz w:val="20"/>
                <w:szCs w:val="20"/>
              </w:rPr>
              <w:t>NO.</w:t>
            </w:r>
          </w:p>
        </w:tc>
        <w:tc>
          <w:tcPr>
            <w:tcW w:w="1078" w:type="dxa"/>
            <w:shd w:val="clear" w:color="auto" w:fill="002060"/>
            <w:vAlign w:val="center"/>
            <w:hideMark/>
          </w:tcPr>
          <w:p w14:paraId="38B55B69" w14:textId="77777777" w:rsidR="004A7120" w:rsidRPr="00C44CE8" w:rsidRDefault="004A7120" w:rsidP="00C62BB6">
            <w:pPr>
              <w:jc w:val="center"/>
              <w:rPr>
                <w:rFonts w:ascii="Times New Roman" w:hAnsi="Times New Roman" w:cs="Times New Roman"/>
                <w:b/>
                <w:bCs/>
                <w:sz w:val="20"/>
                <w:szCs w:val="20"/>
              </w:rPr>
            </w:pPr>
            <w:r w:rsidRPr="00C44CE8">
              <w:rPr>
                <w:rFonts w:ascii="Times New Roman" w:hAnsi="Times New Roman" w:cs="Times New Roman"/>
                <w:b/>
                <w:bCs/>
                <w:sz w:val="20"/>
                <w:szCs w:val="20"/>
              </w:rPr>
              <w:t>ÁREA</w:t>
            </w:r>
          </w:p>
        </w:tc>
        <w:tc>
          <w:tcPr>
            <w:tcW w:w="1620" w:type="dxa"/>
            <w:shd w:val="clear" w:color="auto" w:fill="002060"/>
            <w:vAlign w:val="center"/>
            <w:hideMark/>
          </w:tcPr>
          <w:p w14:paraId="2080AE47" w14:textId="77777777" w:rsidR="004A7120" w:rsidRPr="00C44CE8" w:rsidRDefault="004A7120" w:rsidP="00C62BB6">
            <w:pPr>
              <w:jc w:val="center"/>
              <w:rPr>
                <w:rFonts w:ascii="Times New Roman" w:hAnsi="Times New Roman" w:cs="Times New Roman"/>
                <w:b/>
                <w:bCs/>
                <w:sz w:val="20"/>
                <w:szCs w:val="20"/>
              </w:rPr>
            </w:pPr>
            <w:r w:rsidRPr="00C44CE8">
              <w:rPr>
                <w:rFonts w:ascii="Times New Roman" w:hAnsi="Times New Roman" w:cs="Times New Roman"/>
                <w:b/>
                <w:bCs/>
                <w:sz w:val="20"/>
                <w:szCs w:val="20"/>
              </w:rPr>
              <w:t>PROCESO</w:t>
            </w:r>
          </w:p>
        </w:tc>
        <w:tc>
          <w:tcPr>
            <w:tcW w:w="1350" w:type="dxa"/>
            <w:shd w:val="clear" w:color="auto" w:fill="002060"/>
            <w:vAlign w:val="center"/>
            <w:hideMark/>
          </w:tcPr>
          <w:p w14:paraId="03AA9930" w14:textId="77777777" w:rsidR="004A7120" w:rsidRPr="00C44CE8" w:rsidRDefault="004A7120" w:rsidP="00C62BB6">
            <w:pPr>
              <w:jc w:val="center"/>
              <w:rPr>
                <w:rFonts w:ascii="Times New Roman" w:hAnsi="Times New Roman" w:cs="Times New Roman"/>
                <w:b/>
                <w:bCs/>
                <w:sz w:val="20"/>
                <w:szCs w:val="20"/>
              </w:rPr>
            </w:pPr>
            <w:r w:rsidRPr="00C44CE8">
              <w:rPr>
                <w:rFonts w:ascii="Times New Roman" w:hAnsi="Times New Roman" w:cs="Times New Roman"/>
                <w:b/>
                <w:bCs/>
                <w:sz w:val="20"/>
                <w:szCs w:val="20"/>
              </w:rPr>
              <w:t>NOMBRE DEL INDICADOR</w:t>
            </w:r>
          </w:p>
        </w:tc>
        <w:tc>
          <w:tcPr>
            <w:tcW w:w="1170" w:type="dxa"/>
            <w:shd w:val="clear" w:color="auto" w:fill="002060"/>
            <w:vAlign w:val="center"/>
            <w:hideMark/>
          </w:tcPr>
          <w:p w14:paraId="42C36D2D" w14:textId="77777777" w:rsidR="004A7120" w:rsidRPr="00C44CE8" w:rsidRDefault="004A7120" w:rsidP="00C62BB6">
            <w:pPr>
              <w:jc w:val="center"/>
              <w:rPr>
                <w:rFonts w:ascii="Times New Roman" w:hAnsi="Times New Roman" w:cs="Times New Roman"/>
                <w:b/>
                <w:bCs/>
                <w:sz w:val="20"/>
                <w:szCs w:val="20"/>
              </w:rPr>
            </w:pPr>
            <w:r w:rsidRPr="00C44CE8">
              <w:rPr>
                <w:rFonts w:ascii="Times New Roman" w:hAnsi="Times New Roman" w:cs="Times New Roman"/>
                <w:b/>
                <w:bCs/>
                <w:sz w:val="20"/>
                <w:szCs w:val="20"/>
              </w:rPr>
              <w:t>FRECUENCIA</w:t>
            </w:r>
          </w:p>
        </w:tc>
        <w:tc>
          <w:tcPr>
            <w:tcW w:w="900" w:type="dxa"/>
            <w:shd w:val="clear" w:color="auto" w:fill="002060"/>
            <w:vAlign w:val="center"/>
            <w:hideMark/>
          </w:tcPr>
          <w:p w14:paraId="5E402DAA" w14:textId="77777777" w:rsidR="004A7120" w:rsidRPr="00C44CE8" w:rsidRDefault="004A7120" w:rsidP="00C62BB6">
            <w:pPr>
              <w:jc w:val="center"/>
              <w:rPr>
                <w:rFonts w:ascii="Times New Roman" w:hAnsi="Times New Roman" w:cs="Times New Roman"/>
                <w:b/>
                <w:bCs/>
                <w:sz w:val="20"/>
                <w:szCs w:val="20"/>
              </w:rPr>
            </w:pPr>
            <w:r w:rsidRPr="00C44CE8">
              <w:rPr>
                <w:rFonts w:ascii="Times New Roman" w:hAnsi="Times New Roman" w:cs="Times New Roman"/>
                <w:b/>
                <w:bCs/>
                <w:sz w:val="20"/>
                <w:szCs w:val="20"/>
              </w:rPr>
              <w:t>LÍNEA BASE</w:t>
            </w:r>
          </w:p>
        </w:tc>
        <w:tc>
          <w:tcPr>
            <w:tcW w:w="900" w:type="dxa"/>
            <w:shd w:val="clear" w:color="auto" w:fill="002060"/>
            <w:vAlign w:val="center"/>
            <w:hideMark/>
          </w:tcPr>
          <w:p w14:paraId="5F24B630" w14:textId="77777777" w:rsidR="004A7120" w:rsidRPr="00C44CE8" w:rsidRDefault="004A7120" w:rsidP="00C62BB6">
            <w:pPr>
              <w:jc w:val="center"/>
              <w:rPr>
                <w:rFonts w:ascii="Times New Roman" w:hAnsi="Times New Roman" w:cs="Times New Roman"/>
                <w:b/>
                <w:bCs/>
                <w:sz w:val="20"/>
                <w:szCs w:val="20"/>
              </w:rPr>
            </w:pPr>
            <w:r w:rsidRPr="00C44CE8">
              <w:rPr>
                <w:rFonts w:ascii="Times New Roman" w:hAnsi="Times New Roman" w:cs="Times New Roman"/>
                <w:b/>
                <w:bCs/>
                <w:sz w:val="20"/>
                <w:szCs w:val="20"/>
              </w:rPr>
              <w:t>META</w:t>
            </w:r>
          </w:p>
        </w:tc>
        <w:tc>
          <w:tcPr>
            <w:tcW w:w="810" w:type="dxa"/>
            <w:shd w:val="clear" w:color="auto" w:fill="002060"/>
            <w:vAlign w:val="center"/>
            <w:hideMark/>
          </w:tcPr>
          <w:p w14:paraId="1E6E2AB4" w14:textId="77777777" w:rsidR="004A7120" w:rsidRPr="00C44CE8" w:rsidRDefault="004A7120" w:rsidP="00C62BB6">
            <w:pPr>
              <w:jc w:val="center"/>
              <w:rPr>
                <w:rFonts w:ascii="Times New Roman" w:hAnsi="Times New Roman" w:cs="Times New Roman"/>
                <w:b/>
                <w:bCs/>
                <w:sz w:val="20"/>
                <w:szCs w:val="20"/>
              </w:rPr>
            </w:pPr>
            <w:r w:rsidRPr="00C44CE8">
              <w:rPr>
                <w:rFonts w:ascii="Times New Roman" w:hAnsi="Times New Roman" w:cs="Times New Roman"/>
                <w:b/>
                <w:bCs/>
                <w:sz w:val="20"/>
                <w:szCs w:val="20"/>
              </w:rPr>
              <w:t>RESULTADO</w:t>
            </w:r>
          </w:p>
        </w:tc>
        <w:tc>
          <w:tcPr>
            <w:tcW w:w="1170" w:type="dxa"/>
            <w:shd w:val="clear" w:color="auto" w:fill="002060"/>
            <w:vAlign w:val="center"/>
            <w:hideMark/>
          </w:tcPr>
          <w:p w14:paraId="0368F803" w14:textId="77777777" w:rsidR="004A7120" w:rsidRPr="00C44CE8" w:rsidRDefault="004A7120" w:rsidP="00C62BB6">
            <w:pPr>
              <w:jc w:val="center"/>
              <w:rPr>
                <w:rFonts w:ascii="Times New Roman" w:hAnsi="Times New Roman" w:cs="Times New Roman"/>
                <w:b/>
                <w:bCs/>
                <w:sz w:val="20"/>
                <w:szCs w:val="20"/>
              </w:rPr>
            </w:pPr>
            <w:r w:rsidRPr="00C44CE8">
              <w:rPr>
                <w:rFonts w:ascii="Times New Roman" w:hAnsi="Times New Roman" w:cs="Times New Roman"/>
                <w:b/>
                <w:bCs/>
                <w:sz w:val="20"/>
                <w:szCs w:val="20"/>
              </w:rPr>
              <w:t>PORCENTAJE DE AVANCE</w:t>
            </w:r>
          </w:p>
        </w:tc>
      </w:tr>
      <w:tr w:rsidR="00A93998" w:rsidRPr="009714C2" w14:paraId="201429E3" w14:textId="77777777" w:rsidTr="00A93998">
        <w:trPr>
          <w:trHeight w:val="3195"/>
        </w:trPr>
        <w:tc>
          <w:tcPr>
            <w:tcW w:w="447" w:type="dxa"/>
            <w:noWrap/>
            <w:hideMark/>
          </w:tcPr>
          <w:p w14:paraId="16C275D8"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w:t>
            </w:r>
          </w:p>
        </w:tc>
        <w:tc>
          <w:tcPr>
            <w:tcW w:w="1078" w:type="dxa"/>
            <w:hideMark/>
          </w:tcPr>
          <w:p w14:paraId="3D2F8EC0" w14:textId="51291C9D" w:rsidR="004A7120" w:rsidRPr="009714C2" w:rsidRDefault="00A93998" w:rsidP="007F18A7">
            <w:pPr>
              <w:spacing w:line="360" w:lineRule="auto"/>
              <w:jc w:val="center"/>
              <w:rPr>
                <w:rFonts w:ascii="Times New Roman" w:hAnsi="Times New Roman" w:cs="Times New Roman"/>
                <w:color w:val="4C4747"/>
                <w:szCs w:val="20"/>
                <w:lang w:val="es-DO"/>
              </w:rPr>
            </w:pPr>
            <w:r>
              <w:rPr>
                <w:rFonts w:ascii="Times New Roman" w:hAnsi="Times New Roman" w:cs="Times New Roman"/>
                <w:color w:val="4C4747"/>
                <w:szCs w:val="20"/>
                <w:lang w:val="es-DO"/>
              </w:rPr>
              <w:t xml:space="preserve"> DAU</w:t>
            </w:r>
          </w:p>
        </w:tc>
        <w:tc>
          <w:tcPr>
            <w:tcW w:w="1620" w:type="dxa"/>
            <w:hideMark/>
          </w:tcPr>
          <w:p w14:paraId="648426D4"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Atención a reclamaciones en torno a los servicios contratados por un usuario ante una prestadora de servicios de telecomunicaciones, Casos de Pre Formalización (CPF)</w:t>
            </w:r>
          </w:p>
        </w:tc>
        <w:tc>
          <w:tcPr>
            <w:tcW w:w="1350" w:type="dxa"/>
            <w:hideMark/>
          </w:tcPr>
          <w:p w14:paraId="3CD26D01"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6FAC9EF8"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Mensual</w:t>
            </w:r>
          </w:p>
        </w:tc>
        <w:tc>
          <w:tcPr>
            <w:tcW w:w="900" w:type="dxa"/>
            <w:noWrap/>
            <w:hideMark/>
          </w:tcPr>
          <w:p w14:paraId="4C5B879B"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7 días hábiles</w:t>
            </w:r>
          </w:p>
        </w:tc>
        <w:tc>
          <w:tcPr>
            <w:tcW w:w="900" w:type="dxa"/>
            <w:noWrap/>
            <w:hideMark/>
          </w:tcPr>
          <w:p w14:paraId="6E6E145B"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7 días hábiles</w:t>
            </w:r>
          </w:p>
        </w:tc>
        <w:tc>
          <w:tcPr>
            <w:tcW w:w="810" w:type="dxa"/>
            <w:noWrap/>
            <w:hideMark/>
          </w:tcPr>
          <w:p w14:paraId="100FD91A"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100%</w:t>
            </w:r>
          </w:p>
        </w:tc>
        <w:tc>
          <w:tcPr>
            <w:tcW w:w="1170" w:type="dxa"/>
            <w:noWrap/>
            <w:hideMark/>
          </w:tcPr>
          <w:p w14:paraId="4B087F9B"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035C3115" w14:textId="77777777" w:rsidTr="00A93998">
        <w:trPr>
          <w:trHeight w:val="5970"/>
        </w:trPr>
        <w:tc>
          <w:tcPr>
            <w:tcW w:w="447" w:type="dxa"/>
            <w:hideMark/>
          </w:tcPr>
          <w:p w14:paraId="4097B55E"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lastRenderedPageBreak/>
              <w:t>2</w:t>
            </w:r>
          </w:p>
        </w:tc>
        <w:tc>
          <w:tcPr>
            <w:tcW w:w="1078" w:type="dxa"/>
            <w:hideMark/>
          </w:tcPr>
          <w:p w14:paraId="1715B111" w14:textId="574C96CF" w:rsidR="004A7120" w:rsidRPr="009714C2" w:rsidRDefault="00A93998" w:rsidP="00A93998">
            <w:pPr>
              <w:spacing w:line="360" w:lineRule="auto"/>
              <w:jc w:val="center"/>
              <w:rPr>
                <w:rFonts w:ascii="Times New Roman" w:hAnsi="Times New Roman" w:cs="Times New Roman"/>
                <w:color w:val="4C4747"/>
                <w:szCs w:val="20"/>
                <w:lang w:val="es-DO"/>
              </w:rPr>
            </w:pPr>
            <w:r>
              <w:rPr>
                <w:rFonts w:ascii="Times New Roman" w:hAnsi="Times New Roman" w:cs="Times New Roman"/>
                <w:color w:val="4C4747"/>
                <w:szCs w:val="20"/>
                <w:lang w:val="es-DO"/>
              </w:rPr>
              <w:t xml:space="preserve"> DAU</w:t>
            </w:r>
            <w:r w:rsidR="004A7120" w:rsidRPr="009714C2">
              <w:rPr>
                <w:rFonts w:ascii="Times New Roman" w:hAnsi="Times New Roman" w:cs="Times New Roman"/>
                <w:color w:val="4C4747"/>
                <w:szCs w:val="20"/>
                <w:lang w:val="es-DO"/>
              </w:rPr>
              <w:t xml:space="preserve">, </w:t>
            </w:r>
            <w:r>
              <w:rPr>
                <w:rFonts w:ascii="Times New Roman" w:hAnsi="Times New Roman" w:cs="Times New Roman"/>
                <w:color w:val="4C4747"/>
                <w:szCs w:val="20"/>
                <w:lang w:val="es-DO"/>
              </w:rPr>
              <w:t>DPU</w:t>
            </w:r>
            <w:r w:rsidR="004A7120" w:rsidRPr="009714C2">
              <w:rPr>
                <w:rFonts w:ascii="Times New Roman" w:hAnsi="Times New Roman" w:cs="Times New Roman"/>
                <w:color w:val="4C4747"/>
                <w:szCs w:val="20"/>
                <w:lang w:val="es-DO"/>
              </w:rPr>
              <w:t xml:space="preserve"> y D</w:t>
            </w:r>
            <w:r>
              <w:rPr>
                <w:rFonts w:ascii="Times New Roman" w:hAnsi="Times New Roman" w:cs="Times New Roman"/>
                <w:color w:val="4C4747"/>
                <w:szCs w:val="20"/>
                <w:lang w:val="es-DO"/>
              </w:rPr>
              <w:t>E</w:t>
            </w:r>
          </w:p>
        </w:tc>
        <w:tc>
          <w:tcPr>
            <w:tcW w:w="1620" w:type="dxa"/>
            <w:hideMark/>
          </w:tcPr>
          <w:p w14:paraId="36368B74"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Atención a reclamaciones en torno a los servicios contratados por un usuario ante una prestadora de servicios de telecomunicaciones, Recursos de Quejas (RDQ)</w:t>
            </w:r>
          </w:p>
        </w:tc>
        <w:tc>
          <w:tcPr>
            <w:tcW w:w="1350" w:type="dxa"/>
            <w:hideMark/>
          </w:tcPr>
          <w:p w14:paraId="6590B668"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hideMark/>
          </w:tcPr>
          <w:p w14:paraId="7BB2A8BE"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Mensual</w:t>
            </w:r>
          </w:p>
        </w:tc>
        <w:tc>
          <w:tcPr>
            <w:tcW w:w="900" w:type="dxa"/>
            <w:hideMark/>
          </w:tcPr>
          <w:p w14:paraId="10006F9F"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 xml:space="preserve">17 días hábiles si la respuesta es favorable para el usuario, 16 días hábiles si la respuesta no es favorable para el usuario y éste no desea continuar con el caso, 22 días hábiles si la respuesta no es </w:t>
            </w:r>
            <w:r w:rsidRPr="009714C2">
              <w:rPr>
                <w:rFonts w:ascii="Times New Roman" w:hAnsi="Times New Roman" w:cs="Times New Roman"/>
                <w:color w:val="4C4747"/>
                <w:szCs w:val="20"/>
                <w:lang w:val="es-DO"/>
              </w:rPr>
              <w:lastRenderedPageBreak/>
              <w:t>favorable para el usuario y éste continúa con el caso y 54 días hábiles si el caso pasa a Cuerpos Colegiados</w:t>
            </w:r>
          </w:p>
        </w:tc>
        <w:tc>
          <w:tcPr>
            <w:tcW w:w="900" w:type="dxa"/>
            <w:hideMark/>
          </w:tcPr>
          <w:p w14:paraId="7BC6DE21"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lastRenderedPageBreak/>
              <w:t xml:space="preserve">17 días hábiles si la respuesta es favorable para el usuario, 16 días hábiles si la respuesta no es favorable para el usuario y éste no desea continuar con el caso, 22 días hábiles si la respuesta no es </w:t>
            </w:r>
            <w:r w:rsidRPr="009714C2">
              <w:rPr>
                <w:rFonts w:ascii="Times New Roman" w:hAnsi="Times New Roman" w:cs="Times New Roman"/>
                <w:color w:val="4C4747"/>
                <w:szCs w:val="20"/>
                <w:lang w:val="es-DO"/>
              </w:rPr>
              <w:lastRenderedPageBreak/>
              <w:t>favorable para el usuario y éste continúa con el caso, 54 días si el caso pasa a Cuerpos Colegiados</w:t>
            </w:r>
          </w:p>
        </w:tc>
        <w:tc>
          <w:tcPr>
            <w:tcW w:w="810" w:type="dxa"/>
            <w:hideMark/>
          </w:tcPr>
          <w:p w14:paraId="1744A11C"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lastRenderedPageBreak/>
              <w:t>100%</w:t>
            </w:r>
          </w:p>
        </w:tc>
        <w:tc>
          <w:tcPr>
            <w:tcW w:w="1170" w:type="dxa"/>
            <w:hideMark/>
          </w:tcPr>
          <w:p w14:paraId="3EE5723C"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459597A5" w14:textId="77777777" w:rsidTr="00A93998">
        <w:trPr>
          <w:trHeight w:val="3030"/>
        </w:trPr>
        <w:tc>
          <w:tcPr>
            <w:tcW w:w="447" w:type="dxa"/>
            <w:noWrap/>
            <w:hideMark/>
          </w:tcPr>
          <w:p w14:paraId="02D39879"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lastRenderedPageBreak/>
              <w:t>3</w:t>
            </w:r>
          </w:p>
        </w:tc>
        <w:tc>
          <w:tcPr>
            <w:tcW w:w="1078" w:type="dxa"/>
            <w:hideMark/>
          </w:tcPr>
          <w:p w14:paraId="0A8D0305" w14:textId="019A23E4" w:rsidR="004A7120" w:rsidRPr="009714C2" w:rsidRDefault="00A93998" w:rsidP="00A93998">
            <w:pPr>
              <w:spacing w:line="360" w:lineRule="auto"/>
              <w:jc w:val="center"/>
              <w:rPr>
                <w:rFonts w:ascii="Times New Roman" w:hAnsi="Times New Roman" w:cs="Times New Roman"/>
                <w:color w:val="4C4747"/>
                <w:szCs w:val="20"/>
                <w:lang w:val="es-DO"/>
              </w:rPr>
            </w:pPr>
            <w:r>
              <w:rPr>
                <w:rFonts w:ascii="Times New Roman" w:hAnsi="Times New Roman" w:cs="Times New Roman"/>
                <w:color w:val="4C4747"/>
                <w:szCs w:val="20"/>
                <w:lang w:val="es-DO"/>
              </w:rPr>
              <w:t xml:space="preserve"> DAU </w:t>
            </w:r>
            <w:r w:rsidR="004A7120" w:rsidRPr="009714C2">
              <w:rPr>
                <w:rFonts w:ascii="Times New Roman" w:hAnsi="Times New Roman" w:cs="Times New Roman"/>
                <w:color w:val="4C4747"/>
                <w:szCs w:val="20"/>
                <w:lang w:val="es-DO"/>
              </w:rPr>
              <w:t xml:space="preserve">y </w:t>
            </w:r>
            <w:r>
              <w:rPr>
                <w:rFonts w:ascii="Times New Roman" w:hAnsi="Times New Roman" w:cs="Times New Roman"/>
                <w:color w:val="4C4747"/>
                <w:szCs w:val="20"/>
                <w:lang w:val="es-DO"/>
              </w:rPr>
              <w:t>DPU</w:t>
            </w:r>
          </w:p>
        </w:tc>
        <w:tc>
          <w:tcPr>
            <w:tcW w:w="1620" w:type="dxa"/>
            <w:hideMark/>
          </w:tcPr>
          <w:p w14:paraId="5EB99EF9"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Atención a reclamaciones en torno a los servicios contratados por un usuario ante una prestadora de servicios de telecomunicaciones, Casos de Quejas (CQ)</w:t>
            </w:r>
          </w:p>
        </w:tc>
        <w:tc>
          <w:tcPr>
            <w:tcW w:w="1350" w:type="dxa"/>
            <w:hideMark/>
          </w:tcPr>
          <w:p w14:paraId="1214A439"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hideMark/>
          </w:tcPr>
          <w:p w14:paraId="3CECC6DE"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Mensual</w:t>
            </w:r>
          </w:p>
        </w:tc>
        <w:tc>
          <w:tcPr>
            <w:tcW w:w="900" w:type="dxa"/>
            <w:hideMark/>
          </w:tcPr>
          <w:p w14:paraId="62961A46"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6 días hábiles</w:t>
            </w:r>
          </w:p>
        </w:tc>
        <w:tc>
          <w:tcPr>
            <w:tcW w:w="900" w:type="dxa"/>
            <w:hideMark/>
          </w:tcPr>
          <w:p w14:paraId="337AD14A"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6 días hábiles</w:t>
            </w:r>
          </w:p>
        </w:tc>
        <w:tc>
          <w:tcPr>
            <w:tcW w:w="810" w:type="dxa"/>
            <w:hideMark/>
          </w:tcPr>
          <w:p w14:paraId="09BBBFE7"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100%</w:t>
            </w:r>
          </w:p>
        </w:tc>
        <w:tc>
          <w:tcPr>
            <w:tcW w:w="1170" w:type="dxa"/>
            <w:noWrap/>
            <w:hideMark/>
          </w:tcPr>
          <w:p w14:paraId="02BDC75B"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5969CBF6" w14:textId="77777777" w:rsidTr="00A93998">
        <w:trPr>
          <w:trHeight w:val="4230"/>
        </w:trPr>
        <w:tc>
          <w:tcPr>
            <w:tcW w:w="447" w:type="dxa"/>
            <w:hideMark/>
          </w:tcPr>
          <w:p w14:paraId="16E76784"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lastRenderedPageBreak/>
              <w:t>4</w:t>
            </w:r>
          </w:p>
        </w:tc>
        <w:tc>
          <w:tcPr>
            <w:tcW w:w="1078" w:type="dxa"/>
            <w:hideMark/>
          </w:tcPr>
          <w:p w14:paraId="467B03E0" w14:textId="69FFC894"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Tramitación y Co</w:t>
            </w:r>
            <w:r w:rsidR="00A93998">
              <w:rPr>
                <w:rFonts w:ascii="Times New Roman" w:hAnsi="Times New Roman" w:cs="Times New Roman"/>
                <w:color w:val="4C4747"/>
                <w:szCs w:val="20"/>
                <w:lang w:val="es-DO"/>
              </w:rPr>
              <w:t xml:space="preserve">ntrol de Documentación, Recaudaciones, </w:t>
            </w:r>
            <w:r w:rsidRPr="009714C2">
              <w:rPr>
                <w:rFonts w:ascii="Times New Roman" w:hAnsi="Times New Roman" w:cs="Times New Roman"/>
                <w:color w:val="4C4747"/>
                <w:szCs w:val="20"/>
                <w:lang w:val="es-DO"/>
              </w:rPr>
              <w:t>Ciberseguridad, Comercio Electronico y F</w:t>
            </w:r>
            <w:r w:rsidR="00A93998">
              <w:rPr>
                <w:rFonts w:ascii="Times New Roman" w:hAnsi="Times New Roman" w:cs="Times New Roman"/>
                <w:color w:val="4C4747"/>
                <w:szCs w:val="20"/>
                <w:lang w:val="es-DO"/>
              </w:rPr>
              <w:t>irma Digital y CD</w:t>
            </w:r>
          </w:p>
        </w:tc>
        <w:tc>
          <w:tcPr>
            <w:tcW w:w="1620" w:type="dxa"/>
            <w:hideMark/>
          </w:tcPr>
          <w:p w14:paraId="785088CE"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Autorización de Entidad de Certificación</w:t>
            </w:r>
          </w:p>
        </w:tc>
        <w:tc>
          <w:tcPr>
            <w:tcW w:w="1350" w:type="dxa"/>
            <w:hideMark/>
          </w:tcPr>
          <w:p w14:paraId="449D3E46"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5F6ACB96"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Semestral</w:t>
            </w:r>
          </w:p>
        </w:tc>
        <w:tc>
          <w:tcPr>
            <w:tcW w:w="900" w:type="dxa"/>
            <w:hideMark/>
          </w:tcPr>
          <w:p w14:paraId="1F111043"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90 días canlendario</w:t>
            </w:r>
          </w:p>
        </w:tc>
        <w:tc>
          <w:tcPr>
            <w:tcW w:w="900" w:type="dxa"/>
            <w:hideMark/>
          </w:tcPr>
          <w:p w14:paraId="6CA99ADA"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183 días calendario</w:t>
            </w:r>
          </w:p>
        </w:tc>
        <w:tc>
          <w:tcPr>
            <w:tcW w:w="810" w:type="dxa"/>
            <w:noWrap/>
            <w:hideMark/>
          </w:tcPr>
          <w:p w14:paraId="41A68618"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100%</w:t>
            </w:r>
          </w:p>
        </w:tc>
        <w:tc>
          <w:tcPr>
            <w:tcW w:w="1170" w:type="dxa"/>
            <w:noWrap/>
            <w:hideMark/>
          </w:tcPr>
          <w:p w14:paraId="2C732BF3"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52BC254D" w14:textId="77777777" w:rsidTr="00A93998">
        <w:trPr>
          <w:trHeight w:val="980"/>
        </w:trPr>
        <w:tc>
          <w:tcPr>
            <w:tcW w:w="447" w:type="dxa"/>
            <w:hideMark/>
          </w:tcPr>
          <w:p w14:paraId="4AC28F88"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5</w:t>
            </w:r>
          </w:p>
        </w:tc>
        <w:tc>
          <w:tcPr>
            <w:tcW w:w="1078" w:type="dxa"/>
            <w:hideMark/>
          </w:tcPr>
          <w:p w14:paraId="25093537" w14:textId="0EF459A4"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Tramitación y Control de Documentación, Recaudaciones, Ciberseguridad, Comercio Electroni</w:t>
            </w:r>
            <w:r w:rsidRPr="009714C2">
              <w:rPr>
                <w:rFonts w:ascii="Times New Roman" w:hAnsi="Times New Roman" w:cs="Times New Roman"/>
                <w:color w:val="4C4747"/>
                <w:szCs w:val="20"/>
                <w:lang w:val="es-DO"/>
              </w:rPr>
              <w:lastRenderedPageBreak/>
              <w:t>co y F</w:t>
            </w:r>
            <w:r w:rsidR="00A93998">
              <w:rPr>
                <w:rFonts w:ascii="Times New Roman" w:hAnsi="Times New Roman" w:cs="Times New Roman"/>
                <w:color w:val="4C4747"/>
                <w:szCs w:val="20"/>
                <w:lang w:val="es-DO"/>
              </w:rPr>
              <w:t>irma Digital y CD</w:t>
            </w:r>
          </w:p>
        </w:tc>
        <w:tc>
          <w:tcPr>
            <w:tcW w:w="1620" w:type="dxa"/>
            <w:hideMark/>
          </w:tcPr>
          <w:p w14:paraId="6D4B4C87"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lastRenderedPageBreak/>
              <w:t>Renovación de Entidad de Certificación</w:t>
            </w:r>
          </w:p>
        </w:tc>
        <w:tc>
          <w:tcPr>
            <w:tcW w:w="1350" w:type="dxa"/>
            <w:hideMark/>
          </w:tcPr>
          <w:p w14:paraId="7CC3D72B"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00227DD8"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Semestral</w:t>
            </w:r>
          </w:p>
        </w:tc>
        <w:tc>
          <w:tcPr>
            <w:tcW w:w="900" w:type="dxa"/>
            <w:hideMark/>
          </w:tcPr>
          <w:p w14:paraId="46426644"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90 días canlendario</w:t>
            </w:r>
          </w:p>
        </w:tc>
        <w:tc>
          <w:tcPr>
            <w:tcW w:w="900" w:type="dxa"/>
            <w:hideMark/>
          </w:tcPr>
          <w:p w14:paraId="7C5A0B47"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183 días calendario</w:t>
            </w:r>
          </w:p>
        </w:tc>
        <w:tc>
          <w:tcPr>
            <w:tcW w:w="810" w:type="dxa"/>
            <w:noWrap/>
            <w:hideMark/>
          </w:tcPr>
          <w:p w14:paraId="256FA372"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100%</w:t>
            </w:r>
          </w:p>
        </w:tc>
        <w:tc>
          <w:tcPr>
            <w:tcW w:w="1170" w:type="dxa"/>
            <w:noWrap/>
            <w:hideMark/>
          </w:tcPr>
          <w:p w14:paraId="46DE219C"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602A8C7A" w14:textId="77777777" w:rsidTr="00A93998">
        <w:trPr>
          <w:trHeight w:val="4320"/>
        </w:trPr>
        <w:tc>
          <w:tcPr>
            <w:tcW w:w="447" w:type="dxa"/>
            <w:noWrap/>
            <w:hideMark/>
          </w:tcPr>
          <w:p w14:paraId="16EFEDB1"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lastRenderedPageBreak/>
              <w:t>6</w:t>
            </w:r>
          </w:p>
        </w:tc>
        <w:tc>
          <w:tcPr>
            <w:tcW w:w="1078" w:type="dxa"/>
            <w:hideMark/>
          </w:tcPr>
          <w:p w14:paraId="0D7E564D" w14:textId="3E0FDE4E"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Tramitación y Control de Documentación, Recaudaciones, Ciberseguridad, Comercio Electronico y Firma</w:t>
            </w:r>
            <w:r w:rsidR="00A93998">
              <w:rPr>
                <w:rFonts w:ascii="Times New Roman" w:hAnsi="Times New Roman" w:cs="Times New Roman"/>
                <w:color w:val="4C4747"/>
                <w:szCs w:val="20"/>
                <w:lang w:val="es-DO"/>
              </w:rPr>
              <w:t xml:space="preserve"> Digital y CD</w:t>
            </w:r>
          </w:p>
        </w:tc>
        <w:tc>
          <w:tcPr>
            <w:tcW w:w="1620" w:type="dxa"/>
            <w:hideMark/>
          </w:tcPr>
          <w:p w14:paraId="42C187E3"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Inscripción en Registro Especial de Proveedores de Firmas Electronicas</w:t>
            </w:r>
          </w:p>
        </w:tc>
        <w:tc>
          <w:tcPr>
            <w:tcW w:w="1350" w:type="dxa"/>
            <w:hideMark/>
          </w:tcPr>
          <w:p w14:paraId="1586E6FC"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73580B04"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Semestral</w:t>
            </w:r>
          </w:p>
        </w:tc>
        <w:tc>
          <w:tcPr>
            <w:tcW w:w="900" w:type="dxa"/>
            <w:hideMark/>
          </w:tcPr>
          <w:p w14:paraId="13AB7E82"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90 días canlendario</w:t>
            </w:r>
          </w:p>
        </w:tc>
        <w:tc>
          <w:tcPr>
            <w:tcW w:w="900" w:type="dxa"/>
            <w:hideMark/>
          </w:tcPr>
          <w:p w14:paraId="352103FD"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183 días calendario</w:t>
            </w:r>
          </w:p>
        </w:tc>
        <w:tc>
          <w:tcPr>
            <w:tcW w:w="810" w:type="dxa"/>
            <w:noWrap/>
            <w:hideMark/>
          </w:tcPr>
          <w:p w14:paraId="4EA2D4AE"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100%</w:t>
            </w:r>
          </w:p>
        </w:tc>
        <w:tc>
          <w:tcPr>
            <w:tcW w:w="1170" w:type="dxa"/>
            <w:noWrap/>
            <w:hideMark/>
          </w:tcPr>
          <w:p w14:paraId="57C5F3E5"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113873B9" w14:textId="77777777" w:rsidTr="00A93998">
        <w:trPr>
          <w:trHeight w:val="1610"/>
        </w:trPr>
        <w:tc>
          <w:tcPr>
            <w:tcW w:w="447" w:type="dxa"/>
            <w:hideMark/>
          </w:tcPr>
          <w:p w14:paraId="5B5C20ED"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7</w:t>
            </w:r>
          </w:p>
        </w:tc>
        <w:tc>
          <w:tcPr>
            <w:tcW w:w="1078" w:type="dxa"/>
            <w:hideMark/>
          </w:tcPr>
          <w:p w14:paraId="7868008E" w14:textId="186A6822"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Tramitación y Control de Documentación, Recaudaciones, Ciberseg</w:t>
            </w:r>
            <w:r w:rsidRPr="009714C2">
              <w:rPr>
                <w:rFonts w:ascii="Times New Roman" w:hAnsi="Times New Roman" w:cs="Times New Roman"/>
                <w:color w:val="4C4747"/>
                <w:szCs w:val="20"/>
                <w:lang w:val="es-DO"/>
              </w:rPr>
              <w:lastRenderedPageBreak/>
              <w:t>uridad, Comercio Electronico y F</w:t>
            </w:r>
            <w:r w:rsidR="00A93998">
              <w:rPr>
                <w:rFonts w:ascii="Times New Roman" w:hAnsi="Times New Roman" w:cs="Times New Roman"/>
                <w:color w:val="4C4747"/>
                <w:szCs w:val="20"/>
                <w:lang w:val="es-DO"/>
              </w:rPr>
              <w:t>irma Digital y CD</w:t>
            </w:r>
          </w:p>
        </w:tc>
        <w:tc>
          <w:tcPr>
            <w:tcW w:w="1620" w:type="dxa"/>
            <w:hideMark/>
          </w:tcPr>
          <w:p w14:paraId="48EA4D55"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lastRenderedPageBreak/>
              <w:t>Renovación de Registro Especial de Proveedores de Firmas Electronicas</w:t>
            </w:r>
          </w:p>
        </w:tc>
        <w:tc>
          <w:tcPr>
            <w:tcW w:w="1350" w:type="dxa"/>
            <w:hideMark/>
          </w:tcPr>
          <w:p w14:paraId="5FA5988F"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6EDA8841"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Semestral</w:t>
            </w:r>
          </w:p>
        </w:tc>
        <w:tc>
          <w:tcPr>
            <w:tcW w:w="900" w:type="dxa"/>
            <w:hideMark/>
          </w:tcPr>
          <w:p w14:paraId="50AA0B71"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90 días canlendario</w:t>
            </w:r>
          </w:p>
        </w:tc>
        <w:tc>
          <w:tcPr>
            <w:tcW w:w="900" w:type="dxa"/>
            <w:hideMark/>
          </w:tcPr>
          <w:p w14:paraId="2685C232"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183 días calendario</w:t>
            </w:r>
          </w:p>
        </w:tc>
        <w:tc>
          <w:tcPr>
            <w:tcW w:w="810" w:type="dxa"/>
            <w:noWrap/>
            <w:hideMark/>
          </w:tcPr>
          <w:p w14:paraId="7477D153"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100%</w:t>
            </w:r>
          </w:p>
        </w:tc>
        <w:tc>
          <w:tcPr>
            <w:tcW w:w="1170" w:type="dxa"/>
            <w:noWrap/>
            <w:hideMark/>
          </w:tcPr>
          <w:p w14:paraId="33A66333"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0B053EF2" w14:textId="77777777" w:rsidTr="00A93998">
        <w:trPr>
          <w:trHeight w:val="2730"/>
        </w:trPr>
        <w:tc>
          <w:tcPr>
            <w:tcW w:w="447" w:type="dxa"/>
            <w:hideMark/>
          </w:tcPr>
          <w:p w14:paraId="3DBC2BAA"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lastRenderedPageBreak/>
              <w:t>8</w:t>
            </w:r>
          </w:p>
        </w:tc>
        <w:tc>
          <w:tcPr>
            <w:tcW w:w="1078" w:type="dxa"/>
            <w:hideMark/>
          </w:tcPr>
          <w:p w14:paraId="76E40015" w14:textId="025DC4BF"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Tramitación y Control de Documentación, Auto</w:t>
            </w:r>
            <w:r w:rsidR="00A93998">
              <w:rPr>
                <w:rFonts w:ascii="Times New Roman" w:hAnsi="Times New Roman" w:cs="Times New Roman"/>
                <w:color w:val="4C4747"/>
                <w:szCs w:val="20"/>
                <w:lang w:val="es-DO"/>
              </w:rPr>
              <w:t>rizaciones y DE</w:t>
            </w:r>
          </w:p>
        </w:tc>
        <w:tc>
          <w:tcPr>
            <w:tcW w:w="1620" w:type="dxa"/>
            <w:hideMark/>
          </w:tcPr>
          <w:p w14:paraId="23E411FA"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Inscripción en Registro Especial de Servicios de Radioaficionados</w:t>
            </w:r>
          </w:p>
        </w:tc>
        <w:tc>
          <w:tcPr>
            <w:tcW w:w="1350" w:type="dxa"/>
            <w:hideMark/>
          </w:tcPr>
          <w:p w14:paraId="7F927078"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2FF1A4D4"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Mensual</w:t>
            </w:r>
          </w:p>
        </w:tc>
        <w:tc>
          <w:tcPr>
            <w:tcW w:w="900" w:type="dxa"/>
            <w:hideMark/>
          </w:tcPr>
          <w:p w14:paraId="644D2EF5"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30 días calendario</w:t>
            </w:r>
          </w:p>
        </w:tc>
        <w:tc>
          <w:tcPr>
            <w:tcW w:w="900" w:type="dxa"/>
            <w:hideMark/>
          </w:tcPr>
          <w:p w14:paraId="000F53F6"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30 días calendario (a partir de tomar el exámen)</w:t>
            </w:r>
          </w:p>
        </w:tc>
        <w:tc>
          <w:tcPr>
            <w:tcW w:w="810" w:type="dxa"/>
            <w:noWrap/>
            <w:hideMark/>
          </w:tcPr>
          <w:p w14:paraId="6714A782"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86%</w:t>
            </w:r>
          </w:p>
        </w:tc>
        <w:tc>
          <w:tcPr>
            <w:tcW w:w="1170" w:type="dxa"/>
            <w:noWrap/>
            <w:hideMark/>
          </w:tcPr>
          <w:p w14:paraId="1E6B0756"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4150AAF1" w14:textId="77777777" w:rsidTr="00A93998">
        <w:trPr>
          <w:trHeight w:val="2940"/>
        </w:trPr>
        <w:tc>
          <w:tcPr>
            <w:tcW w:w="447" w:type="dxa"/>
            <w:noWrap/>
            <w:hideMark/>
          </w:tcPr>
          <w:p w14:paraId="634C6F14"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9</w:t>
            </w:r>
          </w:p>
        </w:tc>
        <w:tc>
          <w:tcPr>
            <w:tcW w:w="1078" w:type="dxa"/>
            <w:hideMark/>
          </w:tcPr>
          <w:p w14:paraId="064E2FB4" w14:textId="6C287610"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 xml:space="preserve">Tramitación y Control de Documentación, </w:t>
            </w:r>
            <w:r w:rsidR="00A93998">
              <w:rPr>
                <w:rFonts w:ascii="Times New Roman" w:hAnsi="Times New Roman" w:cs="Times New Roman"/>
                <w:color w:val="4C4747"/>
                <w:szCs w:val="20"/>
                <w:lang w:val="es-DO"/>
              </w:rPr>
              <w:t>Autorizaciones y DE</w:t>
            </w:r>
          </w:p>
        </w:tc>
        <w:tc>
          <w:tcPr>
            <w:tcW w:w="1620" w:type="dxa"/>
            <w:hideMark/>
          </w:tcPr>
          <w:p w14:paraId="0088D347"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Renovación en Registro Especial de Servicios de Radioaficionados</w:t>
            </w:r>
          </w:p>
        </w:tc>
        <w:tc>
          <w:tcPr>
            <w:tcW w:w="1350" w:type="dxa"/>
            <w:hideMark/>
          </w:tcPr>
          <w:p w14:paraId="1C1DF7D4"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44B939DD"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Mensual</w:t>
            </w:r>
          </w:p>
        </w:tc>
        <w:tc>
          <w:tcPr>
            <w:tcW w:w="900" w:type="dxa"/>
            <w:hideMark/>
          </w:tcPr>
          <w:p w14:paraId="10ED9AF5"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30 días calendario</w:t>
            </w:r>
          </w:p>
        </w:tc>
        <w:tc>
          <w:tcPr>
            <w:tcW w:w="900" w:type="dxa"/>
            <w:hideMark/>
          </w:tcPr>
          <w:p w14:paraId="065E65B3"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30 días calendario</w:t>
            </w:r>
          </w:p>
        </w:tc>
        <w:tc>
          <w:tcPr>
            <w:tcW w:w="810" w:type="dxa"/>
            <w:noWrap/>
            <w:hideMark/>
          </w:tcPr>
          <w:p w14:paraId="6E703C72"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98%</w:t>
            </w:r>
          </w:p>
        </w:tc>
        <w:tc>
          <w:tcPr>
            <w:tcW w:w="1170" w:type="dxa"/>
            <w:noWrap/>
            <w:hideMark/>
          </w:tcPr>
          <w:p w14:paraId="62CBD8FF"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542CB070" w14:textId="77777777" w:rsidTr="00A93998">
        <w:trPr>
          <w:trHeight w:val="2760"/>
        </w:trPr>
        <w:tc>
          <w:tcPr>
            <w:tcW w:w="447" w:type="dxa"/>
            <w:hideMark/>
          </w:tcPr>
          <w:p w14:paraId="4EBAC680"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lastRenderedPageBreak/>
              <w:t>10</w:t>
            </w:r>
          </w:p>
        </w:tc>
        <w:tc>
          <w:tcPr>
            <w:tcW w:w="1078" w:type="dxa"/>
            <w:hideMark/>
          </w:tcPr>
          <w:p w14:paraId="6E5E0C5E" w14:textId="4EFD25E5"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 xml:space="preserve">Tramitación y Control de Documentación, </w:t>
            </w:r>
            <w:r w:rsidR="00A93998">
              <w:rPr>
                <w:rFonts w:ascii="Times New Roman" w:hAnsi="Times New Roman" w:cs="Times New Roman"/>
                <w:color w:val="4C4747"/>
                <w:szCs w:val="20"/>
                <w:lang w:val="es-DO"/>
              </w:rPr>
              <w:t>Autorizaciones y DE</w:t>
            </w:r>
          </w:p>
        </w:tc>
        <w:tc>
          <w:tcPr>
            <w:tcW w:w="1620" w:type="dxa"/>
            <w:hideMark/>
          </w:tcPr>
          <w:p w14:paraId="290D5342"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Inscripción en Registro Especial de Servicios de Telecomunicaciones</w:t>
            </w:r>
          </w:p>
        </w:tc>
        <w:tc>
          <w:tcPr>
            <w:tcW w:w="1350" w:type="dxa"/>
            <w:hideMark/>
          </w:tcPr>
          <w:p w14:paraId="7F3FCE09"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4DD01EEA"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Mensual</w:t>
            </w:r>
          </w:p>
        </w:tc>
        <w:tc>
          <w:tcPr>
            <w:tcW w:w="900" w:type="dxa"/>
            <w:hideMark/>
          </w:tcPr>
          <w:p w14:paraId="443EC35C"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60 días calendario</w:t>
            </w:r>
          </w:p>
        </w:tc>
        <w:tc>
          <w:tcPr>
            <w:tcW w:w="900" w:type="dxa"/>
            <w:hideMark/>
          </w:tcPr>
          <w:p w14:paraId="36D97DC9"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60 días calendario</w:t>
            </w:r>
          </w:p>
        </w:tc>
        <w:tc>
          <w:tcPr>
            <w:tcW w:w="810" w:type="dxa"/>
            <w:noWrap/>
            <w:hideMark/>
          </w:tcPr>
          <w:p w14:paraId="50BB47EF"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97%</w:t>
            </w:r>
          </w:p>
        </w:tc>
        <w:tc>
          <w:tcPr>
            <w:tcW w:w="1170" w:type="dxa"/>
            <w:noWrap/>
            <w:hideMark/>
          </w:tcPr>
          <w:p w14:paraId="3BC37357"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6B281512" w14:textId="77777777" w:rsidTr="00A93998">
        <w:trPr>
          <w:trHeight w:val="2775"/>
        </w:trPr>
        <w:tc>
          <w:tcPr>
            <w:tcW w:w="447" w:type="dxa"/>
            <w:hideMark/>
          </w:tcPr>
          <w:p w14:paraId="51799EBD"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11</w:t>
            </w:r>
          </w:p>
        </w:tc>
        <w:tc>
          <w:tcPr>
            <w:tcW w:w="1078" w:type="dxa"/>
            <w:hideMark/>
          </w:tcPr>
          <w:p w14:paraId="41CBA1A3" w14:textId="75D95872"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Tramitación y Control de Documentación, Auto</w:t>
            </w:r>
            <w:r w:rsidR="00A93998">
              <w:rPr>
                <w:rFonts w:ascii="Times New Roman" w:hAnsi="Times New Roman" w:cs="Times New Roman"/>
                <w:color w:val="4C4747"/>
                <w:szCs w:val="20"/>
                <w:lang w:val="es-DO"/>
              </w:rPr>
              <w:t>rizaciones y DE</w:t>
            </w:r>
          </w:p>
        </w:tc>
        <w:tc>
          <w:tcPr>
            <w:tcW w:w="1620" w:type="dxa"/>
            <w:hideMark/>
          </w:tcPr>
          <w:p w14:paraId="3C04B00C"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Renovación en Registro Especial de Servicios de Telecomunicaciones</w:t>
            </w:r>
          </w:p>
        </w:tc>
        <w:tc>
          <w:tcPr>
            <w:tcW w:w="1350" w:type="dxa"/>
            <w:hideMark/>
          </w:tcPr>
          <w:p w14:paraId="1AE2A14A"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03526110"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Mensual</w:t>
            </w:r>
          </w:p>
        </w:tc>
        <w:tc>
          <w:tcPr>
            <w:tcW w:w="900" w:type="dxa"/>
            <w:hideMark/>
          </w:tcPr>
          <w:p w14:paraId="0A6259BD"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60 días calendario</w:t>
            </w:r>
          </w:p>
        </w:tc>
        <w:tc>
          <w:tcPr>
            <w:tcW w:w="900" w:type="dxa"/>
            <w:hideMark/>
          </w:tcPr>
          <w:p w14:paraId="7A19609B"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60 días calendario</w:t>
            </w:r>
          </w:p>
        </w:tc>
        <w:tc>
          <w:tcPr>
            <w:tcW w:w="810" w:type="dxa"/>
            <w:noWrap/>
            <w:hideMark/>
          </w:tcPr>
          <w:p w14:paraId="3A9C0CF1"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91%</w:t>
            </w:r>
          </w:p>
        </w:tc>
        <w:tc>
          <w:tcPr>
            <w:tcW w:w="1170" w:type="dxa"/>
            <w:noWrap/>
            <w:hideMark/>
          </w:tcPr>
          <w:p w14:paraId="0FA940D0"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741FC302" w14:textId="77777777" w:rsidTr="00A93998">
        <w:trPr>
          <w:trHeight w:val="2925"/>
        </w:trPr>
        <w:tc>
          <w:tcPr>
            <w:tcW w:w="447" w:type="dxa"/>
            <w:noWrap/>
            <w:hideMark/>
          </w:tcPr>
          <w:p w14:paraId="7BBD4580"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12</w:t>
            </w:r>
          </w:p>
        </w:tc>
        <w:tc>
          <w:tcPr>
            <w:tcW w:w="1078" w:type="dxa"/>
            <w:hideMark/>
          </w:tcPr>
          <w:p w14:paraId="27204A58" w14:textId="4CBFF044"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Tramitación y Control de Documentación, Auto</w:t>
            </w:r>
            <w:r w:rsidR="00A93998">
              <w:rPr>
                <w:rFonts w:ascii="Times New Roman" w:hAnsi="Times New Roman" w:cs="Times New Roman"/>
                <w:color w:val="4C4747"/>
                <w:szCs w:val="20"/>
                <w:lang w:val="es-DO"/>
              </w:rPr>
              <w:t>rizaciones y DE</w:t>
            </w:r>
          </w:p>
        </w:tc>
        <w:tc>
          <w:tcPr>
            <w:tcW w:w="1620" w:type="dxa"/>
            <w:hideMark/>
          </w:tcPr>
          <w:p w14:paraId="1CD0DBC7"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Homologación de Aparatos y Equipos</w:t>
            </w:r>
          </w:p>
        </w:tc>
        <w:tc>
          <w:tcPr>
            <w:tcW w:w="1350" w:type="dxa"/>
            <w:hideMark/>
          </w:tcPr>
          <w:p w14:paraId="138C118D"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7F8A00CC"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Mensual</w:t>
            </w:r>
          </w:p>
        </w:tc>
        <w:tc>
          <w:tcPr>
            <w:tcW w:w="900" w:type="dxa"/>
            <w:hideMark/>
          </w:tcPr>
          <w:p w14:paraId="6C4D8340"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18 días hábiles</w:t>
            </w:r>
          </w:p>
        </w:tc>
        <w:tc>
          <w:tcPr>
            <w:tcW w:w="900" w:type="dxa"/>
            <w:hideMark/>
          </w:tcPr>
          <w:p w14:paraId="74B112E0"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18 días hábiles</w:t>
            </w:r>
          </w:p>
        </w:tc>
        <w:tc>
          <w:tcPr>
            <w:tcW w:w="810" w:type="dxa"/>
            <w:noWrap/>
            <w:hideMark/>
          </w:tcPr>
          <w:p w14:paraId="482E197B"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95%</w:t>
            </w:r>
          </w:p>
        </w:tc>
        <w:tc>
          <w:tcPr>
            <w:tcW w:w="1170" w:type="dxa"/>
            <w:noWrap/>
            <w:hideMark/>
          </w:tcPr>
          <w:p w14:paraId="2B945223"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098CCCA4" w14:textId="77777777" w:rsidTr="00A93998">
        <w:trPr>
          <w:trHeight w:val="800"/>
        </w:trPr>
        <w:tc>
          <w:tcPr>
            <w:tcW w:w="447" w:type="dxa"/>
            <w:hideMark/>
          </w:tcPr>
          <w:p w14:paraId="018909B5"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13</w:t>
            </w:r>
          </w:p>
        </w:tc>
        <w:tc>
          <w:tcPr>
            <w:tcW w:w="1078" w:type="dxa"/>
            <w:hideMark/>
          </w:tcPr>
          <w:p w14:paraId="0146207A" w14:textId="35E92A98"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 xml:space="preserve">Tramitación y Control </w:t>
            </w:r>
            <w:r w:rsidRPr="009714C2">
              <w:rPr>
                <w:rFonts w:ascii="Times New Roman" w:hAnsi="Times New Roman" w:cs="Times New Roman"/>
                <w:color w:val="4C4747"/>
                <w:szCs w:val="20"/>
                <w:lang w:val="es-DO"/>
              </w:rPr>
              <w:lastRenderedPageBreak/>
              <w:t>de Documentación y Autorizaciones</w:t>
            </w:r>
          </w:p>
        </w:tc>
        <w:tc>
          <w:tcPr>
            <w:tcW w:w="1620" w:type="dxa"/>
            <w:hideMark/>
          </w:tcPr>
          <w:p w14:paraId="7A5892E1"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lastRenderedPageBreak/>
              <w:t xml:space="preserve">No Objeción de Equipos de </w:t>
            </w:r>
            <w:r w:rsidRPr="009714C2">
              <w:rPr>
                <w:rFonts w:ascii="Times New Roman" w:hAnsi="Times New Roman" w:cs="Times New Roman"/>
                <w:color w:val="4C4747"/>
                <w:szCs w:val="20"/>
                <w:lang w:val="es-DO"/>
              </w:rPr>
              <w:lastRenderedPageBreak/>
              <w:t>Telecomunicaciones</w:t>
            </w:r>
          </w:p>
        </w:tc>
        <w:tc>
          <w:tcPr>
            <w:tcW w:w="1350" w:type="dxa"/>
            <w:hideMark/>
          </w:tcPr>
          <w:p w14:paraId="3307ADAC"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lastRenderedPageBreak/>
              <w:t xml:space="preserve">Porcentaje de solicitudes </w:t>
            </w:r>
            <w:r w:rsidRPr="009714C2">
              <w:rPr>
                <w:rFonts w:ascii="Times New Roman" w:hAnsi="Times New Roman" w:cs="Times New Roman"/>
                <w:color w:val="4C4747"/>
                <w:szCs w:val="20"/>
                <w:lang w:val="es-DO"/>
              </w:rPr>
              <w:lastRenderedPageBreak/>
              <w:t>respondidas en el plazo establecido</w:t>
            </w:r>
          </w:p>
        </w:tc>
        <w:tc>
          <w:tcPr>
            <w:tcW w:w="1170" w:type="dxa"/>
            <w:noWrap/>
            <w:hideMark/>
          </w:tcPr>
          <w:p w14:paraId="489E683D"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lastRenderedPageBreak/>
              <w:t>Mensual</w:t>
            </w:r>
          </w:p>
        </w:tc>
        <w:tc>
          <w:tcPr>
            <w:tcW w:w="900" w:type="dxa"/>
            <w:hideMark/>
          </w:tcPr>
          <w:p w14:paraId="0011D451"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 día hábil</w:t>
            </w:r>
          </w:p>
        </w:tc>
        <w:tc>
          <w:tcPr>
            <w:tcW w:w="900" w:type="dxa"/>
            <w:hideMark/>
          </w:tcPr>
          <w:p w14:paraId="470AC6F8"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3 días hábiles</w:t>
            </w:r>
          </w:p>
        </w:tc>
        <w:tc>
          <w:tcPr>
            <w:tcW w:w="810" w:type="dxa"/>
            <w:noWrap/>
            <w:hideMark/>
          </w:tcPr>
          <w:p w14:paraId="038003FF"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100%</w:t>
            </w:r>
          </w:p>
        </w:tc>
        <w:tc>
          <w:tcPr>
            <w:tcW w:w="1170" w:type="dxa"/>
            <w:noWrap/>
            <w:hideMark/>
          </w:tcPr>
          <w:p w14:paraId="6125FDF7"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308CAD6F" w14:textId="77777777" w:rsidTr="00644365">
        <w:trPr>
          <w:trHeight w:val="800"/>
        </w:trPr>
        <w:tc>
          <w:tcPr>
            <w:tcW w:w="447" w:type="dxa"/>
            <w:hideMark/>
          </w:tcPr>
          <w:p w14:paraId="7993763B"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lastRenderedPageBreak/>
              <w:t>14</w:t>
            </w:r>
          </w:p>
        </w:tc>
        <w:tc>
          <w:tcPr>
            <w:tcW w:w="1078" w:type="dxa"/>
            <w:hideMark/>
          </w:tcPr>
          <w:p w14:paraId="292BC0A7" w14:textId="7FD31746"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 xml:space="preserve">Tramitación y Control de Documentación, </w:t>
            </w:r>
            <w:r w:rsidR="00A93998">
              <w:rPr>
                <w:rFonts w:ascii="Times New Roman" w:hAnsi="Times New Roman" w:cs="Times New Roman"/>
                <w:color w:val="4C4747"/>
                <w:szCs w:val="20"/>
                <w:lang w:val="es-DO"/>
              </w:rPr>
              <w:t xml:space="preserve">Autorizaciones y CD </w:t>
            </w:r>
          </w:p>
        </w:tc>
        <w:tc>
          <w:tcPr>
            <w:tcW w:w="1620" w:type="dxa"/>
            <w:hideMark/>
          </w:tcPr>
          <w:p w14:paraId="0E8A8D07"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Concesiones que no requieren concurso público</w:t>
            </w:r>
          </w:p>
        </w:tc>
        <w:tc>
          <w:tcPr>
            <w:tcW w:w="1350" w:type="dxa"/>
            <w:hideMark/>
          </w:tcPr>
          <w:p w14:paraId="74510E85"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64A7015F"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Semestral</w:t>
            </w:r>
          </w:p>
        </w:tc>
        <w:tc>
          <w:tcPr>
            <w:tcW w:w="900" w:type="dxa"/>
            <w:hideMark/>
          </w:tcPr>
          <w:p w14:paraId="75EC797E"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147 días calendario</w:t>
            </w:r>
          </w:p>
        </w:tc>
        <w:tc>
          <w:tcPr>
            <w:tcW w:w="900" w:type="dxa"/>
            <w:hideMark/>
          </w:tcPr>
          <w:p w14:paraId="0BFDCAC4"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147 días calendario</w:t>
            </w:r>
          </w:p>
        </w:tc>
        <w:tc>
          <w:tcPr>
            <w:tcW w:w="810" w:type="dxa"/>
            <w:noWrap/>
            <w:hideMark/>
          </w:tcPr>
          <w:p w14:paraId="22587B93"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100%</w:t>
            </w:r>
          </w:p>
        </w:tc>
        <w:tc>
          <w:tcPr>
            <w:tcW w:w="1170" w:type="dxa"/>
            <w:noWrap/>
            <w:hideMark/>
          </w:tcPr>
          <w:p w14:paraId="37897CFC"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r w:rsidR="00A93998" w:rsidRPr="009714C2" w14:paraId="67BA83C6" w14:textId="77777777" w:rsidTr="00A93998">
        <w:trPr>
          <w:trHeight w:val="800"/>
        </w:trPr>
        <w:tc>
          <w:tcPr>
            <w:tcW w:w="447" w:type="dxa"/>
            <w:noWrap/>
            <w:hideMark/>
          </w:tcPr>
          <w:p w14:paraId="1FE645A8"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15</w:t>
            </w:r>
          </w:p>
        </w:tc>
        <w:tc>
          <w:tcPr>
            <w:tcW w:w="1078" w:type="dxa"/>
            <w:hideMark/>
          </w:tcPr>
          <w:p w14:paraId="600AF8B3" w14:textId="3F440624" w:rsidR="004A7120" w:rsidRPr="009714C2" w:rsidRDefault="004A7120" w:rsidP="00A93998">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Tramitación y Control de Documentación, Au</w:t>
            </w:r>
            <w:r w:rsidR="00A93998">
              <w:rPr>
                <w:rFonts w:ascii="Times New Roman" w:hAnsi="Times New Roman" w:cs="Times New Roman"/>
                <w:color w:val="4C4747"/>
                <w:szCs w:val="20"/>
                <w:lang w:val="es-DO"/>
              </w:rPr>
              <w:t>torizaciones y CD</w:t>
            </w:r>
          </w:p>
        </w:tc>
        <w:tc>
          <w:tcPr>
            <w:tcW w:w="1620" w:type="dxa"/>
            <w:hideMark/>
          </w:tcPr>
          <w:p w14:paraId="1FF3CD7C"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Renovación de concesiones que no requieren concurso público</w:t>
            </w:r>
          </w:p>
        </w:tc>
        <w:tc>
          <w:tcPr>
            <w:tcW w:w="1350" w:type="dxa"/>
            <w:hideMark/>
          </w:tcPr>
          <w:p w14:paraId="671EDB72" w14:textId="77777777" w:rsidR="004A7120" w:rsidRPr="009714C2" w:rsidRDefault="004A7120" w:rsidP="007F18A7">
            <w:pPr>
              <w:spacing w:line="360" w:lineRule="auto"/>
              <w:jc w:val="center"/>
              <w:rPr>
                <w:rFonts w:ascii="Times New Roman" w:hAnsi="Times New Roman" w:cs="Times New Roman"/>
                <w:color w:val="4C4747"/>
                <w:szCs w:val="20"/>
                <w:lang w:val="es-DO"/>
              </w:rPr>
            </w:pPr>
            <w:r w:rsidRPr="009714C2">
              <w:rPr>
                <w:rFonts w:ascii="Times New Roman" w:hAnsi="Times New Roman" w:cs="Times New Roman"/>
                <w:color w:val="4C4747"/>
                <w:szCs w:val="20"/>
                <w:lang w:val="es-DO"/>
              </w:rPr>
              <w:t>Porcentaje de solicitudes respondidas en el plazo establecido</w:t>
            </w:r>
          </w:p>
        </w:tc>
        <w:tc>
          <w:tcPr>
            <w:tcW w:w="1170" w:type="dxa"/>
            <w:noWrap/>
            <w:hideMark/>
          </w:tcPr>
          <w:p w14:paraId="25D5969B"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Semestral</w:t>
            </w:r>
          </w:p>
        </w:tc>
        <w:tc>
          <w:tcPr>
            <w:tcW w:w="900" w:type="dxa"/>
            <w:hideMark/>
          </w:tcPr>
          <w:p w14:paraId="0DFF8B42"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6 meses</w:t>
            </w:r>
          </w:p>
        </w:tc>
        <w:tc>
          <w:tcPr>
            <w:tcW w:w="900" w:type="dxa"/>
            <w:hideMark/>
          </w:tcPr>
          <w:p w14:paraId="1F8E1960"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6 meses</w:t>
            </w:r>
          </w:p>
        </w:tc>
        <w:tc>
          <w:tcPr>
            <w:tcW w:w="810" w:type="dxa"/>
            <w:noWrap/>
            <w:hideMark/>
          </w:tcPr>
          <w:p w14:paraId="29704CC5"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100%</w:t>
            </w:r>
          </w:p>
        </w:tc>
        <w:tc>
          <w:tcPr>
            <w:tcW w:w="1170" w:type="dxa"/>
            <w:noWrap/>
            <w:hideMark/>
          </w:tcPr>
          <w:p w14:paraId="543DF3B0" w14:textId="77777777" w:rsidR="004A7120" w:rsidRPr="009714C2" w:rsidRDefault="004A7120" w:rsidP="007F18A7">
            <w:pPr>
              <w:spacing w:line="360" w:lineRule="auto"/>
              <w:jc w:val="center"/>
              <w:rPr>
                <w:rFonts w:ascii="Times New Roman" w:hAnsi="Times New Roman" w:cs="Times New Roman"/>
                <w:color w:val="4C4747"/>
                <w:szCs w:val="20"/>
              </w:rPr>
            </w:pPr>
            <w:r w:rsidRPr="009714C2">
              <w:rPr>
                <w:rFonts w:ascii="Times New Roman" w:hAnsi="Times New Roman" w:cs="Times New Roman"/>
                <w:color w:val="4C4747"/>
                <w:szCs w:val="20"/>
              </w:rPr>
              <w:t>Finalizado</w:t>
            </w:r>
          </w:p>
        </w:tc>
      </w:tr>
    </w:tbl>
    <w:p w14:paraId="55F6732E" w14:textId="7B3EAD37" w:rsidR="00BB5E46" w:rsidRPr="009714C2" w:rsidRDefault="00BB5E46" w:rsidP="00A56B68">
      <w:pPr>
        <w:spacing w:line="360" w:lineRule="auto"/>
        <w:jc w:val="both"/>
        <w:rPr>
          <w:noProof/>
          <w:color w:val="4C4747"/>
          <w:lang w:val="es-DO"/>
        </w:rPr>
      </w:pPr>
    </w:p>
    <w:p w14:paraId="3FE42E67" w14:textId="77777777" w:rsidR="00B20486" w:rsidRDefault="00B20486" w:rsidP="00A56B68">
      <w:pPr>
        <w:spacing w:line="360" w:lineRule="auto"/>
        <w:jc w:val="both"/>
        <w:rPr>
          <w:noProof/>
          <w:color w:val="4C4747"/>
          <w:lang w:val="es-DO"/>
        </w:rPr>
      </w:pPr>
    </w:p>
    <w:p w14:paraId="16063E4C" w14:textId="77777777" w:rsidR="00376423" w:rsidRPr="009714C2" w:rsidRDefault="00376423" w:rsidP="00A56B68">
      <w:pPr>
        <w:spacing w:line="360" w:lineRule="auto"/>
        <w:jc w:val="both"/>
        <w:rPr>
          <w:noProof/>
          <w:color w:val="4C4747"/>
          <w:lang w:val="es-DO"/>
        </w:rPr>
      </w:pPr>
    </w:p>
    <w:p w14:paraId="0E6CCE6D" w14:textId="6DD7CA65" w:rsidR="00E346B3" w:rsidRPr="009714C2" w:rsidRDefault="00A56B68" w:rsidP="00A02BDE">
      <w:pPr>
        <w:pStyle w:val="Prrafodelista"/>
        <w:keepNext/>
        <w:numPr>
          <w:ilvl w:val="0"/>
          <w:numId w:val="36"/>
        </w:numPr>
        <w:spacing w:before="240" w:after="60"/>
        <w:jc w:val="both"/>
        <w:outlineLvl w:val="2"/>
        <w:rPr>
          <w:rFonts w:ascii="Times New Roman" w:eastAsia="Times New Roman" w:hAnsi="Times New Roman" w:cs="Times New Roman"/>
          <w:b/>
          <w:bCs/>
          <w:color w:val="4C4747"/>
          <w:sz w:val="24"/>
          <w:szCs w:val="26"/>
          <w:lang w:val="es-DO" w:eastAsia="es-DO"/>
        </w:rPr>
      </w:pPr>
      <w:bookmarkStart w:id="48" w:name="_Toc79678437"/>
      <w:bookmarkStart w:id="49" w:name="_Toc122425259"/>
      <w:r w:rsidRPr="009714C2">
        <w:rPr>
          <w:rFonts w:ascii="Times New Roman" w:eastAsia="Times New Roman" w:hAnsi="Times New Roman" w:cs="Times New Roman"/>
          <w:b/>
          <w:bCs/>
          <w:color w:val="4C4747"/>
          <w:sz w:val="24"/>
          <w:szCs w:val="26"/>
          <w:lang w:val="es-DO" w:eastAsia="es-DO"/>
        </w:rPr>
        <w:lastRenderedPageBreak/>
        <w:t>Matriz Índice de Gestión Presupuestaria Anual (IGP)</w:t>
      </w:r>
      <w:bookmarkEnd w:id="48"/>
      <w:bookmarkEnd w:id="49"/>
    </w:p>
    <w:p w14:paraId="38EB1E39" w14:textId="77777777" w:rsidR="008B4370" w:rsidRPr="009714C2" w:rsidRDefault="008B4370" w:rsidP="008B4370">
      <w:pPr>
        <w:spacing w:before="24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El presupuesto proyectado para el año 2022 fue de Tres mil cuatrocientos setenta y nueve millones cuatrocientos diecisiete mil ochenta y ocho Pesos con 00/100 (RD$3,479,417,088.00), de los cuales al 31 de octubre de 2022 se ha ejecutado un monto ascendente a Mil sesenta y nueve millones ochocientos treinta y tres mil doscientos quince Pesos con 00/100 (RD$1,069,833,215.00), lo cual representa un 37% del monto total del presupuesto estimado. </w:t>
      </w:r>
    </w:p>
    <w:p w14:paraId="67290606" w14:textId="08909A17" w:rsidR="00EF195C" w:rsidRPr="009714C2" w:rsidRDefault="008B4370" w:rsidP="008B4370">
      <w:pPr>
        <w:spacing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Cabe destacar, que el presupuesto en la mayoría de los renglones está ejecutándose atendiendo a las metas programadas en el Plan Operativo Anual (POA). A continuación presentamos un detalle de las principales partidas presupuestarias:</w:t>
      </w:r>
    </w:p>
    <w:p w14:paraId="116AE611" w14:textId="1AC2C8CB" w:rsidR="00EF195C" w:rsidRDefault="00644365" w:rsidP="00644365">
      <w:pPr>
        <w:tabs>
          <w:tab w:val="left" w:pos="1770"/>
        </w:tabs>
        <w:spacing w:line="360" w:lineRule="auto"/>
        <w:jc w:val="both"/>
        <w:rPr>
          <w:rFonts w:ascii="Times New Roman" w:eastAsia="Calibri" w:hAnsi="Times New Roman" w:cs="Times New Roman"/>
          <w:color w:val="4C4747"/>
          <w:spacing w:val="20"/>
          <w:sz w:val="24"/>
          <w:szCs w:val="24"/>
          <w:lang w:val="es-DO"/>
        </w:rPr>
      </w:pPr>
      <w:r>
        <w:rPr>
          <w:rFonts w:ascii="Times New Roman" w:eastAsia="Calibri" w:hAnsi="Times New Roman" w:cs="Times New Roman"/>
          <w:color w:val="4C4747"/>
          <w:spacing w:val="20"/>
          <w:sz w:val="24"/>
          <w:szCs w:val="24"/>
          <w:lang w:val="es-DO"/>
        </w:rPr>
        <w:tab/>
      </w:r>
    </w:p>
    <w:p w14:paraId="2E742BD7"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39C29585"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78EEF4EB"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0236C0E7"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09931631"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6AC71916"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731A562B"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5468A3FC"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4D67D7D5"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23CFE5B1"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79AB6C92" w14:textId="77777777" w:rsidR="00376423"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p w14:paraId="407122DC" w14:textId="77777777" w:rsidR="00376423" w:rsidRPr="008B4370" w:rsidRDefault="00376423" w:rsidP="00644365">
      <w:pPr>
        <w:tabs>
          <w:tab w:val="left" w:pos="1770"/>
        </w:tabs>
        <w:spacing w:line="360" w:lineRule="auto"/>
        <w:jc w:val="both"/>
        <w:rPr>
          <w:rFonts w:ascii="Times New Roman" w:eastAsia="Calibri" w:hAnsi="Times New Roman" w:cs="Times New Roman"/>
          <w:color w:val="4C4747"/>
          <w:spacing w:val="20"/>
          <w:sz w:val="24"/>
          <w:szCs w:val="24"/>
          <w:lang w:val="es-DO"/>
        </w:rPr>
      </w:pPr>
    </w:p>
    <w:tbl>
      <w:tblPr>
        <w:tblpPr w:leftFromText="180" w:rightFromText="180" w:vertAnchor="text" w:horzAnchor="margin" w:tblpY="185"/>
        <w:tblW w:w="7910" w:type="dxa"/>
        <w:tblLook w:val="04A0" w:firstRow="1" w:lastRow="0" w:firstColumn="1" w:lastColumn="0" w:noHBand="0" w:noVBand="1"/>
      </w:tblPr>
      <w:tblGrid>
        <w:gridCol w:w="1641"/>
        <w:gridCol w:w="1902"/>
        <w:gridCol w:w="1548"/>
        <w:gridCol w:w="1271"/>
        <w:gridCol w:w="1548"/>
      </w:tblGrid>
      <w:tr w:rsidR="008B4370" w:rsidRPr="008B4370" w14:paraId="1100FE45" w14:textId="77777777" w:rsidTr="008B4370">
        <w:trPr>
          <w:trHeight w:val="266"/>
        </w:trPr>
        <w:tc>
          <w:tcPr>
            <w:tcW w:w="7910" w:type="dxa"/>
            <w:gridSpan w:val="5"/>
            <w:tcBorders>
              <w:top w:val="single" w:sz="4" w:space="0" w:color="auto"/>
              <w:left w:val="single" w:sz="4" w:space="0" w:color="auto"/>
              <w:bottom w:val="nil"/>
              <w:right w:val="single" w:sz="4" w:space="0" w:color="000000"/>
            </w:tcBorders>
            <w:shd w:val="clear" w:color="000000" w:fill="203764"/>
            <w:noWrap/>
            <w:vAlign w:val="center"/>
            <w:hideMark/>
          </w:tcPr>
          <w:p w14:paraId="2F169939"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lastRenderedPageBreak/>
              <w:t>Ejecución Presupuestaria</w:t>
            </w:r>
          </w:p>
        </w:tc>
      </w:tr>
      <w:tr w:rsidR="008B4370" w:rsidRPr="008B4370" w14:paraId="769CE6E8" w14:textId="77777777" w:rsidTr="008B4370">
        <w:trPr>
          <w:trHeight w:val="439"/>
        </w:trPr>
        <w:tc>
          <w:tcPr>
            <w:tcW w:w="7910" w:type="dxa"/>
            <w:gridSpan w:val="5"/>
            <w:tcBorders>
              <w:top w:val="nil"/>
              <w:left w:val="single" w:sz="4" w:space="0" w:color="auto"/>
              <w:bottom w:val="single" w:sz="4" w:space="0" w:color="auto"/>
              <w:right w:val="single" w:sz="4" w:space="0" w:color="000000"/>
            </w:tcBorders>
            <w:shd w:val="clear" w:color="000000" w:fill="203764"/>
            <w:noWrap/>
            <w:vAlign w:val="center"/>
            <w:hideMark/>
          </w:tcPr>
          <w:p w14:paraId="6E275962"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Al 30 de Noviembre del 2022</w:t>
            </w:r>
          </w:p>
        </w:tc>
      </w:tr>
      <w:tr w:rsidR="008B4370" w:rsidRPr="008B4370" w14:paraId="30AB8A4F" w14:textId="77777777" w:rsidTr="008B4370">
        <w:trPr>
          <w:trHeight w:val="760"/>
        </w:trPr>
        <w:tc>
          <w:tcPr>
            <w:tcW w:w="1435" w:type="dxa"/>
            <w:tcBorders>
              <w:top w:val="nil"/>
              <w:left w:val="single" w:sz="4" w:space="0" w:color="auto"/>
              <w:bottom w:val="single" w:sz="4" w:space="0" w:color="auto"/>
              <w:right w:val="single" w:sz="4" w:space="0" w:color="auto"/>
            </w:tcBorders>
            <w:shd w:val="clear" w:color="000000" w:fill="203764"/>
            <w:noWrap/>
            <w:vAlign w:val="center"/>
            <w:hideMark/>
          </w:tcPr>
          <w:p w14:paraId="7C53381B"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Objeto</w:t>
            </w:r>
          </w:p>
        </w:tc>
        <w:tc>
          <w:tcPr>
            <w:tcW w:w="1966" w:type="dxa"/>
            <w:tcBorders>
              <w:top w:val="nil"/>
              <w:left w:val="nil"/>
              <w:bottom w:val="single" w:sz="4" w:space="0" w:color="auto"/>
              <w:right w:val="single" w:sz="4" w:space="0" w:color="auto"/>
            </w:tcBorders>
            <w:shd w:val="clear" w:color="000000" w:fill="203764"/>
            <w:vAlign w:val="center"/>
            <w:hideMark/>
          </w:tcPr>
          <w:p w14:paraId="1F9C5E52"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Presupuesto Aprobado      (A)</w:t>
            </w:r>
          </w:p>
        </w:tc>
        <w:tc>
          <w:tcPr>
            <w:tcW w:w="1599" w:type="dxa"/>
            <w:tcBorders>
              <w:top w:val="nil"/>
              <w:left w:val="nil"/>
              <w:bottom w:val="single" w:sz="4" w:space="0" w:color="auto"/>
              <w:right w:val="single" w:sz="4" w:space="0" w:color="auto"/>
            </w:tcBorders>
            <w:shd w:val="clear" w:color="000000" w:fill="203764"/>
            <w:vAlign w:val="center"/>
            <w:hideMark/>
          </w:tcPr>
          <w:p w14:paraId="4CDB22AA"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Presupuesto Ejecutado      (B)</w:t>
            </w:r>
          </w:p>
        </w:tc>
        <w:tc>
          <w:tcPr>
            <w:tcW w:w="1311" w:type="dxa"/>
            <w:tcBorders>
              <w:top w:val="nil"/>
              <w:left w:val="nil"/>
              <w:bottom w:val="single" w:sz="4" w:space="0" w:color="auto"/>
              <w:right w:val="single" w:sz="4" w:space="0" w:color="auto"/>
            </w:tcBorders>
            <w:shd w:val="clear" w:color="000000" w:fill="203764"/>
            <w:vAlign w:val="center"/>
            <w:hideMark/>
          </w:tcPr>
          <w:p w14:paraId="0DCDBA6A"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 de Ejecución (C=B/A)</w:t>
            </w:r>
          </w:p>
        </w:tc>
        <w:tc>
          <w:tcPr>
            <w:tcW w:w="1599" w:type="dxa"/>
            <w:tcBorders>
              <w:top w:val="nil"/>
              <w:left w:val="nil"/>
              <w:bottom w:val="single" w:sz="4" w:space="0" w:color="auto"/>
              <w:right w:val="single" w:sz="4" w:space="0" w:color="auto"/>
            </w:tcBorders>
            <w:shd w:val="clear" w:color="000000" w:fill="203764"/>
            <w:vAlign w:val="center"/>
            <w:hideMark/>
          </w:tcPr>
          <w:p w14:paraId="28752224"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Variación        (D=A-B)</w:t>
            </w:r>
          </w:p>
        </w:tc>
      </w:tr>
      <w:tr w:rsidR="008B4370" w:rsidRPr="008B4370" w14:paraId="3C62F2F8" w14:textId="77777777" w:rsidTr="008B4370">
        <w:trPr>
          <w:trHeight w:val="198"/>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E5BA43" w14:textId="77777777" w:rsidR="008B4370" w:rsidRPr="008B4370" w:rsidRDefault="008B4370" w:rsidP="008B4370">
            <w:pPr>
              <w:jc w:val="center"/>
              <w:rPr>
                <w:rFonts w:ascii="Times New Roman" w:eastAsia="Calibri" w:hAnsi="Times New Roman" w:cs="Times New Roman"/>
                <w:color w:val="FFFFFF" w:themeColor="background1"/>
                <w:spacing w:val="20"/>
                <w:sz w:val="18"/>
                <w:szCs w:val="18"/>
                <w:lang w:val="es-DO"/>
              </w:rPr>
            </w:pPr>
            <w:r w:rsidRPr="008B4370">
              <w:rPr>
                <w:rFonts w:ascii="Times New Roman" w:eastAsia="Calibri" w:hAnsi="Times New Roman" w:cs="Times New Roman"/>
                <w:color w:val="FFFFFF" w:themeColor="background1"/>
                <w:spacing w:val="20"/>
                <w:sz w:val="18"/>
                <w:szCs w:val="18"/>
                <w:lang w:val="es-DO"/>
              </w:rPr>
              <w:t> </w:t>
            </w:r>
          </w:p>
        </w:tc>
        <w:tc>
          <w:tcPr>
            <w:tcW w:w="1966" w:type="dxa"/>
            <w:tcBorders>
              <w:top w:val="nil"/>
              <w:left w:val="nil"/>
              <w:bottom w:val="single" w:sz="4" w:space="0" w:color="auto"/>
              <w:right w:val="single" w:sz="4" w:space="0" w:color="auto"/>
            </w:tcBorders>
            <w:shd w:val="clear" w:color="auto" w:fill="auto"/>
            <w:vAlign w:val="center"/>
            <w:hideMark/>
          </w:tcPr>
          <w:p w14:paraId="6B2773B4" w14:textId="77777777" w:rsidR="008B4370" w:rsidRPr="008B4370" w:rsidRDefault="008B4370" w:rsidP="008B4370">
            <w:pPr>
              <w:jc w:val="center"/>
              <w:rPr>
                <w:rFonts w:ascii="Times New Roman" w:eastAsia="Calibri" w:hAnsi="Times New Roman" w:cs="Times New Roman"/>
                <w:color w:val="FFFFFF" w:themeColor="background1"/>
                <w:spacing w:val="20"/>
                <w:sz w:val="18"/>
                <w:szCs w:val="18"/>
                <w:lang w:val="es-DO"/>
              </w:rPr>
            </w:pPr>
            <w:r w:rsidRPr="008B4370">
              <w:rPr>
                <w:rFonts w:ascii="Times New Roman" w:eastAsia="Calibri" w:hAnsi="Times New Roman" w:cs="Times New Roman"/>
                <w:color w:val="FFFFFF" w:themeColor="background1"/>
                <w:spacing w:val="20"/>
                <w:sz w:val="18"/>
                <w:szCs w:val="18"/>
                <w:lang w:val="es-DO"/>
              </w:rPr>
              <w:t> </w:t>
            </w:r>
          </w:p>
        </w:tc>
        <w:tc>
          <w:tcPr>
            <w:tcW w:w="1599" w:type="dxa"/>
            <w:tcBorders>
              <w:top w:val="nil"/>
              <w:left w:val="nil"/>
              <w:bottom w:val="single" w:sz="4" w:space="0" w:color="auto"/>
              <w:right w:val="single" w:sz="4" w:space="0" w:color="auto"/>
            </w:tcBorders>
            <w:shd w:val="clear" w:color="auto" w:fill="auto"/>
            <w:vAlign w:val="center"/>
            <w:hideMark/>
          </w:tcPr>
          <w:p w14:paraId="638EB8A6" w14:textId="77777777" w:rsidR="008B4370" w:rsidRPr="008B4370" w:rsidRDefault="008B4370" w:rsidP="008B4370">
            <w:pPr>
              <w:jc w:val="center"/>
              <w:rPr>
                <w:rFonts w:ascii="Times New Roman" w:eastAsia="Calibri" w:hAnsi="Times New Roman" w:cs="Times New Roman"/>
                <w:color w:val="FFFFFF" w:themeColor="background1"/>
                <w:spacing w:val="20"/>
                <w:sz w:val="18"/>
                <w:szCs w:val="18"/>
                <w:lang w:val="es-DO"/>
              </w:rPr>
            </w:pPr>
            <w:r w:rsidRPr="008B4370">
              <w:rPr>
                <w:rFonts w:ascii="Times New Roman" w:eastAsia="Calibri" w:hAnsi="Times New Roman" w:cs="Times New Roman"/>
                <w:color w:val="FFFFFF" w:themeColor="background1"/>
                <w:spacing w:val="20"/>
                <w:sz w:val="18"/>
                <w:szCs w:val="18"/>
                <w:lang w:val="es-DO"/>
              </w:rPr>
              <w:t> </w:t>
            </w:r>
          </w:p>
        </w:tc>
        <w:tc>
          <w:tcPr>
            <w:tcW w:w="1311" w:type="dxa"/>
            <w:tcBorders>
              <w:top w:val="nil"/>
              <w:left w:val="nil"/>
              <w:bottom w:val="single" w:sz="4" w:space="0" w:color="auto"/>
              <w:right w:val="single" w:sz="4" w:space="0" w:color="auto"/>
            </w:tcBorders>
            <w:shd w:val="clear" w:color="auto" w:fill="auto"/>
            <w:vAlign w:val="center"/>
            <w:hideMark/>
          </w:tcPr>
          <w:p w14:paraId="754EA6AC" w14:textId="77777777" w:rsidR="008B4370" w:rsidRPr="008B4370" w:rsidRDefault="008B4370" w:rsidP="008B4370">
            <w:pPr>
              <w:jc w:val="center"/>
              <w:rPr>
                <w:rFonts w:ascii="Times New Roman" w:eastAsia="Calibri" w:hAnsi="Times New Roman" w:cs="Times New Roman"/>
                <w:color w:val="FFFFFF" w:themeColor="background1"/>
                <w:spacing w:val="20"/>
                <w:sz w:val="18"/>
                <w:szCs w:val="18"/>
                <w:lang w:val="es-DO"/>
              </w:rPr>
            </w:pPr>
            <w:r w:rsidRPr="008B4370">
              <w:rPr>
                <w:rFonts w:ascii="Times New Roman" w:eastAsia="Calibri" w:hAnsi="Times New Roman" w:cs="Times New Roman"/>
                <w:color w:val="FFFFFF" w:themeColor="background1"/>
                <w:spacing w:val="20"/>
                <w:sz w:val="18"/>
                <w:szCs w:val="18"/>
                <w:lang w:val="es-DO"/>
              </w:rPr>
              <w:t> </w:t>
            </w:r>
          </w:p>
        </w:tc>
        <w:tc>
          <w:tcPr>
            <w:tcW w:w="1599" w:type="dxa"/>
            <w:tcBorders>
              <w:top w:val="nil"/>
              <w:left w:val="nil"/>
              <w:bottom w:val="single" w:sz="4" w:space="0" w:color="auto"/>
              <w:right w:val="single" w:sz="4" w:space="0" w:color="auto"/>
            </w:tcBorders>
            <w:shd w:val="clear" w:color="auto" w:fill="auto"/>
            <w:vAlign w:val="center"/>
            <w:hideMark/>
          </w:tcPr>
          <w:p w14:paraId="655D03AD" w14:textId="77777777" w:rsidR="008B4370" w:rsidRPr="008B4370" w:rsidRDefault="008B4370" w:rsidP="008B4370">
            <w:pPr>
              <w:jc w:val="center"/>
              <w:rPr>
                <w:rFonts w:ascii="Times New Roman" w:eastAsia="Calibri" w:hAnsi="Times New Roman" w:cs="Times New Roman"/>
                <w:color w:val="FFFFFF" w:themeColor="background1"/>
                <w:spacing w:val="20"/>
                <w:sz w:val="18"/>
                <w:szCs w:val="18"/>
                <w:lang w:val="es-DO"/>
              </w:rPr>
            </w:pPr>
            <w:r w:rsidRPr="008B4370">
              <w:rPr>
                <w:rFonts w:ascii="Times New Roman" w:eastAsia="Calibri" w:hAnsi="Times New Roman" w:cs="Times New Roman"/>
                <w:color w:val="FFFFFF" w:themeColor="background1"/>
                <w:spacing w:val="20"/>
                <w:sz w:val="18"/>
                <w:szCs w:val="18"/>
                <w:lang w:val="es-DO"/>
              </w:rPr>
              <w:t> </w:t>
            </w:r>
          </w:p>
        </w:tc>
      </w:tr>
      <w:tr w:rsidR="008B4370" w:rsidRPr="008B4370" w14:paraId="5D0EDA4C" w14:textId="77777777" w:rsidTr="008B4370">
        <w:trPr>
          <w:trHeight w:val="266"/>
        </w:trPr>
        <w:tc>
          <w:tcPr>
            <w:tcW w:w="1435" w:type="dxa"/>
            <w:tcBorders>
              <w:top w:val="nil"/>
              <w:left w:val="single" w:sz="4" w:space="0" w:color="auto"/>
              <w:bottom w:val="single" w:sz="4" w:space="0" w:color="auto"/>
              <w:right w:val="single" w:sz="4" w:space="0" w:color="auto"/>
            </w:tcBorders>
            <w:shd w:val="clear" w:color="000000" w:fill="203764"/>
            <w:noWrap/>
            <w:vAlign w:val="center"/>
            <w:hideMark/>
          </w:tcPr>
          <w:p w14:paraId="3B0FD5E2" w14:textId="77777777" w:rsidR="008B4370" w:rsidRPr="009714C2" w:rsidRDefault="008B4370" w:rsidP="008B4370">
            <w:pP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Ingresos Totales</w:t>
            </w:r>
          </w:p>
        </w:tc>
        <w:tc>
          <w:tcPr>
            <w:tcW w:w="1966" w:type="dxa"/>
            <w:tcBorders>
              <w:top w:val="nil"/>
              <w:left w:val="nil"/>
              <w:bottom w:val="single" w:sz="4" w:space="0" w:color="auto"/>
              <w:right w:val="single" w:sz="4" w:space="0" w:color="auto"/>
            </w:tcBorders>
            <w:shd w:val="clear" w:color="000000" w:fill="203764"/>
            <w:noWrap/>
            <w:vAlign w:val="center"/>
            <w:hideMark/>
          </w:tcPr>
          <w:p w14:paraId="698D0502" w14:textId="77777777" w:rsidR="008B4370" w:rsidRPr="009714C2" w:rsidRDefault="008B4370" w:rsidP="008B4370">
            <w:pPr>
              <w:jc w:val="right"/>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3,479,417,083</w:t>
            </w:r>
          </w:p>
        </w:tc>
        <w:tc>
          <w:tcPr>
            <w:tcW w:w="1599" w:type="dxa"/>
            <w:tcBorders>
              <w:top w:val="nil"/>
              <w:left w:val="nil"/>
              <w:bottom w:val="single" w:sz="4" w:space="0" w:color="auto"/>
              <w:right w:val="single" w:sz="4" w:space="0" w:color="auto"/>
            </w:tcBorders>
            <w:shd w:val="clear" w:color="000000" w:fill="203764"/>
            <w:noWrap/>
            <w:vAlign w:val="center"/>
            <w:hideMark/>
          </w:tcPr>
          <w:p w14:paraId="6206099F" w14:textId="77777777" w:rsidR="008B4370" w:rsidRPr="009714C2" w:rsidRDefault="008B4370" w:rsidP="008B4370">
            <w:pPr>
              <w:jc w:val="right"/>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3,241,847,661</w:t>
            </w:r>
          </w:p>
        </w:tc>
        <w:tc>
          <w:tcPr>
            <w:tcW w:w="1311" w:type="dxa"/>
            <w:tcBorders>
              <w:top w:val="nil"/>
              <w:left w:val="nil"/>
              <w:bottom w:val="single" w:sz="4" w:space="0" w:color="auto"/>
              <w:right w:val="single" w:sz="4" w:space="0" w:color="auto"/>
            </w:tcBorders>
            <w:shd w:val="clear" w:color="000000" w:fill="203764"/>
            <w:noWrap/>
            <w:vAlign w:val="center"/>
            <w:hideMark/>
          </w:tcPr>
          <w:p w14:paraId="1CAC082F"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93%</w:t>
            </w:r>
          </w:p>
        </w:tc>
        <w:tc>
          <w:tcPr>
            <w:tcW w:w="1599" w:type="dxa"/>
            <w:tcBorders>
              <w:top w:val="nil"/>
              <w:left w:val="nil"/>
              <w:bottom w:val="single" w:sz="4" w:space="0" w:color="auto"/>
              <w:right w:val="single" w:sz="4" w:space="0" w:color="auto"/>
            </w:tcBorders>
            <w:shd w:val="clear" w:color="000000" w:fill="203764"/>
            <w:noWrap/>
            <w:vAlign w:val="center"/>
            <w:hideMark/>
          </w:tcPr>
          <w:p w14:paraId="0EC2AA60" w14:textId="77777777" w:rsidR="008B4370" w:rsidRPr="009714C2" w:rsidRDefault="008B4370" w:rsidP="008B4370">
            <w:pPr>
              <w:jc w:val="right"/>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237,569,422</w:t>
            </w:r>
          </w:p>
        </w:tc>
      </w:tr>
      <w:tr w:rsidR="008B4370" w:rsidRPr="008B4370" w14:paraId="70ECCD0C" w14:textId="77777777" w:rsidTr="008B4370">
        <w:trPr>
          <w:trHeight w:val="26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DD98302" w14:textId="77777777" w:rsidR="008B4370" w:rsidRPr="008B4370" w:rsidRDefault="008B4370" w:rsidP="008B4370">
            <w:pP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 xml:space="preserve">1.1 - Impuestos </w:t>
            </w:r>
          </w:p>
        </w:tc>
        <w:tc>
          <w:tcPr>
            <w:tcW w:w="1966" w:type="dxa"/>
            <w:tcBorders>
              <w:top w:val="nil"/>
              <w:left w:val="nil"/>
              <w:bottom w:val="single" w:sz="4" w:space="0" w:color="auto"/>
              <w:right w:val="single" w:sz="4" w:space="0" w:color="auto"/>
            </w:tcBorders>
            <w:shd w:val="clear" w:color="auto" w:fill="auto"/>
            <w:noWrap/>
            <w:vAlign w:val="center"/>
            <w:hideMark/>
          </w:tcPr>
          <w:p w14:paraId="3C839EB2"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1,598,951,559</w:t>
            </w:r>
          </w:p>
        </w:tc>
        <w:tc>
          <w:tcPr>
            <w:tcW w:w="1599" w:type="dxa"/>
            <w:tcBorders>
              <w:top w:val="nil"/>
              <w:left w:val="nil"/>
              <w:bottom w:val="single" w:sz="4" w:space="0" w:color="auto"/>
              <w:right w:val="single" w:sz="4" w:space="0" w:color="auto"/>
            </w:tcBorders>
            <w:shd w:val="clear" w:color="auto" w:fill="auto"/>
            <w:noWrap/>
            <w:vAlign w:val="center"/>
            <w:hideMark/>
          </w:tcPr>
          <w:p w14:paraId="206BEAA2"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1,610,632,720</w:t>
            </w:r>
          </w:p>
        </w:tc>
        <w:tc>
          <w:tcPr>
            <w:tcW w:w="1311" w:type="dxa"/>
            <w:tcBorders>
              <w:top w:val="nil"/>
              <w:left w:val="nil"/>
              <w:bottom w:val="single" w:sz="4" w:space="0" w:color="auto"/>
              <w:right w:val="single" w:sz="4" w:space="0" w:color="auto"/>
            </w:tcBorders>
            <w:shd w:val="clear" w:color="auto" w:fill="auto"/>
            <w:noWrap/>
            <w:vAlign w:val="center"/>
            <w:hideMark/>
          </w:tcPr>
          <w:p w14:paraId="671505C4" w14:textId="77777777" w:rsidR="008B4370" w:rsidRPr="008B4370" w:rsidRDefault="008B4370" w:rsidP="008B4370">
            <w:pPr>
              <w:jc w:val="cente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101%</w:t>
            </w:r>
          </w:p>
        </w:tc>
        <w:tc>
          <w:tcPr>
            <w:tcW w:w="1599" w:type="dxa"/>
            <w:tcBorders>
              <w:top w:val="nil"/>
              <w:left w:val="nil"/>
              <w:bottom w:val="single" w:sz="4" w:space="0" w:color="auto"/>
              <w:right w:val="single" w:sz="4" w:space="0" w:color="auto"/>
            </w:tcBorders>
            <w:shd w:val="clear" w:color="000000" w:fill="FFFFFF"/>
            <w:noWrap/>
            <w:vAlign w:val="center"/>
            <w:hideMark/>
          </w:tcPr>
          <w:p w14:paraId="2C8B23E5"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-11,681,161</w:t>
            </w:r>
          </w:p>
        </w:tc>
      </w:tr>
      <w:tr w:rsidR="008B4370" w:rsidRPr="008B4370" w14:paraId="67531E84" w14:textId="77777777" w:rsidTr="008B4370">
        <w:trPr>
          <w:trHeight w:val="26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78342CA" w14:textId="77777777" w:rsidR="008B4370" w:rsidRPr="008B4370" w:rsidRDefault="008B4370" w:rsidP="008B4370">
            <w:pP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1.6 - Otros Ingresos</w:t>
            </w:r>
          </w:p>
        </w:tc>
        <w:tc>
          <w:tcPr>
            <w:tcW w:w="1966" w:type="dxa"/>
            <w:tcBorders>
              <w:top w:val="nil"/>
              <w:left w:val="nil"/>
              <w:bottom w:val="single" w:sz="4" w:space="0" w:color="auto"/>
              <w:right w:val="single" w:sz="4" w:space="0" w:color="auto"/>
            </w:tcBorders>
            <w:shd w:val="clear" w:color="auto" w:fill="auto"/>
            <w:noWrap/>
            <w:vAlign w:val="center"/>
            <w:hideMark/>
          </w:tcPr>
          <w:p w14:paraId="11A61BEC"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1,880,465,524</w:t>
            </w:r>
          </w:p>
        </w:tc>
        <w:tc>
          <w:tcPr>
            <w:tcW w:w="1599" w:type="dxa"/>
            <w:tcBorders>
              <w:top w:val="nil"/>
              <w:left w:val="nil"/>
              <w:bottom w:val="single" w:sz="4" w:space="0" w:color="auto"/>
              <w:right w:val="single" w:sz="4" w:space="0" w:color="auto"/>
            </w:tcBorders>
            <w:shd w:val="clear" w:color="auto" w:fill="auto"/>
            <w:noWrap/>
            <w:vAlign w:val="center"/>
            <w:hideMark/>
          </w:tcPr>
          <w:p w14:paraId="2C89ECBA"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1,631,214,941</w:t>
            </w:r>
          </w:p>
        </w:tc>
        <w:tc>
          <w:tcPr>
            <w:tcW w:w="1311" w:type="dxa"/>
            <w:tcBorders>
              <w:top w:val="nil"/>
              <w:left w:val="nil"/>
              <w:bottom w:val="single" w:sz="4" w:space="0" w:color="auto"/>
              <w:right w:val="single" w:sz="4" w:space="0" w:color="auto"/>
            </w:tcBorders>
            <w:shd w:val="clear" w:color="auto" w:fill="auto"/>
            <w:noWrap/>
            <w:vAlign w:val="center"/>
            <w:hideMark/>
          </w:tcPr>
          <w:p w14:paraId="424B53B1" w14:textId="77777777" w:rsidR="008B4370" w:rsidRPr="008B4370" w:rsidRDefault="008B4370" w:rsidP="008B4370">
            <w:pPr>
              <w:jc w:val="cente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87%</w:t>
            </w:r>
          </w:p>
        </w:tc>
        <w:tc>
          <w:tcPr>
            <w:tcW w:w="1599" w:type="dxa"/>
            <w:tcBorders>
              <w:top w:val="nil"/>
              <w:left w:val="nil"/>
              <w:bottom w:val="single" w:sz="4" w:space="0" w:color="auto"/>
              <w:right w:val="single" w:sz="4" w:space="0" w:color="auto"/>
            </w:tcBorders>
            <w:shd w:val="clear" w:color="000000" w:fill="FFFFFF"/>
            <w:noWrap/>
            <w:vAlign w:val="center"/>
            <w:hideMark/>
          </w:tcPr>
          <w:p w14:paraId="5ED68903"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249,250,582</w:t>
            </w:r>
          </w:p>
        </w:tc>
      </w:tr>
      <w:tr w:rsidR="008B4370" w:rsidRPr="008B4370" w14:paraId="031192A5" w14:textId="77777777" w:rsidTr="008B4370">
        <w:trPr>
          <w:trHeight w:val="292"/>
        </w:trPr>
        <w:tc>
          <w:tcPr>
            <w:tcW w:w="1435" w:type="dxa"/>
            <w:tcBorders>
              <w:top w:val="nil"/>
              <w:left w:val="single" w:sz="4" w:space="0" w:color="auto"/>
              <w:bottom w:val="single" w:sz="4" w:space="0" w:color="auto"/>
              <w:right w:val="single" w:sz="4" w:space="0" w:color="auto"/>
            </w:tcBorders>
            <w:shd w:val="clear" w:color="000000" w:fill="203764"/>
            <w:noWrap/>
            <w:vAlign w:val="center"/>
            <w:hideMark/>
          </w:tcPr>
          <w:p w14:paraId="7AC69367" w14:textId="77777777" w:rsidR="008B4370" w:rsidRPr="009714C2" w:rsidRDefault="008B4370" w:rsidP="008B4370">
            <w:pP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Gastos Totales</w:t>
            </w:r>
          </w:p>
        </w:tc>
        <w:tc>
          <w:tcPr>
            <w:tcW w:w="1966" w:type="dxa"/>
            <w:tcBorders>
              <w:top w:val="nil"/>
              <w:left w:val="nil"/>
              <w:bottom w:val="single" w:sz="4" w:space="0" w:color="auto"/>
              <w:right w:val="single" w:sz="4" w:space="0" w:color="auto"/>
            </w:tcBorders>
            <w:shd w:val="clear" w:color="000000" w:fill="203764"/>
            <w:noWrap/>
            <w:vAlign w:val="center"/>
            <w:hideMark/>
          </w:tcPr>
          <w:p w14:paraId="2F11D460" w14:textId="77777777" w:rsidR="008B4370" w:rsidRPr="009714C2" w:rsidRDefault="008B4370" w:rsidP="008B4370">
            <w:pPr>
              <w:jc w:val="right"/>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3,479,417,083</w:t>
            </w:r>
          </w:p>
        </w:tc>
        <w:tc>
          <w:tcPr>
            <w:tcW w:w="1599" w:type="dxa"/>
            <w:tcBorders>
              <w:top w:val="nil"/>
              <w:left w:val="nil"/>
              <w:bottom w:val="single" w:sz="4" w:space="0" w:color="auto"/>
              <w:right w:val="single" w:sz="4" w:space="0" w:color="auto"/>
            </w:tcBorders>
            <w:shd w:val="clear" w:color="000000" w:fill="203764"/>
            <w:noWrap/>
            <w:vAlign w:val="center"/>
            <w:hideMark/>
          </w:tcPr>
          <w:p w14:paraId="5A0D2763" w14:textId="77777777" w:rsidR="008B4370" w:rsidRPr="009714C2" w:rsidRDefault="008B4370" w:rsidP="008B4370">
            <w:pPr>
              <w:jc w:val="right"/>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1,394,456,229</w:t>
            </w:r>
          </w:p>
        </w:tc>
        <w:tc>
          <w:tcPr>
            <w:tcW w:w="1311" w:type="dxa"/>
            <w:tcBorders>
              <w:top w:val="nil"/>
              <w:left w:val="nil"/>
              <w:bottom w:val="single" w:sz="4" w:space="0" w:color="auto"/>
              <w:right w:val="single" w:sz="4" w:space="0" w:color="auto"/>
            </w:tcBorders>
            <w:shd w:val="clear" w:color="000000" w:fill="203764"/>
            <w:noWrap/>
            <w:vAlign w:val="center"/>
            <w:hideMark/>
          </w:tcPr>
          <w:p w14:paraId="45ACE9DD"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40%</w:t>
            </w:r>
          </w:p>
        </w:tc>
        <w:tc>
          <w:tcPr>
            <w:tcW w:w="1599" w:type="dxa"/>
            <w:tcBorders>
              <w:top w:val="nil"/>
              <w:left w:val="nil"/>
              <w:bottom w:val="single" w:sz="4" w:space="0" w:color="auto"/>
              <w:right w:val="single" w:sz="4" w:space="0" w:color="auto"/>
            </w:tcBorders>
            <w:shd w:val="clear" w:color="000000" w:fill="203764"/>
            <w:noWrap/>
            <w:vAlign w:val="center"/>
            <w:hideMark/>
          </w:tcPr>
          <w:p w14:paraId="1594A884" w14:textId="77777777" w:rsidR="008B4370" w:rsidRPr="009714C2" w:rsidRDefault="008B4370" w:rsidP="008B4370">
            <w:pPr>
              <w:jc w:val="right"/>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2,084,960,854</w:t>
            </w:r>
          </w:p>
        </w:tc>
      </w:tr>
      <w:tr w:rsidR="008B4370" w:rsidRPr="008B4370" w14:paraId="3170CB98" w14:textId="77777777" w:rsidTr="008B4370">
        <w:trPr>
          <w:trHeight w:val="26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336A61" w14:textId="77777777" w:rsidR="008B4370" w:rsidRPr="008B4370" w:rsidRDefault="008B4370" w:rsidP="008B4370">
            <w:pP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2.1 - Remuneraciones y Contribuciones</w:t>
            </w:r>
          </w:p>
        </w:tc>
        <w:tc>
          <w:tcPr>
            <w:tcW w:w="1966" w:type="dxa"/>
            <w:tcBorders>
              <w:top w:val="nil"/>
              <w:left w:val="nil"/>
              <w:bottom w:val="single" w:sz="4" w:space="0" w:color="auto"/>
              <w:right w:val="single" w:sz="4" w:space="0" w:color="auto"/>
            </w:tcBorders>
            <w:shd w:val="clear" w:color="auto" w:fill="auto"/>
            <w:noWrap/>
            <w:vAlign w:val="center"/>
            <w:hideMark/>
          </w:tcPr>
          <w:p w14:paraId="5384EC0C"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1,065,132,807</w:t>
            </w:r>
          </w:p>
        </w:tc>
        <w:tc>
          <w:tcPr>
            <w:tcW w:w="1599" w:type="dxa"/>
            <w:tcBorders>
              <w:top w:val="nil"/>
              <w:left w:val="nil"/>
              <w:bottom w:val="single" w:sz="4" w:space="0" w:color="auto"/>
              <w:right w:val="single" w:sz="4" w:space="0" w:color="auto"/>
            </w:tcBorders>
            <w:shd w:val="clear" w:color="auto" w:fill="auto"/>
            <w:noWrap/>
            <w:vAlign w:val="center"/>
            <w:hideMark/>
          </w:tcPr>
          <w:p w14:paraId="2D606CEA"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949,501,321</w:t>
            </w:r>
          </w:p>
        </w:tc>
        <w:tc>
          <w:tcPr>
            <w:tcW w:w="1311" w:type="dxa"/>
            <w:tcBorders>
              <w:top w:val="nil"/>
              <w:left w:val="nil"/>
              <w:bottom w:val="single" w:sz="4" w:space="0" w:color="auto"/>
              <w:right w:val="single" w:sz="4" w:space="0" w:color="auto"/>
            </w:tcBorders>
            <w:shd w:val="clear" w:color="auto" w:fill="auto"/>
            <w:noWrap/>
            <w:vAlign w:val="center"/>
            <w:hideMark/>
          </w:tcPr>
          <w:p w14:paraId="673F1DB4" w14:textId="77777777" w:rsidR="008B4370" w:rsidRPr="008B4370" w:rsidRDefault="008B4370" w:rsidP="008B4370">
            <w:pPr>
              <w:jc w:val="cente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89%</w:t>
            </w:r>
          </w:p>
        </w:tc>
        <w:tc>
          <w:tcPr>
            <w:tcW w:w="1599" w:type="dxa"/>
            <w:tcBorders>
              <w:top w:val="nil"/>
              <w:left w:val="nil"/>
              <w:bottom w:val="single" w:sz="4" w:space="0" w:color="auto"/>
              <w:right w:val="single" w:sz="4" w:space="0" w:color="auto"/>
            </w:tcBorders>
            <w:shd w:val="clear" w:color="000000" w:fill="FFFFFF"/>
            <w:noWrap/>
            <w:vAlign w:val="center"/>
            <w:hideMark/>
          </w:tcPr>
          <w:p w14:paraId="7B637447"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115,631,486</w:t>
            </w:r>
          </w:p>
        </w:tc>
      </w:tr>
      <w:tr w:rsidR="008B4370" w:rsidRPr="008B4370" w14:paraId="1A1B0A79" w14:textId="77777777" w:rsidTr="008B4370">
        <w:trPr>
          <w:trHeight w:val="26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3F4D2D" w14:textId="77777777" w:rsidR="008B4370" w:rsidRPr="008B4370" w:rsidRDefault="008B4370" w:rsidP="008B4370">
            <w:pP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 xml:space="preserve">2.2 - Contratación De Servicios </w:t>
            </w:r>
          </w:p>
        </w:tc>
        <w:tc>
          <w:tcPr>
            <w:tcW w:w="1966" w:type="dxa"/>
            <w:tcBorders>
              <w:top w:val="nil"/>
              <w:left w:val="nil"/>
              <w:bottom w:val="single" w:sz="4" w:space="0" w:color="auto"/>
              <w:right w:val="single" w:sz="4" w:space="0" w:color="auto"/>
            </w:tcBorders>
            <w:shd w:val="clear" w:color="auto" w:fill="auto"/>
            <w:noWrap/>
            <w:vAlign w:val="center"/>
            <w:hideMark/>
          </w:tcPr>
          <w:p w14:paraId="4A8091B6"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614,265,107</w:t>
            </w:r>
          </w:p>
        </w:tc>
        <w:tc>
          <w:tcPr>
            <w:tcW w:w="1599" w:type="dxa"/>
            <w:tcBorders>
              <w:top w:val="nil"/>
              <w:left w:val="nil"/>
              <w:bottom w:val="single" w:sz="4" w:space="0" w:color="auto"/>
              <w:right w:val="single" w:sz="4" w:space="0" w:color="auto"/>
            </w:tcBorders>
            <w:shd w:val="clear" w:color="auto" w:fill="auto"/>
            <w:noWrap/>
            <w:vAlign w:val="center"/>
            <w:hideMark/>
          </w:tcPr>
          <w:p w14:paraId="4162CF34"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333,633,888</w:t>
            </w:r>
          </w:p>
        </w:tc>
        <w:tc>
          <w:tcPr>
            <w:tcW w:w="1311" w:type="dxa"/>
            <w:tcBorders>
              <w:top w:val="nil"/>
              <w:left w:val="nil"/>
              <w:bottom w:val="single" w:sz="4" w:space="0" w:color="auto"/>
              <w:right w:val="single" w:sz="4" w:space="0" w:color="auto"/>
            </w:tcBorders>
            <w:shd w:val="clear" w:color="auto" w:fill="auto"/>
            <w:noWrap/>
            <w:vAlign w:val="center"/>
            <w:hideMark/>
          </w:tcPr>
          <w:p w14:paraId="06B3E0CD" w14:textId="77777777" w:rsidR="008B4370" w:rsidRPr="008B4370" w:rsidRDefault="008B4370" w:rsidP="008B4370">
            <w:pPr>
              <w:jc w:val="cente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54%</w:t>
            </w:r>
          </w:p>
        </w:tc>
        <w:tc>
          <w:tcPr>
            <w:tcW w:w="1599" w:type="dxa"/>
            <w:tcBorders>
              <w:top w:val="nil"/>
              <w:left w:val="nil"/>
              <w:bottom w:val="single" w:sz="4" w:space="0" w:color="auto"/>
              <w:right w:val="single" w:sz="4" w:space="0" w:color="auto"/>
            </w:tcBorders>
            <w:shd w:val="clear" w:color="000000" w:fill="FFFFFF"/>
            <w:noWrap/>
            <w:vAlign w:val="center"/>
            <w:hideMark/>
          </w:tcPr>
          <w:p w14:paraId="3DC3C2F5"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280,631,219</w:t>
            </w:r>
          </w:p>
        </w:tc>
      </w:tr>
      <w:tr w:rsidR="008B4370" w:rsidRPr="008B4370" w14:paraId="7A602053" w14:textId="77777777" w:rsidTr="008B4370">
        <w:trPr>
          <w:trHeight w:val="26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A6D72CA" w14:textId="77777777" w:rsidR="008B4370" w:rsidRPr="008B4370" w:rsidRDefault="008B4370" w:rsidP="008B4370">
            <w:pP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2.3 - Materiales y Suministros</w:t>
            </w:r>
          </w:p>
        </w:tc>
        <w:tc>
          <w:tcPr>
            <w:tcW w:w="1966" w:type="dxa"/>
            <w:tcBorders>
              <w:top w:val="nil"/>
              <w:left w:val="nil"/>
              <w:bottom w:val="single" w:sz="4" w:space="0" w:color="auto"/>
              <w:right w:val="single" w:sz="4" w:space="0" w:color="auto"/>
            </w:tcBorders>
            <w:shd w:val="clear" w:color="auto" w:fill="auto"/>
            <w:noWrap/>
            <w:vAlign w:val="center"/>
            <w:hideMark/>
          </w:tcPr>
          <w:p w14:paraId="73D97703"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58,030,735</w:t>
            </w:r>
          </w:p>
        </w:tc>
        <w:tc>
          <w:tcPr>
            <w:tcW w:w="1599" w:type="dxa"/>
            <w:tcBorders>
              <w:top w:val="nil"/>
              <w:left w:val="nil"/>
              <w:bottom w:val="single" w:sz="4" w:space="0" w:color="auto"/>
              <w:right w:val="single" w:sz="4" w:space="0" w:color="auto"/>
            </w:tcBorders>
            <w:shd w:val="clear" w:color="auto" w:fill="auto"/>
            <w:noWrap/>
            <w:vAlign w:val="center"/>
            <w:hideMark/>
          </w:tcPr>
          <w:p w14:paraId="78B7A0CD"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26,050,621</w:t>
            </w:r>
          </w:p>
        </w:tc>
        <w:tc>
          <w:tcPr>
            <w:tcW w:w="1311" w:type="dxa"/>
            <w:tcBorders>
              <w:top w:val="nil"/>
              <w:left w:val="nil"/>
              <w:bottom w:val="single" w:sz="4" w:space="0" w:color="auto"/>
              <w:right w:val="single" w:sz="4" w:space="0" w:color="auto"/>
            </w:tcBorders>
            <w:shd w:val="clear" w:color="auto" w:fill="auto"/>
            <w:noWrap/>
            <w:vAlign w:val="center"/>
            <w:hideMark/>
          </w:tcPr>
          <w:p w14:paraId="37A0DC46" w14:textId="77777777" w:rsidR="008B4370" w:rsidRPr="008B4370" w:rsidRDefault="008B4370" w:rsidP="008B4370">
            <w:pPr>
              <w:jc w:val="cente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45%</w:t>
            </w:r>
          </w:p>
        </w:tc>
        <w:tc>
          <w:tcPr>
            <w:tcW w:w="1599" w:type="dxa"/>
            <w:tcBorders>
              <w:top w:val="nil"/>
              <w:left w:val="nil"/>
              <w:bottom w:val="single" w:sz="4" w:space="0" w:color="auto"/>
              <w:right w:val="single" w:sz="4" w:space="0" w:color="auto"/>
            </w:tcBorders>
            <w:shd w:val="clear" w:color="000000" w:fill="FFFFFF"/>
            <w:noWrap/>
            <w:vAlign w:val="center"/>
            <w:hideMark/>
          </w:tcPr>
          <w:p w14:paraId="312F3063"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31,980,114</w:t>
            </w:r>
          </w:p>
        </w:tc>
      </w:tr>
      <w:tr w:rsidR="008B4370" w:rsidRPr="008B4370" w14:paraId="4B459BD1" w14:textId="77777777" w:rsidTr="008B4370">
        <w:trPr>
          <w:trHeight w:val="26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C5129A" w14:textId="77777777" w:rsidR="008B4370" w:rsidRPr="008B4370" w:rsidRDefault="008B4370" w:rsidP="008B4370">
            <w:pP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2.4 - Transferencias Corrientes</w:t>
            </w:r>
          </w:p>
        </w:tc>
        <w:tc>
          <w:tcPr>
            <w:tcW w:w="1966" w:type="dxa"/>
            <w:tcBorders>
              <w:top w:val="nil"/>
              <w:left w:val="nil"/>
              <w:bottom w:val="single" w:sz="4" w:space="0" w:color="auto"/>
              <w:right w:val="single" w:sz="4" w:space="0" w:color="auto"/>
            </w:tcBorders>
            <w:shd w:val="clear" w:color="auto" w:fill="auto"/>
            <w:noWrap/>
            <w:vAlign w:val="center"/>
            <w:hideMark/>
          </w:tcPr>
          <w:p w14:paraId="276780ED"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1,233,156,670</w:t>
            </w:r>
          </w:p>
        </w:tc>
        <w:tc>
          <w:tcPr>
            <w:tcW w:w="1599" w:type="dxa"/>
            <w:tcBorders>
              <w:top w:val="nil"/>
              <w:left w:val="nil"/>
              <w:bottom w:val="single" w:sz="4" w:space="0" w:color="auto"/>
              <w:right w:val="single" w:sz="4" w:space="0" w:color="auto"/>
            </w:tcBorders>
            <w:shd w:val="clear" w:color="auto" w:fill="auto"/>
            <w:noWrap/>
            <w:vAlign w:val="center"/>
            <w:hideMark/>
          </w:tcPr>
          <w:p w14:paraId="48C9DBEA"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26,971,803</w:t>
            </w:r>
          </w:p>
        </w:tc>
        <w:tc>
          <w:tcPr>
            <w:tcW w:w="1311" w:type="dxa"/>
            <w:tcBorders>
              <w:top w:val="nil"/>
              <w:left w:val="nil"/>
              <w:bottom w:val="single" w:sz="4" w:space="0" w:color="auto"/>
              <w:right w:val="single" w:sz="4" w:space="0" w:color="auto"/>
            </w:tcBorders>
            <w:shd w:val="clear" w:color="auto" w:fill="auto"/>
            <w:noWrap/>
            <w:vAlign w:val="center"/>
            <w:hideMark/>
          </w:tcPr>
          <w:p w14:paraId="0306755B" w14:textId="77777777" w:rsidR="008B4370" w:rsidRPr="008B4370" w:rsidRDefault="008B4370" w:rsidP="008B4370">
            <w:pPr>
              <w:jc w:val="cente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w:t>
            </w:r>
          </w:p>
        </w:tc>
        <w:tc>
          <w:tcPr>
            <w:tcW w:w="1599" w:type="dxa"/>
            <w:tcBorders>
              <w:top w:val="nil"/>
              <w:left w:val="nil"/>
              <w:bottom w:val="single" w:sz="4" w:space="0" w:color="auto"/>
              <w:right w:val="single" w:sz="4" w:space="0" w:color="auto"/>
            </w:tcBorders>
            <w:shd w:val="clear" w:color="000000" w:fill="FFFFFF"/>
            <w:noWrap/>
            <w:vAlign w:val="center"/>
            <w:hideMark/>
          </w:tcPr>
          <w:p w14:paraId="29D0D344"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1,206,184,867</w:t>
            </w:r>
          </w:p>
        </w:tc>
      </w:tr>
      <w:tr w:rsidR="008B4370" w:rsidRPr="008B4370" w14:paraId="0C39DE4F" w14:textId="77777777" w:rsidTr="008B4370">
        <w:trPr>
          <w:trHeight w:val="26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8776FAD" w14:textId="77777777" w:rsidR="008B4370" w:rsidRPr="008B4370" w:rsidRDefault="008B4370" w:rsidP="008B4370">
            <w:pP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 xml:space="preserve">2.5 - Transferencias de Capital </w:t>
            </w:r>
          </w:p>
        </w:tc>
        <w:tc>
          <w:tcPr>
            <w:tcW w:w="1966" w:type="dxa"/>
            <w:tcBorders>
              <w:top w:val="nil"/>
              <w:left w:val="nil"/>
              <w:bottom w:val="single" w:sz="4" w:space="0" w:color="auto"/>
              <w:right w:val="single" w:sz="4" w:space="0" w:color="auto"/>
            </w:tcBorders>
            <w:shd w:val="clear" w:color="auto" w:fill="auto"/>
            <w:noWrap/>
            <w:vAlign w:val="center"/>
            <w:hideMark/>
          </w:tcPr>
          <w:p w14:paraId="29041604"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109,668,111</w:t>
            </w:r>
          </w:p>
        </w:tc>
        <w:tc>
          <w:tcPr>
            <w:tcW w:w="1599" w:type="dxa"/>
            <w:tcBorders>
              <w:top w:val="nil"/>
              <w:left w:val="nil"/>
              <w:bottom w:val="single" w:sz="4" w:space="0" w:color="auto"/>
              <w:right w:val="single" w:sz="4" w:space="0" w:color="auto"/>
            </w:tcBorders>
            <w:shd w:val="clear" w:color="auto" w:fill="auto"/>
            <w:noWrap/>
            <w:vAlign w:val="center"/>
            <w:hideMark/>
          </w:tcPr>
          <w:p w14:paraId="1CCD6CF3"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21,476,188</w:t>
            </w:r>
          </w:p>
        </w:tc>
        <w:tc>
          <w:tcPr>
            <w:tcW w:w="1311" w:type="dxa"/>
            <w:tcBorders>
              <w:top w:val="nil"/>
              <w:left w:val="nil"/>
              <w:bottom w:val="single" w:sz="4" w:space="0" w:color="auto"/>
              <w:right w:val="single" w:sz="4" w:space="0" w:color="auto"/>
            </w:tcBorders>
            <w:shd w:val="clear" w:color="auto" w:fill="auto"/>
            <w:noWrap/>
            <w:vAlign w:val="center"/>
            <w:hideMark/>
          </w:tcPr>
          <w:p w14:paraId="0FD9636C" w14:textId="77777777" w:rsidR="008B4370" w:rsidRPr="008B4370" w:rsidRDefault="008B4370" w:rsidP="008B4370">
            <w:pPr>
              <w:jc w:val="cente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20%</w:t>
            </w:r>
          </w:p>
        </w:tc>
        <w:tc>
          <w:tcPr>
            <w:tcW w:w="1599" w:type="dxa"/>
            <w:tcBorders>
              <w:top w:val="nil"/>
              <w:left w:val="nil"/>
              <w:bottom w:val="single" w:sz="4" w:space="0" w:color="auto"/>
              <w:right w:val="single" w:sz="4" w:space="0" w:color="auto"/>
            </w:tcBorders>
            <w:shd w:val="clear" w:color="000000" w:fill="FFFFFF"/>
            <w:noWrap/>
            <w:vAlign w:val="center"/>
            <w:hideMark/>
          </w:tcPr>
          <w:p w14:paraId="21C7E21B"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88,191,923</w:t>
            </w:r>
          </w:p>
        </w:tc>
      </w:tr>
      <w:tr w:rsidR="008B4370" w:rsidRPr="008B4370" w14:paraId="235FDABA" w14:textId="77777777" w:rsidTr="008B4370">
        <w:trPr>
          <w:trHeight w:val="26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3122E87" w14:textId="77777777" w:rsidR="008B4370" w:rsidRPr="008B4370" w:rsidRDefault="008B4370" w:rsidP="008B4370">
            <w:pP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 xml:space="preserve">2.6 - Bienes Muebles, Inmuebles E Intangibles </w:t>
            </w:r>
          </w:p>
        </w:tc>
        <w:tc>
          <w:tcPr>
            <w:tcW w:w="1966" w:type="dxa"/>
            <w:tcBorders>
              <w:top w:val="nil"/>
              <w:left w:val="nil"/>
              <w:bottom w:val="single" w:sz="4" w:space="0" w:color="auto"/>
              <w:right w:val="single" w:sz="4" w:space="0" w:color="auto"/>
            </w:tcBorders>
            <w:shd w:val="clear" w:color="auto" w:fill="auto"/>
            <w:noWrap/>
            <w:vAlign w:val="center"/>
            <w:hideMark/>
          </w:tcPr>
          <w:p w14:paraId="0B8FC2DE"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90,165,153</w:t>
            </w:r>
          </w:p>
        </w:tc>
        <w:tc>
          <w:tcPr>
            <w:tcW w:w="1599" w:type="dxa"/>
            <w:tcBorders>
              <w:top w:val="nil"/>
              <w:left w:val="nil"/>
              <w:bottom w:val="single" w:sz="4" w:space="0" w:color="auto"/>
              <w:right w:val="single" w:sz="4" w:space="0" w:color="auto"/>
            </w:tcBorders>
            <w:shd w:val="clear" w:color="auto" w:fill="auto"/>
            <w:noWrap/>
            <w:vAlign w:val="center"/>
            <w:hideMark/>
          </w:tcPr>
          <w:p w14:paraId="25337F9D"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36,822,406</w:t>
            </w:r>
          </w:p>
        </w:tc>
        <w:tc>
          <w:tcPr>
            <w:tcW w:w="1311" w:type="dxa"/>
            <w:tcBorders>
              <w:top w:val="nil"/>
              <w:left w:val="nil"/>
              <w:bottom w:val="single" w:sz="4" w:space="0" w:color="auto"/>
              <w:right w:val="single" w:sz="4" w:space="0" w:color="auto"/>
            </w:tcBorders>
            <w:shd w:val="clear" w:color="auto" w:fill="auto"/>
            <w:noWrap/>
            <w:vAlign w:val="center"/>
            <w:hideMark/>
          </w:tcPr>
          <w:p w14:paraId="43B37005" w14:textId="77777777" w:rsidR="008B4370" w:rsidRPr="008B4370" w:rsidRDefault="008B4370" w:rsidP="008B4370">
            <w:pPr>
              <w:jc w:val="cente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41%</w:t>
            </w:r>
          </w:p>
        </w:tc>
        <w:tc>
          <w:tcPr>
            <w:tcW w:w="1599" w:type="dxa"/>
            <w:tcBorders>
              <w:top w:val="nil"/>
              <w:left w:val="nil"/>
              <w:bottom w:val="single" w:sz="4" w:space="0" w:color="auto"/>
              <w:right w:val="single" w:sz="4" w:space="0" w:color="auto"/>
            </w:tcBorders>
            <w:shd w:val="clear" w:color="000000" w:fill="FFFFFF"/>
            <w:noWrap/>
            <w:vAlign w:val="center"/>
            <w:hideMark/>
          </w:tcPr>
          <w:p w14:paraId="55DD3C51"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53,342,747</w:t>
            </w:r>
          </w:p>
        </w:tc>
      </w:tr>
      <w:tr w:rsidR="008B4370" w:rsidRPr="008B4370" w14:paraId="39EBD3E0" w14:textId="77777777" w:rsidTr="008B4370">
        <w:trPr>
          <w:trHeight w:val="266"/>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2F56C93E" w14:textId="77777777" w:rsidR="008B4370" w:rsidRPr="008B4370" w:rsidRDefault="008B4370" w:rsidP="008B4370">
            <w:pP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2.7 – Obras</w:t>
            </w:r>
          </w:p>
        </w:tc>
        <w:tc>
          <w:tcPr>
            <w:tcW w:w="1966" w:type="dxa"/>
            <w:tcBorders>
              <w:top w:val="nil"/>
              <w:left w:val="nil"/>
              <w:bottom w:val="single" w:sz="4" w:space="0" w:color="auto"/>
              <w:right w:val="single" w:sz="4" w:space="0" w:color="auto"/>
            </w:tcBorders>
            <w:shd w:val="clear" w:color="auto" w:fill="auto"/>
            <w:noWrap/>
            <w:vAlign w:val="center"/>
            <w:hideMark/>
          </w:tcPr>
          <w:p w14:paraId="2F7327CA"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308,998,500</w:t>
            </w:r>
          </w:p>
        </w:tc>
        <w:tc>
          <w:tcPr>
            <w:tcW w:w="1599" w:type="dxa"/>
            <w:tcBorders>
              <w:top w:val="nil"/>
              <w:left w:val="nil"/>
              <w:bottom w:val="single" w:sz="4" w:space="0" w:color="auto"/>
              <w:right w:val="single" w:sz="4" w:space="0" w:color="auto"/>
            </w:tcBorders>
            <w:shd w:val="clear" w:color="auto" w:fill="auto"/>
            <w:noWrap/>
            <w:vAlign w:val="center"/>
            <w:hideMark/>
          </w:tcPr>
          <w:p w14:paraId="6FCA492C"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0</w:t>
            </w:r>
          </w:p>
        </w:tc>
        <w:tc>
          <w:tcPr>
            <w:tcW w:w="1311" w:type="dxa"/>
            <w:tcBorders>
              <w:top w:val="nil"/>
              <w:left w:val="nil"/>
              <w:bottom w:val="single" w:sz="4" w:space="0" w:color="auto"/>
              <w:right w:val="single" w:sz="4" w:space="0" w:color="auto"/>
            </w:tcBorders>
            <w:shd w:val="clear" w:color="auto" w:fill="auto"/>
            <w:noWrap/>
            <w:vAlign w:val="center"/>
            <w:hideMark/>
          </w:tcPr>
          <w:p w14:paraId="3E660031" w14:textId="77777777" w:rsidR="008B4370" w:rsidRPr="008B4370" w:rsidRDefault="008B4370" w:rsidP="008B4370">
            <w:pPr>
              <w:jc w:val="center"/>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0%</w:t>
            </w:r>
          </w:p>
        </w:tc>
        <w:tc>
          <w:tcPr>
            <w:tcW w:w="1599" w:type="dxa"/>
            <w:tcBorders>
              <w:top w:val="nil"/>
              <w:left w:val="nil"/>
              <w:bottom w:val="single" w:sz="4" w:space="0" w:color="auto"/>
              <w:right w:val="single" w:sz="4" w:space="0" w:color="auto"/>
            </w:tcBorders>
            <w:shd w:val="clear" w:color="000000" w:fill="FFFFFF"/>
            <w:noWrap/>
            <w:vAlign w:val="center"/>
            <w:hideMark/>
          </w:tcPr>
          <w:p w14:paraId="6A221E28" w14:textId="77777777" w:rsidR="008B4370" w:rsidRPr="008B4370" w:rsidRDefault="008B4370" w:rsidP="008B4370">
            <w:pPr>
              <w:jc w:val="right"/>
              <w:rPr>
                <w:rFonts w:ascii="Times New Roman" w:eastAsia="Calibri" w:hAnsi="Times New Roman" w:cs="Times New Roman"/>
                <w:color w:val="4C4747"/>
                <w:spacing w:val="20"/>
                <w:sz w:val="18"/>
                <w:szCs w:val="18"/>
                <w:lang w:val="es-DO"/>
              </w:rPr>
            </w:pPr>
            <w:r w:rsidRPr="008B4370">
              <w:rPr>
                <w:rFonts w:ascii="Times New Roman" w:eastAsia="Calibri" w:hAnsi="Times New Roman" w:cs="Times New Roman"/>
                <w:color w:val="4C4747"/>
                <w:spacing w:val="20"/>
                <w:sz w:val="18"/>
                <w:szCs w:val="18"/>
                <w:lang w:val="es-DO"/>
              </w:rPr>
              <w:t>308,998,500</w:t>
            </w:r>
          </w:p>
        </w:tc>
      </w:tr>
      <w:tr w:rsidR="008B4370" w:rsidRPr="009714C2" w14:paraId="76243BD9" w14:textId="77777777" w:rsidTr="008B4370">
        <w:trPr>
          <w:trHeight w:val="266"/>
        </w:trPr>
        <w:tc>
          <w:tcPr>
            <w:tcW w:w="1435" w:type="dxa"/>
            <w:tcBorders>
              <w:top w:val="nil"/>
              <w:left w:val="single" w:sz="4" w:space="0" w:color="auto"/>
              <w:bottom w:val="single" w:sz="4" w:space="0" w:color="auto"/>
              <w:right w:val="single" w:sz="4" w:space="0" w:color="auto"/>
            </w:tcBorders>
            <w:shd w:val="clear" w:color="000000" w:fill="203764"/>
            <w:noWrap/>
            <w:vAlign w:val="center"/>
            <w:hideMark/>
          </w:tcPr>
          <w:p w14:paraId="272C0F12" w14:textId="77777777" w:rsidR="008B4370" w:rsidRPr="009714C2" w:rsidRDefault="008B4370" w:rsidP="008B4370">
            <w:pP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Resultado Financiero (1-2)</w:t>
            </w:r>
          </w:p>
        </w:tc>
        <w:tc>
          <w:tcPr>
            <w:tcW w:w="1966" w:type="dxa"/>
            <w:tcBorders>
              <w:top w:val="nil"/>
              <w:left w:val="nil"/>
              <w:bottom w:val="single" w:sz="4" w:space="0" w:color="auto"/>
              <w:right w:val="single" w:sz="4" w:space="0" w:color="auto"/>
            </w:tcBorders>
            <w:shd w:val="clear" w:color="000000" w:fill="203764"/>
            <w:noWrap/>
            <w:vAlign w:val="center"/>
            <w:hideMark/>
          </w:tcPr>
          <w:p w14:paraId="604ADF15" w14:textId="77777777" w:rsidR="008B4370" w:rsidRPr="009714C2" w:rsidRDefault="008B4370" w:rsidP="008B4370">
            <w:pPr>
              <w:jc w:val="right"/>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0</w:t>
            </w:r>
          </w:p>
        </w:tc>
        <w:tc>
          <w:tcPr>
            <w:tcW w:w="1599" w:type="dxa"/>
            <w:tcBorders>
              <w:top w:val="nil"/>
              <w:left w:val="nil"/>
              <w:bottom w:val="single" w:sz="4" w:space="0" w:color="auto"/>
              <w:right w:val="single" w:sz="4" w:space="0" w:color="auto"/>
            </w:tcBorders>
            <w:shd w:val="clear" w:color="000000" w:fill="203764"/>
            <w:noWrap/>
            <w:vAlign w:val="center"/>
            <w:hideMark/>
          </w:tcPr>
          <w:p w14:paraId="335D15A7" w14:textId="77777777" w:rsidR="008B4370" w:rsidRPr="009714C2" w:rsidRDefault="008B4370" w:rsidP="008B4370">
            <w:pPr>
              <w:jc w:val="right"/>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1,847,391,432</w:t>
            </w:r>
          </w:p>
        </w:tc>
        <w:tc>
          <w:tcPr>
            <w:tcW w:w="1311" w:type="dxa"/>
            <w:tcBorders>
              <w:top w:val="nil"/>
              <w:left w:val="nil"/>
              <w:bottom w:val="single" w:sz="4" w:space="0" w:color="auto"/>
              <w:right w:val="single" w:sz="4" w:space="0" w:color="auto"/>
            </w:tcBorders>
            <w:shd w:val="clear" w:color="000000" w:fill="203764"/>
            <w:noWrap/>
            <w:vAlign w:val="center"/>
            <w:hideMark/>
          </w:tcPr>
          <w:p w14:paraId="15146629" w14:textId="77777777" w:rsidR="008B4370" w:rsidRPr="009714C2" w:rsidRDefault="008B4370" w:rsidP="008B4370">
            <w:pPr>
              <w:jc w:val="center"/>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 </w:t>
            </w:r>
          </w:p>
        </w:tc>
        <w:tc>
          <w:tcPr>
            <w:tcW w:w="1599" w:type="dxa"/>
            <w:tcBorders>
              <w:top w:val="nil"/>
              <w:left w:val="nil"/>
              <w:bottom w:val="single" w:sz="4" w:space="0" w:color="auto"/>
              <w:right w:val="single" w:sz="4" w:space="0" w:color="auto"/>
            </w:tcBorders>
            <w:shd w:val="clear" w:color="000000" w:fill="203764"/>
            <w:noWrap/>
            <w:vAlign w:val="center"/>
            <w:hideMark/>
          </w:tcPr>
          <w:p w14:paraId="4A9FF91A" w14:textId="77777777" w:rsidR="008B4370" w:rsidRPr="009714C2" w:rsidRDefault="008B4370" w:rsidP="008B4370">
            <w:pPr>
              <w:jc w:val="right"/>
              <w:rPr>
                <w:rFonts w:ascii="Times New Roman" w:eastAsia="Calibri" w:hAnsi="Times New Roman" w:cs="Times New Roman"/>
                <w:b/>
                <w:color w:val="FFFFFF" w:themeColor="background1"/>
                <w:spacing w:val="20"/>
                <w:sz w:val="18"/>
                <w:szCs w:val="18"/>
                <w:lang w:val="es-DO"/>
              </w:rPr>
            </w:pPr>
            <w:r w:rsidRPr="009714C2">
              <w:rPr>
                <w:rFonts w:ascii="Times New Roman" w:eastAsia="Calibri" w:hAnsi="Times New Roman" w:cs="Times New Roman"/>
                <w:b/>
                <w:color w:val="FFFFFF" w:themeColor="background1"/>
                <w:spacing w:val="20"/>
                <w:sz w:val="18"/>
                <w:szCs w:val="18"/>
                <w:lang w:val="es-DO"/>
              </w:rPr>
              <w:t>-1,847,391,433</w:t>
            </w:r>
          </w:p>
        </w:tc>
      </w:tr>
    </w:tbl>
    <w:p w14:paraId="38488A0A" w14:textId="77777777" w:rsidR="00326BBB" w:rsidRPr="009714C2" w:rsidRDefault="00326BBB" w:rsidP="00A56B68">
      <w:pPr>
        <w:spacing w:line="360" w:lineRule="auto"/>
        <w:jc w:val="both"/>
        <w:rPr>
          <w:rFonts w:ascii="Times New Roman" w:eastAsia="Calibri" w:hAnsi="Times New Roman" w:cs="Times New Roman"/>
          <w:b/>
          <w:color w:val="4C4747"/>
          <w:spacing w:val="20"/>
          <w:sz w:val="24"/>
          <w:szCs w:val="24"/>
          <w:lang w:val="es-DO"/>
        </w:rPr>
      </w:pPr>
    </w:p>
    <w:p w14:paraId="1ABFA50F" w14:textId="77777777" w:rsidR="00A9501C" w:rsidRPr="009714C2" w:rsidRDefault="00A9501C" w:rsidP="00A56B68">
      <w:pPr>
        <w:spacing w:line="360" w:lineRule="auto"/>
        <w:jc w:val="both"/>
        <w:rPr>
          <w:rFonts w:ascii="Times New Roman" w:eastAsia="Calibri" w:hAnsi="Times New Roman" w:cs="Times New Roman"/>
          <w:b/>
          <w:color w:val="4C4747"/>
          <w:spacing w:val="20"/>
          <w:sz w:val="24"/>
          <w:szCs w:val="24"/>
          <w:lang w:val="es-DO"/>
        </w:rPr>
      </w:pPr>
    </w:p>
    <w:p w14:paraId="472A2AA9" w14:textId="77777777" w:rsidR="00A9501C" w:rsidRPr="00F60454" w:rsidRDefault="00A9501C" w:rsidP="00A56B68">
      <w:pPr>
        <w:spacing w:line="360" w:lineRule="auto"/>
        <w:jc w:val="both"/>
        <w:rPr>
          <w:rFonts w:ascii="Times New Roman" w:eastAsia="Calibri" w:hAnsi="Times New Roman" w:cs="Times New Roman"/>
          <w:color w:val="4C4747"/>
          <w:spacing w:val="20"/>
          <w:sz w:val="24"/>
          <w:szCs w:val="24"/>
          <w:lang w:val="es-DO"/>
        </w:rPr>
      </w:pPr>
    </w:p>
    <w:p w14:paraId="1CEECA18" w14:textId="0DE5C797" w:rsidR="007F67E7" w:rsidRPr="000D7F32" w:rsidRDefault="007F67E7" w:rsidP="00A02BDE">
      <w:pPr>
        <w:pStyle w:val="Prrafodelista"/>
        <w:keepNext/>
        <w:numPr>
          <w:ilvl w:val="0"/>
          <w:numId w:val="36"/>
        </w:numPr>
        <w:spacing w:before="240" w:after="60" w:line="360" w:lineRule="auto"/>
        <w:outlineLvl w:val="2"/>
        <w:rPr>
          <w:rFonts w:ascii="Times New Roman" w:eastAsia="Calibri" w:hAnsi="Times New Roman" w:cs="Times New Roman"/>
          <w:b/>
          <w:color w:val="4C4747"/>
          <w:spacing w:val="20"/>
          <w:sz w:val="24"/>
          <w:szCs w:val="24"/>
          <w:lang w:val="es-DO"/>
        </w:rPr>
      </w:pPr>
      <w:bookmarkStart w:id="50" w:name="_Toc122425260"/>
      <w:bookmarkStart w:id="51" w:name="_GoBack"/>
      <w:bookmarkEnd w:id="51"/>
      <w:r w:rsidRPr="000D7F32">
        <w:rPr>
          <w:rFonts w:ascii="Times New Roman" w:eastAsia="Calibri" w:hAnsi="Times New Roman" w:cs="Times New Roman"/>
          <w:b/>
          <w:color w:val="4C4747"/>
          <w:spacing w:val="20"/>
          <w:sz w:val="24"/>
          <w:szCs w:val="24"/>
          <w:lang w:val="es-DO"/>
        </w:rPr>
        <w:lastRenderedPageBreak/>
        <w:t>Plan Anual de Compras y Contrataciones (PACC)</w:t>
      </w:r>
      <w:bookmarkEnd w:id="50"/>
    </w:p>
    <w:p w14:paraId="5C95C8A8" w14:textId="77777777" w:rsidR="00EF195C" w:rsidRPr="00F60454" w:rsidRDefault="00EF195C" w:rsidP="008B0DE2">
      <w:pPr>
        <w:pStyle w:val="Sinespaciado"/>
        <w:rPr>
          <w:lang w:val="es-DO"/>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5"/>
        <w:gridCol w:w="3955"/>
      </w:tblGrid>
      <w:tr w:rsidR="007F67E7" w:rsidRPr="00F60454" w14:paraId="17813C53" w14:textId="77777777" w:rsidTr="00B41B8D">
        <w:trPr>
          <w:trHeight w:val="315"/>
        </w:trPr>
        <w:tc>
          <w:tcPr>
            <w:tcW w:w="7880" w:type="dxa"/>
            <w:gridSpan w:val="2"/>
            <w:shd w:val="clear" w:color="auto" w:fill="002060"/>
            <w:vAlign w:val="center"/>
            <w:hideMark/>
          </w:tcPr>
          <w:p w14:paraId="0FCBC640" w14:textId="77777777" w:rsidR="007F67E7" w:rsidRPr="00F60454" w:rsidRDefault="007F67E7" w:rsidP="00B41B8D">
            <w:pPr>
              <w:spacing w:after="0" w:line="360" w:lineRule="auto"/>
              <w:jc w:val="center"/>
              <w:rPr>
                <w:rFonts w:ascii="Times New Roman" w:eastAsia="Calibri" w:hAnsi="Times New Roman" w:cs="Times New Roman"/>
                <w:b/>
                <w:color w:val="4C4747"/>
                <w:spacing w:val="20"/>
                <w:sz w:val="24"/>
                <w:szCs w:val="24"/>
                <w:lang w:val="es-DO"/>
              </w:rPr>
            </w:pPr>
            <w:r w:rsidRPr="00F60454">
              <w:rPr>
                <w:rFonts w:ascii="Times New Roman" w:eastAsia="Calibri" w:hAnsi="Times New Roman" w:cs="Times New Roman"/>
                <w:b/>
                <w:color w:val="FFFFFF" w:themeColor="background1"/>
                <w:spacing w:val="20"/>
                <w:sz w:val="24"/>
                <w:szCs w:val="24"/>
                <w:lang w:val="es-DO"/>
              </w:rPr>
              <w:t>Datos de cabecera PACC</w:t>
            </w:r>
          </w:p>
        </w:tc>
      </w:tr>
      <w:tr w:rsidR="007F67E7" w:rsidRPr="00F60454" w14:paraId="57A1B0F7" w14:textId="77777777" w:rsidTr="00B41B8D">
        <w:trPr>
          <w:trHeight w:val="360"/>
        </w:trPr>
        <w:tc>
          <w:tcPr>
            <w:tcW w:w="3925" w:type="dxa"/>
            <w:shd w:val="clear" w:color="auto" w:fill="auto"/>
            <w:vAlign w:val="center"/>
            <w:hideMark/>
          </w:tcPr>
          <w:p w14:paraId="53F40309" w14:textId="77777777" w:rsidR="007F67E7" w:rsidRPr="002131EF"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Monto estimado total</w:t>
            </w:r>
          </w:p>
        </w:tc>
        <w:tc>
          <w:tcPr>
            <w:tcW w:w="3955" w:type="dxa"/>
            <w:shd w:val="clear" w:color="auto" w:fill="auto"/>
            <w:noWrap/>
            <w:vAlign w:val="bottom"/>
            <w:hideMark/>
          </w:tcPr>
          <w:p w14:paraId="532543AA" w14:textId="77777777" w:rsidR="007F67E7" w:rsidRPr="002131EF" w:rsidRDefault="007F67E7" w:rsidP="00B41B8D">
            <w:pPr>
              <w:spacing w:after="0" w:line="360" w:lineRule="auto"/>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 xml:space="preserve">RD$ 477,231,777.52 </w:t>
            </w:r>
          </w:p>
        </w:tc>
      </w:tr>
      <w:tr w:rsidR="007F67E7" w:rsidRPr="00F60454" w14:paraId="3A0EB9F9" w14:textId="77777777" w:rsidTr="00B41B8D">
        <w:trPr>
          <w:trHeight w:val="360"/>
        </w:trPr>
        <w:tc>
          <w:tcPr>
            <w:tcW w:w="3925" w:type="dxa"/>
            <w:shd w:val="clear" w:color="auto" w:fill="auto"/>
            <w:vAlign w:val="center"/>
            <w:hideMark/>
          </w:tcPr>
          <w:p w14:paraId="710ED642" w14:textId="77777777" w:rsidR="007F67E7" w:rsidRPr="002131EF"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Cantidad de procesos registrados</w:t>
            </w:r>
          </w:p>
        </w:tc>
        <w:tc>
          <w:tcPr>
            <w:tcW w:w="3955" w:type="dxa"/>
            <w:shd w:val="clear" w:color="auto" w:fill="auto"/>
            <w:noWrap/>
            <w:vAlign w:val="bottom"/>
            <w:hideMark/>
          </w:tcPr>
          <w:p w14:paraId="613E9CB5" w14:textId="77777777" w:rsidR="007F67E7" w:rsidRPr="002131EF" w:rsidRDefault="007F67E7" w:rsidP="00B41B8D">
            <w:pPr>
              <w:spacing w:after="0" w:line="360" w:lineRule="auto"/>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103</w:t>
            </w:r>
          </w:p>
        </w:tc>
      </w:tr>
      <w:tr w:rsidR="007F67E7" w:rsidRPr="00F60454" w14:paraId="07326EBA" w14:textId="77777777" w:rsidTr="00B41B8D">
        <w:trPr>
          <w:trHeight w:val="360"/>
        </w:trPr>
        <w:tc>
          <w:tcPr>
            <w:tcW w:w="3925" w:type="dxa"/>
            <w:shd w:val="clear" w:color="auto" w:fill="auto"/>
            <w:vAlign w:val="center"/>
            <w:hideMark/>
          </w:tcPr>
          <w:p w14:paraId="620166B6" w14:textId="77777777" w:rsidR="007F67E7" w:rsidRPr="002131EF"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 xml:space="preserve">Capítulo </w:t>
            </w:r>
          </w:p>
        </w:tc>
        <w:tc>
          <w:tcPr>
            <w:tcW w:w="3955" w:type="dxa"/>
            <w:shd w:val="clear" w:color="auto" w:fill="auto"/>
            <w:noWrap/>
            <w:vAlign w:val="bottom"/>
            <w:hideMark/>
          </w:tcPr>
          <w:p w14:paraId="6ACE4B7A" w14:textId="77777777" w:rsidR="007F67E7" w:rsidRPr="002131EF" w:rsidRDefault="007F67E7" w:rsidP="00B41B8D">
            <w:pPr>
              <w:spacing w:after="0" w:line="360" w:lineRule="auto"/>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5131</w:t>
            </w:r>
          </w:p>
        </w:tc>
      </w:tr>
      <w:tr w:rsidR="007F67E7" w:rsidRPr="00F60454" w14:paraId="2BD0DE1A" w14:textId="77777777" w:rsidTr="00B41B8D">
        <w:trPr>
          <w:trHeight w:val="360"/>
        </w:trPr>
        <w:tc>
          <w:tcPr>
            <w:tcW w:w="3925" w:type="dxa"/>
            <w:shd w:val="clear" w:color="auto" w:fill="auto"/>
            <w:vAlign w:val="center"/>
            <w:hideMark/>
          </w:tcPr>
          <w:p w14:paraId="34CE7C29" w14:textId="77777777" w:rsidR="007F67E7" w:rsidRPr="002131EF"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Sub capítulo</w:t>
            </w:r>
          </w:p>
        </w:tc>
        <w:tc>
          <w:tcPr>
            <w:tcW w:w="3955" w:type="dxa"/>
            <w:shd w:val="clear" w:color="auto" w:fill="auto"/>
            <w:noWrap/>
            <w:vAlign w:val="bottom"/>
            <w:hideMark/>
          </w:tcPr>
          <w:p w14:paraId="707DF946" w14:textId="77777777" w:rsidR="007F67E7" w:rsidRPr="002131EF" w:rsidRDefault="007F67E7" w:rsidP="00B41B8D">
            <w:pPr>
              <w:spacing w:after="0" w:line="360" w:lineRule="auto"/>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01</w:t>
            </w:r>
          </w:p>
        </w:tc>
      </w:tr>
      <w:tr w:rsidR="007F67E7" w:rsidRPr="00F60454" w14:paraId="68EF1B18" w14:textId="77777777" w:rsidTr="00B41B8D">
        <w:trPr>
          <w:trHeight w:val="360"/>
        </w:trPr>
        <w:tc>
          <w:tcPr>
            <w:tcW w:w="3925" w:type="dxa"/>
            <w:shd w:val="clear" w:color="auto" w:fill="auto"/>
            <w:vAlign w:val="center"/>
            <w:hideMark/>
          </w:tcPr>
          <w:p w14:paraId="06E5660A" w14:textId="77777777" w:rsidR="007F67E7" w:rsidRPr="002131EF"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Unidad ejecutora</w:t>
            </w:r>
          </w:p>
        </w:tc>
        <w:tc>
          <w:tcPr>
            <w:tcW w:w="3955" w:type="dxa"/>
            <w:shd w:val="clear" w:color="auto" w:fill="auto"/>
            <w:noWrap/>
            <w:vAlign w:val="bottom"/>
            <w:hideMark/>
          </w:tcPr>
          <w:p w14:paraId="298831E6" w14:textId="77777777" w:rsidR="007F67E7" w:rsidRPr="002131EF" w:rsidRDefault="007F67E7" w:rsidP="00B41B8D">
            <w:pPr>
              <w:spacing w:after="0" w:line="360" w:lineRule="auto"/>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0001</w:t>
            </w:r>
          </w:p>
        </w:tc>
      </w:tr>
      <w:tr w:rsidR="007F67E7" w:rsidRPr="00376423" w14:paraId="6AB8F2A6" w14:textId="77777777" w:rsidTr="00B41B8D">
        <w:trPr>
          <w:trHeight w:val="330"/>
        </w:trPr>
        <w:tc>
          <w:tcPr>
            <w:tcW w:w="3925" w:type="dxa"/>
            <w:shd w:val="clear" w:color="auto" w:fill="auto"/>
            <w:vAlign w:val="center"/>
            <w:hideMark/>
          </w:tcPr>
          <w:p w14:paraId="37EF600E" w14:textId="77777777" w:rsidR="007F67E7" w:rsidRPr="002131EF"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 xml:space="preserve">Unidad de compra </w:t>
            </w:r>
          </w:p>
        </w:tc>
        <w:tc>
          <w:tcPr>
            <w:tcW w:w="3955" w:type="dxa"/>
            <w:shd w:val="clear" w:color="auto" w:fill="auto"/>
            <w:noWrap/>
            <w:vAlign w:val="bottom"/>
            <w:hideMark/>
          </w:tcPr>
          <w:p w14:paraId="7544C7FC" w14:textId="77777777" w:rsidR="007F67E7" w:rsidRPr="002131EF" w:rsidRDefault="007F67E7" w:rsidP="00B41B8D">
            <w:pPr>
              <w:spacing w:after="0" w:line="360" w:lineRule="auto"/>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Instituto Dominicano de las Telecomunicaciones</w:t>
            </w:r>
          </w:p>
        </w:tc>
      </w:tr>
      <w:tr w:rsidR="007F67E7" w:rsidRPr="00F60454" w14:paraId="52C70950" w14:textId="77777777" w:rsidTr="00B41B8D">
        <w:trPr>
          <w:trHeight w:val="330"/>
        </w:trPr>
        <w:tc>
          <w:tcPr>
            <w:tcW w:w="3925" w:type="dxa"/>
            <w:shd w:val="clear" w:color="auto" w:fill="auto"/>
            <w:vAlign w:val="center"/>
            <w:hideMark/>
          </w:tcPr>
          <w:p w14:paraId="5441BDEB" w14:textId="77777777" w:rsidR="007F67E7" w:rsidRPr="002131EF"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 xml:space="preserve">Año fiscal </w:t>
            </w:r>
          </w:p>
        </w:tc>
        <w:tc>
          <w:tcPr>
            <w:tcW w:w="3955" w:type="dxa"/>
            <w:shd w:val="clear" w:color="auto" w:fill="auto"/>
            <w:noWrap/>
            <w:vAlign w:val="bottom"/>
            <w:hideMark/>
          </w:tcPr>
          <w:p w14:paraId="791FC49F" w14:textId="77777777" w:rsidR="007F67E7" w:rsidRPr="002131EF" w:rsidRDefault="007F67E7" w:rsidP="00B41B8D">
            <w:pPr>
              <w:spacing w:after="0" w:line="360" w:lineRule="auto"/>
              <w:rPr>
                <w:rFonts w:ascii="Times New Roman" w:eastAsia="Calibri" w:hAnsi="Times New Roman" w:cs="Times New Roman"/>
                <w:color w:val="4C4747"/>
                <w:spacing w:val="20"/>
                <w:sz w:val="24"/>
                <w:szCs w:val="24"/>
                <w:lang w:val="es-DO"/>
              </w:rPr>
            </w:pPr>
            <w:r w:rsidRPr="002131EF">
              <w:rPr>
                <w:rFonts w:ascii="Times New Roman" w:eastAsia="Calibri" w:hAnsi="Times New Roman" w:cs="Times New Roman"/>
                <w:color w:val="4C4747"/>
                <w:spacing w:val="20"/>
                <w:sz w:val="24"/>
                <w:szCs w:val="24"/>
                <w:lang w:val="es-DO"/>
              </w:rPr>
              <w:t>2022</w:t>
            </w:r>
          </w:p>
        </w:tc>
      </w:tr>
      <w:tr w:rsidR="007F67E7" w:rsidRPr="00F60454" w14:paraId="408268F7" w14:textId="77777777" w:rsidTr="00B41B8D">
        <w:trPr>
          <w:trHeight w:val="330"/>
        </w:trPr>
        <w:tc>
          <w:tcPr>
            <w:tcW w:w="3925" w:type="dxa"/>
            <w:shd w:val="clear" w:color="auto" w:fill="auto"/>
            <w:vAlign w:val="center"/>
            <w:hideMark/>
          </w:tcPr>
          <w:p w14:paraId="38BD1E26" w14:textId="77777777" w:rsidR="007F67E7" w:rsidRPr="00F60454"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F60454">
              <w:rPr>
                <w:rFonts w:ascii="Times New Roman" w:eastAsia="Calibri" w:hAnsi="Times New Roman" w:cs="Times New Roman"/>
                <w:color w:val="4C4747"/>
                <w:spacing w:val="20"/>
                <w:sz w:val="24"/>
                <w:szCs w:val="24"/>
                <w:lang w:val="es-DO"/>
              </w:rPr>
              <w:t>Fecha aprobación</w:t>
            </w:r>
          </w:p>
        </w:tc>
        <w:tc>
          <w:tcPr>
            <w:tcW w:w="3955" w:type="dxa"/>
            <w:shd w:val="clear" w:color="auto" w:fill="auto"/>
            <w:noWrap/>
            <w:vAlign w:val="bottom"/>
            <w:hideMark/>
          </w:tcPr>
          <w:p w14:paraId="4A3A7AB6" w14:textId="721F8E9C" w:rsidR="007F67E7" w:rsidRPr="00F60454" w:rsidRDefault="007F67E7" w:rsidP="00B41B8D">
            <w:pPr>
              <w:spacing w:after="0" w:line="360" w:lineRule="auto"/>
              <w:rPr>
                <w:rFonts w:ascii="Times New Roman" w:eastAsia="Calibri" w:hAnsi="Times New Roman" w:cs="Times New Roman"/>
                <w:color w:val="4C4747"/>
                <w:spacing w:val="20"/>
                <w:sz w:val="24"/>
                <w:szCs w:val="24"/>
                <w:lang w:val="es-DO"/>
              </w:rPr>
            </w:pPr>
            <w:r w:rsidRPr="00F60454">
              <w:rPr>
                <w:rFonts w:ascii="Times New Roman" w:eastAsia="Calibri" w:hAnsi="Times New Roman" w:cs="Times New Roman"/>
                <w:color w:val="4C4747"/>
                <w:spacing w:val="20"/>
                <w:sz w:val="24"/>
                <w:szCs w:val="24"/>
                <w:lang w:val="es-DO"/>
              </w:rPr>
              <w:t> </w:t>
            </w:r>
            <w:r w:rsidR="00CC6E6F" w:rsidRPr="00F60454">
              <w:rPr>
                <w:rFonts w:ascii="Times New Roman" w:eastAsia="Calibri" w:hAnsi="Times New Roman" w:cs="Times New Roman"/>
                <w:color w:val="4C4747"/>
                <w:spacing w:val="20"/>
                <w:sz w:val="24"/>
                <w:szCs w:val="24"/>
                <w:lang w:val="es-DO"/>
              </w:rPr>
              <w:t>27 de enero 2022</w:t>
            </w:r>
          </w:p>
        </w:tc>
      </w:tr>
      <w:tr w:rsidR="007F67E7" w:rsidRPr="00376423" w14:paraId="682B445B" w14:textId="77777777" w:rsidTr="00B41B8D">
        <w:trPr>
          <w:trHeight w:val="315"/>
        </w:trPr>
        <w:tc>
          <w:tcPr>
            <w:tcW w:w="7880" w:type="dxa"/>
            <w:gridSpan w:val="2"/>
            <w:shd w:val="clear" w:color="auto" w:fill="002060"/>
            <w:vAlign w:val="center"/>
            <w:hideMark/>
          </w:tcPr>
          <w:p w14:paraId="6601A531" w14:textId="77777777" w:rsidR="007F67E7" w:rsidRPr="00F60454" w:rsidRDefault="007F67E7" w:rsidP="00B41B8D">
            <w:pPr>
              <w:spacing w:after="0" w:line="360" w:lineRule="auto"/>
              <w:jc w:val="center"/>
              <w:rPr>
                <w:rFonts w:ascii="Times New Roman" w:eastAsia="Calibri" w:hAnsi="Times New Roman" w:cs="Times New Roman"/>
                <w:b/>
                <w:color w:val="4C4747"/>
                <w:spacing w:val="20"/>
                <w:sz w:val="24"/>
                <w:szCs w:val="24"/>
                <w:lang w:val="es-DO"/>
              </w:rPr>
            </w:pPr>
            <w:r w:rsidRPr="00F60454">
              <w:rPr>
                <w:rFonts w:ascii="Times New Roman" w:eastAsia="Calibri" w:hAnsi="Times New Roman" w:cs="Times New Roman"/>
                <w:b/>
                <w:color w:val="FFFFFF" w:themeColor="background1"/>
                <w:spacing w:val="20"/>
                <w:sz w:val="24"/>
                <w:szCs w:val="24"/>
                <w:lang w:val="es-DO"/>
              </w:rPr>
              <w:t>Montos estimados según objeto de contratación</w:t>
            </w:r>
          </w:p>
        </w:tc>
      </w:tr>
      <w:tr w:rsidR="007F67E7" w:rsidRPr="00F60454" w14:paraId="1B66040D" w14:textId="77777777" w:rsidTr="00B41B8D">
        <w:trPr>
          <w:trHeight w:val="315"/>
        </w:trPr>
        <w:tc>
          <w:tcPr>
            <w:tcW w:w="3925" w:type="dxa"/>
            <w:shd w:val="clear" w:color="auto" w:fill="auto"/>
            <w:vAlign w:val="center"/>
            <w:hideMark/>
          </w:tcPr>
          <w:p w14:paraId="5EEA450D"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Bienes</w:t>
            </w:r>
          </w:p>
        </w:tc>
        <w:tc>
          <w:tcPr>
            <w:tcW w:w="3955" w:type="dxa"/>
            <w:shd w:val="clear" w:color="auto" w:fill="auto"/>
            <w:noWrap/>
            <w:vAlign w:val="bottom"/>
            <w:hideMark/>
          </w:tcPr>
          <w:p w14:paraId="5C67F670"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RD$ 185,912,607.52 </w:t>
            </w:r>
          </w:p>
        </w:tc>
      </w:tr>
      <w:tr w:rsidR="007F67E7" w:rsidRPr="00F60454" w14:paraId="6DDC6FC4" w14:textId="77777777" w:rsidTr="00B41B8D">
        <w:trPr>
          <w:trHeight w:val="315"/>
        </w:trPr>
        <w:tc>
          <w:tcPr>
            <w:tcW w:w="3925" w:type="dxa"/>
            <w:shd w:val="clear" w:color="auto" w:fill="auto"/>
            <w:vAlign w:val="center"/>
            <w:hideMark/>
          </w:tcPr>
          <w:p w14:paraId="33B626A3"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Obras</w:t>
            </w:r>
          </w:p>
        </w:tc>
        <w:tc>
          <w:tcPr>
            <w:tcW w:w="3955" w:type="dxa"/>
            <w:shd w:val="clear" w:color="auto" w:fill="auto"/>
            <w:noWrap/>
            <w:vAlign w:val="bottom"/>
            <w:hideMark/>
          </w:tcPr>
          <w:p w14:paraId="6DF512BB"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   </w:t>
            </w:r>
          </w:p>
        </w:tc>
      </w:tr>
      <w:tr w:rsidR="007F67E7" w:rsidRPr="00F60454" w14:paraId="1A725674" w14:textId="77777777" w:rsidTr="00B41B8D">
        <w:trPr>
          <w:trHeight w:val="315"/>
        </w:trPr>
        <w:tc>
          <w:tcPr>
            <w:tcW w:w="3925" w:type="dxa"/>
            <w:shd w:val="clear" w:color="auto" w:fill="auto"/>
            <w:vAlign w:val="center"/>
            <w:hideMark/>
          </w:tcPr>
          <w:p w14:paraId="3CB89855"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Servicios</w:t>
            </w:r>
          </w:p>
        </w:tc>
        <w:tc>
          <w:tcPr>
            <w:tcW w:w="3955" w:type="dxa"/>
            <w:shd w:val="clear" w:color="auto" w:fill="auto"/>
            <w:noWrap/>
            <w:vAlign w:val="bottom"/>
            <w:hideMark/>
          </w:tcPr>
          <w:p w14:paraId="10B8BE89"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RD$ 240,062,170.00 </w:t>
            </w:r>
          </w:p>
        </w:tc>
      </w:tr>
      <w:tr w:rsidR="007F67E7" w:rsidRPr="00F60454" w14:paraId="7DAB6336" w14:textId="77777777" w:rsidTr="00B41B8D">
        <w:trPr>
          <w:trHeight w:val="315"/>
        </w:trPr>
        <w:tc>
          <w:tcPr>
            <w:tcW w:w="3925" w:type="dxa"/>
            <w:shd w:val="clear" w:color="auto" w:fill="auto"/>
            <w:vAlign w:val="center"/>
            <w:hideMark/>
          </w:tcPr>
          <w:p w14:paraId="2F6B5AF6"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Servicios: consultoría</w:t>
            </w:r>
          </w:p>
        </w:tc>
        <w:tc>
          <w:tcPr>
            <w:tcW w:w="3955" w:type="dxa"/>
            <w:shd w:val="clear" w:color="auto" w:fill="auto"/>
            <w:noWrap/>
            <w:vAlign w:val="bottom"/>
            <w:hideMark/>
          </w:tcPr>
          <w:p w14:paraId="448D5965"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RD$ 51,257,000.00 </w:t>
            </w:r>
          </w:p>
        </w:tc>
      </w:tr>
      <w:tr w:rsidR="007F67E7" w:rsidRPr="00F60454" w14:paraId="3FAFC2DA" w14:textId="77777777" w:rsidTr="00B41B8D">
        <w:trPr>
          <w:trHeight w:val="630"/>
        </w:trPr>
        <w:tc>
          <w:tcPr>
            <w:tcW w:w="3925" w:type="dxa"/>
            <w:shd w:val="clear" w:color="auto" w:fill="auto"/>
            <w:vAlign w:val="center"/>
            <w:hideMark/>
          </w:tcPr>
          <w:p w14:paraId="330A018F"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Servicios: consultoría basada en la calidad de los servicios</w:t>
            </w:r>
          </w:p>
        </w:tc>
        <w:tc>
          <w:tcPr>
            <w:tcW w:w="3955" w:type="dxa"/>
            <w:shd w:val="clear" w:color="auto" w:fill="auto"/>
            <w:noWrap/>
            <w:hideMark/>
          </w:tcPr>
          <w:p w14:paraId="21EA9701"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RD$   -</w:t>
            </w:r>
          </w:p>
        </w:tc>
      </w:tr>
      <w:tr w:rsidR="007F67E7" w:rsidRPr="00376423" w14:paraId="3C249E3D" w14:textId="77777777" w:rsidTr="00B41B8D">
        <w:trPr>
          <w:trHeight w:val="315"/>
        </w:trPr>
        <w:tc>
          <w:tcPr>
            <w:tcW w:w="7880" w:type="dxa"/>
            <w:gridSpan w:val="2"/>
            <w:shd w:val="clear" w:color="auto" w:fill="002060"/>
            <w:vAlign w:val="center"/>
            <w:hideMark/>
          </w:tcPr>
          <w:p w14:paraId="54D2F598" w14:textId="77777777" w:rsidR="007F67E7" w:rsidRPr="00F60454" w:rsidRDefault="007F67E7" w:rsidP="00B41B8D">
            <w:pPr>
              <w:spacing w:after="0" w:line="360" w:lineRule="auto"/>
              <w:jc w:val="center"/>
              <w:rPr>
                <w:rFonts w:ascii="Times New Roman" w:eastAsia="Calibri" w:hAnsi="Times New Roman" w:cs="Times New Roman"/>
                <w:b/>
                <w:color w:val="4C4747"/>
                <w:spacing w:val="20"/>
                <w:sz w:val="24"/>
                <w:szCs w:val="24"/>
                <w:lang w:val="es-DO"/>
              </w:rPr>
            </w:pPr>
            <w:r w:rsidRPr="00F60454">
              <w:rPr>
                <w:rFonts w:ascii="Times New Roman" w:eastAsia="Calibri" w:hAnsi="Times New Roman" w:cs="Times New Roman"/>
                <w:b/>
                <w:color w:val="FFFFFF" w:themeColor="background1"/>
                <w:spacing w:val="20"/>
                <w:sz w:val="24"/>
                <w:szCs w:val="24"/>
                <w:lang w:val="es-DO"/>
              </w:rPr>
              <w:t>Montos estimados según clasificación Mipyme</w:t>
            </w:r>
          </w:p>
        </w:tc>
      </w:tr>
      <w:tr w:rsidR="007F67E7" w:rsidRPr="00F60454" w14:paraId="3FA9238D" w14:textId="77777777" w:rsidTr="00B41B8D">
        <w:trPr>
          <w:trHeight w:val="315"/>
        </w:trPr>
        <w:tc>
          <w:tcPr>
            <w:tcW w:w="3925" w:type="dxa"/>
            <w:shd w:val="clear" w:color="auto" w:fill="auto"/>
            <w:vAlign w:val="center"/>
            <w:hideMark/>
          </w:tcPr>
          <w:p w14:paraId="63D751B7"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Mipyme</w:t>
            </w:r>
          </w:p>
        </w:tc>
        <w:tc>
          <w:tcPr>
            <w:tcW w:w="3955" w:type="dxa"/>
            <w:shd w:val="clear" w:color="auto" w:fill="auto"/>
            <w:noWrap/>
            <w:vAlign w:val="bottom"/>
            <w:hideMark/>
          </w:tcPr>
          <w:p w14:paraId="5666C53A"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RD$ 143,083,212.52 </w:t>
            </w:r>
          </w:p>
        </w:tc>
      </w:tr>
      <w:tr w:rsidR="007F67E7" w:rsidRPr="00F60454" w14:paraId="6FBBC3D5" w14:textId="77777777" w:rsidTr="00B41B8D">
        <w:trPr>
          <w:trHeight w:val="315"/>
        </w:trPr>
        <w:tc>
          <w:tcPr>
            <w:tcW w:w="3925" w:type="dxa"/>
            <w:shd w:val="clear" w:color="auto" w:fill="auto"/>
            <w:vAlign w:val="center"/>
            <w:hideMark/>
          </w:tcPr>
          <w:p w14:paraId="56C5BE20"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Mipyme mujer</w:t>
            </w:r>
          </w:p>
        </w:tc>
        <w:tc>
          <w:tcPr>
            <w:tcW w:w="3955" w:type="dxa"/>
            <w:shd w:val="clear" w:color="auto" w:fill="auto"/>
            <w:noWrap/>
            <w:vAlign w:val="bottom"/>
            <w:hideMark/>
          </w:tcPr>
          <w:p w14:paraId="7B1BACA9"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   </w:t>
            </w:r>
          </w:p>
        </w:tc>
      </w:tr>
      <w:tr w:rsidR="007F67E7" w:rsidRPr="00F60454" w14:paraId="5CE55568" w14:textId="77777777" w:rsidTr="00B41B8D">
        <w:trPr>
          <w:trHeight w:val="315"/>
        </w:trPr>
        <w:tc>
          <w:tcPr>
            <w:tcW w:w="3925" w:type="dxa"/>
            <w:shd w:val="clear" w:color="auto" w:fill="auto"/>
            <w:vAlign w:val="center"/>
            <w:hideMark/>
          </w:tcPr>
          <w:p w14:paraId="1154A6B6"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No mipyme</w:t>
            </w:r>
          </w:p>
        </w:tc>
        <w:tc>
          <w:tcPr>
            <w:tcW w:w="3955" w:type="dxa"/>
            <w:shd w:val="clear" w:color="auto" w:fill="auto"/>
            <w:noWrap/>
            <w:vAlign w:val="bottom"/>
            <w:hideMark/>
          </w:tcPr>
          <w:p w14:paraId="778C4FFB"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RD$ 334,148,565.00 </w:t>
            </w:r>
          </w:p>
        </w:tc>
      </w:tr>
      <w:tr w:rsidR="007F67E7" w:rsidRPr="00376423" w14:paraId="578A3805" w14:textId="77777777" w:rsidTr="00B41B8D">
        <w:trPr>
          <w:trHeight w:val="315"/>
        </w:trPr>
        <w:tc>
          <w:tcPr>
            <w:tcW w:w="7880" w:type="dxa"/>
            <w:gridSpan w:val="2"/>
            <w:shd w:val="clear" w:color="auto" w:fill="002060"/>
            <w:vAlign w:val="center"/>
            <w:hideMark/>
          </w:tcPr>
          <w:p w14:paraId="650A4F1F" w14:textId="77777777" w:rsidR="007F67E7" w:rsidRPr="00F60454" w:rsidRDefault="007F67E7" w:rsidP="00B41B8D">
            <w:pPr>
              <w:spacing w:after="0" w:line="360" w:lineRule="auto"/>
              <w:jc w:val="center"/>
              <w:rPr>
                <w:rFonts w:ascii="Times New Roman" w:eastAsia="Calibri" w:hAnsi="Times New Roman" w:cs="Times New Roman"/>
                <w:b/>
                <w:color w:val="4C4747"/>
                <w:spacing w:val="20"/>
                <w:sz w:val="24"/>
                <w:szCs w:val="24"/>
                <w:lang w:val="es-DO"/>
              </w:rPr>
            </w:pPr>
            <w:r w:rsidRPr="00F60454">
              <w:rPr>
                <w:rFonts w:ascii="Times New Roman" w:eastAsia="Calibri" w:hAnsi="Times New Roman" w:cs="Times New Roman"/>
                <w:b/>
                <w:color w:val="FFFFFF" w:themeColor="background1"/>
                <w:spacing w:val="20"/>
                <w:sz w:val="24"/>
                <w:szCs w:val="24"/>
                <w:lang w:val="es-DO"/>
              </w:rPr>
              <w:t>Montos estimados según tipo de procedimiento</w:t>
            </w:r>
          </w:p>
        </w:tc>
      </w:tr>
      <w:tr w:rsidR="007F67E7" w:rsidRPr="00F60454" w14:paraId="0AFF4621" w14:textId="77777777" w:rsidTr="00B41B8D">
        <w:trPr>
          <w:trHeight w:val="315"/>
        </w:trPr>
        <w:tc>
          <w:tcPr>
            <w:tcW w:w="3925" w:type="dxa"/>
            <w:shd w:val="clear" w:color="auto" w:fill="auto"/>
            <w:vAlign w:val="center"/>
            <w:hideMark/>
          </w:tcPr>
          <w:p w14:paraId="6C93F6E6"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Compras por debajo del umbral</w:t>
            </w:r>
          </w:p>
        </w:tc>
        <w:tc>
          <w:tcPr>
            <w:tcW w:w="3955" w:type="dxa"/>
            <w:shd w:val="clear" w:color="auto" w:fill="auto"/>
            <w:noWrap/>
            <w:vAlign w:val="bottom"/>
            <w:hideMark/>
          </w:tcPr>
          <w:p w14:paraId="0373C2A8"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RD$ 5,197,140.00 </w:t>
            </w:r>
          </w:p>
        </w:tc>
      </w:tr>
      <w:tr w:rsidR="007F67E7" w:rsidRPr="00F60454" w14:paraId="3BF05910" w14:textId="77777777" w:rsidTr="00B41B8D">
        <w:trPr>
          <w:trHeight w:val="315"/>
        </w:trPr>
        <w:tc>
          <w:tcPr>
            <w:tcW w:w="3925" w:type="dxa"/>
            <w:shd w:val="clear" w:color="auto" w:fill="auto"/>
            <w:vAlign w:val="center"/>
            <w:hideMark/>
          </w:tcPr>
          <w:p w14:paraId="7E322212"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Compra menor</w:t>
            </w:r>
          </w:p>
        </w:tc>
        <w:tc>
          <w:tcPr>
            <w:tcW w:w="3955" w:type="dxa"/>
            <w:shd w:val="clear" w:color="auto" w:fill="auto"/>
            <w:noWrap/>
            <w:vAlign w:val="bottom"/>
            <w:hideMark/>
          </w:tcPr>
          <w:p w14:paraId="645214AF"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RD$ 50,863,760.52 </w:t>
            </w:r>
          </w:p>
        </w:tc>
      </w:tr>
      <w:tr w:rsidR="007F67E7" w:rsidRPr="00F60454" w14:paraId="1316A522" w14:textId="77777777" w:rsidTr="00B41B8D">
        <w:trPr>
          <w:trHeight w:val="315"/>
        </w:trPr>
        <w:tc>
          <w:tcPr>
            <w:tcW w:w="3925" w:type="dxa"/>
            <w:shd w:val="clear" w:color="auto" w:fill="auto"/>
            <w:vAlign w:val="center"/>
            <w:hideMark/>
          </w:tcPr>
          <w:p w14:paraId="0E958C56"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Comparación de precios</w:t>
            </w:r>
          </w:p>
        </w:tc>
        <w:tc>
          <w:tcPr>
            <w:tcW w:w="3955" w:type="dxa"/>
            <w:shd w:val="clear" w:color="auto" w:fill="auto"/>
            <w:noWrap/>
            <w:vAlign w:val="bottom"/>
            <w:hideMark/>
          </w:tcPr>
          <w:p w14:paraId="1A358AB3"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RD$ 93,329,340.00 </w:t>
            </w:r>
          </w:p>
        </w:tc>
      </w:tr>
      <w:tr w:rsidR="007F67E7" w:rsidRPr="00F60454" w14:paraId="432C34FF" w14:textId="77777777" w:rsidTr="00B41B8D">
        <w:trPr>
          <w:trHeight w:val="315"/>
        </w:trPr>
        <w:tc>
          <w:tcPr>
            <w:tcW w:w="3925" w:type="dxa"/>
            <w:shd w:val="clear" w:color="auto" w:fill="auto"/>
            <w:vAlign w:val="center"/>
            <w:hideMark/>
          </w:tcPr>
          <w:p w14:paraId="4DE8D965" w14:textId="77777777" w:rsidR="00376423" w:rsidRDefault="00376423" w:rsidP="00B41B8D">
            <w:pPr>
              <w:spacing w:after="0" w:line="360" w:lineRule="auto"/>
              <w:jc w:val="both"/>
              <w:rPr>
                <w:rFonts w:ascii="Times New Roman" w:eastAsia="Calibri" w:hAnsi="Times New Roman" w:cs="Times New Roman"/>
                <w:color w:val="4C4747"/>
                <w:spacing w:val="20"/>
                <w:sz w:val="24"/>
                <w:szCs w:val="24"/>
                <w:lang w:val="es-DO"/>
              </w:rPr>
            </w:pPr>
          </w:p>
          <w:p w14:paraId="4F533BA5" w14:textId="77777777" w:rsidR="007F67E7"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Licitación pública</w:t>
            </w:r>
          </w:p>
          <w:p w14:paraId="47240E18" w14:textId="77777777" w:rsidR="00376423" w:rsidRDefault="00376423" w:rsidP="00B41B8D">
            <w:pPr>
              <w:spacing w:after="0" w:line="360" w:lineRule="auto"/>
              <w:jc w:val="both"/>
              <w:rPr>
                <w:rFonts w:ascii="Times New Roman" w:eastAsia="Calibri" w:hAnsi="Times New Roman" w:cs="Times New Roman"/>
                <w:color w:val="4C4747"/>
                <w:spacing w:val="20"/>
                <w:sz w:val="24"/>
                <w:szCs w:val="24"/>
                <w:lang w:val="es-DO"/>
              </w:rPr>
            </w:pPr>
          </w:p>
          <w:p w14:paraId="66C9D45A" w14:textId="77777777" w:rsidR="00376423" w:rsidRPr="009714C2" w:rsidRDefault="00376423" w:rsidP="00B41B8D">
            <w:pPr>
              <w:spacing w:after="0" w:line="360" w:lineRule="auto"/>
              <w:jc w:val="both"/>
              <w:rPr>
                <w:rFonts w:ascii="Times New Roman" w:eastAsia="Calibri" w:hAnsi="Times New Roman" w:cs="Times New Roman"/>
                <w:color w:val="4C4747"/>
                <w:spacing w:val="20"/>
                <w:sz w:val="24"/>
                <w:szCs w:val="24"/>
                <w:lang w:val="es-DO"/>
              </w:rPr>
            </w:pPr>
          </w:p>
        </w:tc>
        <w:tc>
          <w:tcPr>
            <w:tcW w:w="3955" w:type="dxa"/>
            <w:shd w:val="clear" w:color="auto" w:fill="auto"/>
            <w:noWrap/>
            <w:vAlign w:val="bottom"/>
            <w:hideMark/>
          </w:tcPr>
          <w:p w14:paraId="3A5ADB39"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lastRenderedPageBreak/>
              <w:t xml:space="preserve"> RD$ 288,415,857.00 </w:t>
            </w:r>
          </w:p>
          <w:p w14:paraId="67E47A14" w14:textId="77777777" w:rsidR="00EF195C" w:rsidRPr="009714C2" w:rsidRDefault="00EF195C" w:rsidP="00B41B8D">
            <w:pPr>
              <w:spacing w:after="0" w:line="360" w:lineRule="auto"/>
              <w:rPr>
                <w:rFonts w:ascii="Times New Roman" w:eastAsia="Calibri" w:hAnsi="Times New Roman" w:cs="Times New Roman"/>
                <w:color w:val="4C4747"/>
                <w:spacing w:val="20"/>
                <w:sz w:val="24"/>
                <w:szCs w:val="24"/>
                <w:lang w:val="es-DO"/>
              </w:rPr>
            </w:pPr>
          </w:p>
        </w:tc>
      </w:tr>
      <w:tr w:rsidR="007F67E7" w:rsidRPr="00376423" w14:paraId="3BC8EDA4" w14:textId="77777777" w:rsidTr="00B41B8D">
        <w:trPr>
          <w:trHeight w:val="315"/>
        </w:trPr>
        <w:tc>
          <w:tcPr>
            <w:tcW w:w="7880" w:type="dxa"/>
            <w:gridSpan w:val="2"/>
            <w:shd w:val="clear" w:color="auto" w:fill="002060"/>
            <w:vAlign w:val="center"/>
          </w:tcPr>
          <w:p w14:paraId="11F9EB6A" w14:textId="77777777" w:rsidR="007F67E7" w:rsidRPr="009714C2" w:rsidRDefault="007F67E7" w:rsidP="00B41B8D">
            <w:pPr>
              <w:spacing w:after="0" w:line="360" w:lineRule="auto"/>
              <w:jc w:val="center"/>
              <w:rPr>
                <w:rFonts w:ascii="Times New Roman" w:eastAsia="Calibri" w:hAnsi="Times New Roman" w:cs="Times New Roman"/>
                <w:b/>
                <w:color w:val="4C4747"/>
                <w:spacing w:val="20"/>
                <w:sz w:val="24"/>
                <w:szCs w:val="24"/>
                <w:lang w:val="es-DO"/>
              </w:rPr>
            </w:pPr>
            <w:r w:rsidRPr="009714C2">
              <w:rPr>
                <w:rFonts w:ascii="Times New Roman" w:eastAsia="Calibri" w:hAnsi="Times New Roman" w:cs="Times New Roman"/>
                <w:b/>
                <w:color w:val="FFFFFF" w:themeColor="background1"/>
                <w:spacing w:val="20"/>
                <w:sz w:val="24"/>
                <w:szCs w:val="24"/>
                <w:lang w:val="es-DO"/>
              </w:rPr>
              <w:lastRenderedPageBreak/>
              <w:t>Montos estimados según tipo de procedimiento</w:t>
            </w:r>
          </w:p>
        </w:tc>
      </w:tr>
      <w:tr w:rsidR="007F67E7" w:rsidRPr="009714C2" w14:paraId="78FC30A6" w14:textId="77777777" w:rsidTr="00B41B8D">
        <w:trPr>
          <w:trHeight w:val="315"/>
        </w:trPr>
        <w:tc>
          <w:tcPr>
            <w:tcW w:w="3925" w:type="dxa"/>
            <w:shd w:val="clear" w:color="auto" w:fill="auto"/>
            <w:vAlign w:val="center"/>
            <w:hideMark/>
          </w:tcPr>
          <w:p w14:paraId="265185E5"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Licitación pública internacional</w:t>
            </w:r>
          </w:p>
        </w:tc>
        <w:tc>
          <w:tcPr>
            <w:tcW w:w="3955" w:type="dxa"/>
            <w:shd w:val="clear" w:color="auto" w:fill="auto"/>
            <w:noWrap/>
            <w:vAlign w:val="bottom"/>
            <w:hideMark/>
          </w:tcPr>
          <w:p w14:paraId="208A6973"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   </w:t>
            </w:r>
          </w:p>
        </w:tc>
      </w:tr>
      <w:tr w:rsidR="007F67E7" w:rsidRPr="009714C2" w14:paraId="427D05AA" w14:textId="77777777" w:rsidTr="00B41B8D">
        <w:trPr>
          <w:trHeight w:val="315"/>
        </w:trPr>
        <w:tc>
          <w:tcPr>
            <w:tcW w:w="3925" w:type="dxa"/>
            <w:shd w:val="clear" w:color="auto" w:fill="auto"/>
            <w:vAlign w:val="center"/>
            <w:hideMark/>
          </w:tcPr>
          <w:p w14:paraId="7DE34244"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Licitación restringida</w:t>
            </w:r>
          </w:p>
        </w:tc>
        <w:tc>
          <w:tcPr>
            <w:tcW w:w="3955" w:type="dxa"/>
            <w:shd w:val="clear" w:color="auto" w:fill="auto"/>
            <w:noWrap/>
            <w:vAlign w:val="bottom"/>
            <w:hideMark/>
          </w:tcPr>
          <w:p w14:paraId="1272358C"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   </w:t>
            </w:r>
          </w:p>
        </w:tc>
      </w:tr>
      <w:tr w:rsidR="007F67E7" w:rsidRPr="009714C2" w14:paraId="605074B4" w14:textId="77777777" w:rsidTr="00B41B8D">
        <w:trPr>
          <w:trHeight w:val="315"/>
        </w:trPr>
        <w:tc>
          <w:tcPr>
            <w:tcW w:w="3925" w:type="dxa"/>
            <w:shd w:val="clear" w:color="auto" w:fill="auto"/>
            <w:vAlign w:val="center"/>
            <w:hideMark/>
          </w:tcPr>
          <w:p w14:paraId="514F2160"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Sorteo de obras</w:t>
            </w:r>
          </w:p>
        </w:tc>
        <w:tc>
          <w:tcPr>
            <w:tcW w:w="3955" w:type="dxa"/>
            <w:shd w:val="clear" w:color="auto" w:fill="auto"/>
            <w:noWrap/>
            <w:vAlign w:val="bottom"/>
            <w:hideMark/>
          </w:tcPr>
          <w:p w14:paraId="63C038D0"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   </w:t>
            </w:r>
          </w:p>
        </w:tc>
      </w:tr>
      <w:tr w:rsidR="007F67E7" w:rsidRPr="009714C2" w14:paraId="5251F5AC" w14:textId="77777777" w:rsidTr="00B41B8D">
        <w:trPr>
          <w:trHeight w:val="315"/>
        </w:trPr>
        <w:tc>
          <w:tcPr>
            <w:tcW w:w="3925" w:type="dxa"/>
            <w:shd w:val="clear" w:color="auto" w:fill="auto"/>
            <w:vAlign w:val="center"/>
            <w:hideMark/>
          </w:tcPr>
          <w:p w14:paraId="099A01E0"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Excepción - bienes o servicios con exclusividad </w:t>
            </w:r>
          </w:p>
        </w:tc>
        <w:tc>
          <w:tcPr>
            <w:tcW w:w="3955" w:type="dxa"/>
            <w:shd w:val="clear" w:color="auto" w:fill="auto"/>
            <w:noWrap/>
            <w:hideMark/>
          </w:tcPr>
          <w:p w14:paraId="744691BD"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RD$ 39,430,680.00 </w:t>
            </w:r>
          </w:p>
        </w:tc>
      </w:tr>
      <w:tr w:rsidR="007F67E7" w:rsidRPr="009714C2" w14:paraId="6E8EB13A" w14:textId="77777777" w:rsidTr="00B41B8D">
        <w:trPr>
          <w:trHeight w:val="630"/>
        </w:trPr>
        <w:tc>
          <w:tcPr>
            <w:tcW w:w="3925" w:type="dxa"/>
            <w:shd w:val="clear" w:color="auto" w:fill="auto"/>
            <w:vAlign w:val="center"/>
            <w:hideMark/>
          </w:tcPr>
          <w:p w14:paraId="2D4AA49F"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Excepción - construcción, instalación o adquisición de oficinas para el servicio exterior</w:t>
            </w:r>
          </w:p>
        </w:tc>
        <w:tc>
          <w:tcPr>
            <w:tcW w:w="3955" w:type="dxa"/>
            <w:shd w:val="clear" w:color="auto" w:fill="auto"/>
            <w:noWrap/>
            <w:hideMark/>
          </w:tcPr>
          <w:p w14:paraId="239A3923"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   </w:t>
            </w:r>
          </w:p>
        </w:tc>
      </w:tr>
      <w:tr w:rsidR="007F67E7" w:rsidRPr="009714C2" w14:paraId="44E9C2CE" w14:textId="77777777" w:rsidTr="00B41B8D">
        <w:trPr>
          <w:trHeight w:val="630"/>
        </w:trPr>
        <w:tc>
          <w:tcPr>
            <w:tcW w:w="3925" w:type="dxa"/>
            <w:shd w:val="clear" w:color="auto" w:fill="auto"/>
            <w:vAlign w:val="center"/>
            <w:hideMark/>
          </w:tcPr>
          <w:p w14:paraId="73320324"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Excepción - contratación de publicidad a través de medios de comunicación social</w:t>
            </w:r>
          </w:p>
        </w:tc>
        <w:tc>
          <w:tcPr>
            <w:tcW w:w="3955" w:type="dxa"/>
            <w:shd w:val="clear" w:color="auto" w:fill="auto"/>
            <w:noWrap/>
            <w:hideMark/>
          </w:tcPr>
          <w:p w14:paraId="60AF6CB2"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   </w:t>
            </w:r>
          </w:p>
        </w:tc>
      </w:tr>
      <w:tr w:rsidR="007F67E7" w:rsidRPr="009714C2" w14:paraId="383710EE" w14:textId="77777777" w:rsidTr="00B41B8D">
        <w:trPr>
          <w:trHeight w:val="945"/>
        </w:trPr>
        <w:tc>
          <w:tcPr>
            <w:tcW w:w="3925" w:type="dxa"/>
            <w:shd w:val="clear" w:color="auto" w:fill="auto"/>
            <w:vAlign w:val="center"/>
            <w:hideMark/>
          </w:tcPr>
          <w:p w14:paraId="56E32004"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Excepción - obras científicas, técnicas, artísticas, o restauración  de monumentos históricos</w:t>
            </w:r>
          </w:p>
        </w:tc>
        <w:tc>
          <w:tcPr>
            <w:tcW w:w="3955" w:type="dxa"/>
            <w:shd w:val="clear" w:color="auto" w:fill="auto"/>
            <w:noWrap/>
            <w:hideMark/>
          </w:tcPr>
          <w:p w14:paraId="625028B8"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RD$  -   </w:t>
            </w:r>
          </w:p>
        </w:tc>
      </w:tr>
      <w:tr w:rsidR="007F67E7" w:rsidRPr="009714C2" w14:paraId="1A07D777" w14:textId="77777777" w:rsidTr="00B41B8D">
        <w:trPr>
          <w:trHeight w:val="315"/>
        </w:trPr>
        <w:tc>
          <w:tcPr>
            <w:tcW w:w="3925" w:type="dxa"/>
            <w:shd w:val="clear" w:color="auto" w:fill="auto"/>
            <w:vAlign w:val="center"/>
            <w:hideMark/>
          </w:tcPr>
          <w:p w14:paraId="33915E7E"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Excepción - proveedor único</w:t>
            </w:r>
          </w:p>
        </w:tc>
        <w:tc>
          <w:tcPr>
            <w:tcW w:w="3955" w:type="dxa"/>
            <w:shd w:val="clear" w:color="auto" w:fill="auto"/>
            <w:noWrap/>
            <w:vAlign w:val="bottom"/>
            <w:hideMark/>
          </w:tcPr>
          <w:p w14:paraId="6AE2CE0E"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RD$  -   </w:t>
            </w:r>
          </w:p>
        </w:tc>
      </w:tr>
      <w:tr w:rsidR="007F67E7" w:rsidRPr="009714C2" w14:paraId="12BF8176" w14:textId="77777777" w:rsidTr="00B41B8D">
        <w:trPr>
          <w:trHeight w:val="945"/>
        </w:trPr>
        <w:tc>
          <w:tcPr>
            <w:tcW w:w="3925" w:type="dxa"/>
            <w:shd w:val="clear" w:color="auto" w:fill="auto"/>
            <w:vAlign w:val="center"/>
            <w:hideMark/>
          </w:tcPr>
          <w:p w14:paraId="39E1A4C2"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Excepción - rescisión de contratos cuya terminación no exceda el 40% del monto total del proyecto, obra o servicio</w:t>
            </w:r>
          </w:p>
        </w:tc>
        <w:tc>
          <w:tcPr>
            <w:tcW w:w="3955" w:type="dxa"/>
            <w:shd w:val="clear" w:color="auto" w:fill="auto"/>
            <w:noWrap/>
            <w:hideMark/>
          </w:tcPr>
          <w:p w14:paraId="207A669E"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   </w:t>
            </w:r>
          </w:p>
        </w:tc>
      </w:tr>
      <w:tr w:rsidR="007F67E7" w:rsidRPr="009714C2" w14:paraId="57171843" w14:textId="77777777" w:rsidTr="00B41B8D">
        <w:trPr>
          <w:trHeight w:val="945"/>
        </w:trPr>
        <w:tc>
          <w:tcPr>
            <w:tcW w:w="3925" w:type="dxa"/>
            <w:shd w:val="clear" w:color="auto" w:fill="auto"/>
            <w:vAlign w:val="center"/>
            <w:hideMark/>
          </w:tcPr>
          <w:p w14:paraId="57D638F9" w14:textId="77777777" w:rsidR="007F67E7" w:rsidRPr="009714C2" w:rsidRDefault="007F67E7" w:rsidP="00B41B8D">
            <w:pPr>
              <w:spacing w:after="0" w:line="360" w:lineRule="auto"/>
              <w:jc w:val="both"/>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Excepción - resolución 15-08 sobre compra y contratación de pasaje aéreo, combustible y reparación de vehículos de motor</w:t>
            </w:r>
          </w:p>
        </w:tc>
        <w:tc>
          <w:tcPr>
            <w:tcW w:w="3955" w:type="dxa"/>
            <w:shd w:val="clear" w:color="auto" w:fill="auto"/>
            <w:noWrap/>
            <w:hideMark/>
          </w:tcPr>
          <w:p w14:paraId="50548FA2" w14:textId="77777777" w:rsidR="007F67E7" w:rsidRPr="009714C2" w:rsidRDefault="007F67E7" w:rsidP="00B41B8D">
            <w:pPr>
              <w:spacing w:after="0" w:line="360" w:lineRule="auto"/>
              <w:rPr>
                <w:rFonts w:ascii="Times New Roman" w:eastAsia="Calibri" w:hAnsi="Times New Roman" w:cs="Times New Roman"/>
                <w:color w:val="4C4747"/>
                <w:spacing w:val="20"/>
                <w:sz w:val="24"/>
                <w:szCs w:val="24"/>
                <w:lang w:val="es-DO"/>
              </w:rPr>
            </w:pPr>
            <w:r w:rsidRPr="009714C2">
              <w:rPr>
                <w:rFonts w:ascii="Times New Roman" w:eastAsia="Calibri" w:hAnsi="Times New Roman" w:cs="Times New Roman"/>
                <w:color w:val="4C4747"/>
                <w:spacing w:val="20"/>
                <w:sz w:val="24"/>
                <w:szCs w:val="24"/>
                <w:lang w:val="es-DO"/>
              </w:rPr>
              <w:t xml:space="preserve"> RD$     -   </w:t>
            </w:r>
          </w:p>
        </w:tc>
      </w:tr>
    </w:tbl>
    <w:p w14:paraId="7DF12F3E" w14:textId="0F229769" w:rsidR="005805BA" w:rsidRPr="008B0DE2" w:rsidRDefault="007F67E7" w:rsidP="008B0DE2">
      <w:pPr>
        <w:spacing w:line="360" w:lineRule="auto"/>
        <w:jc w:val="both"/>
        <w:rPr>
          <w:rFonts w:ascii="Times New Roman" w:eastAsia="Calibri" w:hAnsi="Times New Roman" w:cs="Times New Roman"/>
          <w:color w:val="4C4747"/>
          <w:spacing w:val="20"/>
          <w:sz w:val="18"/>
          <w:szCs w:val="24"/>
          <w:lang w:val="es-DO"/>
        </w:rPr>
      </w:pPr>
      <w:r w:rsidRPr="009714C2">
        <w:rPr>
          <w:rFonts w:ascii="Times New Roman" w:eastAsia="Calibri" w:hAnsi="Times New Roman" w:cs="Times New Roman"/>
          <w:b/>
          <w:color w:val="4C4747"/>
          <w:spacing w:val="20"/>
          <w:sz w:val="18"/>
          <w:szCs w:val="24"/>
          <w:lang w:val="es-DO"/>
        </w:rPr>
        <w:t>Fuente:</w:t>
      </w:r>
      <w:r w:rsidRPr="009714C2">
        <w:rPr>
          <w:rFonts w:ascii="Times New Roman" w:eastAsia="Calibri" w:hAnsi="Times New Roman" w:cs="Times New Roman"/>
          <w:color w:val="4C4747"/>
          <w:spacing w:val="20"/>
          <w:sz w:val="18"/>
          <w:szCs w:val="24"/>
          <w:lang w:val="es-DO"/>
        </w:rPr>
        <w:t xml:space="preserve"> Portal de Transparencia INDOTEL</w:t>
      </w:r>
    </w:p>
    <w:sectPr w:rsidR="005805BA" w:rsidRPr="008B0DE2" w:rsidSect="00C64CEF">
      <w:headerReference w:type="default" r:id="rId42"/>
      <w:footerReference w:type="default" r:id="rId43"/>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C98E1" w14:textId="77777777" w:rsidR="001B1047" w:rsidRDefault="001B1047" w:rsidP="00E84651">
      <w:pPr>
        <w:spacing w:after="0" w:line="240" w:lineRule="auto"/>
      </w:pPr>
      <w:r>
        <w:separator/>
      </w:r>
    </w:p>
  </w:endnote>
  <w:endnote w:type="continuationSeparator" w:id="0">
    <w:p w14:paraId="661498AB" w14:textId="77777777" w:rsidR="001B1047" w:rsidRDefault="001B1047"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864644"/>
      <w:docPartObj>
        <w:docPartGallery w:val="Page Numbers (Bottom of Page)"/>
        <w:docPartUnique/>
      </w:docPartObj>
    </w:sdtPr>
    <w:sdtEndPr>
      <w:rPr>
        <w:noProof/>
      </w:rPr>
    </w:sdtEndPr>
    <w:sdtContent>
      <w:p w14:paraId="1A9E6193" w14:textId="53F74689" w:rsidR="007C16C5" w:rsidRDefault="007C16C5">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7C16C5" w:rsidRDefault="007C16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965239"/>
      <w:docPartObj>
        <w:docPartGallery w:val="Page Numbers (Bottom of Page)"/>
        <w:docPartUnique/>
      </w:docPartObj>
    </w:sdtPr>
    <w:sdtEndPr>
      <w:rPr>
        <w:noProof/>
      </w:rPr>
    </w:sdtEndPr>
    <w:sdtContent>
      <w:p w14:paraId="76783BEA" w14:textId="3B2E45C0" w:rsidR="007C16C5" w:rsidRDefault="007C16C5" w:rsidP="0021106F">
        <w:pPr>
          <w:pStyle w:val="Piedepgina"/>
          <w:jc w:val="center"/>
        </w:pPr>
        <w:r>
          <w:rPr>
            <w:noProof/>
          </w:rPr>
          <w:drawing>
            <wp:anchor distT="0" distB="0" distL="114300" distR="114300" simplePos="0" relativeHeight="251658240" behindDoc="0" locked="0" layoutInCell="1" allowOverlap="1" wp14:anchorId="54F82055" wp14:editId="17AFBB42">
              <wp:simplePos x="0" y="0"/>
              <wp:positionH relativeFrom="column">
                <wp:posOffset>1060450</wp:posOffset>
              </wp:positionH>
              <wp:positionV relativeFrom="paragraph">
                <wp:posOffset>-123825</wp:posOffset>
              </wp:positionV>
              <wp:extent cx="2995930" cy="408305"/>
              <wp:effectExtent l="0" t="0" r="0" b="0"/>
              <wp:wrapThrough wrapText="bothSides">
                <wp:wrapPolygon edited="0">
                  <wp:start x="0" y="0"/>
                  <wp:lineTo x="0" y="20156"/>
                  <wp:lineTo x="21426" y="20156"/>
                  <wp:lineTo x="21426" y="0"/>
                  <wp:lineTo x="0" y="0"/>
                </wp:wrapPolygon>
              </wp:wrapThrough>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16C5" w:rsidRDefault="007C16C5" w:rsidP="0021106F">
        <w:pPr>
          <w:pStyle w:val="Piedepgina"/>
          <w:jc w:val="center"/>
          <w:rPr>
            <w:rFonts w:ascii="Times New Roman" w:hAnsi="Times New Roman" w:cs="Times New Roman"/>
            <w:color w:val="7F7F7F" w:themeColor="text1" w:themeTint="80"/>
          </w:rPr>
        </w:pPr>
      </w:p>
      <w:p w14:paraId="2B095E5E" w14:textId="607716C5" w:rsidR="007C16C5" w:rsidRDefault="007C16C5" w:rsidP="00B07B8F">
        <w:pPr>
          <w:pStyle w:val="Piedepgina"/>
          <w:jc w:val="center"/>
        </w:pPr>
        <w:r>
          <w:rPr>
            <w:rFonts w:ascii="Times New Roman" w:hAnsi="Times New Roman" w:cs="Times New Roman"/>
            <w:color w:val="7F7F7F" w:themeColor="text1" w:themeTint="80"/>
          </w:rPr>
          <w:t xml:space="preserve">  </w:t>
        </w: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6E232B">
          <w:rPr>
            <w:rFonts w:ascii="Times New Roman" w:hAnsi="Times New Roman" w:cs="Times New Roman"/>
            <w:noProof/>
            <w:color w:val="7F7F7F" w:themeColor="text1" w:themeTint="80"/>
          </w:rPr>
          <w:t>205</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F4EC4" w14:textId="77777777" w:rsidR="001B1047" w:rsidRDefault="001B1047" w:rsidP="00E84651">
      <w:pPr>
        <w:spacing w:after="0" w:line="240" w:lineRule="auto"/>
      </w:pPr>
      <w:r>
        <w:separator/>
      </w:r>
    </w:p>
  </w:footnote>
  <w:footnote w:type="continuationSeparator" w:id="0">
    <w:p w14:paraId="7F889727" w14:textId="77777777" w:rsidR="001B1047" w:rsidRDefault="001B1047" w:rsidP="00E8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64575" w14:textId="77777777" w:rsidR="007C16C5" w:rsidRDefault="007C16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43074"/>
    <w:multiLevelType w:val="hybridMultilevel"/>
    <w:tmpl w:val="3B3E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E5951"/>
    <w:multiLevelType w:val="hybridMultilevel"/>
    <w:tmpl w:val="9104B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532B9"/>
    <w:multiLevelType w:val="hybridMultilevel"/>
    <w:tmpl w:val="23BC4AE2"/>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62012"/>
    <w:multiLevelType w:val="hybridMultilevel"/>
    <w:tmpl w:val="23A49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E977B"/>
    <w:multiLevelType w:val="hybridMultilevel"/>
    <w:tmpl w:val="1F488416"/>
    <w:lvl w:ilvl="0" w:tplc="ACBE9A4E">
      <w:start w:val="1"/>
      <w:numFmt w:val="bullet"/>
      <w:lvlText w:val=""/>
      <w:lvlJc w:val="left"/>
      <w:pPr>
        <w:ind w:left="720" w:hanging="360"/>
      </w:pPr>
      <w:rPr>
        <w:rFonts w:ascii="Symbol" w:hAnsi="Symbol" w:hint="default"/>
      </w:rPr>
    </w:lvl>
    <w:lvl w:ilvl="1" w:tplc="3A36A4AE">
      <w:start w:val="1"/>
      <w:numFmt w:val="bullet"/>
      <w:lvlText w:val="o"/>
      <w:lvlJc w:val="left"/>
      <w:pPr>
        <w:ind w:left="1440" w:hanging="360"/>
      </w:pPr>
      <w:rPr>
        <w:rFonts w:ascii="Courier New" w:hAnsi="Courier New" w:hint="default"/>
      </w:rPr>
    </w:lvl>
    <w:lvl w:ilvl="2" w:tplc="4EDCAFF8">
      <w:start w:val="1"/>
      <w:numFmt w:val="bullet"/>
      <w:lvlText w:val=""/>
      <w:lvlJc w:val="left"/>
      <w:pPr>
        <w:ind w:left="2160" w:hanging="360"/>
      </w:pPr>
      <w:rPr>
        <w:rFonts w:ascii="Wingdings" w:hAnsi="Wingdings" w:hint="default"/>
      </w:rPr>
    </w:lvl>
    <w:lvl w:ilvl="3" w:tplc="408CAC58">
      <w:start w:val="1"/>
      <w:numFmt w:val="bullet"/>
      <w:lvlText w:val=""/>
      <w:lvlJc w:val="left"/>
      <w:pPr>
        <w:ind w:left="2880" w:hanging="360"/>
      </w:pPr>
      <w:rPr>
        <w:rFonts w:ascii="Symbol" w:hAnsi="Symbol" w:hint="default"/>
      </w:rPr>
    </w:lvl>
    <w:lvl w:ilvl="4" w:tplc="2ABE42A4">
      <w:start w:val="1"/>
      <w:numFmt w:val="bullet"/>
      <w:lvlText w:val="o"/>
      <w:lvlJc w:val="left"/>
      <w:pPr>
        <w:ind w:left="3600" w:hanging="360"/>
      </w:pPr>
      <w:rPr>
        <w:rFonts w:ascii="Courier New" w:hAnsi="Courier New" w:hint="default"/>
      </w:rPr>
    </w:lvl>
    <w:lvl w:ilvl="5" w:tplc="15D04442">
      <w:start w:val="1"/>
      <w:numFmt w:val="bullet"/>
      <w:lvlText w:val=""/>
      <w:lvlJc w:val="left"/>
      <w:pPr>
        <w:ind w:left="4320" w:hanging="360"/>
      </w:pPr>
      <w:rPr>
        <w:rFonts w:ascii="Wingdings" w:hAnsi="Wingdings" w:hint="default"/>
      </w:rPr>
    </w:lvl>
    <w:lvl w:ilvl="6" w:tplc="1AAED2EE">
      <w:start w:val="1"/>
      <w:numFmt w:val="bullet"/>
      <w:lvlText w:val=""/>
      <w:lvlJc w:val="left"/>
      <w:pPr>
        <w:ind w:left="5040" w:hanging="360"/>
      </w:pPr>
      <w:rPr>
        <w:rFonts w:ascii="Symbol" w:hAnsi="Symbol" w:hint="default"/>
      </w:rPr>
    </w:lvl>
    <w:lvl w:ilvl="7" w:tplc="ACC6DAAC">
      <w:start w:val="1"/>
      <w:numFmt w:val="bullet"/>
      <w:lvlText w:val="o"/>
      <w:lvlJc w:val="left"/>
      <w:pPr>
        <w:ind w:left="5760" w:hanging="360"/>
      </w:pPr>
      <w:rPr>
        <w:rFonts w:ascii="Courier New" w:hAnsi="Courier New" w:hint="default"/>
      </w:rPr>
    </w:lvl>
    <w:lvl w:ilvl="8" w:tplc="999A2FB0">
      <w:start w:val="1"/>
      <w:numFmt w:val="bullet"/>
      <w:lvlText w:val=""/>
      <w:lvlJc w:val="left"/>
      <w:pPr>
        <w:ind w:left="6480" w:hanging="360"/>
      </w:pPr>
      <w:rPr>
        <w:rFonts w:ascii="Wingdings" w:hAnsi="Wingdings" w:hint="default"/>
      </w:rPr>
    </w:lvl>
  </w:abstractNum>
  <w:abstractNum w:abstractNumId="5">
    <w:nsid w:val="0DAA5F3E"/>
    <w:multiLevelType w:val="hybridMultilevel"/>
    <w:tmpl w:val="269A30D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115D4A9A"/>
    <w:multiLevelType w:val="hybridMultilevel"/>
    <w:tmpl w:val="94DE7626"/>
    <w:lvl w:ilvl="0" w:tplc="7D0805E8">
      <w:numFmt w:val="bullet"/>
      <w:lvlText w:val="•"/>
      <w:lvlJc w:val="left"/>
      <w:pPr>
        <w:ind w:left="1350" w:hanging="720"/>
      </w:pPr>
      <w:rPr>
        <w:rFonts w:ascii="Times New Roman" w:eastAsia="Calibri" w:hAnsi="Times New Roman" w:cs="Times New Roman" w:hint="default"/>
        <w:color w:val="4C4747"/>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11B91F85"/>
    <w:multiLevelType w:val="hybridMultilevel"/>
    <w:tmpl w:val="DA78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B743B"/>
    <w:multiLevelType w:val="hybridMultilevel"/>
    <w:tmpl w:val="86A8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C6040D"/>
    <w:multiLevelType w:val="hybridMultilevel"/>
    <w:tmpl w:val="1FE84C8A"/>
    <w:lvl w:ilvl="0" w:tplc="1C0A0001">
      <w:start w:val="1"/>
      <w:numFmt w:val="bullet"/>
      <w:lvlText w:val=""/>
      <w:lvlJc w:val="left"/>
      <w:pPr>
        <w:ind w:left="720" w:hanging="360"/>
      </w:pPr>
      <w:rPr>
        <w:rFonts w:ascii="Symbol" w:hAnsi="Symbol" w:hint="default"/>
      </w:rPr>
    </w:lvl>
    <w:lvl w:ilvl="1" w:tplc="D2AA561E">
      <w:numFmt w:val="bullet"/>
      <w:lvlText w:val="•"/>
      <w:lvlJc w:val="left"/>
      <w:pPr>
        <w:ind w:left="1800" w:hanging="720"/>
      </w:pPr>
      <w:rPr>
        <w:rFonts w:ascii="Times New Roman" w:eastAsia="Calibr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17622FFC"/>
    <w:multiLevelType w:val="hybridMultilevel"/>
    <w:tmpl w:val="0FB8571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nsid w:val="17CE014B"/>
    <w:multiLevelType w:val="hybridMultilevel"/>
    <w:tmpl w:val="9FC2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8127BA"/>
    <w:multiLevelType w:val="multilevel"/>
    <w:tmpl w:val="7A7C8C1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4CD7F5D"/>
    <w:multiLevelType w:val="hybridMultilevel"/>
    <w:tmpl w:val="BE16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6355F"/>
    <w:multiLevelType w:val="hybridMultilevel"/>
    <w:tmpl w:val="529C79CC"/>
    <w:lvl w:ilvl="0" w:tplc="7D0805E8">
      <w:numFmt w:val="bullet"/>
      <w:lvlText w:val="•"/>
      <w:lvlJc w:val="left"/>
      <w:pPr>
        <w:ind w:left="1440" w:hanging="720"/>
      </w:pPr>
      <w:rPr>
        <w:rFonts w:ascii="Times New Roman" w:eastAsia="Calibri" w:hAnsi="Times New Roman" w:cs="Times New Roman" w:hint="default"/>
        <w:color w:val="4C474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E85463"/>
    <w:multiLevelType w:val="multilevel"/>
    <w:tmpl w:val="5210A3F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810"/>
        </w:tabs>
        <w:ind w:left="810" w:hanging="720"/>
      </w:pPr>
      <w:rPr>
        <w:rFonts w:ascii="Symbol" w:hAnsi="Symbol"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2C504260"/>
    <w:multiLevelType w:val="hybridMultilevel"/>
    <w:tmpl w:val="21228830"/>
    <w:lvl w:ilvl="0" w:tplc="04090001">
      <w:start w:val="1"/>
      <w:numFmt w:val="bullet"/>
      <w:lvlText w:val=""/>
      <w:lvlJc w:val="left"/>
      <w:pPr>
        <w:ind w:left="1080" w:hanging="72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2D3A4E9F"/>
    <w:multiLevelType w:val="hybridMultilevel"/>
    <w:tmpl w:val="7EF4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2A14C6"/>
    <w:multiLevelType w:val="hybridMultilevel"/>
    <w:tmpl w:val="4652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2743AD"/>
    <w:multiLevelType w:val="hybridMultilevel"/>
    <w:tmpl w:val="8228B99C"/>
    <w:lvl w:ilvl="0" w:tplc="1DB8700C">
      <w:start w:val="1"/>
      <w:numFmt w:val="bullet"/>
      <w:lvlText w:val=""/>
      <w:lvlJc w:val="left"/>
      <w:pPr>
        <w:ind w:left="720" w:hanging="360"/>
      </w:pPr>
      <w:rPr>
        <w:rFonts w:ascii="Symbol" w:hAnsi="Symbol" w:hint="default"/>
      </w:rPr>
    </w:lvl>
    <w:lvl w:ilvl="1" w:tplc="E02A33CE">
      <w:start w:val="1"/>
      <w:numFmt w:val="bullet"/>
      <w:lvlText w:val="o"/>
      <w:lvlJc w:val="left"/>
      <w:pPr>
        <w:ind w:left="1440" w:hanging="360"/>
      </w:pPr>
      <w:rPr>
        <w:rFonts w:ascii="Courier New" w:hAnsi="Courier New" w:hint="default"/>
      </w:rPr>
    </w:lvl>
    <w:lvl w:ilvl="2" w:tplc="ED4AF43E">
      <w:start w:val="1"/>
      <w:numFmt w:val="bullet"/>
      <w:lvlText w:val=""/>
      <w:lvlJc w:val="left"/>
      <w:pPr>
        <w:ind w:left="2160" w:hanging="360"/>
      </w:pPr>
      <w:rPr>
        <w:rFonts w:ascii="Wingdings" w:hAnsi="Wingdings" w:hint="default"/>
      </w:rPr>
    </w:lvl>
    <w:lvl w:ilvl="3" w:tplc="A12A3AD2">
      <w:start w:val="1"/>
      <w:numFmt w:val="bullet"/>
      <w:lvlText w:val=""/>
      <w:lvlJc w:val="left"/>
      <w:pPr>
        <w:ind w:left="2880" w:hanging="360"/>
      </w:pPr>
      <w:rPr>
        <w:rFonts w:ascii="Symbol" w:hAnsi="Symbol" w:hint="default"/>
      </w:rPr>
    </w:lvl>
    <w:lvl w:ilvl="4" w:tplc="F3267B1A">
      <w:start w:val="1"/>
      <w:numFmt w:val="bullet"/>
      <w:lvlText w:val="o"/>
      <w:lvlJc w:val="left"/>
      <w:pPr>
        <w:ind w:left="3600" w:hanging="360"/>
      </w:pPr>
      <w:rPr>
        <w:rFonts w:ascii="Courier New" w:hAnsi="Courier New" w:hint="default"/>
      </w:rPr>
    </w:lvl>
    <w:lvl w:ilvl="5" w:tplc="02B8A6C8">
      <w:start w:val="1"/>
      <w:numFmt w:val="bullet"/>
      <w:lvlText w:val=""/>
      <w:lvlJc w:val="left"/>
      <w:pPr>
        <w:ind w:left="4320" w:hanging="360"/>
      </w:pPr>
      <w:rPr>
        <w:rFonts w:ascii="Wingdings" w:hAnsi="Wingdings" w:hint="default"/>
      </w:rPr>
    </w:lvl>
    <w:lvl w:ilvl="6" w:tplc="D500FF9A">
      <w:start w:val="1"/>
      <w:numFmt w:val="bullet"/>
      <w:lvlText w:val=""/>
      <w:lvlJc w:val="left"/>
      <w:pPr>
        <w:ind w:left="5040" w:hanging="360"/>
      </w:pPr>
      <w:rPr>
        <w:rFonts w:ascii="Symbol" w:hAnsi="Symbol" w:hint="default"/>
      </w:rPr>
    </w:lvl>
    <w:lvl w:ilvl="7" w:tplc="4850B31A">
      <w:start w:val="1"/>
      <w:numFmt w:val="bullet"/>
      <w:lvlText w:val="o"/>
      <w:lvlJc w:val="left"/>
      <w:pPr>
        <w:ind w:left="5760" w:hanging="360"/>
      </w:pPr>
      <w:rPr>
        <w:rFonts w:ascii="Courier New" w:hAnsi="Courier New" w:hint="default"/>
      </w:rPr>
    </w:lvl>
    <w:lvl w:ilvl="8" w:tplc="A3A692DC">
      <w:start w:val="1"/>
      <w:numFmt w:val="bullet"/>
      <w:lvlText w:val=""/>
      <w:lvlJc w:val="left"/>
      <w:pPr>
        <w:ind w:left="6480" w:hanging="360"/>
      </w:pPr>
      <w:rPr>
        <w:rFonts w:ascii="Wingdings" w:hAnsi="Wingdings" w:hint="default"/>
      </w:rPr>
    </w:lvl>
  </w:abstractNum>
  <w:abstractNum w:abstractNumId="20">
    <w:nsid w:val="32B20B9E"/>
    <w:multiLevelType w:val="hybridMultilevel"/>
    <w:tmpl w:val="BD5E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29464D"/>
    <w:multiLevelType w:val="hybridMultilevel"/>
    <w:tmpl w:val="8ADC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350F52"/>
    <w:multiLevelType w:val="hybridMultilevel"/>
    <w:tmpl w:val="03DC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977AC4"/>
    <w:multiLevelType w:val="hybridMultilevel"/>
    <w:tmpl w:val="17FA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E132BF"/>
    <w:multiLevelType w:val="hybridMultilevel"/>
    <w:tmpl w:val="D83AEB60"/>
    <w:lvl w:ilvl="0" w:tplc="4A3A069E">
      <w:start w:val="1"/>
      <w:numFmt w:val="bullet"/>
      <w:lvlText w:val=""/>
      <w:lvlJc w:val="left"/>
      <w:pPr>
        <w:ind w:left="720" w:hanging="360"/>
      </w:pPr>
      <w:rPr>
        <w:rFonts w:ascii="Symbol" w:hAnsi="Symbol" w:hint="default"/>
      </w:rPr>
    </w:lvl>
    <w:lvl w:ilvl="1" w:tplc="2102D134">
      <w:start w:val="1"/>
      <w:numFmt w:val="bullet"/>
      <w:lvlText w:val="o"/>
      <w:lvlJc w:val="left"/>
      <w:pPr>
        <w:ind w:left="1440" w:hanging="360"/>
      </w:pPr>
      <w:rPr>
        <w:rFonts w:ascii="Courier New" w:hAnsi="Courier New" w:hint="default"/>
      </w:rPr>
    </w:lvl>
    <w:lvl w:ilvl="2" w:tplc="3F0C0514">
      <w:start w:val="1"/>
      <w:numFmt w:val="bullet"/>
      <w:lvlText w:val=""/>
      <w:lvlJc w:val="left"/>
      <w:pPr>
        <w:ind w:left="2160" w:hanging="360"/>
      </w:pPr>
      <w:rPr>
        <w:rFonts w:ascii="Wingdings" w:hAnsi="Wingdings" w:hint="default"/>
      </w:rPr>
    </w:lvl>
    <w:lvl w:ilvl="3" w:tplc="28E68AA6">
      <w:start w:val="1"/>
      <w:numFmt w:val="bullet"/>
      <w:lvlText w:val=""/>
      <w:lvlJc w:val="left"/>
      <w:pPr>
        <w:ind w:left="2880" w:hanging="360"/>
      </w:pPr>
      <w:rPr>
        <w:rFonts w:ascii="Symbol" w:hAnsi="Symbol" w:hint="default"/>
      </w:rPr>
    </w:lvl>
    <w:lvl w:ilvl="4" w:tplc="9C40EAC6">
      <w:start w:val="1"/>
      <w:numFmt w:val="bullet"/>
      <w:lvlText w:val="o"/>
      <w:lvlJc w:val="left"/>
      <w:pPr>
        <w:ind w:left="3600" w:hanging="360"/>
      </w:pPr>
      <w:rPr>
        <w:rFonts w:ascii="Courier New" w:hAnsi="Courier New" w:hint="default"/>
      </w:rPr>
    </w:lvl>
    <w:lvl w:ilvl="5" w:tplc="67B032FE">
      <w:start w:val="1"/>
      <w:numFmt w:val="bullet"/>
      <w:lvlText w:val=""/>
      <w:lvlJc w:val="left"/>
      <w:pPr>
        <w:ind w:left="4320" w:hanging="360"/>
      </w:pPr>
      <w:rPr>
        <w:rFonts w:ascii="Wingdings" w:hAnsi="Wingdings" w:hint="default"/>
      </w:rPr>
    </w:lvl>
    <w:lvl w:ilvl="6" w:tplc="A198C662">
      <w:start w:val="1"/>
      <w:numFmt w:val="bullet"/>
      <w:lvlText w:val=""/>
      <w:lvlJc w:val="left"/>
      <w:pPr>
        <w:ind w:left="5040" w:hanging="360"/>
      </w:pPr>
      <w:rPr>
        <w:rFonts w:ascii="Symbol" w:hAnsi="Symbol" w:hint="default"/>
      </w:rPr>
    </w:lvl>
    <w:lvl w:ilvl="7" w:tplc="34143864">
      <w:start w:val="1"/>
      <w:numFmt w:val="bullet"/>
      <w:lvlText w:val="o"/>
      <w:lvlJc w:val="left"/>
      <w:pPr>
        <w:ind w:left="5760" w:hanging="360"/>
      </w:pPr>
      <w:rPr>
        <w:rFonts w:ascii="Courier New" w:hAnsi="Courier New" w:hint="default"/>
      </w:rPr>
    </w:lvl>
    <w:lvl w:ilvl="8" w:tplc="D05E3192">
      <w:start w:val="1"/>
      <w:numFmt w:val="bullet"/>
      <w:lvlText w:val=""/>
      <w:lvlJc w:val="left"/>
      <w:pPr>
        <w:ind w:left="6480" w:hanging="360"/>
      </w:pPr>
      <w:rPr>
        <w:rFonts w:ascii="Wingdings" w:hAnsi="Wingdings" w:hint="default"/>
      </w:rPr>
    </w:lvl>
  </w:abstractNum>
  <w:abstractNum w:abstractNumId="25">
    <w:nsid w:val="3F57228A"/>
    <w:multiLevelType w:val="multilevel"/>
    <w:tmpl w:val="07268068"/>
    <w:lvl w:ilvl="0">
      <w:start w:val="1"/>
      <w:numFmt w:val="upperRoman"/>
      <w:lvlText w:val="%1."/>
      <w:lvlJc w:val="left"/>
      <w:pPr>
        <w:ind w:left="1080" w:hanging="720"/>
      </w:pPr>
      <w:rPr>
        <w:rFonts w:hint="default"/>
        <w:color w:val="4C4747"/>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0F41A72"/>
    <w:multiLevelType w:val="multilevel"/>
    <w:tmpl w:val="5210A3F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810"/>
        </w:tabs>
        <w:ind w:left="810" w:hanging="720"/>
      </w:pPr>
      <w:rPr>
        <w:rFonts w:ascii="Symbol" w:hAnsi="Symbol"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42C96345"/>
    <w:multiLevelType w:val="hybridMultilevel"/>
    <w:tmpl w:val="A0369EDC"/>
    <w:lvl w:ilvl="0" w:tplc="04090001">
      <w:start w:val="1"/>
      <w:numFmt w:val="bullet"/>
      <w:lvlText w:val=""/>
      <w:lvlJc w:val="left"/>
      <w:pPr>
        <w:ind w:left="720" w:hanging="360"/>
      </w:pPr>
      <w:rPr>
        <w:rFonts w:ascii="Symbol" w:hAnsi="Symbol" w:hint="default"/>
      </w:rPr>
    </w:lvl>
    <w:lvl w:ilvl="1" w:tplc="8CA2BBCE">
      <w:numFmt w:val="bullet"/>
      <w:lvlText w:val="·"/>
      <w:lvlJc w:val="left"/>
      <w:pPr>
        <w:ind w:left="1470" w:hanging="39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282A7E"/>
    <w:multiLevelType w:val="hybridMultilevel"/>
    <w:tmpl w:val="A3D48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EF2B0D"/>
    <w:multiLevelType w:val="hybridMultilevel"/>
    <w:tmpl w:val="214EEEDC"/>
    <w:lvl w:ilvl="0" w:tplc="1C0A0001">
      <w:numFmt w:val="bullet"/>
      <w:lvlText w:val=""/>
      <w:lvlJc w:val="left"/>
      <w:pPr>
        <w:ind w:left="720" w:hanging="360"/>
      </w:pPr>
      <w:rPr>
        <w:rFonts w:ascii="Symbol" w:eastAsia="Times New Roman"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nsid w:val="49B03875"/>
    <w:multiLevelType w:val="hybridMultilevel"/>
    <w:tmpl w:val="55B2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121B83"/>
    <w:multiLevelType w:val="hybridMultilevel"/>
    <w:tmpl w:val="6A58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2F2CA9"/>
    <w:multiLevelType w:val="hybridMultilevel"/>
    <w:tmpl w:val="0B72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3E6037"/>
    <w:multiLevelType w:val="multilevel"/>
    <w:tmpl w:val="5210A3F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810"/>
        </w:tabs>
        <w:ind w:left="810" w:hanging="720"/>
      </w:pPr>
      <w:rPr>
        <w:rFonts w:ascii="Symbol" w:hAnsi="Symbol"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504641EF"/>
    <w:multiLevelType w:val="hybridMultilevel"/>
    <w:tmpl w:val="6C381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FB3FA8"/>
    <w:multiLevelType w:val="hybridMultilevel"/>
    <w:tmpl w:val="B6B8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8E1E54"/>
    <w:multiLevelType w:val="multilevel"/>
    <w:tmpl w:val="5210A3F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810"/>
        </w:tabs>
        <w:ind w:left="810" w:hanging="720"/>
      </w:pPr>
      <w:rPr>
        <w:rFonts w:ascii="Symbol" w:hAnsi="Symbol"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56930AE3"/>
    <w:multiLevelType w:val="hybridMultilevel"/>
    <w:tmpl w:val="74E2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CB352E"/>
    <w:multiLevelType w:val="hybridMultilevel"/>
    <w:tmpl w:val="C64A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83A633"/>
    <w:multiLevelType w:val="hybridMultilevel"/>
    <w:tmpl w:val="6644D2B6"/>
    <w:lvl w:ilvl="0" w:tplc="4954874C">
      <w:start w:val="1"/>
      <w:numFmt w:val="bullet"/>
      <w:lvlText w:val=""/>
      <w:lvlJc w:val="left"/>
      <w:pPr>
        <w:ind w:left="720" w:hanging="360"/>
      </w:pPr>
      <w:rPr>
        <w:rFonts w:ascii="Symbol" w:hAnsi="Symbol" w:hint="default"/>
      </w:rPr>
    </w:lvl>
    <w:lvl w:ilvl="1" w:tplc="E7FAE760">
      <w:start w:val="1"/>
      <w:numFmt w:val="bullet"/>
      <w:lvlText w:val="o"/>
      <w:lvlJc w:val="left"/>
      <w:pPr>
        <w:ind w:left="1440" w:hanging="360"/>
      </w:pPr>
      <w:rPr>
        <w:rFonts w:ascii="Courier New" w:hAnsi="Courier New" w:hint="default"/>
      </w:rPr>
    </w:lvl>
    <w:lvl w:ilvl="2" w:tplc="1442AA6A">
      <w:start w:val="1"/>
      <w:numFmt w:val="bullet"/>
      <w:lvlText w:val=""/>
      <w:lvlJc w:val="left"/>
      <w:pPr>
        <w:ind w:left="2160" w:hanging="360"/>
      </w:pPr>
      <w:rPr>
        <w:rFonts w:ascii="Wingdings" w:hAnsi="Wingdings" w:hint="default"/>
      </w:rPr>
    </w:lvl>
    <w:lvl w:ilvl="3" w:tplc="116A79C0">
      <w:start w:val="1"/>
      <w:numFmt w:val="bullet"/>
      <w:lvlText w:val=""/>
      <w:lvlJc w:val="left"/>
      <w:pPr>
        <w:ind w:left="2880" w:hanging="360"/>
      </w:pPr>
      <w:rPr>
        <w:rFonts w:ascii="Symbol" w:hAnsi="Symbol" w:hint="default"/>
      </w:rPr>
    </w:lvl>
    <w:lvl w:ilvl="4" w:tplc="4D80A93C">
      <w:start w:val="1"/>
      <w:numFmt w:val="bullet"/>
      <w:lvlText w:val="o"/>
      <w:lvlJc w:val="left"/>
      <w:pPr>
        <w:ind w:left="3600" w:hanging="360"/>
      </w:pPr>
      <w:rPr>
        <w:rFonts w:ascii="Courier New" w:hAnsi="Courier New" w:hint="default"/>
      </w:rPr>
    </w:lvl>
    <w:lvl w:ilvl="5" w:tplc="CF34A968">
      <w:start w:val="1"/>
      <w:numFmt w:val="bullet"/>
      <w:lvlText w:val=""/>
      <w:lvlJc w:val="left"/>
      <w:pPr>
        <w:ind w:left="4320" w:hanging="360"/>
      </w:pPr>
      <w:rPr>
        <w:rFonts w:ascii="Wingdings" w:hAnsi="Wingdings" w:hint="default"/>
      </w:rPr>
    </w:lvl>
    <w:lvl w:ilvl="6" w:tplc="66D2EF78">
      <w:start w:val="1"/>
      <w:numFmt w:val="bullet"/>
      <w:lvlText w:val=""/>
      <w:lvlJc w:val="left"/>
      <w:pPr>
        <w:ind w:left="5040" w:hanging="360"/>
      </w:pPr>
      <w:rPr>
        <w:rFonts w:ascii="Symbol" w:hAnsi="Symbol" w:hint="default"/>
      </w:rPr>
    </w:lvl>
    <w:lvl w:ilvl="7" w:tplc="568E18D2">
      <w:start w:val="1"/>
      <w:numFmt w:val="bullet"/>
      <w:lvlText w:val="o"/>
      <w:lvlJc w:val="left"/>
      <w:pPr>
        <w:ind w:left="5760" w:hanging="360"/>
      </w:pPr>
      <w:rPr>
        <w:rFonts w:ascii="Courier New" w:hAnsi="Courier New" w:hint="default"/>
      </w:rPr>
    </w:lvl>
    <w:lvl w:ilvl="8" w:tplc="73005C26">
      <w:start w:val="1"/>
      <w:numFmt w:val="bullet"/>
      <w:lvlText w:val=""/>
      <w:lvlJc w:val="left"/>
      <w:pPr>
        <w:ind w:left="6480" w:hanging="360"/>
      </w:pPr>
      <w:rPr>
        <w:rFonts w:ascii="Wingdings" w:hAnsi="Wingdings" w:hint="default"/>
      </w:rPr>
    </w:lvl>
  </w:abstractNum>
  <w:abstractNum w:abstractNumId="40">
    <w:nsid w:val="5E117333"/>
    <w:multiLevelType w:val="hybridMultilevel"/>
    <w:tmpl w:val="923E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F77CDF"/>
    <w:multiLevelType w:val="hybridMultilevel"/>
    <w:tmpl w:val="FD94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F647CE"/>
    <w:multiLevelType w:val="hybridMultilevel"/>
    <w:tmpl w:val="DB1E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2F4A8C"/>
    <w:multiLevelType w:val="hybridMultilevel"/>
    <w:tmpl w:val="A382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6D53F43"/>
    <w:multiLevelType w:val="hybridMultilevel"/>
    <w:tmpl w:val="D558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A97895"/>
    <w:multiLevelType w:val="hybridMultilevel"/>
    <w:tmpl w:val="FB84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9E5E1F"/>
    <w:multiLevelType w:val="hybridMultilevel"/>
    <w:tmpl w:val="3C90DF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nsid w:val="72DC24DF"/>
    <w:multiLevelType w:val="hybridMultilevel"/>
    <w:tmpl w:val="7A10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C6BCEF"/>
    <w:multiLevelType w:val="hybridMultilevel"/>
    <w:tmpl w:val="35124282"/>
    <w:lvl w:ilvl="0" w:tplc="E7F2D0E0">
      <w:start w:val="1"/>
      <w:numFmt w:val="bullet"/>
      <w:lvlText w:val=""/>
      <w:lvlJc w:val="left"/>
      <w:pPr>
        <w:ind w:left="720" w:hanging="360"/>
      </w:pPr>
      <w:rPr>
        <w:rFonts w:ascii="Symbol" w:hAnsi="Symbol" w:hint="default"/>
      </w:rPr>
    </w:lvl>
    <w:lvl w:ilvl="1" w:tplc="E29E5516">
      <w:start w:val="1"/>
      <w:numFmt w:val="bullet"/>
      <w:lvlText w:val="o"/>
      <w:lvlJc w:val="left"/>
      <w:pPr>
        <w:ind w:left="1440" w:hanging="360"/>
      </w:pPr>
      <w:rPr>
        <w:rFonts w:ascii="Courier New" w:hAnsi="Courier New" w:hint="default"/>
      </w:rPr>
    </w:lvl>
    <w:lvl w:ilvl="2" w:tplc="A95C9FE0">
      <w:start w:val="1"/>
      <w:numFmt w:val="bullet"/>
      <w:lvlText w:val=""/>
      <w:lvlJc w:val="left"/>
      <w:pPr>
        <w:ind w:left="2160" w:hanging="360"/>
      </w:pPr>
      <w:rPr>
        <w:rFonts w:ascii="Wingdings" w:hAnsi="Wingdings" w:hint="default"/>
      </w:rPr>
    </w:lvl>
    <w:lvl w:ilvl="3" w:tplc="BE50BA72">
      <w:start w:val="1"/>
      <w:numFmt w:val="bullet"/>
      <w:lvlText w:val=""/>
      <w:lvlJc w:val="left"/>
      <w:pPr>
        <w:ind w:left="2880" w:hanging="360"/>
      </w:pPr>
      <w:rPr>
        <w:rFonts w:ascii="Symbol" w:hAnsi="Symbol" w:hint="default"/>
      </w:rPr>
    </w:lvl>
    <w:lvl w:ilvl="4" w:tplc="4EB85266">
      <w:start w:val="1"/>
      <w:numFmt w:val="bullet"/>
      <w:lvlText w:val="o"/>
      <w:lvlJc w:val="left"/>
      <w:pPr>
        <w:ind w:left="3600" w:hanging="360"/>
      </w:pPr>
      <w:rPr>
        <w:rFonts w:ascii="Courier New" w:hAnsi="Courier New" w:hint="default"/>
      </w:rPr>
    </w:lvl>
    <w:lvl w:ilvl="5" w:tplc="AB98721A">
      <w:start w:val="1"/>
      <w:numFmt w:val="bullet"/>
      <w:lvlText w:val=""/>
      <w:lvlJc w:val="left"/>
      <w:pPr>
        <w:ind w:left="4320" w:hanging="360"/>
      </w:pPr>
      <w:rPr>
        <w:rFonts w:ascii="Wingdings" w:hAnsi="Wingdings" w:hint="default"/>
      </w:rPr>
    </w:lvl>
    <w:lvl w:ilvl="6" w:tplc="F056C874">
      <w:start w:val="1"/>
      <w:numFmt w:val="bullet"/>
      <w:lvlText w:val=""/>
      <w:lvlJc w:val="left"/>
      <w:pPr>
        <w:ind w:left="5040" w:hanging="360"/>
      </w:pPr>
      <w:rPr>
        <w:rFonts w:ascii="Symbol" w:hAnsi="Symbol" w:hint="default"/>
      </w:rPr>
    </w:lvl>
    <w:lvl w:ilvl="7" w:tplc="966C4B5C">
      <w:start w:val="1"/>
      <w:numFmt w:val="bullet"/>
      <w:lvlText w:val="o"/>
      <w:lvlJc w:val="left"/>
      <w:pPr>
        <w:ind w:left="5760" w:hanging="360"/>
      </w:pPr>
      <w:rPr>
        <w:rFonts w:ascii="Courier New" w:hAnsi="Courier New" w:hint="default"/>
      </w:rPr>
    </w:lvl>
    <w:lvl w:ilvl="8" w:tplc="56F42FC0">
      <w:start w:val="1"/>
      <w:numFmt w:val="bullet"/>
      <w:lvlText w:val=""/>
      <w:lvlJc w:val="left"/>
      <w:pPr>
        <w:ind w:left="6480" w:hanging="360"/>
      </w:pPr>
      <w:rPr>
        <w:rFonts w:ascii="Wingdings" w:hAnsi="Wingdings" w:hint="default"/>
      </w:rPr>
    </w:lvl>
  </w:abstractNum>
  <w:abstractNum w:abstractNumId="49">
    <w:nsid w:val="775E1105"/>
    <w:multiLevelType w:val="hybridMultilevel"/>
    <w:tmpl w:val="422A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C86740"/>
    <w:multiLevelType w:val="hybridMultilevel"/>
    <w:tmpl w:val="BEF68AB2"/>
    <w:lvl w:ilvl="0" w:tplc="43C076F8">
      <w:start w:val="1"/>
      <w:numFmt w:val="bullet"/>
      <w:lvlText w:val=""/>
      <w:lvlJc w:val="left"/>
      <w:pPr>
        <w:ind w:left="720" w:hanging="360"/>
      </w:pPr>
      <w:rPr>
        <w:rFonts w:ascii="Symbol" w:hAnsi="Symbol" w:hint="default"/>
      </w:rPr>
    </w:lvl>
    <w:lvl w:ilvl="1" w:tplc="90BE670A">
      <w:start w:val="1"/>
      <w:numFmt w:val="bullet"/>
      <w:lvlText w:val="o"/>
      <w:lvlJc w:val="left"/>
      <w:pPr>
        <w:ind w:left="1440" w:hanging="360"/>
      </w:pPr>
      <w:rPr>
        <w:rFonts w:ascii="Courier New" w:hAnsi="Courier New" w:hint="default"/>
      </w:rPr>
    </w:lvl>
    <w:lvl w:ilvl="2" w:tplc="40161418">
      <w:start w:val="1"/>
      <w:numFmt w:val="bullet"/>
      <w:lvlText w:val=""/>
      <w:lvlJc w:val="left"/>
      <w:pPr>
        <w:ind w:left="2160" w:hanging="360"/>
      </w:pPr>
      <w:rPr>
        <w:rFonts w:ascii="Wingdings" w:hAnsi="Wingdings" w:hint="default"/>
      </w:rPr>
    </w:lvl>
    <w:lvl w:ilvl="3" w:tplc="1A6AC5B0">
      <w:start w:val="1"/>
      <w:numFmt w:val="bullet"/>
      <w:lvlText w:val=""/>
      <w:lvlJc w:val="left"/>
      <w:pPr>
        <w:ind w:left="2880" w:hanging="360"/>
      </w:pPr>
      <w:rPr>
        <w:rFonts w:ascii="Symbol" w:hAnsi="Symbol" w:hint="default"/>
      </w:rPr>
    </w:lvl>
    <w:lvl w:ilvl="4" w:tplc="7CAE9558">
      <w:start w:val="1"/>
      <w:numFmt w:val="bullet"/>
      <w:lvlText w:val="o"/>
      <w:lvlJc w:val="left"/>
      <w:pPr>
        <w:ind w:left="3600" w:hanging="360"/>
      </w:pPr>
      <w:rPr>
        <w:rFonts w:ascii="Courier New" w:hAnsi="Courier New" w:hint="default"/>
      </w:rPr>
    </w:lvl>
    <w:lvl w:ilvl="5" w:tplc="D884E14C">
      <w:start w:val="1"/>
      <w:numFmt w:val="bullet"/>
      <w:lvlText w:val=""/>
      <w:lvlJc w:val="left"/>
      <w:pPr>
        <w:ind w:left="4320" w:hanging="360"/>
      </w:pPr>
      <w:rPr>
        <w:rFonts w:ascii="Wingdings" w:hAnsi="Wingdings" w:hint="default"/>
      </w:rPr>
    </w:lvl>
    <w:lvl w:ilvl="6" w:tplc="D90E9C84">
      <w:start w:val="1"/>
      <w:numFmt w:val="bullet"/>
      <w:lvlText w:val=""/>
      <w:lvlJc w:val="left"/>
      <w:pPr>
        <w:ind w:left="5040" w:hanging="360"/>
      </w:pPr>
      <w:rPr>
        <w:rFonts w:ascii="Symbol" w:hAnsi="Symbol" w:hint="default"/>
      </w:rPr>
    </w:lvl>
    <w:lvl w:ilvl="7" w:tplc="EF2036E2">
      <w:start w:val="1"/>
      <w:numFmt w:val="bullet"/>
      <w:lvlText w:val="o"/>
      <w:lvlJc w:val="left"/>
      <w:pPr>
        <w:ind w:left="5760" w:hanging="360"/>
      </w:pPr>
      <w:rPr>
        <w:rFonts w:ascii="Courier New" w:hAnsi="Courier New" w:hint="default"/>
      </w:rPr>
    </w:lvl>
    <w:lvl w:ilvl="8" w:tplc="CF5CB332">
      <w:start w:val="1"/>
      <w:numFmt w:val="bullet"/>
      <w:lvlText w:val=""/>
      <w:lvlJc w:val="left"/>
      <w:pPr>
        <w:ind w:left="6480" w:hanging="360"/>
      </w:pPr>
      <w:rPr>
        <w:rFonts w:ascii="Wingdings" w:hAnsi="Wingdings" w:hint="default"/>
      </w:rPr>
    </w:lvl>
  </w:abstractNum>
  <w:abstractNum w:abstractNumId="51">
    <w:nsid w:val="7B5710EF"/>
    <w:multiLevelType w:val="hybridMultilevel"/>
    <w:tmpl w:val="9D50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7C7A80"/>
    <w:multiLevelType w:val="hybridMultilevel"/>
    <w:tmpl w:val="9D5E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995938"/>
    <w:multiLevelType w:val="hybridMultilevel"/>
    <w:tmpl w:val="4F9EDDB8"/>
    <w:lvl w:ilvl="0" w:tplc="04090001">
      <w:start w:val="1"/>
      <w:numFmt w:val="bullet"/>
      <w:lvlText w:val=""/>
      <w:lvlJc w:val="left"/>
      <w:pPr>
        <w:ind w:left="720" w:hanging="360"/>
      </w:pPr>
      <w:rPr>
        <w:rFonts w:ascii="Symbol" w:hAnsi="Symbol" w:hint="default"/>
      </w:rPr>
    </w:lvl>
    <w:lvl w:ilvl="1" w:tplc="86481D4C">
      <w:start w:val="1"/>
      <w:numFmt w:val="lowerLetter"/>
      <w:lvlText w:val="%2)"/>
      <w:lvlJc w:val="left"/>
      <w:pPr>
        <w:ind w:left="1800" w:hanging="72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9"/>
  </w:num>
  <w:num w:numId="2">
    <w:abstractNumId w:val="46"/>
  </w:num>
  <w:num w:numId="3">
    <w:abstractNumId w:val="5"/>
  </w:num>
  <w:num w:numId="4">
    <w:abstractNumId w:val="29"/>
  </w:num>
  <w:num w:numId="5">
    <w:abstractNumId w:val="12"/>
  </w:num>
  <w:num w:numId="6">
    <w:abstractNumId w:val="27"/>
  </w:num>
  <w:num w:numId="7">
    <w:abstractNumId w:val="48"/>
  </w:num>
  <w:num w:numId="8">
    <w:abstractNumId w:val="19"/>
  </w:num>
  <w:num w:numId="9">
    <w:abstractNumId w:val="39"/>
  </w:num>
  <w:num w:numId="10">
    <w:abstractNumId w:val="50"/>
  </w:num>
  <w:num w:numId="11">
    <w:abstractNumId w:val="4"/>
  </w:num>
  <w:num w:numId="12">
    <w:abstractNumId w:val="24"/>
  </w:num>
  <w:num w:numId="13">
    <w:abstractNumId w:val="17"/>
  </w:num>
  <w:num w:numId="14">
    <w:abstractNumId w:val="41"/>
  </w:num>
  <w:num w:numId="15">
    <w:abstractNumId w:val="43"/>
  </w:num>
  <w:num w:numId="16">
    <w:abstractNumId w:val="40"/>
  </w:num>
  <w:num w:numId="17">
    <w:abstractNumId w:val="37"/>
  </w:num>
  <w:num w:numId="18">
    <w:abstractNumId w:val="44"/>
  </w:num>
  <w:num w:numId="19">
    <w:abstractNumId w:val="7"/>
  </w:num>
  <w:num w:numId="20">
    <w:abstractNumId w:val="42"/>
  </w:num>
  <w:num w:numId="21">
    <w:abstractNumId w:val="13"/>
  </w:num>
  <w:num w:numId="22">
    <w:abstractNumId w:val="30"/>
  </w:num>
  <w:num w:numId="23">
    <w:abstractNumId w:val="49"/>
  </w:num>
  <w:num w:numId="24">
    <w:abstractNumId w:val="38"/>
  </w:num>
  <w:num w:numId="25">
    <w:abstractNumId w:val="45"/>
  </w:num>
  <w:num w:numId="26">
    <w:abstractNumId w:val="32"/>
  </w:num>
  <w:num w:numId="27">
    <w:abstractNumId w:val="25"/>
  </w:num>
  <w:num w:numId="28">
    <w:abstractNumId w:val="14"/>
  </w:num>
  <w:num w:numId="29">
    <w:abstractNumId w:val="6"/>
  </w:num>
  <w:num w:numId="30">
    <w:abstractNumId w:val="16"/>
  </w:num>
  <w:num w:numId="31">
    <w:abstractNumId w:val="53"/>
  </w:num>
  <w:num w:numId="32">
    <w:abstractNumId w:val="15"/>
  </w:num>
  <w:num w:numId="33">
    <w:abstractNumId w:val="26"/>
  </w:num>
  <w:num w:numId="34">
    <w:abstractNumId w:val="33"/>
  </w:num>
  <w:num w:numId="35">
    <w:abstractNumId w:val="36"/>
  </w:num>
  <w:num w:numId="36">
    <w:abstractNumId w:val="34"/>
  </w:num>
  <w:num w:numId="37">
    <w:abstractNumId w:val="2"/>
  </w:num>
  <w:num w:numId="38">
    <w:abstractNumId w:val="8"/>
  </w:num>
  <w:num w:numId="39">
    <w:abstractNumId w:val="47"/>
  </w:num>
  <w:num w:numId="40">
    <w:abstractNumId w:val="28"/>
  </w:num>
  <w:num w:numId="41">
    <w:abstractNumId w:val="35"/>
  </w:num>
  <w:num w:numId="42">
    <w:abstractNumId w:val="0"/>
  </w:num>
  <w:num w:numId="43">
    <w:abstractNumId w:val="52"/>
  </w:num>
  <w:num w:numId="44">
    <w:abstractNumId w:val="10"/>
  </w:num>
  <w:num w:numId="45">
    <w:abstractNumId w:val="23"/>
  </w:num>
  <w:num w:numId="46">
    <w:abstractNumId w:val="20"/>
  </w:num>
  <w:num w:numId="47">
    <w:abstractNumId w:val="22"/>
  </w:num>
  <w:num w:numId="48">
    <w:abstractNumId w:val="51"/>
  </w:num>
  <w:num w:numId="49">
    <w:abstractNumId w:val="21"/>
  </w:num>
  <w:num w:numId="50">
    <w:abstractNumId w:val="11"/>
  </w:num>
  <w:num w:numId="51">
    <w:abstractNumId w:val="18"/>
  </w:num>
  <w:num w:numId="52">
    <w:abstractNumId w:val="31"/>
  </w:num>
  <w:num w:numId="53">
    <w:abstractNumId w:val="3"/>
  </w:num>
  <w:num w:numId="54">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1EA5"/>
    <w:rsid w:val="00002276"/>
    <w:rsid w:val="000066D2"/>
    <w:rsid w:val="00011C22"/>
    <w:rsid w:val="000166B0"/>
    <w:rsid w:val="000169BC"/>
    <w:rsid w:val="000174D0"/>
    <w:rsid w:val="00017EAE"/>
    <w:rsid w:val="00020273"/>
    <w:rsid w:val="00021794"/>
    <w:rsid w:val="00026F32"/>
    <w:rsid w:val="00032423"/>
    <w:rsid w:val="00033CEE"/>
    <w:rsid w:val="00034C2E"/>
    <w:rsid w:val="0003569A"/>
    <w:rsid w:val="00036AFC"/>
    <w:rsid w:val="00040272"/>
    <w:rsid w:val="00041294"/>
    <w:rsid w:val="00042C0B"/>
    <w:rsid w:val="00042F9F"/>
    <w:rsid w:val="00050E66"/>
    <w:rsid w:val="0005304D"/>
    <w:rsid w:val="000558D2"/>
    <w:rsid w:val="00057AD9"/>
    <w:rsid w:val="0006224D"/>
    <w:rsid w:val="00066DEA"/>
    <w:rsid w:val="00071039"/>
    <w:rsid w:val="000715D3"/>
    <w:rsid w:val="0007427A"/>
    <w:rsid w:val="00081474"/>
    <w:rsid w:val="0008364F"/>
    <w:rsid w:val="00085A72"/>
    <w:rsid w:val="00085CA3"/>
    <w:rsid w:val="00087802"/>
    <w:rsid w:val="00090FB3"/>
    <w:rsid w:val="000960E2"/>
    <w:rsid w:val="000A00BD"/>
    <w:rsid w:val="000B3B41"/>
    <w:rsid w:val="000B498D"/>
    <w:rsid w:val="000B5292"/>
    <w:rsid w:val="000B5B25"/>
    <w:rsid w:val="000D34AA"/>
    <w:rsid w:val="000D51A7"/>
    <w:rsid w:val="000D533D"/>
    <w:rsid w:val="000D5B00"/>
    <w:rsid w:val="000D7F32"/>
    <w:rsid w:val="000E66D4"/>
    <w:rsid w:val="000F18F1"/>
    <w:rsid w:val="000F38E8"/>
    <w:rsid w:val="00100AB1"/>
    <w:rsid w:val="00102FC1"/>
    <w:rsid w:val="001043F0"/>
    <w:rsid w:val="001048C4"/>
    <w:rsid w:val="00114F2A"/>
    <w:rsid w:val="00115ABC"/>
    <w:rsid w:val="00116B79"/>
    <w:rsid w:val="00117F7E"/>
    <w:rsid w:val="0012311D"/>
    <w:rsid w:val="001240D0"/>
    <w:rsid w:val="00125D46"/>
    <w:rsid w:val="001300D0"/>
    <w:rsid w:val="001332BD"/>
    <w:rsid w:val="00147C0E"/>
    <w:rsid w:val="0015013D"/>
    <w:rsid w:val="00150414"/>
    <w:rsid w:val="001523C3"/>
    <w:rsid w:val="00152E9E"/>
    <w:rsid w:val="00152FBB"/>
    <w:rsid w:val="00156419"/>
    <w:rsid w:val="00160BE9"/>
    <w:rsid w:val="00162A8A"/>
    <w:rsid w:val="00163B61"/>
    <w:rsid w:val="00164F9C"/>
    <w:rsid w:val="001806AE"/>
    <w:rsid w:val="00182630"/>
    <w:rsid w:val="001852BB"/>
    <w:rsid w:val="001B1047"/>
    <w:rsid w:val="001B1B5F"/>
    <w:rsid w:val="001B43AB"/>
    <w:rsid w:val="001B4BCD"/>
    <w:rsid w:val="001B5EDF"/>
    <w:rsid w:val="001B6676"/>
    <w:rsid w:val="001C151B"/>
    <w:rsid w:val="001C24E1"/>
    <w:rsid w:val="001D2106"/>
    <w:rsid w:val="001D27B0"/>
    <w:rsid w:val="001D3CC6"/>
    <w:rsid w:val="001D4256"/>
    <w:rsid w:val="001D5642"/>
    <w:rsid w:val="001D5822"/>
    <w:rsid w:val="001D5963"/>
    <w:rsid w:val="001D608D"/>
    <w:rsid w:val="001D72DF"/>
    <w:rsid w:val="001D7D07"/>
    <w:rsid w:val="001E07B9"/>
    <w:rsid w:val="001E697A"/>
    <w:rsid w:val="001F33D9"/>
    <w:rsid w:val="001F43C8"/>
    <w:rsid w:val="001F6F8C"/>
    <w:rsid w:val="001F7624"/>
    <w:rsid w:val="00200B6E"/>
    <w:rsid w:val="002010D7"/>
    <w:rsid w:val="002053AC"/>
    <w:rsid w:val="00205ED2"/>
    <w:rsid w:val="00207E1E"/>
    <w:rsid w:val="00210B0C"/>
    <w:rsid w:val="0021106F"/>
    <w:rsid w:val="00211A41"/>
    <w:rsid w:val="00212158"/>
    <w:rsid w:val="002131EF"/>
    <w:rsid w:val="0021331F"/>
    <w:rsid w:val="002141A4"/>
    <w:rsid w:val="00214E2C"/>
    <w:rsid w:val="00217002"/>
    <w:rsid w:val="00217AD7"/>
    <w:rsid w:val="00233446"/>
    <w:rsid w:val="00234CB5"/>
    <w:rsid w:val="0023702B"/>
    <w:rsid w:val="00240556"/>
    <w:rsid w:val="00241B40"/>
    <w:rsid w:val="00243839"/>
    <w:rsid w:val="00243FED"/>
    <w:rsid w:val="00244AE2"/>
    <w:rsid w:val="00250512"/>
    <w:rsid w:val="0025439D"/>
    <w:rsid w:val="00255F44"/>
    <w:rsid w:val="00256209"/>
    <w:rsid w:val="00260850"/>
    <w:rsid w:val="00262A7B"/>
    <w:rsid w:val="00263619"/>
    <w:rsid w:val="002662BB"/>
    <w:rsid w:val="002677EC"/>
    <w:rsid w:val="00270838"/>
    <w:rsid w:val="00271397"/>
    <w:rsid w:val="0027301D"/>
    <w:rsid w:val="002741F9"/>
    <w:rsid w:val="00275B5B"/>
    <w:rsid w:val="00281E74"/>
    <w:rsid w:val="00282C79"/>
    <w:rsid w:val="0028336D"/>
    <w:rsid w:val="0028376E"/>
    <w:rsid w:val="00285190"/>
    <w:rsid w:val="002851BA"/>
    <w:rsid w:val="00291C2D"/>
    <w:rsid w:val="00295341"/>
    <w:rsid w:val="002A3C53"/>
    <w:rsid w:val="002A3F81"/>
    <w:rsid w:val="002A40D6"/>
    <w:rsid w:val="002A56FA"/>
    <w:rsid w:val="002A73D7"/>
    <w:rsid w:val="002B1B7C"/>
    <w:rsid w:val="002B4451"/>
    <w:rsid w:val="002C14AC"/>
    <w:rsid w:val="002C4B47"/>
    <w:rsid w:val="002C4B58"/>
    <w:rsid w:val="002D2821"/>
    <w:rsid w:val="002D2E81"/>
    <w:rsid w:val="002D3BBC"/>
    <w:rsid w:val="002D79D0"/>
    <w:rsid w:val="002E1015"/>
    <w:rsid w:val="002E5343"/>
    <w:rsid w:val="002F2429"/>
    <w:rsid w:val="002F255C"/>
    <w:rsid w:val="002F2766"/>
    <w:rsid w:val="002F4988"/>
    <w:rsid w:val="003007E9"/>
    <w:rsid w:val="003022E5"/>
    <w:rsid w:val="00303102"/>
    <w:rsid w:val="00304AA7"/>
    <w:rsid w:val="00304B48"/>
    <w:rsid w:val="003136E6"/>
    <w:rsid w:val="00314B29"/>
    <w:rsid w:val="00317BE8"/>
    <w:rsid w:val="0032369B"/>
    <w:rsid w:val="003254E1"/>
    <w:rsid w:val="00326BBB"/>
    <w:rsid w:val="00330BBF"/>
    <w:rsid w:val="00332426"/>
    <w:rsid w:val="003337E7"/>
    <w:rsid w:val="003349E5"/>
    <w:rsid w:val="0033627E"/>
    <w:rsid w:val="00337F47"/>
    <w:rsid w:val="00340EE4"/>
    <w:rsid w:val="0034224F"/>
    <w:rsid w:val="00345AC2"/>
    <w:rsid w:val="00347270"/>
    <w:rsid w:val="003552BF"/>
    <w:rsid w:val="00355FE2"/>
    <w:rsid w:val="00356F8C"/>
    <w:rsid w:val="00360D7A"/>
    <w:rsid w:val="00362521"/>
    <w:rsid w:val="00365347"/>
    <w:rsid w:val="0037215A"/>
    <w:rsid w:val="00374E11"/>
    <w:rsid w:val="00376423"/>
    <w:rsid w:val="00376DD4"/>
    <w:rsid w:val="0038024B"/>
    <w:rsid w:val="00380CFC"/>
    <w:rsid w:val="00382F19"/>
    <w:rsid w:val="00383BFA"/>
    <w:rsid w:val="00385197"/>
    <w:rsid w:val="00385A96"/>
    <w:rsid w:val="003A41E6"/>
    <w:rsid w:val="003A6538"/>
    <w:rsid w:val="003B15A3"/>
    <w:rsid w:val="003C1326"/>
    <w:rsid w:val="003C5AC2"/>
    <w:rsid w:val="003C74C5"/>
    <w:rsid w:val="003C7675"/>
    <w:rsid w:val="003D5694"/>
    <w:rsid w:val="003D6DB6"/>
    <w:rsid w:val="003D6E9C"/>
    <w:rsid w:val="003D78AE"/>
    <w:rsid w:val="003E3759"/>
    <w:rsid w:val="003E7482"/>
    <w:rsid w:val="003E7C79"/>
    <w:rsid w:val="003E7EAF"/>
    <w:rsid w:val="003F0A84"/>
    <w:rsid w:val="003F3CA0"/>
    <w:rsid w:val="003F3E33"/>
    <w:rsid w:val="003F48A9"/>
    <w:rsid w:val="003F6212"/>
    <w:rsid w:val="0040208F"/>
    <w:rsid w:val="00402707"/>
    <w:rsid w:val="004055E0"/>
    <w:rsid w:val="00410EE5"/>
    <w:rsid w:val="004203CF"/>
    <w:rsid w:val="004226FB"/>
    <w:rsid w:val="00422DE8"/>
    <w:rsid w:val="00425CF6"/>
    <w:rsid w:val="00425F63"/>
    <w:rsid w:val="00430A3C"/>
    <w:rsid w:val="004344EF"/>
    <w:rsid w:val="00436449"/>
    <w:rsid w:val="00443BFC"/>
    <w:rsid w:val="00445793"/>
    <w:rsid w:val="00450B4C"/>
    <w:rsid w:val="00456467"/>
    <w:rsid w:val="00457E9A"/>
    <w:rsid w:val="00460CDF"/>
    <w:rsid w:val="00460F2B"/>
    <w:rsid w:val="004628C3"/>
    <w:rsid w:val="00463A18"/>
    <w:rsid w:val="00465880"/>
    <w:rsid w:val="004671B7"/>
    <w:rsid w:val="004762A5"/>
    <w:rsid w:val="0048059F"/>
    <w:rsid w:val="00481014"/>
    <w:rsid w:val="004836B7"/>
    <w:rsid w:val="004839C1"/>
    <w:rsid w:val="0049090C"/>
    <w:rsid w:val="004919AA"/>
    <w:rsid w:val="00497B7A"/>
    <w:rsid w:val="004A0947"/>
    <w:rsid w:val="004A2FA6"/>
    <w:rsid w:val="004A5550"/>
    <w:rsid w:val="004A7120"/>
    <w:rsid w:val="004A776F"/>
    <w:rsid w:val="004B2EEB"/>
    <w:rsid w:val="004C557A"/>
    <w:rsid w:val="004C7C30"/>
    <w:rsid w:val="004D0737"/>
    <w:rsid w:val="004D3E62"/>
    <w:rsid w:val="004D5ADB"/>
    <w:rsid w:val="004D7636"/>
    <w:rsid w:val="004E08E9"/>
    <w:rsid w:val="004E1865"/>
    <w:rsid w:val="004E2B35"/>
    <w:rsid w:val="004E32E4"/>
    <w:rsid w:val="004E68AA"/>
    <w:rsid w:val="004F2DD5"/>
    <w:rsid w:val="004F3A6D"/>
    <w:rsid w:val="00505719"/>
    <w:rsid w:val="005067A7"/>
    <w:rsid w:val="00511B64"/>
    <w:rsid w:val="00513ACC"/>
    <w:rsid w:val="00515B4C"/>
    <w:rsid w:val="00524306"/>
    <w:rsid w:val="00524E82"/>
    <w:rsid w:val="00526730"/>
    <w:rsid w:val="005268A3"/>
    <w:rsid w:val="005273D1"/>
    <w:rsid w:val="0053121F"/>
    <w:rsid w:val="005342DE"/>
    <w:rsid w:val="005344AD"/>
    <w:rsid w:val="005352A0"/>
    <w:rsid w:val="005356F9"/>
    <w:rsid w:val="005421D6"/>
    <w:rsid w:val="00545797"/>
    <w:rsid w:val="005467EE"/>
    <w:rsid w:val="0054777B"/>
    <w:rsid w:val="00552A9A"/>
    <w:rsid w:val="00556352"/>
    <w:rsid w:val="00565AD0"/>
    <w:rsid w:val="0056687C"/>
    <w:rsid w:val="00566BEC"/>
    <w:rsid w:val="00571E28"/>
    <w:rsid w:val="0057321D"/>
    <w:rsid w:val="0057570B"/>
    <w:rsid w:val="005805BA"/>
    <w:rsid w:val="00591C1B"/>
    <w:rsid w:val="00591FEA"/>
    <w:rsid w:val="005924C3"/>
    <w:rsid w:val="0059596B"/>
    <w:rsid w:val="00596D44"/>
    <w:rsid w:val="005972CD"/>
    <w:rsid w:val="00597722"/>
    <w:rsid w:val="005978B5"/>
    <w:rsid w:val="005A11A8"/>
    <w:rsid w:val="005A2962"/>
    <w:rsid w:val="005A404B"/>
    <w:rsid w:val="005A47A0"/>
    <w:rsid w:val="005A4B97"/>
    <w:rsid w:val="005B192B"/>
    <w:rsid w:val="005B1AED"/>
    <w:rsid w:val="005C548C"/>
    <w:rsid w:val="005C5633"/>
    <w:rsid w:val="005C6B56"/>
    <w:rsid w:val="005D0C3E"/>
    <w:rsid w:val="005D0D8A"/>
    <w:rsid w:val="005D326A"/>
    <w:rsid w:val="005D4E4B"/>
    <w:rsid w:val="005E1C92"/>
    <w:rsid w:val="005E3269"/>
    <w:rsid w:val="005E42B8"/>
    <w:rsid w:val="005F164E"/>
    <w:rsid w:val="005F3C58"/>
    <w:rsid w:val="005F72E4"/>
    <w:rsid w:val="005F7DD0"/>
    <w:rsid w:val="006104F0"/>
    <w:rsid w:val="0061095C"/>
    <w:rsid w:val="00611100"/>
    <w:rsid w:val="00611381"/>
    <w:rsid w:val="00611D6D"/>
    <w:rsid w:val="006160B6"/>
    <w:rsid w:val="006161E8"/>
    <w:rsid w:val="0061727F"/>
    <w:rsid w:val="006229BC"/>
    <w:rsid w:val="0062386F"/>
    <w:rsid w:val="0062591D"/>
    <w:rsid w:val="00630BAB"/>
    <w:rsid w:val="00631F6E"/>
    <w:rsid w:val="00633C9F"/>
    <w:rsid w:val="00634A7F"/>
    <w:rsid w:val="0064141A"/>
    <w:rsid w:val="006418F0"/>
    <w:rsid w:val="00641CAA"/>
    <w:rsid w:val="00643D96"/>
    <w:rsid w:val="00644365"/>
    <w:rsid w:val="00646AAD"/>
    <w:rsid w:val="00650346"/>
    <w:rsid w:val="00650DCD"/>
    <w:rsid w:val="00652417"/>
    <w:rsid w:val="00653B74"/>
    <w:rsid w:val="00654EFA"/>
    <w:rsid w:val="00655447"/>
    <w:rsid w:val="006575D7"/>
    <w:rsid w:val="00657B5E"/>
    <w:rsid w:val="006601F8"/>
    <w:rsid w:val="0066249F"/>
    <w:rsid w:val="00665419"/>
    <w:rsid w:val="00671530"/>
    <w:rsid w:val="006762C0"/>
    <w:rsid w:val="00676D2C"/>
    <w:rsid w:val="00683815"/>
    <w:rsid w:val="0068537B"/>
    <w:rsid w:val="00685598"/>
    <w:rsid w:val="00686DEC"/>
    <w:rsid w:val="0069598C"/>
    <w:rsid w:val="00696377"/>
    <w:rsid w:val="00696963"/>
    <w:rsid w:val="006A60A6"/>
    <w:rsid w:val="006B0F6B"/>
    <w:rsid w:val="006B3B91"/>
    <w:rsid w:val="006B445C"/>
    <w:rsid w:val="006B6FD1"/>
    <w:rsid w:val="006C2F5A"/>
    <w:rsid w:val="006C3675"/>
    <w:rsid w:val="006C471C"/>
    <w:rsid w:val="006C48A5"/>
    <w:rsid w:val="006C72BE"/>
    <w:rsid w:val="006C7874"/>
    <w:rsid w:val="006C7929"/>
    <w:rsid w:val="006C7AA0"/>
    <w:rsid w:val="006D33E6"/>
    <w:rsid w:val="006D4CE8"/>
    <w:rsid w:val="006D62FE"/>
    <w:rsid w:val="006D77C1"/>
    <w:rsid w:val="006E08C1"/>
    <w:rsid w:val="006E0C6F"/>
    <w:rsid w:val="006E232B"/>
    <w:rsid w:val="006E249B"/>
    <w:rsid w:val="006E3F08"/>
    <w:rsid w:val="006E4F40"/>
    <w:rsid w:val="006E78AD"/>
    <w:rsid w:val="006F2B3A"/>
    <w:rsid w:val="006F3954"/>
    <w:rsid w:val="006F61CB"/>
    <w:rsid w:val="006F7D8C"/>
    <w:rsid w:val="00701ADC"/>
    <w:rsid w:val="007033AD"/>
    <w:rsid w:val="0070392E"/>
    <w:rsid w:val="0070407A"/>
    <w:rsid w:val="007072CC"/>
    <w:rsid w:val="0070741E"/>
    <w:rsid w:val="00714ED7"/>
    <w:rsid w:val="00716A3D"/>
    <w:rsid w:val="00717142"/>
    <w:rsid w:val="00717D49"/>
    <w:rsid w:val="007277BF"/>
    <w:rsid w:val="00730FC0"/>
    <w:rsid w:val="00731A43"/>
    <w:rsid w:val="00732316"/>
    <w:rsid w:val="00737BE7"/>
    <w:rsid w:val="00740594"/>
    <w:rsid w:val="00742315"/>
    <w:rsid w:val="00745AB0"/>
    <w:rsid w:val="00747C96"/>
    <w:rsid w:val="007509F5"/>
    <w:rsid w:val="00755798"/>
    <w:rsid w:val="00756028"/>
    <w:rsid w:val="00756B42"/>
    <w:rsid w:val="007702B4"/>
    <w:rsid w:val="00771386"/>
    <w:rsid w:val="00771515"/>
    <w:rsid w:val="00771D84"/>
    <w:rsid w:val="00782509"/>
    <w:rsid w:val="00786C60"/>
    <w:rsid w:val="007905CC"/>
    <w:rsid w:val="00790BC0"/>
    <w:rsid w:val="00790E59"/>
    <w:rsid w:val="00792C87"/>
    <w:rsid w:val="00794CAD"/>
    <w:rsid w:val="00795320"/>
    <w:rsid w:val="00795A16"/>
    <w:rsid w:val="00796C22"/>
    <w:rsid w:val="007A267B"/>
    <w:rsid w:val="007A30D2"/>
    <w:rsid w:val="007A4469"/>
    <w:rsid w:val="007A641B"/>
    <w:rsid w:val="007A6B48"/>
    <w:rsid w:val="007B48FE"/>
    <w:rsid w:val="007C0301"/>
    <w:rsid w:val="007C11E2"/>
    <w:rsid w:val="007C16C5"/>
    <w:rsid w:val="007C2CE1"/>
    <w:rsid w:val="007C31A1"/>
    <w:rsid w:val="007C358A"/>
    <w:rsid w:val="007C5CEF"/>
    <w:rsid w:val="007C6071"/>
    <w:rsid w:val="007D0AAE"/>
    <w:rsid w:val="007D0E41"/>
    <w:rsid w:val="007D4866"/>
    <w:rsid w:val="007D5EC0"/>
    <w:rsid w:val="007E3BC4"/>
    <w:rsid w:val="007E688D"/>
    <w:rsid w:val="007F00FF"/>
    <w:rsid w:val="007F18A7"/>
    <w:rsid w:val="007F67E7"/>
    <w:rsid w:val="00801A98"/>
    <w:rsid w:val="00804783"/>
    <w:rsid w:val="00806120"/>
    <w:rsid w:val="00806437"/>
    <w:rsid w:val="00807562"/>
    <w:rsid w:val="00810DE4"/>
    <w:rsid w:val="008152C5"/>
    <w:rsid w:val="00816444"/>
    <w:rsid w:val="008274B3"/>
    <w:rsid w:val="00830ADE"/>
    <w:rsid w:val="0083303F"/>
    <w:rsid w:val="0083438E"/>
    <w:rsid w:val="00836283"/>
    <w:rsid w:val="00840891"/>
    <w:rsid w:val="00842961"/>
    <w:rsid w:val="008462FF"/>
    <w:rsid w:val="008533B5"/>
    <w:rsid w:val="00855BE2"/>
    <w:rsid w:val="00860389"/>
    <w:rsid w:val="00864251"/>
    <w:rsid w:val="00871F2C"/>
    <w:rsid w:val="00876DED"/>
    <w:rsid w:val="0087772C"/>
    <w:rsid w:val="008777FC"/>
    <w:rsid w:val="00877B21"/>
    <w:rsid w:val="00881874"/>
    <w:rsid w:val="00884A2D"/>
    <w:rsid w:val="008860AC"/>
    <w:rsid w:val="008862C9"/>
    <w:rsid w:val="0089273D"/>
    <w:rsid w:val="0089319D"/>
    <w:rsid w:val="00895611"/>
    <w:rsid w:val="00895A12"/>
    <w:rsid w:val="00897B1D"/>
    <w:rsid w:val="008A02DD"/>
    <w:rsid w:val="008A2483"/>
    <w:rsid w:val="008A2756"/>
    <w:rsid w:val="008A3378"/>
    <w:rsid w:val="008A3703"/>
    <w:rsid w:val="008A528C"/>
    <w:rsid w:val="008A6D11"/>
    <w:rsid w:val="008B0DE2"/>
    <w:rsid w:val="008B38CF"/>
    <w:rsid w:val="008B4370"/>
    <w:rsid w:val="008C215F"/>
    <w:rsid w:val="008C22C6"/>
    <w:rsid w:val="008C2B22"/>
    <w:rsid w:val="008C6211"/>
    <w:rsid w:val="008C63B9"/>
    <w:rsid w:val="008D1AD8"/>
    <w:rsid w:val="008D1B2E"/>
    <w:rsid w:val="008D55B2"/>
    <w:rsid w:val="008D7EF9"/>
    <w:rsid w:val="008D7F4E"/>
    <w:rsid w:val="008E0A32"/>
    <w:rsid w:val="008E447D"/>
    <w:rsid w:val="008E4C61"/>
    <w:rsid w:val="008E6046"/>
    <w:rsid w:val="008E67B8"/>
    <w:rsid w:val="008E711B"/>
    <w:rsid w:val="008F10C2"/>
    <w:rsid w:val="008F1E3E"/>
    <w:rsid w:val="008F2431"/>
    <w:rsid w:val="008F4270"/>
    <w:rsid w:val="008F59AD"/>
    <w:rsid w:val="008F5A21"/>
    <w:rsid w:val="008F7B63"/>
    <w:rsid w:val="009000C6"/>
    <w:rsid w:val="00900CF0"/>
    <w:rsid w:val="00904AC5"/>
    <w:rsid w:val="00907DDB"/>
    <w:rsid w:val="00911DE9"/>
    <w:rsid w:val="009124DA"/>
    <w:rsid w:val="009124FD"/>
    <w:rsid w:val="009131DC"/>
    <w:rsid w:val="009150D3"/>
    <w:rsid w:val="00916E17"/>
    <w:rsid w:val="0092014B"/>
    <w:rsid w:val="00924709"/>
    <w:rsid w:val="009255B6"/>
    <w:rsid w:val="00926425"/>
    <w:rsid w:val="0093050F"/>
    <w:rsid w:val="00930A18"/>
    <w:rsid w:val="00933619"/>
    <w:rsid w:val="00936D8F"/>
    <w:rsid w:val="00943FA5"/>
    <w:rsid w:val="0094512B"/>
    <w:rsid w:val="009533F6"/>
    <w:rsid w:val="009558E4"/>
    <w:rsid w:val="009602A3"/>
    <w:rsid w:val="009714C2"/>
    <w:rsid w:val="00971A01"/>
    <w:rsid w:val="009763F3"/>
    <w:rsid w:val="00977D9C"/>
    <w:rsid w:val="009824C1"/>
    <w:rsid w:val="00984617"/>
    <w:rsid w:val="009852C6"/>
    <w:rsid w:val="009861A3"/>
    <w:rsid w:val="009904DB"/>
    <w:rsid w:val="0099268C"/>
    <w:rsid w:val="0099745A"/>
    <w:rsid w:val="009A12AA"/>
    <w:rsid w:val="009A25BD"/>
    <w:rsid w:val="009A3B59"/>
    <w:rsid w:val="009A3E28"/>
    <w:rsid w:val="009A3E9C"/>
    <w:rsid w:val="009A40A4"/>
    <w:rsid w:val="009A6D07"/>
    <w:rsid w:val="009A738B"/>
    <w:rsid w:val="009B1422"/>
    <w:rsid w:val="009B239B"/>
    <w:rsid w:val="009B2515"/>
    <w:rsid w:val="009B391D"/>
    <w:rsid w:val="009B5F17"/>
    <w:rsid w:val="009C3427"/>
    <w:rsid w:val="009C5608"/>
    <w:rsid w:val="009C5DD0"/>
    <w:rsid w:val="009C655C"/>
    <w:rsid w:val="009D2012"/>
    <w:rsid w:val="009D40B8"/>
    <w:rsid w:val="009D69C6"/>
    <w:rsid w:val="009E3F58"/>
    <w:rsid w:val="009E671E"/>
    <w:rsid w:val="009E6779"/>
    <w:rsid w:val="009F3D54"/>
    <w:rsid w:val="009F6628"/>
    <w:rsid w:val="00A00F83"/>
    <w:rsid w:val="00A02BDE"/>
    <w:rsid w:val="00A031A9"/>
    <w:rsid w:val="00A04B5B"/>
    <w:rsid w:val="00A065A5"/>
    <w:rsid w:val="00A072F5"/>
    <w:rsid w:val="00A07FA7"/>
    <w:rsid w:val="00A14471"/>
    <w:rsid w:val="00A161D3"/>
    <w:rsid w:val="00A16410"/>
    <w:rsid w:val="00A23B48"/>
    <w:rsid w:val="00A25988"/>
    <w:rsid w:val="00A259CA"/>
    <w:rsid w:val="00A27BA0"/>
    <w:rsid w:val="00A3160B"/>
    <w:rsid w:val="00A31EFE"/>
    <w:rsid w:val="00A342CB"/>
    <w:rsid w:val="00A3625A"/>
    <w:rsid w:val="00A374FD"/>
    <w:rsid w:val="00A408F8"/>
    <w:rsid w:val="00A4233F"/>
    <w:rsid w:val="00A425E0"/>
    <w:rsid w:val="00A42CAA"/>
    <w:rsid w:val="00A4332B"/>
    <w:rsid w:val="00A44089"/>
    <w:rsid w:val="00A45868"/>
    <w:rsid w:val="00A54AD8"/>
    <w:rsid w:val="00A56B68"/>
    <w:rsid w:val="00A63A00"/>
    <w:rsid w:val="00A712DA"/>
    <w:rsid w:val="00A71A82"/>
    <w:rsid w:val="00A72CDD"/>
    <w:rsid w:val="00A73F2D"/>
    <w:rsid w:val="00A75CDE"/>
    <w:rsid w:val="00A77640"/>
    <w:rsid w:val="00A911D8"/>
    <w:rsid w:val="00A93998"/>
    <w:rsid w:val="00A94B61"/>
    <w:rsid w:val="00A9501C"/>
    <w:rsid w:val="00AA18E5"/>
    <w:rsid w:val="00AA21EF"/>
    <w:rsid w:val="00AA3C6C"/>
    <w:rsid w:val="00AB3DF0"/>
    <w:rsid w:val="00AB7986"/>
    <w:rsid w:val="00AC098F"/>
    <w:rsid w:val="00AD7BAF"/>
    <w:rsid w:val="00AE3521"/>
    <w:rsid w:val="00AE6CC8"/>
    <w:rsid w:val="00AF0C58"/>
    <w:rsid w:val="00AF4091"/>
    <w:rsid w:val="00AF5D9B"/>
    <w:rsid w:val="00B00E23"/>
    <w:rsid w:val="00B01A21"/>
    <w:rsid w:val="00B07B8F"/>
    <w:rsid w:val="00B137F1"/>
    <w:rsid w:val="00B1502F"/>
    <w:rsid w:val="00B1683C"/>
    <w:rsid w:val="00B16EF5"/>
    <w:rsid w:val="00B17F70"/>
    <w:rsid w:val="00B20486"/>
    <w:rsid w:val="00B24AD8"/>
    <w:rsid w:val="00B24DE8"/>
    <w:rsid w:val="00B2777C"/>
    <w:rsid w:val="00B30127"/>
    <w:rsid w:val="00B31A60"/>
    <w:rsid w:val="00B3667B"/>
    <w:rsid w:val="00B41B8D"/>
    <w:rsid w:val="00B43C32"/>
    <w:rsid w:val="00B43DC9"/>
    <w:rsid w:val="00B4484D"/>
    <w:rsid w:val="00B45B38"/>
    <w:rsid w:val="00B4789A"/>
    <w:rsid w:val="00B5062F"/>
    <w:rsid w:val="00B5179E"/>
    <w:rsid w:val="00B56CA4"/>
    <w:rsid w:val="00B644D2"/>
    <w:rsid w:val="00B66DB9"/>
    <w:rsid w:val="00B73220"/>
    <w:rsid w:val="00B764C5"/>
    <w:rsid w:val="00B76A8E"/>
    <w:rsid w:val="00B82CCE"/>
    <w:rsid w:val="00B83AB5"/>
    <w:rsid w:val="00B855AA"/>
    <w:rsid w:val="00B90BA2"/>
    <w:rsid w:val="00B94255"/>
    <w:rsid w:val="00B94808"/>
    <w:rsid w:val="00B94CCD"/>
    <w:rsid w:val="00B975B1"/>
    <w:rsid w:val="00BA285D"/>
    <w:rsid w:val="00BA3EE9"/>
    <w:rsid w:val="00BA56DF"/>
    <w:rsid w:val="00BA75C7"/>
    <w:rsid w:val="00BA7DE5"/>
    <w:rsid w:val="00BB1511"/>
    <w:rsid w:val="00BB3606"/>
    <w:rsid w:val="00BB362B"/>
    <w:rsid w:val="00BB4D02"/>
    <w:rsid w:val="00BB5E46"/>
    <w:rsid w:val="00BB7662"/>
    <w:rsid w:val="00BC1EBB"/>
    <w:rsid w:val="00BC55A1"/>
    <w:rsid w:val="00BD34C9"/>
    <w:rsid w:val="00BD5284"/>
    <w:rsid w:val="00BD5DA2"/>
    <w:rsid w:val="00BD79E2"/>
    <w:rsid w:val="00BE2AB6"/>
    <w:rsid w:val="00BE3668"/>
    <w:rsid w:val="00BE3871"/>
    <w:rsid w:val="00BE395F"/>
    <w:rsid w:val="00BE4E85"/>
    <w:rsid w:val="00BE59F6"/>
    <w:rsid w:val="00BE6A84"/>
    <w:rsid w:val="00BF135D"/>
    <w:rsid w:val="00BF1C55"/>
    <w:rsid w:val="00C02322"/>
    <w:rsid w:val="00C02FE4"/>
    <w:rsid w:val="00C06C8D"/>
    <w:rsid w:val="00C075F5"/>
    <w:rsid w:val="00C10543"/>
    <w:rsid w:val="00C12AA8"/>
    <w:rsid w:val="00C163DA"/>
    <w:rsid w:val="00C250FA"/>
    <w:rsid w:val="00C32B33"/>
    <w:rsid w:val="00C32EA5"/>
    <w:rsid w:val="00C3403E"/>
    <w:rsid w:val="00C356F0"/>
    <w:rsid w:val="00C35965"/>
    <w:rsid w:val="00C35975"/>
    <w:rsid w:val="00C3678C"/>
    <w:rsid w:val="00C37700"/>
    <w:rsid w:val="00C4653E"/>
    <w:rsid w:val="00C574E3"/>
    <w:rsid w:val="00C612FC"/>
    <w:rsid w:val="00C61C10"/>
    <w:rsid w:val="00C62BB6"/>
    <w:rsid w:val="00C62CD0"/>
    <w:rsid w:val="00C64CEF"/>
    <w:rsid w:val="00C66BBB"/>
    <w:rsid w:val="00C7462F"/>
    <w:rsid w:val="00C919F0"/>
    <w:rsid w:val="00C9268A"/>
    <w:rsid w:val="00C941A5"/>
    <w:rsid w:val="00CA6216"/>
    <w:rsid w:val="00CA688B"/>
    <w:rsid w:val="00CA79D1"/>
    <w:rsid w:val="00CB217D"/>
    <w:rsid w:val="00CB450A"/>
    <w:rsid w:val="00CC0B10"/>
    <w:rsid w:val="00CC4E19"/>
    <w:rsid w:val="00CC6E6F"/>
    <w:rsid w:val="00CC742B"/>
    <w:rsid w:val="00CD0F4A"/>
    <w:rsid w:val="00CD0F92"/>
    <w:rsid w:val="00CE0A6D"/>
    <w:rsid w:val="00CE6891"/>
    <w:rsid w:val="00CE72EA"/>
    <w:rsid w:val="00CF1A02"/>
    <w:rsid w:val="00CF1CAA"/>
    <w:rsid w:val="00CF272D"/>
    <w:rsid w:val="00CF4167"/>
    <w:rsid w:val="00CF5F9D"/>
    <w:rsid w:val="00CF7E5C"/>
    <w:rsid w:val="00D02B23"/>
    <w:rsid w:val="00D068A9"/>
    <w:rsid w:val="00D07AB6"/>
    <w:rsid w:val="00D114E1"/>
    <w:rsid w:val="00D144E2"/>
    <w:rsid w:val="00D14BF6"/>
    <w:rsid w:val="00D15492"/>
    <w:rsid w:val="00D15CD4"/>
    <w:rsid w:val="00D2018B"/>
    <w:rsid w:val="00D204A5"/>
    <w:rsid w:val="00D2120B"/>
    <w:rsid w:val="00D223FD"/>
    <w:rsid w:val="00D22567"/>
    <w:rsid w:val="00D229D8"/>
    <w:rsid w:val="00D23481"/>
    <w:rsid w:val="00D3218E"/>
    <w:rsid w:val="00D3250C"/>
    <w:rsid w:val="00D3317D"/>
    <w:rsid w:val="00D33A54"/>
    <w:rsid w:val="00D33B06"/>
    <w:rsid w:val="00D37BE8"/>
    <w:rsid w:val="00D402FC"/>
    <w:rsid w:val="00D47D5A"/>
    <w:rsid w:val="00D5542D"/>
    <w:rsid w:val="00D61850"/>
    <w:rsid w:val="00D6256B"/>
    <w:rsid w:val="00D631F0"/>
    <w:rsid w:val="00D63AF8"/>
    <w:rsid w:val="00D63D87"/>
    <w:rsid w:val="00D65970"/>
    <w:rsid w:val="00D660E9"/>
    <w:rsid w:val="00D72826"/>
    <w:rsid w:val="00D74FA9"/>
    <w:rsid w:val="00D75115"/>
    <w:rsid w:val="00D81158"/>
    <w:rsid w:val="00D82594"/>
    <w:rsid w:val="00D863B5"/>
    <w:rsid w:val="00D972A4"/>
    <w:rsid w:val="00D9747B"/>
    <w:rsid w:val="00DA0BD4"/>
    <w:rsid w:val="00DA3488"/>
    <w:rsid w:val="00DB12AA"/>
    <w:rsid w:val="00DB5745"/>
    <w:rsid w:val="00DB7386"/>
    <w:rsid w:val="00DB7E6B"/>
    <w:rsid w:val="00DC77CC"/>
    <w:rsid w:val="00DD1D67"/>
    <w:rsid w:val="00DD4D3D"/>
    <w:rsid w:val="00DD5A1B"/>
    <w:rsid w:val="00DE1858"/>
    <w:rsid w:val="00DE20E0"/>
    <w:rsid w:val="00DE288B"/>
    <w:rsid w:val="00DE3B3A"/>
    <w:rsid w:val="00DE4567"/>
    <w:rsid w:val="00DE5CAD"/>
    <w:rsid w:val="00DF0B54"/>
    <w:rsid w:val="00DF4B21"/>
    <w:rsid w:val="00DF4B82"/>
    <w:rsid w:val="00DF71E1"/>
    <w:rsid w:val="00E01DC2"/>
    <w:rsid w:val="00E038A8"/>
    <w:rsid w:val="00E07D8F"/>
    <w:rsid w:val="00E12DDE"/>
    <w:rsid w:val="00E135ED"/>
    <w:rsid w:val="00E144B1"/>
    <w:rsid w:val="00E14734"/>
    <w:rsid w:val="00E14BA7"/>
    <w:rsid w:val="00E264E9"/>
    <w:rsid w:val="00E279ED"/>
    <w:rsid w:val="00E27AE4"/>
    <w:rsid w:val="00E27EB1"/>
    <w:rsid w:val="00E3434B"/>
    <w:rsid w:val="00E346B3"/>
    <w:rsid w:val="00E353DD"/>
    <w:rsid w:val="00E355F8"/>
    <w:rsid w:val="00E35F7C"/>
    <w:rsid w:val="00E41EE5"/>
    <w:rsid w:val="00E42752"/>
    <w:rsid w:val="00E429F8"/>
    <w:rsid w:val="00E437D0"/>
    <w:rsid w:val="00E43B08"/>
    <w:rsid w:val="00E45E02"/>
    <w:rsid w:val="00E47230"/>
    <w:rsid w:val="00E475D5"/>
    <w:rsid w:val="00E500EE"/>
    <w:rsid w:val="00E517E6"/>
    <w:rsid w:val="00E52C04"/>
    <w:rsid w:val="00E57F83"/>
    <w:rsid w:val="00E60DA4"/>
    <w:rsid w:val="00E739F8"/>
    <w:rsid w:val="00E75BAE"/>
    <w:rsid w:val="00E7658E"/>
    <w:rsid w:val="00E7679C"/>
    <w:rsid w:val="00E80BF2"/>
    <w:rsid w:val="00E819CC"/>
    <w:rsid w:val="00E84651"/>
    <w:rsid w:val="00E848FF"/>
    <w:rsid w:val="00E85EFE"/>
    <w:rsid w:val="00E86C70"/>
    <w:rsid w:val="00E86F9C"/>
    <w:rsid w:val="00E96ABA"/>
    <w:rsid w:val="00E96BBA"/>
    <w:rsid w:val="00EA105F"/>
    <w:rsid w:val="00EA4531"/>
    <w:rsid w:val="00EB2EA6"/>
    <w:rsid w:val="00EB4B0C"/>
    <w:rsid w:val="00EB5710"/>
    <w:rsid w:val="00EC0943"/>
    <w:rsid w:val="00EC2B06"/>
    <w:rsid w:val="00EC47BA"/>
    <w:rsid w:val="00EC4F1E"/>
    <w:rsid w:val="00EC741E"/>
    <w:rsid w:val="00ED6B17"/>
    <w:rsid w:val="00EE30AA"/>
    <w:rsid w:val="00EE716A"/>
    <w:rsid w:val="00EE71F5"/>
    <w:rsid w:val="00EF0829"/>
    <w:rsid w:val="00EF0CF3"/>
    <w:rsid w:val="00EF195C"/>
    <w:rsid w:val="00EF22B4"/>
    <w:rsid w:val="00EF3144"/>
    <w:rsid w:val="00EF31CD"/>
    <w:rsid w:val="00EF4A67"/>
    <w:rsid w:val="00F01AFC"/>
    <w:rsid w:val="00F020DE"/>
    <w:rsid w:val="00F027E9"/>
    <w:rsid w:val="00F05703"/>
    <w:rsid w:val="00F12C1B"/>
    <w:rsid w:val="00F136A9"/>
    <w:rsid w:val="00F148FB"/>
    <w:rsid w:val="00F14CA7"/>
    <w:rsid w:val="00F177DE"/>
    <w:rsid w:val="00F2092D"/>
    <w:rsid w:val="00F21DBA"/>
    <w:rsid w:val="00F23D26"/>
    <w:rsid w:val="00F23DCD"/>
    <w:rsid w:val="00F245FB"/>
    <w:rsid w:val="00F270C8"/>
    <w:rsid w:val="00F30F22"/>
    <w:rsid w:val="00F32701"/>
    <w:rsid w:val="00F342FF"/>
    <w:rsid w:val="00F36012"/>
    <w:rsid w:val="00F36B07"/>
    <w:rsid w:val="00F41D57"/>
    <w:rsid w:val="00F43708"/>
    <w:rsid w:val="00F44782"/>
    <w:rsid w:val="00F47B75"/>
    <w:rsid w:val="00F50004"/>
    <w:rsid w:val="00F51415"/>
    <w:rsid w:val="00F531AB"/>
    <w:rsid w:val="00F537C4"/>
    <w:rsid w:val="00F54021"/>
    <w:rsid w:val="00F543A4"/>
    <w:rsid w:val="00F557D6"/>
    <w:rsid w:val="00F56299"/>
    <w:rsid w:val="00F56FCC"/>
    <w:rsid w:val="00F575BA"/>
    <w:rsid w:val="00F60454"/>
    <w:rsid w:val="00F65C89"/>
    <w:rsid w:val="00F676AC"/>
    <w:rsid w:val="00F70234"/>
    <w:rsid w:val="00F729D3"/>
    <w:rsid w:val="00F72FEA"/>
    <w:rsid w:val="00F74112"/>
    <w:rsid w:val="00F80D77"/>
    <w:rsid w:val="00F91343"/>
    <w:rsid w:val="00F93F63"/>
    <w:rsid w:val="00F94808"/>
    <w:rsid w:val="00F96777"/>
    <w:rsid w:val="00FA019C"/>
    <w:rsid w:val="00FA0BDB"/>
    <w:rsid w:val="00FA144E"/>
    <w:rsid w:val="00FA2624"/>
    <w:rsid w:val="00FA36CC"/>
    <w:rsid w:val="00FA4A3B"/>
    <w:rsid w:val="00FA5426"/>
    <w:rsid w:val="00FB7EE3"/>
    <w:rsid w:val="00FC249B"/>
    <w:rsid w:val="00FC3916"/>
    <w:rsid w:val="00FC4905"/>
    <w:rsid w:val="00FC6043"/>
    <w:rsid w:val="00FD0977"/>
    <w:rsid w:val="00FD3799"/>
    <w:rsid w:val="00FD7E59"/>
    <w:rsid w:val="00FE31C0"/>
    <w:rsid w:val="00FE3633"/>
    <w:rsid w:val="00FE3890"/>
    <w:rsid w:val="00FE589B"/>
    <w:rsid w:val="00FE639C"/>
    <w:rsid w:val="00FE66DD"/>
    <w:rsid w:val="00FF0284"/>
    <w:rsid w:val="00FF04FC"/>
    <w:rsid w:val="00FF23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13F05586-E0CA-4974-BD2C-3E01E01E2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4C3"/>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aliases w:val="Title Header2"/>
    <w:basedOn w:val="Normal"/>
    <w:next w:val="Normal"/>
    <w:link w:val="Ttulo2Car"/>
    <w:unhideWhenUsed/>
    <w:qFormat/>
    <w:rsid w:val="00A71A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50D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71A8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A75CDE"/>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54777B"/>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A75CDE"/>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paragraph" w:styleId="TDC1">
    <w:name w:val="toc 1"/>
    <w:basedOn w:val="Normal"/>
    <w:next w:val="Normal"/>
    <w:autoRedefine/>
    <w:uiPriority w:val="39"/>
    <w:unhideWhenUsed/>
    <w:rsid w:val="00FE639C"/>
    <w:pPr>
      <w:spacing w:after="100"/>
    </w:pPr>
  </w:style>
  <w:style w:type="character" w:styleId="Hipervnculo">
    <w:name w:val="Hyperlink"/>
    <w:basedOn w:val="Fuentedeprrafopredeter"/>
    <w:uiPriority w:val="99"/>
    <w:unhideWhenUsed/>
    <w:rsid w:val="00FE639C"/>
    <w:rPr>
      <w:color w:val="0563C1" w:themeColor="hyperlink"/>
      <w:u w:val="single"/>
    </w:rPr>
  </w:style>
  <w:style w:type="character" w:customStyle="1" w:styleId="Ttulo3Car">
    <w:name w:val="Título 3 Car"/>
    <w:basedOn w:val="Fuentedeprrafopredeter"/>
    <w:link w:val="Ttulo3"/>
    <w:uiPriority w:val="9"/>
    <w:rsid w:val="00650DCD"/>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650DCD"/>
    <w:pPr>
      <w:spacing w:after="100"/>
      <w:ind w:left="440"/>
    </w:pPr>
  </w:style>
  <w:style w:type="character" w:customStyle="1" w:styleId="Ttulo2Car">
    <w:name w:val="Título 2 Car"/>
    <w:aliases w:val="Title Header2 Car"/>
    <w:basedOn w:val="Fuentedeprrafopredeter"/>
    <w:link w:val="Ttulo2"/>
    <w:rsid w:val="00A71A82"/>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A71A82"/>
    <w:rPr>
      <w:rFonts w:asciiTheme="majorHAnsi" w:eastAsiaTheme="majorEastAsia" w:hAnsiTheme="majorHAnsi" w:cstheme="majorBidi"/>
      <w:i/>
      <w:iCs/>
      <w:color w:val="2F5496" w:themeColor="accent1" w:themeShade="BF"/>
    </w:rPr>
  </w:style>
  <w:style w:type="paragraph" w:styleId="Prrafodelista">
    <w:name w:val="List Paragraph"/>
    <w:basedOn w:val="Normal"/>
    <w:uiPriority w:val="34"/>
    <w:qFormat/>
    <w:rsid w:val="008B38CF"/>
    <w:pPr>
      <w:ind w:left="720"/>
      <w:contextualSpacing/>
    </w:pPr>
  </w:style>
  <w:style w:type="table" w:customStyle="1" w:styleId="Tablaconcuadrcula1">
    <w:name w:val="Tabla con cuadrícula1"/>
    <w:basedOn w:val="Tablanormal"/>
    <w:next w:val="Tablaconcuadrcula"/>
    <w:uiPriority w:val="39"/>
    <w:rsid w:val="001806AE"/>
    <w:pPr>
      <w:spacing w:after="0" w:line="240" w:lineRule="auto"/>
    </w:pPr>
    <w:rPr>
      <w:lang w:val="es-D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1806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52FBB"/>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D5284"/>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BD5284"/>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6F2B3A"/>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4C557A"/>
    <w:rPr>
      <w:sz w:val="16"/>
      <w:szCs w:val="16"/>
    </w:rPr>
  </w:style>
  <w:style w:type="paragraph" w:styleId="Textocomentario">
    <w:name w:val="annotation text"/>
    <w:basedOn w:val="Normal"/>
    <w:link w:val="TextocomentarioCar"/>
    <w:uiPriority w:val="99"/>
    <w:semiHidden/>
    <w:unhideWhenUsed/>
    <w:rsid w:val="004C55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C557A"/>
    <w:rPr>
      <w:sz w:val="20"/>
      <w:szCs w:val="20"/>
    </w:rPr>
  </w:style>
  <w:style w:type="paragraph" w:styleId="Asuntodelcomentario">
    <w:name w:val="annotation subject"/>
    <w:basedOn w:val="Textocomentario"/>
    <w:next w:val="Textocomentario"/>
    <w:link w:val="AsuntodelcomentarioCar"/>
    <w:uiPriority w:val="99"/>
    <w:semiHidden/>
    <w:unhideWhenUsed/>
    <w:rsid w:val="004C557A"/>
    <w:rPr>
      <w:b/>
      <w:bCs/>
    </w:rPr>
  </w:style>
  <w:style w:type="character" w:customStyle="1" w:styleId="AsuntodelcomentarioCar">
    <w:name w:val="Asunto del comentario Car"/>
    <w:basedOn w:val="TextocomentarioCar"/>
    <w:link w:val="Asuntodelcomentario"/>
    <w:uiPriority w:val="99"/>
    <w:semiHidden/>
    <w:rsid w:val="004C557A"/>
    <w:rPr>
      <w:b/>
      <w:bCs/>
      <w:sz w:val="20"/>
      <w:szCs w:val="20"/>
    </w:rPr>
  </w:style>
  <w:style w:type="paragraph" w:styleId="Textodeglobo">
    <w:name w:val="Balloon Text"/>
    <w:basedOn w:val="Normal"/>
    <w:link w:val="TextodegloboCar"/>
    <w:uiPriority w:val="99"/>
    <w:semiHidden/>
    <w:unhideWhenUsed/>
    <w:rsid w:val="004C55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557A"/>
    <w:rPr>
      <w:rFonts w:ascii="Segoe UI" w:hAnsi="Segoe UI" w:cs="Segoe UI"/>
      <w:sz w:val="18"/>
      <w:szCs w:val="18"/>
    </w:rPr>
  </w:style>
  <w:style w:type="paragraph" w:styleId="Revisin">
    <w:name w:val="Revision"/>
    <w:hidden/>
    <w:uiPriority w:val="99"/>
    <w:semiHidden/>
    <w:rsid w:val="00017EAE"/>
    <w:pPr>
      <w:spacing w:after="0" w:line="240" w:lineRule="auto"/>
    </w:pPr>
  </w:style>
  <w:style w:type="table" w:customStyle="1" w:styleId="Tablaconcuadrcula41">
    <w:name w:val="Tabla con cuadrícula41"/>
    <w:basedOn w:val="Tablanormal"/>
    <w:next w:val="Tablaconcuadrcula"/>
    <w:uiPriority w:val="39"/>
    <w:rsid w:val="00B1683C"/>
    <w:pPr>
      <w:spacing w:after="0" w:line="240" w:lineRule="auto"/>
    </w:pPr>
    <w:rPr>
      <w:lang w:val="es-D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8A2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8A2756"/>
  </w:style>
  <w:style w:type="character" w:customStyle="1" w:styleId="eop">
    <w:name w:val="eop"/>
    <w:basedOn w:val="Fuentedeprrafopredeter"/>
    <w:rsid w:val="008A2756"/>
  </w:style>
  <w:style w:type="paragraph" w:styleId="NormalWeb">
    <w:name w:val="Normal (Web)"/>
    <w:basedOn w:val="Normal"/>
    <w:uiPriority w:val="99"/>
    <w:unhideWhenUsed/>
    <w:rsid w:val="00E60DA4"/>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msonormal">
    <w:name w:val="x_msonormal"/>
    <w:basedOn w:val="Normal"/>
    <w:rsid w:val="00C356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6Car">
    <w:name w:val="Título 6 Car"/>
    <w:basedOn w:val="Fuentedeprrafopredeter"/>
    <w:link w:val="Ttulo6"/>
    <w:uiPriority w:val="9"/>
    <w:rsid w:val="0054777B"/>
    <w:rPr>
      <w:rFonts w:asciiTheme="majorHAnsi" w:eastAsiaTheme="majorEastAsia" w:hAnsiTheme="majorHAnsi" w:cstheme="majorBidi"/>
      <w:color w:val="1F3763" w:themeColor="accent1" w:themeShade="7F"/>
    </w:rPr>
  </w:style>
  <w:style w:type="table" w:customStyle="1" w:styleId="Tablaconcuadrcula9">
    <w:name w:val="Tabla con cuadrícula9"/>
    <w:basedOn w:val="Tablanormal"/>
    <w:next w:val="Tablaconcuadrcula"/>
    <w:uiPriority w:val="59"/>
    <w:rsid w:val="001C151B"/>
    <w:pPr>
      <w:spacing w:after="0" w:line="240" w:lineRule="auto"/>
    </w:pPr>
    <w:rPr>
      <w:rFonts w:ascii="Gill Sans MT" w:hAnsi="Gill Sans MT"/>
      <w:sz w:val="24"/>
      <w:szCs w:val="24"/>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A75CDE"/>
    <w:rPr>
      <w:rFonts w:asciiTheme="majorHAnsi" w:eastAsiaTheme="majorEastAsia" w:hAnsiTheme="majorHAnsi" w:cstheme="majorBidi"/>
      <w:color w:val="2F5496" w:themeColor="accent1" w:themeShade="BF"/>
    </w:rPr>
  </w:style>
  <w:style w:type="character" w:customStyle="1" w:styleId="Ttulo7Car">
    <w:name w:val="Título 7 Car"/>
    <w:basedOn w:val="Fuentedeprrafopredeter"/>
    <w:link w:val="Ttulo7"/>
    <w:uiPriority w:val="9"/>
    <w:rsid w:val="00A75CDE"/>
    <w:rPr>
      <w:rFonts w:asciiTheme="majorHAnsi" w:eastAsiaTheme="majorEastAsia" w:hAnsiTheme="majorHAnsi" w:cstheme="majorBidi"/>
      <w:i/>
      <w:iCs/>
      <w:color w:val="1F3763" w:themeColor="accent1" w:themeShade="7F"/>
    </w:rPr>
  </w:style>
  <w:style w:type="paragraph" w:styleId="TDC2">
    <w:name w:val="toc 2"/>
    <w:basedOn w:val="Normal"/>
    <w:next w:val="Normal"/>
    <w:autoRedefine/>
    <w:uiPriority w:val="39"/>
    <w:unhideWhenUsed/>
    <w:rsid w:val="006E08C1"/>
    <w:pPr>
      <w:spacing w:after="100"/>
      <w:ind w:left="220"/>
    </w:pPr>
  </w:style>
  <w:style w:type="paragraph" w:styleId="Sangradetextonormal">
    <w:name w:val="Body Text Indent"/>
    <w:basedOn w:val="Normal"/>
    <w:link w:val="SangradetextonormalCar"/>
    <w:unhideWhenUsed/>
    <w:rsid w:val="00A408F8"/>
    <w:pPr>
      <w:spacing w:after="0" w:line="240" w:lineRule="auto"/>
      <w:ind w:left="360"/>
      <w:jc w:val="both"/>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408F8"/>
    <w:rPr>
      <w:rFonts w:ascii="Times New Roman" w:eastAsia="Times New Roman" w:hAnsi="Times New Roman" w:cs="Times New Roman"/>
      <w:sz w:val="24"/>
      <w:szCs w:val="24"/>
    </w:rPr>
  </w:style>
  <w:style w:type="character" w:customStyle="1" w:styleId="SinespaciadoCar">
    <w:name w:val="Sin espaciado Car"/>
    <w:link w:val="Sinespaciado"/>
    <w:uiPriority w:val="1"/>
    <w:rsid w:val="00A408F8"/>
    <w:rPr>
      <w:rFonts w:ascii="Times New Roman" w:eastAsia="Calibri" w:hAnsi="Times New Roman" w:cs="Times New Roman"/>
      <w:color w:val="595959" w:themeColor="text1" w:themeTint="A6"/>
      <w:sz w:val="24"/>
    </w:rPr>
  </w:style>
  <w:style w:type="paragraph" w:styleId="Textonotapie">
    <w:name w:val="footnote text"/>
    <w:basedOn w:val="Normal"/>
    <w:link w:val="TextonotapieCar"/>
    <w:uiPriority w:val="99"/>
    <w:semiHidden/>
    <w:unhideWhenUsed/>
    <w:rsid w:val="00A408F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A408F8"/>
    <w:rPr>
      <w:rFonts w:ascii="Times New Roman" w:eastAsia="Times New Roman" w:hAnsi="Times New Roman" w:cs="Times New Roman"/>
      <w:sz w:val="20"/>
      <w:szCs w:val="20"/>
      <w:lang w:val="es-ES" w:eastAsia="es-ES"/>
    </w:rPr>
  </w:style>
  <w:style w:type="character" w:styleId="Refdenotaalpie">
    <w:name w:val="footnote reference"/>
    <w:uiPriority w:val="99"/>
    <w:semiHidden/>
    <w:unhideWhenUsed/>
    <w:rsid w:val="00A408F8"/>
    <w:rPr>
      <w:vertAlign w:val="superscript"/>
    </w:rPr>
  </w:style>
  <w:style w:type="paragraph" w:customStyle="1" w:styleId="Ttulo11">
    <w:name w:val="Título 11"/>
    <w:basedOn w:val="Normal"/>
    <w:rsid w:val="00A408F8"/>
    <w:pPr>
      <w:spacing w:after="0" w:line="240" w:lineRule="auto"/>
      <w:ind w:left="720" w:hanging="720"/>
    </w:pPr>
    <w:rPr>
      <w:rFonts w:ascii="Times" w:eastAsia="Times New Roman" w:hAnsi="Times" w:cs="Times New Roman"/>
      <w:b/>
      <w:sz w:val="28"/>
      <w:szCs w:val="20"/>
      <w:lang w:val="es-DO"/>
    </w:rPr>
  </w:style>
  <w:style w:type="table" w:customStyle="1" w:styleId="TableGrid">
    <w:name w:val="TableGrid"/>
    <w:rsid w:val="00A408F8"/>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528562">
      <w:bodyDiv w:val="1"/>
      <w:marLeft w:val="0"/>
      <w:marRight w:val="0"/>
      <w:marTop w:val="0"/>
      <w:marBottom w:val="0"/>
      <w:divBdr>
        <w:top w:val="none" w:sz="0" w:space="0" w:color="auto"/>
        <w:left w:val="none" w:sz="0" w:space="0" w:color="auto"/>
        <w:bottom w:val="none" w:sz="0" w:space="0" w:color="auto"/>
        <w:right w:val="none" w:sz="0" w:space="0" w:color="auto"/>
      </w:divBdr>
    </w:div>
    <w:div w:id="354118959">
      <w:bodyDiv w:val="1"/>
      <w:marLeft w:val="0"/>
      <w:marRight w:val="0"/>
      <w:marTop w:val="0"/>
      <w:marBottom w:val="0"/>
      <w:divBdr>
        <w:top w:val="none" w:sz="0" w:space="0" w:color="auto"/>
        <w:left w:val="none" w:sz="0" w:space="0" w:color="auto"/>
        <w:bottom w:val="none" w:sz="0" w:space="0" w:color="auto"/>
        <w:right w:val="none" w:sz="0" w:space="0" w:color="auto"/>
      </w:divBdr>
    </w:div>
    <w:div w:id="361587958">
      <w:bodyDiv w:val="1"/>
      <w:marLeft w:val="0"/>
      <w:marRight w:val="0"/>
      <w:marTop w:val="0"/>
      <w:marBottom w:val="0"/>
      <w:divBdr>
        <w:top w:val="none" w:sz="0" w:space="0" w:color="auto"/>
        <w:left w:val="none" w:sz="0" w:space="0" w:color="auto"/>
        <w:bottom w:val="none" w:sz="0" w:space="0" w:color="auto"/>
        <w:right w:val="none" w:sz="0" w:space="0" w:color="auto"/>
      </w:divBdr>
    </w:div>
    <w:div w:id="523713615">
      <w:bodyDiv w:val="1"/>
      <w:marLeft w:val="0"/>
      <w:marRight w:val="0"/>
      <w:marTop w:val="0"/>
      <w:marBottom w:val="0"/>
      <w:divBdr>
        <w:top w:val="none" w:sz="0" w:space="0" w:color="auto"/>
        <w:left w:val="none" w:sz="0" w:space="0" w:color="auto"/>
        <w:bottom w:val="none" w:sz="0" w:space="0" w:color="auto"/>
        <w:right w:val="none" w:sz="0" w:space="0" w:color="auto"/>
      </w:divBdr>
      <w:divsChild>
        <w:div w:id="8063463">
          <w:marLeft w:val="0"/>
          <w:marRight w:val="0"/>
          <w:marTop w:val="0"/>
          <w:marBottom w:val="0"/>
          <w:divBdr>
            <w:top w:val="none" w:sz="0" w:space="0" w:color="auto"/>
            <w:left w:val="none" w:sz="0" w:space="0" w:color="auto"/>
            <w:bottom w:val="none" w:sz="0" w:space="0" w:color="auto"/>
            <w:right w:val="none" w:sz="0" w:space="0" w:color="auto"/>
          </w:divBdr>
          <w:divsChild>
            <w:div w:id="422801302">
              <w:marLeft w:val="0"/>
              <w:marRight w:val="0"/>
              <w:marTop w:val="0"/>
              <w:marBottom w:val="0"/>
              <w:divBdr>
                <w:top w:val="none" w:sz="0" w:space="0" w:color="auto"/>
                <w:left w:val="none" w:sz="0" w:space="0" w:color="auto"/>
                <w:bottom w:val="none" w:sz="0" w:space="0" w:color="auto"/>
                <w:right w:val="none" w:sz="0" w:space="0" w:color="auto"/>
              </w:divBdr>
            </w:div>
          </w:divsChild>
        </w:div>
        <w:div w:id="146944231">
          <w:marLeft w:val="0"/>
          <w:marRight w:val="0"/>
          <w:marTop w:val="0"/>
          <w:marBottom w:val="0"/>
          <w:divBdr>
            <w:top w:val="none" w:sz="0" w:space="0" w:color="auto"/>
            <w:left w:val="none" w:sz="0" w:space="0" w:color="auto"/>
            <w:bottom w:val="none" w:sz="0" w:space="0" w:color="auto"/>
            <w:right w:val="none" w:sz="0" w:space="0" w:color="auto"/>
          </w:divBdr>
          <w:divsChild>
            <w:div w:id="1483161021">
              <w:marLeft w:val="0"/>
              <w:marRight w:val="0"/>
              <w:marTop w:val="0"/>
              <w:marBottom w:val="0"/>
              <w:divBdr>
                <w:top w:val="none" w:sz="0" w:space="0" w:color="auto"/>
                <w:left w:val="none" w:sz="0" w:space="0" w:color="auto"/>
                <w:bottom w:val="none" w:sz="0" w:space="0" w:color="auto"/>
                <w:right w:val="none" w:sz="0" w:space="0" w:color="auto"/>
              </w:divBdr>
            </w:div>
          </w:divsChild>
        </w:div>
        <w:div w:id="184563939">
          <w:marLeft w:val="0"/>
          <w:marRight w:val="0"/>
          <w:marTop w:val="0"/>
          <w:marBottom w:val="0"/>
          <w:divBdr>
            <w:top w:val="none" w:sz="0" w:space="0" w:color="auto"/>
            <w:left w:val="none" w:sz="0" w:space="0" w:color="auto"/>
            <w:bottom w:val="none" w:sz="0" w:space="0" w:color="auto"/>
            <w:right w:val="none" w:sz="0" w:space="0" w:color="auto"/>
          </w:divBdr>
          <w:divsChild>
            <w:div w:id="268201942">
              <w:marLeft w:val="0"/>
              <w:marRight w:val="0"/>
              <w:marTop w:val="0"/>
              <w:marBottom w:val="0"/>
              <w:divBdr>
                <w:top w:val="none" w:sz="0" w:space="0" w:color="auto"/>
                <w:left w:val="none" w:sz="0" w:space="0" w:color="auto"/>
                <w:bottom w:val="none" w:sz="0" w:space="0" w:color="auto"/>
                <w:right w:val="none" w:sz="0" w:space="0" w:color="auto"/>
              </w:divBdr>
            </w:div>
          </w:divsChild>
        </w:div>
        <w:div w:id="209079135">
          <w:marLeft w:val="0"/>
          <w:marRight w:val="0"/>
          <w:marTop w:val="0"/>
          <w:marBottom w:val="0"/>
          <w:divBdr>
            <w:top w:val="none" w:sz="0" w:space="0" w:color="auto"/>
            <w:left w:val="none" w:sz="0" w:space="0" w:color="auto"/>
            <w:bottom w:val="none" w:sz="0" w:space="0" w:color="auto"/>
            <w:right w:val="none" w:sz="0" w:space="0" w:color="auto"/>
          </w:divBdr>
          <w:divsChild>
            <w:div w:id="1828327429">
              <w:marLeft w:val="0"/>
              <w:marRight w:val="0"/>
              <w:marTop w:val="0"/>
              <w:marBottom w:val="0"/>
              <w:divBdr>
                <w:top w:val="none" w:sz="0" w:space="0" w:color="auto"/>
                <w:left w:val="none" w:sz="0" w:space="0" w:color="auto"/>
                <w:bottom w:val="none" w:sz="0" w:space="0" w:color="auto"/>
                <w:right w:val="none" w:sz="0" w:space="0" w:color="auto"/>
              </w:divBdr>
            </w:div>
          </w:divsChild>
        </w:div>
        <w:div w:id="210575880">
          <w:marLeft w:val="0"/>
          <w:marRight w:val="0"/>
          <w:marTop w:val="0"/>
          <w:marBottom w:val="0"/>
          <w:divBdr>
            <w:top w:val="none" w:sz="0" w:space="0" w:color="auto"/>
            <w:left w:val="none" w:sz="0" w:space="0" w:color="auto"/>
            <w:bottom w:val="none" w:sz="0" w:space="0" w:color="auto"/>
            <w:right w:val="none" w:sz="0" w:space="0" w:color="auto"/>
          </w:divBdr>
          <w:divsChild>
            <w:div w:id="432365435">
              <w:marLeft w:val="0"/>
              <w:marRight w:val="0"/>
              <w:marTop w:val="0"/>
              <w:marBottom w:val="0"/>
              <w:divBdr>
                <w:top w:val="none" w:sz="0" w:space="0" w:color="auto"/>
                <w:left w:val="none" w:sz="0" w:space="0" w:color="auto"/>
                <w:bottom w:val="none" w:sz="0" w:space="0" w:color="auto"/>
                <w:right w:val="none" w:sz="0" w:space="0" w:color="auto"/>
              </w:divBdr>
            </w:div>
          </w:divsChild>
        </w:div>
        <w:div w:id="237517391">
          <w:marLeft w:val="0"/>
          <w:marRight w:val="0"/>
          <w:marTop w:val="0"/>
          <w:marBottom w:val="0"/>
          <w:divBdr>
            <w:top w:val="none" w:sz="0" w:space="0" w:color="auto"/>
            <w:left w:val="none" w:sz="0" w:space="0" w:color="auto"/>
            <w:bottom w:val="none" w:sz="0" w:space="0" w:color="auto"/>
            <w:right w:val="none" w:sz="0" w:space="0" w:color="auto"/>
          </w:divBdr>
          <w:divsChild>
            <w:div w:id="684331727">
              <w:marLeft w:val="0"/>
              <w:marRight w:val="0"/>
              <w:marTop w:val="0"/>
              <w:marBottom w:val="0"/>
              <w:divBdr>
                <w:top w:val="none" w:sz="0" w:space="0" w:color="auto"/>
                <w:left w:val="none" w:sz="0" w:space="0" w:color="auto"/>
                <w:bottom w:val="none" w:sz="0" w:space="0" w:color="auto"/>
                <w:right w:val="none" w:sz="0" w:space="0" w:color="auto"/>
              </w:divBdr>
            </w:div>
          </w:divsChild>
        </w:div>
        <w:div w:id="259529389">
          <w:marLeft w:val="0"/>
          <w:marRight w:val="0"/>
          <w:marTop w:val="0"/>
          <w:marBottom w:val="0"/>
          <w:divBdr>
            <w:top w:val="none" w:sz="0" w:space="0" w:color="auto"/>
            <w:left w:val="none" w:sz="0" w:space="0" w:color="auto"/>
            <w:bottom w:val="none" w:sz="0" w:space="0" w:color="auto"/>
            <w:right w:val="none" w:sz="0" w:space="0" w:color="auto"/>
          </w:divBdr>
          <w:divsChild>
            <w:div w:id="304240603">
              <w:marLeft w:val="0"/>
              <w:marRight w:val="0"/>
              <w:marTop w:val="0"/>
              <w:marBottom w:val="0"/>
              <w:divBdr>
                <w:top w:val="none" w:sz="0" w:space="0" w:color="auto"/>
                <w:left w:val="none" w:sz="0" w:space="0" w:color="auto"/>
                <w:bottom w:val="none" w:sz="0" w:space="0" w:color="auto"/>
                <w:right w:val="none" w:sz="0" w:space="0" w:color="auto"/>
              </w:divBdr>
            </w:div>
          </w:divsChild>
        </w:div>
        <w:div w:id="299506797">
          <w:marLeft w:val="0"/>
          <w:marRight w:val="0"/>
          <w:marTop w:val="0"/>
          <w:marBottom w:val="0"/>
          <w:divBdr>
            <w:top w:val="none" w:sz="0" w:space="0" w:color="auto"/>
            <w:left w:val="none" w:sz="0" w:space="0" w:color="auto"/>
            <w:bottom w:val="none" w:sz="0" w:space="0" w:color="auto"/>
            <w:right w:val="none" w:sz="0" w:space="0" w:color="auto"/>
          </w:divBdr>
          <w:divsChild>
            <w:div w:id="748771875">
              <w:marLeft w:val="0"/>
              <w:marRight w:val="0"/>
              <w:marTop w:val="0"/>
              <w:marBottom w:val="0"/>
              <w:divBdr>
                <w:top w:val="none" w:sz="0" w:space="0" w:color="auto"/>
                <w:left w:val="none" w:sz="0" w:space="0" w:color="auto"/>
                <w:bottom w:val="none" w:sz="0" w:space="0" w:color="auto"/>
                <w:right w:val="none" w:sz="0" w:space="0" w:color="auto"/>
              </w:divBdr>
            </w:div>
          </w:divsChild>
        </w:div>
        <w:div w:id="382295338">
          <w:marLeft w:val="0"/>
          <w:marRight w:val="0"/>
          <w:marTop w:val="0"/>
          <w:marBottom w:val="0"/>
          <w:divBdr>
            <w:top w:val="none" w:sz="0" w:space="0" w:color="auto"/>
            <w:left w:val="none" w:sz="0" w:space="0" w:color="auto"/>
            <w:bottom w:val="none" w:sz="0" w:space="0" w:color="auto"/>
            <w:right w:val="none" w:sz="0" w:space="0" w:color="auto"/>
          </w:divBdr>
          <w:divsChild>
            <w:div w:id="1151947602">
              <w:marLeft w:val="0"/>
              <w:marRight w:val="0"/>
              <w:marTop w:val="0"/>
              <w:marBottom w:val="0"/>
              <w:divBdr>
                <w:top w:val="none" w:sz="0" w:space="0" w:color="auto"/>
                <w:left w:val="none" w:sz="0" w:space="0" w:color="auto"/>
                <w:bottom w:val="none" w:sz="0" w:space="0" w:color="auto"/>
                <w:right w:val="none" w:sz="0" w:space="0" w:color="auto"/>
              </w:divBdr>
            </w:div>
          </w:divsChild>
        </w:div>
        <w:div w:id="413363603">
          <w:marLeft w:val="0"/>
          <w:marRight w:val="0"/>
          <w:marTop w:val="0"/>
          <w:marBottom w:val="0"/>
          <w:divBdr>
            <w:top w:val="none" w:sz="0" w:space="0" w:color="auto"/>
            <w:left w:val="none" w:sz="0" w:space="0" w:color="auto"/>
            <w:bottom w:val="none" w:sz="0" w:space="0" w:color="auto"/>
            <w:right w:val="none" w:sz="0" w:space="0" w:color="auto"/>
          </w:divBdr>
          <w:divsChild>
            <w:div w:id="502935236">
              <w:marLeft w:val="0"/>
              <w:marRight w:val="0"/>
              <w:marTop w:val="0"/>
              <w:marBottom w:val="0"/>
              <w:divBdr>
                <w:top w:val="none" w:sz="0" w:space="0" w:color="auto"/>
                <w:left w:val="none" w:sz="0" w:space="0" w:color="auto"/>
                <w:bottom w:val="none" w:sz="0" w:space="0" w:color="auto"/>
                <w:right w:val="none" w:sz="0" w:space="0" w:color="auto"/>
              </w:divBdr>
            </w:div>
          </w:divsChild>
        </w:div>
        <w:div w:id="418865902">
          <w:marLeft w:val="0"/>
          <w:marRight w:val="0"/>
          <w:marTop w:val="0"/>
          <w:marBottom w:val="0"/>
          <w:divBdr>
            <w:top w:val="none" w:sz="0" w:space="0" w:color="auto"/>
            <w:left w:val="none" w:sz="0" w:space="0" w:color="auto"/>
            <w:bottom w:val="none" w:sz="0" w:space="0" w:color="auto"/>
            <w:right w:val="none" w:sz="0" w:space="0" w:color="auto"/>
          </w:divBdr>
          <w:divsChild>
            <w:div w:id="103427219">
              <w:marLeft w:val="0"/>
              <w:marRight w:val="0"/>
              <w:marTop w:val="0"/>
              <w:marBottom w:val="0"/>
              <w:divBdr>
                <w:top w:val="none" w:sz="0" w:space="0" w:color="auto"/>
                <w:left w:val="none" w:sz="0" w:space="0" w:color="auto"/>
                <w:bottom w:val="none" w:sz="0" w:space="0" w:color="auto"/>
                <w:right w:val="none" w:sz="0" w:space="0" w:color="auto"/>
              </w:divBdr>
            </w:div>
          </w:divsChild>
        </w:div>
        <w:div w:id="482818481">
          <w:marLeft w:val="0"/>
          <w:marRight w:val="0"/>
          <w:marTop w:val="0"/>
          <w:marBottom w:val="0"/>
          <w:divBdr>
            <w:top w:val="none" w:sz="0" w:space="0" w:color="auto"/>
            <w:left w:val="none" w:sz="0" w:space="0" w:color="auto"/>
            <w:bottom w:val="none" w:sz="0" w:space="0" w:color="auto"/>
            <w:right w:val="none" w:sz="0" w:space="0" w:color="auto"/>
          </w:divBdr>
          <w:divsChild>
            <w:div w:id="31734966">
              <w:marLeft w:val="0"/>
              <w:marRight w:val="0"/>
              <w:marTop w:val="0"/>
              <w:marBottom w:val="0"/>
              <w:divBdr>
                <w:top w:val="none" w:sz="0" w:space="0" w:color="auto"/>
                <w:left w:val="none" w:sz="0" w:space="0" w:color="auto"/>
                <w:bottom w:val="none" w:sz="0" w:space="0" w:color="auto"/>
                <w:right w:val="none" w:sz="0" w:space="0" w:color="auto"/>
              </w:divBdr>
            </w:div>
          </w:divsChild>
        </w:div>
        <w:div w:id="497311230">
          <w:marLeft w:val="0"/>
          <w:marRight w:val="0"/>
          <w:marTop w:val="0"/>
          <w:marBottom w:val="0"/>
          <w:divBdr>
            <w:top w:val="none" w:sz="0" w:space="0" w:color="auto"/>
            <w:left w:val="none" w:sz="0" w:space="0" w:color="auto"/>
            <w:bottom w:val="none" w:sz="0" w:space="0" w:color="auto"/>
            <w:right w:val="none" w:sz="0" w:space="0" w:color="auto"/>
          </w:divBdr>
          <w:divsChild>
            <w:div w:id="760217734">
              <w:marLeft w:val="0"/>
              <w:marRight w:val="0"/>
              <w:marTop w:val="0"/>
              <w:marBottom w:val="0"/>
              <w:divBdr>
                <w:top w:val="none" w:sz="0" w:space="0" w:color="auto"/>
                <w:left w:val="none" w:sz="0" w:space="0" w:color="auto"/>
                <w:bottom w:val="none" w:sz="0" w:space="0" w:color="auto"/>
                <w:right w:val="none" w:sz="0" w:space="0" w:color="auto"/>
              </w:divBdr>
            </w:div>
          </w:divsChild>
        </w:div>
        <w:div w:id="527135546">
          <w:marLeft w:val="0"/>
          <w:marRight w:val="0"/>
          <w:marTop w:val="0"/>
          <w:marBottom w:val="0"/>
          <w:divBdr>
            <w:top w:val="none" w:sz="0" w:space="0" w:color="auto"/>
            <w:left w:val="none" w:sz="0" w:space="0" w:color="auto"/>
            <w:bottom w:val="none" w:sz="0" w:space="0" w:color="auto"/>
            <w:right w:val="none" w:sz="0" w:space="0" w:color="auto"/>
          </w:divBdr>
          <w:divsChild>
            <w:div w:id="855582537">
              <w:marLeft w:val="0"/>
              <w:marRight w:val="0"/>
              <w:marTop w:val="0"/>
              <w:marBottom w:val="0"/>
              <w:divBdr>
                <w:top w:val="none" w:sz="0" w:space="0" w:color="auto"/>
                <w:left w:val="none" w:sz="0" w:space="0" w:color="auto"/>
                <w:bottom w:val="none" w:sz="0" w:space="0" w:color="auto"/>
                <w:right w:val="none" w:sz="0" w:space="0" w:color="auto"/>
              </w:divBdr>
            </w:div>
          </w:divsChild>
        </w:div>
        <w:div w:id="743262191">
          <w:marLeft w:val="0"/>
          <w:marRight w:val="0"/>
          <w:marTop w:val="0"/>
          <w:marBottom w:val="0"/>
          <w:divBdr>
            <w:top w:val="none" w:sz="0" w:space="0" w:color="auto"/>
            <w:left w:val="none" w:sz="0" w:space="0" w:color="auto"/>
            <w:bottom w:val="none" w:sz="0" w:space="0" w:color="auto"/>
            <w:right w:val="none" w:sz="0" w:space="0" w:color="auto"/>
          </w:divBdr>
          <w:divsChild>
            <w:div w:id="205992357">
              <w:marLeft w:val="0"/>
              <w:marRight w:val="0"/>
              <w:marTop w:val="0"/>
              <w:marBottom w:val="0"/>
              <w:divBdr>
                <w:top w:val="none" w:sz="0" w:space="0" w:color="auto"/>
                <w:left w:val="none" w:sz="0" w:space="0" w:color="auto"/>
                <w:bottom w:val="none" w:sz="0" w:space="0" w:color="auto"/>
                <w:right w:val="none" w:sz="0" w:space="0" w:color="auto"/>
              </w:divBdr>
            </w:div>
          </w:divsChild>
        </w:div>
        <w:div w:id="745230666">
          <w:marLeft w:val="0"/>
          <w:marRight w:val="0"/>
          <w:marTop w:val="0"/>
          <w:marBottom w:val="0"/>
          <w:divBdr>
            <w:top w:val="none" w:sz="0" w:space="0" w:color="auto"/>
            <w:left w:val="none" w:sz="0" w:space="0" w:color="auto"/>
            <w:bottom w:val="none" w:sz="0" w:space="0" w:color="auto"/>
            <w:right w:val="none" w:sz="0" w:space="0" w:color="auto"/>
          </w:divBdr>
          <w:divsChild>
            <w:div w:id="2138446414">
              <w:marLeft w:val="0"/>
              <w:marRight w:val="0"/>
              <w:marTop w:val="0"/>
              <w:marBottom w:val="0"/>
              <w:divBdr>
                <w:top w:val="none" w:sz="0" w:space="0" w:color="auto"/>
                <w:left w:val="none" w:sz="0" w:space="0" w:color="auto"/>
                <w:bottom w:val="none" w:sz="0" w:space="0" w:color="auto"/>
                <w:right w:val="none" w:sz="0" w:space="0" w:color="auto"/>
              </w:divBdr>
            </w:div>
          </w:divsChild>
        </w:div>
        <w:div w:id="854340901">
          <w:marLeft w:val="0"/>
          <w:marRight w:val="0"/>
          <w:marTop w:val="0"/>
          <w:marBottom w:val="0"/>
          <w:divBdr>
            <w:top w:val="none" w:sz="0" w:space="0" w:color="auto"/>
            <w:left w:val="none" w:sz="0" w:space="0" w:color="auto"/>
            <w:bottom w:val="none" w:sz="0" w:space="0" w:color="auto"/>
            <w:right w:val="none" w:sz="0" w:space="0" w:color="auto"/>
          </w:divBdr>
          <w:divsChild>
            <w:div w:id="68575737">
              <w:marLeft w:val="0"/>
              <w:marRight w:val="0"/>
              <w:marTop w:val="0"/>
              <w:marBottom w:val="0"/>
              <w:divBdr>
                <w:top w:val="none" w:sz="0" w:space="0" w:color="auto"/>
                <w:left w:val="none" w:sz="0" w:space="0" w:color="auto"/>
                <w:bottom w:val="none" w:sz="0" w:space="0" w:color="auto"/>
                <w:right w:val="none" w:sz="0" w:space="0" w:color="auto"/>
              </w:divBdr>
            </w:div>
          </w:divsChild>
        </w:div>
        <w:div w:id="911234767">
          <w:marLeft w:val="0"/>
          <w:marRight w:val="0"/>
          <w:marTop w:val="0"/>
          <w:marBottom w:val="0"/>
          <w:divBdr>
            <w:top w:val="none" w:sz="0" w:space="0" w:color="auto"/>
            <w:left w:val="none" w:sz="0" w:space="0" w:color="auto"/>
            <w:bottom w:val="none" w:sz="0" w:space="0" w:color="auto"/>
            <w:right w:val="none" w:sz="0" w:space="0" w:color="auto"/>
          </w:divBdr>
          <w:divsChild>
            <w:div w:id="135996737">
              <w:marLeft w:val="0"/>
              <w:marRight w:val="0"/>
              <w:marTop w:val="0"/>
              <w:marBottom w:val="0"/>
              <w:divBdr>
                <w:top w:val="none" w:sz="0" w:space="0" w:color="auto"/>
                <w:left w:val="none" w:sz="0" w:space="0" w:color="auto"/>
                <w:bottom w:val="none" w:sz="0" w:space="0" w:color="auto"/>
                <w:right w:val="none" w:sz="0" w:space="0" w:color="auto"/>
              </w:divBdr>
            </w:div>
          </w:divsChild>
        </w:div>
        <w:div w:id="963731974">
          <w:marLeft w:val="0"/>
          <w:marRight w:val="0"/>
          <w:marTop w:val="0"/>
          <w:marBottom w:val="0"/>
          <w:divBdr>
            <w:top w:val="none" w:sz="0" w:space="0" w:color="auto"/>
            <w:left w:val="none" w:sz="0" w:space="0" w:color="auto"/>
            <w:bottom w:val="none" w:sz="0" w:space="0" w:color="auto"/>
            <w:right w:val="none" w:sz="0" w:space="0" w:color="auto"/>
          </w:divBdr>
          <w:divsChild>
            <w:div w:id="893395355">
              <w:marLeft w:val="0"/>
              <w:marRight w:val="0"/>
              <w:marTop w:val="0"/>
              <w:marBottom w:val="0"/>
              <w:divBdr>
                <w:top w:val="none" w:sz="0" w:space="0" w:color="auto"/>
                <w:left w:val="none" w:sz="0" w:space="0" w:color="auto"/>
                <w:bottom w:val="none" w:sz="0" w:space="0" w:color="auto"/>
                <w:right w:val="none" w:sz="0" w:space="0" w:color="auto"/>
              </w:divBdr>
            </w:div>
          </w:divsChild>
        </w:div>
        <w:div w:id="1004934889">
          <w:marLeft w:val="0"/>
          <w:marRight w:val="0"/>
          <w:marTop w:val="0"/>
          <w:marBottom w:val="0"/>
          <w:divBdr>
            <w:top w:val="none" w:sz="0" w:space="0" w:color="auto"/>
            <w:left w:val="none" w:sz="0" w:space="0" w:color="auto"/>
            <w:bottom w:val="none" w:sz="0" w:space="0" w:color="auto"/>
            <w:right w:val="none" w:sz="0" w:space="0" w:color="auto"/>
          </w:divBdr>
          <w:divsChild>
            <w:div w:id="1162967724">
              <w:marLeft w:val="0"/>
              <w:marRight w:val="0"/>
              <w:marTop w:val="0"/>
              <w:marBottom w:val="0"/>
              <w:divBdr>
                <w:top w:val="none" w:sz="0" w:space="0" w:color="auto"/>
                <w:left w:val="none" w:sz="0" w:space="0" w:color="auto"/>
                <w:bottom w:val="none" w:sz="0" w:space="0" w:color="auto"/>
                <w:right w:val="none" w:sz="0" w:space="0" w:color="auto"/>
              </w:divBdr>
            </w:div>
          </w:divsChild>
        </w:div>
        <w:div w:id="1022903505">
          <w:marLeft w:val="0"/>
          <w:marRight w:val="0"/>
          <w:marTop w:val="0"/>
          <w:marBottom w:val="0"/>
          <w:divBdr>
            <w:top w:val="none" w:sz="0" w:space="0" w:color="auto"/>
            <w:left w:val="none" w:sz="0" w:space="0" w:color="auto"/>
            <w:bottom w:val="none" w:sz="0" w:space="0" w:color="auto"/>
            <w:right w:val="none" w:sz="0" w:space="0" w:color="auto"/>
          </w:divBdr>
          <w:divsChild>
            <w:div w:id="2003117517">
              <w:marLeft w:val="0"/>
              <w:marRight w:val="0"/>
              <w:marTop w:val="0"/>
              <w:marBottom w:val="0"/>
              <w:divBdr>
                <w:top w:val="none" w:sz="0" w:space="0" w:color="auto"/>
                <w:left w:val="none" w:sz="0" w:space="0" w:color="auto"/>
                <w:bottom w:val="none" w:sz="0" w:space="0" w:color="auto"/>
                <w:right w:val="none" w:sz="0" w:space="0" w:color="auto"/>
              </w:divBdr>
            </w:div>
          </w:divsChild>
        </w:div>
        <w:div w:id="1113744471">
          <w:marLeft w:val="0"/>
          <w:marRight w:val="0"/>
          <w:marTop w:val="0"/>
          <w:marBottom w:val="0"/>
          <w:divBdr>
            <w:top w:val="none" w:sz="0" w:space="0" w:color="auto"/>
            <w:left w:val="none" w:sz="0" w:space="0" w:color="auto"/>
            <w:bottom w:val="none" w:sz="0" w:space="0" w:color="auto"/>
            <w:right w:val="none" w:sz="0" w:space="0" w:color="auto"/>
          </w:divBdr>
          <w:divsChild>
            <w:div w:id="975721690">
              <w:marLeft w:val="0"/>
              <w:marRight w:val="0"/>
              <w:marTop w:val="0"/>
              <w:marBottom w:val="0"/>
              <w:divBdr>
                <w:top w:val="none" w:sz="0" w:space="0" w:color="auto"/>
                <w:left w:val="none" w:sz="0" w:space="0" w:color="auto"/>
                <w:bottom w:val="none" w:sz="0" w:space="0" w:color="auto"/>
                <w:right w:val="none" w:sz="0" w:space="0" w:color="auto"/>
              </w:divBdr>
            </w:div>
          </w:divsChild>
        </w:div>
        <w:div w:id="1149829834">
          <w:marLeft w:val="0"/>
          <w:marRight w:val="0"/>
          <w:marTop w:val="0"/>
          <w:marBottom w:val="0"/>
          <w:divBdr>
            <w:top w:val="none" w:sz="0" w:space="0" w:color="auto"/>
            <w:left w:val="none" w:sz="0" w:space="0" w:color="auto"/>
            <w:bottom w:val="none" w:sz="0" w:space="0" w:color="auto"/>
            <w:right w:val="none" w:sz="0" w:space="0" w:color="auto"/>
          </w:divBdr>
          <w:divsChild>
            <w:div w:id="1838183661">
              <w:marLeft w:val="0"/>
              <w:marRight w:val="0"/>
              <w:marTop w:val="0"/>
              <w:marBottom w:val="0"/>
              <w:divBdr>
                <w:top w:val="none" w:sz="0" w:space="0" w:color="auto"/>
                <w:left w:val="none" w:sz="0" w:space="0" w:color="auto"/>
                <w:bottom w:val="none" w:sz="0" w:space="0" w:color="auto"/>
                <w:right w:val="none" w:sz="0" w:space="0" w:color="auto"/>
              </w:divBdr>
            </w:div>
          </w:divsChild>
        </w:div>
        <w:div w:id="1225065065">
          <w:marLeft w:val="0"/>
          <w:marRight w:val="0"/>
          <w:marTop w:val="0"/>
          <w:marBottom w:val="0"/>
          <w:divBdr>
            <w:top w:val="none" w:sz="0" w:space="0" w:color="auto"/>
            <w:left w:val="none" w:sz="0" w:space="0" w:color="auto"/>
            <w:bottom w:val="none" w:sz="0" w:space="0" w:color="auto"/>
            <w:right w:val="none" w:sz="0" w:space="0" w:color="auto"/>
          </w:divBdr>
          <w:divsChild>
            <w:div w:id="1683238347">
              <w:marLeft w:val="0"/>
              <w:marRight w:val="0"/>
              <w:marTop w:val="0"/>
              <w:marBottom w:val="0"/>
              <w:divBdr>
                <w:top w:val="none" w:sz="0" w:space="0" w:color="auto"/>
                <w:left w:val="none" w:sz="0" w:space="0" w:color="auto"/>
                <w:bottom w:val="none" w:sz="0" w:space="0" w:color="auto"/>
                <w:right w:val="none" w:sz="0" w:space="0" w:color="auto"/>
              </w:divBdr>
            </w:div>
          </w:divsChild>
        </w:div>
        <w:div w:id="1292204019">
          <w:marLeft w:val="0"/>
          <w:marRight w:val="0"/>
          <w:marTop w:val="0"/>
          <w:marBottom w:val="0"/>
          <w:divBdr>
            <w:top w:val="none" w:sz="0" w:space="0" w:color="auto"/>
            <w:left w:val="none" w:sz="0" w:space="0" w:color="auto"/>
            <w:bottom w:val="none" w:sz="0" w:space="0" w:color="auto"/>
            <w:right w:val="none" w:sz="0" w:space="0" w:color="auto"/>
          </w:divBdr>
          <w:divsChild>
            <w:div w:id="1099833011">
              <w:marLeft w:val="0"/>
              <w:marRight w:val="0"/>
              <w:marTop w:val="0"/>
              <w:marBottom w:val="0"/>
              <w:divBdr>
                <w:top w:val="none" w:sz="0" w:space="0" w:color="auto"/>
                <w:left w:val="none" w:sz="0" w:space="0" w:color="auto"/>
                <w:bottom w:val="none" w:sz="0" w:space="0" w:color="auto"/>
                <w:right w:val="none" w:sz="0" w:space="0" w:color="auto"/>
              </w:divBdr>
            </w:div>
          </w:divsChild>
        </w:div>
        <w:div w:id="1308702496">
          <w:marLeft w:val="0"/>
          <w:marRight w:val="0"/>
          <w:marTop w:val="0"/>
          <w:marBottom w:val="0"/>
          <w:divBdr>
            <w:top w:val="none" w:sz="0" w:space="0" w:color="auto"/>
            <w:left w:val="none" w:sz="0" w:space="0" w:color="auto"/>
            <w:bottom w:val="none" w:sz="0" w:space="0" w:color="auto"/>
            <w:right w:val="none" w:sz="0" w:space="0" w:color="auto"/>
          </w:divBdr>
          <w:divsChild>
            <w:div w:id="1473861563">
              <w:marLeft w:val="0"/>
              <w:marRight w:val="0"/>
              <w:marTop w:val="0"/>
              <w:marBottom w:val="0"/>
              <w:divBdr>
                <w:top w:val="none" w:sz="0" w:space="0" w:color="auto"/>
                <w:left w:val="none" w:sz="0" w:space="0" w:color="auto"/>
                <w:bottom w:val="none" w:sz="0" w:space="0" w:color="auto"/>
                <w:right w:val="none" w:sz="0" w:space="0" w:color="auto"/>
              </w:divBdr>
            </w:div>
          </w:divsChild>
        </w:div>
        <w:div w:id="1309936769">
          <w:marLeft w:val="0"/>
          <w:marRight w:val="0"/>
          <w:marTop w:val="0"/>
          <w:marBottom w:val="0"/>
          <w:divBdr>
            <w:top w:val="none" w:sz="0" w:space="0" w:color="auto"/>
            <w:left w:val="none" w:sz="0" w:space="0" w:color="auto"/>
            <w:bottom w:val="none" w:sz="0" w:space="0" w:color="auto"/>
            <w:right w:val="none" w:sz="0" w:space="0" w:color="auto"/>
          </w:divBdr>
          <w:divsChild>
            <w:div w:id="1750616568">
              <w:marLeft w:val="0"/>
              <w:marRight w:val="0"/>
              <w:marTop w:val="0"/>
              <w:marBottom w:val="0"/>
              <w:divBdr>
                <w:top w:val="none" w:sz="0" w:space="0" w:color="auto"/>
                <w:left w:val="none" w:sz="0" w:space="0" w:color="auto"/>
                <w:bottom w:val="none" w:sz="0" w:space="0" w:color="auto"/>
                <w:right w:val="none" w:sz="0" w:space="0" w:color="auto"/>
              </w:divBdr>
            </w:div>
          </w:divsChild>
        </w:div>
        <w:div w:id="1312910344">
          <w:marLeft w:val="0"/>
          <w:marRight w:val="0"/>
          <w:marTop w:val="0"/>
          <w:marBottom w:val="0"/>
          <w:divBdr>
            <w:top w:val="none" w:sz="0" w:space="0" w:color="auto"/>
            <w:left w:val="none" w:sz="0" w:space="0" w:color="auto"/>
            <w:bottom w:val="none" w:sz="0" w:space="0" w:color="auto"/>
            <w:right w:val="none" w:sz="0" w:space="0" w:color="auto"/>
          </w:divBdr>
          <w:divsChild>
            <w:div w:id="275018332">
              <w:marLeft w:val="0"/>
              <w:marRight w:val="0"/>
              <w:marTop w:val="0"/>
              <w:marBottom w:val="0"/>
              <w:divBdr>
                <w:top w:val="none" w:sz="0" w:space="0" w:color="auto"/>
                <w:left w:val="none" w:sz="0" w:space="0" w:color="auto"/>
                <w:bottom w:val="none" w:sz="0" w:space="0" w:color="auto"/>
                <w:right w:val="none" w:sz="0" w:space="0" w:color="auto"/>
              </w:divBdr>
            </w:div>
          </w:divsChild>
        </w:div>
        <w:div w:id="1334915921">
          <w:marLeft w:val="0"/>
          <w:marRight w:val="0"/>
          <w:marTop w:val="0"/>
          <w:marBottom w:val="0"/>
          <w:divBdr>
            <w:top w:val="none" w:sz="0" w:space="0" w:color="auto"/>
            <w:left w:val="none" w:sz="0" w:space="0" w:color="auto"/>
            <w:bottom w:val="none" w:sz="0" w:space="0" w:color="auto"/>
            <w:right w:val="none" w:sz="0" w:space="0" w:color="auto"/>
          </w:divBdr>
          <w:divsChild>
            <w:div w:id="1927348383">
              <w:marLeft w:val="0"/>
              <w:marRight w:val="0"/>
              <w:marTop w:val="0"/>
              <w:marBottom w:val="0"/>
              <w:divBdr>
                <w:top w:val="none" w:sz="0" w:space="0" w:color="auto"/>
                <w:left w:val="none" w:sz="0" w:space="0" w:color="auto"/>
                <w:bottom w:val="none" w:sz="0" w:space="0" w:color="auto"/>
                <w:right w:val="none" w:sz="0" w:space="0" w:color="auto"/>
              </w:divBdr>
            </w:div>
          </w:divsChild>
        </w:div>
        <w:div w:id="1335954550">
          <w:marLeft w:val="0"/>
          <w:marRight w:val="0"/>
          <w:marTop w:val="0"/>
          <w:marBottom w:val="0"/>
          <w:divBdr>
            <w:top w:val="none" w:sz="0" w:space="0" w:color="auto"/>
            <w:left w:val="none" w:sz="0" w:space="0" w:color="auto"/>
            <w:bottom w:val="none" w:sz="0" w:space="0" w:color="auto"/>
            <w:right w:val="none" w:sz="0" w:space="0" w:color="auto"/>
          </w:divBdr>
          <w:divsChild>
            <w:div w:id="1423376513">
              <w:marLeft w:val="0"/>
              <w:marRight w:val="0"/>
              <w:marTop w:val="0"/>
              <w:marBottom w:val="0"/>
              <w:divBdr>
                <w:top w:val="none" w:sz="0" w:space="0" w:color="auto"/>
                <w:left w:val="none" w:sz="0" w:space="0" w:color="auto"/>
                <w:bottom w:val="none" w:sz="0" w:space="0" w:color="auto"/>
                <w:right w:val="none" w:sz="0" w:space="0" w:color="auto"/>
              </w:divBdr>
            </w:div>
          </w:divsChild>
        </w:div>
        <w:div w:id="1379352687">
          <w:marLeft w:val="0"/>
          <w:marRight w:val="0"/>
          <w:marTop w:val="0"/>
          <w:marBottom w:val="0"/>
          <w:divBdr>
            <w:top w:val="none" w:sz="0" w:space="0" w:color="auto"/>
            <w:left w:val="none" w:sz="0" w:space="0" w:color="auto"/>
            <w:bottom w:val="none" w:sz="0" w:space="0" w:color="auto"/>
            <w:right w:val="none" w:sz="0" w:space="0" w:color="auto"/>
          </w:divBdr>
          <w:divsChild>
            <w:div w:id="1222672295">
              <w:marLeft w:val="0"/>
              <w:marRight w:val="0"/>
              <w:marTop w:val="0"/>
              <w:marBottom w:val="0"/>
              <w:divBdr>
                <w:top w:val="none" w:sz="0" w:space="0" w:color="auto"/>
                <w:left w:val="none" w:sz="0" w:space="0" w:color="auto"/>
                <w:bottom w:val="none" w:sz="0" w:space="0" w:color="auto"/>
                <w:right w:val="none" w:sz="0" w:space="0" w:color="auto"/>
              </w:divBdr>
            </w:div>
          </w:divsChild>
        </w:div>
        <w:div w:id="1408770583">
          <w:marLeft w:val="0"/>
          <w:marRight w:val="0"/>
          <w:marTop w:val="0"/>
          <w:marBottom w:val="0"/>
          <w:divBdr>
            <w:top w:val="none" w:sz="0" w:space="0" w:color="auto"/>
            <w:left w:val="none" w:sz="0" w:space="0" w:color="auto"/>
            <w:bottom w:val="none" w:sz="0" w:space="0" w:color="auto"/>
            <w:right w:val="none" w:sz="0" w:space="0" w:color="auto"/>
          </w:divBdr>
          <w:divsChild>
            <w:div w:id="1976837969">
              <w:marLeft w:val="0"/>
              <w:marRight w:val="0"/>
              <w:marTop w:val="0"/>
              <w:marBottom w:val="0"/>
              <w:divBdr>
                <w:top w:val="none" w:sz="0" w:space="0" w:color="auto"/>
                <w:left w:val="none" w:sz="0" w:space="0" w:color="auto"/>
                <w:bottom w:val="none" w:sz="0" w:space="0" w:color="auto"/>
                <w:right w:val="none" w:sz="0" w:space="0" w:color="auto"/>
              </w:divBdr>
            </w:div>
          </w:divsChild>
        </w:div>
        <w:div w:id="1553152831">
          <w:marLeft w:val="0"/>
          <w:marRight w:val="0"/>
          <w:marTop w:val="0"/>
          <w:marBottom w:val="0"/>
          <w:divBdr>
            <w:top w:val="none" w:sz="0" w:space="0" w:color="auto"/>
            <w:left w:val="none" w:sz="0" w:space="0" w:color="auto"/>
            <w:bottom w:val="none" w:sz="0" w:space="0" w:color="auto"/>
            <w:right w:val="none" w:sz="0" w:space="0" w:color="auto"/>
          </w:divBdr>
          <w:divsChild>
            <w:div w:id="225336329">
              <w:marLeft w:val="0"/>
              <w:marRight w:val="0"/>
              <w:marTop w:val="0"/>
              <w:marBottom w:val="0"/>
              <w:divBdr>
                <w:top w:val="none" w:sz="0" w:space="0" w:color="auto"/>
                <w:left w:val="none" w:sz="0" w:space="0" w:color="auto"/>
                <w:bottom w:val="none" w:sz="0" w:space="0" w:color="auto"/>
                <w:right w:val="none" w:sz="0" w:space="0" w:color="auto"/>
              </w:divBdr>
            </w:div>
          </w:divsChild>
        </w:div>
        <w:div w:id="1576863645">
          <w:marLeft w:val="0"/>
          <w:marRight w:val="0"/>
          <w:marTop w:val="0"/>
          <w:marBottom w:val="0"/>
          <w:divBdr>
            <w:top w:val="none" w:sz="0" w:space="0" w:color="auto"/>
            <w:left w:val="none" w:sz="0" w:space="0" w:color="auto"/>
            <w:bottom w:val="none" w:sz="0" w:space="0" w:color="auto"/>
            <w:right w:val="none" w:sz="0" w:space="0" w:color="auto"/>
          </w:divBdr>
          <w:divsChild>
            <w:div w:id="261494588">
              <w:marLeft w:val="0"/>
              <w:marRight w:val="0"/>
              <w:marTop w:val="0"/>
              <w:marBottom w:val="0"/>
              <w:divBdr>
                <w:top w:val="none" w:sz="0" w:space="0" w:color="auto"/>
                <w:left w:val="none" w:sz="0" w:space="0" w:color="auto"/>
                <w:bottom w:val="none" w:sz="0" w:space="0" w:color="auto"/>
                <w:right w:val="none" w:sz="0" w:space="0" w:color="auto"/>
              </w:divBdr>
            </w:div>
          </w:divsChild>
        </w:div>
        <w:div w:id="1588683904">
          <w:marLeft w:val="0"/>
          <w:marRight w:val="0"/>
          <w:marTop w:val="0"/>
          <w:marBottom w:val="0"/>
          <w:divBdr>
            <w:top w:val="none" w:sz="0" w:space="0" w:color="auto"/>
            <w:left w:val="none" w:sz="0" w:space="0" w:color="auto"/>
            <w:bottom w:val="none" w:sz="0" w:space="0" w:color="auto"/>
            <w:right w:val="none" w:sz="0" w:space="0" w:color="auto"/>
          </w:divBdr>
          <w:divsChild>
            <w:div w:id="983895510">
              <w:marLeft w:val="0"/>
              <w:marRight w:val="0"/>
              <w:marTop w:val="0"/>
              <w:marBottom w:val="0"/>
              <w:divBdr>
                <w:top w:val="none" w:sz="0" w:space="0" w:color="auto"/>
                <w:left w:val="none" w:sz="0" w:space="0" w:color="auto"/>
                <w:bottom w:val="none" w:sz="0" w:space="0" w:color="auto"/>
                <w:right w:val="none" w:sz="0" w:space="0" w:color="auto"/>
              </w:divBdr>
            </w:div>
          </w:divsChild>
        </w:div>
        <w:div w:id="1610888412">
          <w:marLeft w:val="0"/>
          <w:marRight w:val="0"/>
          <w:marTop w:val="0"/>
          <w:marBottom w:val="0"/>
          <w:divBdr>
            <w:top w:val="none" w:sz="0" w:space="0" w:color="auto"/>
            <w:left w:val="none" w:sz="0" w:space="0" w:color="auto"/>
            <w:bottom w:val="none" w:sz="0" w:space="0" w:color="auto"/>
            <w:right w:val="none" w:sz="0" w:space="0" w:color="auto"/>
          </w:divBdr>
          <w:divsChild>
            <w:div w:id="800852398">
              <w:marLeft w:val="0"/>
              <w:marRight w:val="0"/>
              <w:marTop w:val="0"/>
              <w:marBottom w:val="0"/>
              <w:divBdr>
                <w:top w:val="none" w:sz="0" w:space="0" w:color="auto"/>
                <w:left w:val="none" w:sz="0" w:space="0" w:color="auto"/>
                <w:bottom w:val="none" w:sz="0" w:space="0" w:color="auto"/>
                <w:right w:val="none" w:sz="0" w:space="0" w:color="auto"/>
              </w:divBdr>
            </w:div>
          </w:divsChild>
        </w:div>
        <w:div w:id="1682393036">
          <w:marLeft w:val="0"/>
          <w:marRight w:val="0"/>
          <w:marTop w:val="0"/>
          <w:marBottom w:val="0"/>
          <w:divBdr>
            <w:top w:val="none" w:sz="0" w:space="0" w:color="auto"/>
            <w:left w:val="none" w:sz="0" w:space="0" w:color="auto"/>
            <w:bottom w:val="none" w:sz="0" w:space="0" w:color="auto"/>
            <w:right w:val="none" w:sz="0" w:space="0" w:color="auto"/>
          </w:divBdr>
          <w:divsChild>
            <w:div w:id="377974864">
              <w:marLeft w:val="0"/>
              <w:marRight w:val="0"/>
              <w:marTop w:val="0"/>
              <w:marBottom w:val="0"/>
              <w:divBdr>
                <w:top w:val="none" w:sz="0" w:space="0" w:color="auto"/>
                <w:left w:val="none" w:sz="0" w:space="0" w:color="auto"/>
                <w:bottom w:val="none" w:sz="0" w:space="0" w:color="auto"/>
                <w:right w:val="none" w:sz="0" w:space="0" w:color="auto"/>
              </w:divBdr>
            </w:div>
          </w:divsChild>
        </w:div>
        <w:div w:id="1740590855">
          <w:marLeft w:val="0"/>
          <w:marRight w:val="0"/>
          <w:marTop w:val="0"/>
          <w:marBottom w:val="0"/>
          <w:divBdr>
            <w:top w:val="none" w:sz="0" w:space="0" w:color="auto"/>
            <w:left w:val="none" w:sz="0" w:space="0" w:color="auto"/>
            <w:bottom w:val="none" w:sz="0" w:space="0" w:color="auto"/>
            <w:right w:val="none" w:sz="0" w:space="0" w:color="auto"/>
          </w:divBdr>
          <w:divsChild>
            <w:div w:id="752551429">
              <w:marLeft w:val="0"/>
              <w:marRight w:val="0"/>
              <w:marTop w:val="0"/>
              <w:marBottom w:val="0"/>
              <w:divBdr>
                <w:top w:val="none" w:sz="0" w:space="0" w:color="auto"/>
                <w:left w:val="none" w:sz="0" w:space="0" w:color="auto"/>
                <w:bottom w:val="none" w:sz="0" w:space="0" w:color="auto"/>
                <w:right w:val="none" w:sz="0" w:space="0" w:color="auto"/>
              </w:divBdr>
            </w:div>
          </w:divsChild>
        </w:div>
        <w:div w:id="1768113048">
          <w:marLeft w:val="0"/>
          <w:marRight w:val="0"/>
          <w:marTop w:val="0"/>
          <w:marBottom w:val="0"/>
          <w:divBdr>
            <w:top w:val="none" w:sz="0" w:space="0" w:color="auto"/>
            <w:left w:val="none" w:sz="0" w:space="0" w:color="auto"/>
            <w:bottom w:val="none" w:sz="0" w:space="0" w:color="auto"/>
            <w:right w:val="none" w:sz="0" w:space="0" w:color="auto"/>
          </w:divBdr>
          <w:divsChild>
            <w:div w:id="724446474">
              <w:marLeft w:val="0"/>
              <w:marRight w:val="0"/>
              <w:marTop w:val="0"/>
              <w:marBottom w:val="0"/>
              <w:divBdr>
                <w:top w:val="none" w:sz="0" w:space="0" w:color="auto"/>
                <w:left w:val="none" w:sz="0" w:space="0" w:color="auto"/>
                <w:bottom w:val="none" w:sz="0" w:space="0" w:color="auto"/>
                <w:right w:val="none" w:sz="0" w:space="0" w:color="auto"/>
              </w:divBdr>
            </w:div>
          </w:divsChild>
        </w:div>
        <w:div w:id="1777824810">
          <w:marLeft w:val="0"/>
          <w:marRight w:val="0"/>
          <w:marTop w:val="0"/>
          <w:marBottom w:val="0"/>
          <w:divBdr>
            <w:top w:val="none" w:sz="0" w:space="0" w:color="auto"/>
            <w:left w:val="none" w:sz="0" w:space="0" w:color="auto"/>
            <w:bottom w:val="none" w:sz="0" w:space="0" w:color="auto"/>
            <w:right w:val="none" w:sz="0" w:space="0" w:color="auto"/>
          </w:divBdr>
          <w:divsChild>
            <w:div w:id="2066372146">
              <w:marLeft w:val="0"/>
              <w:marRight w:val="0"/>
              <w:marTop w:val="0"/>
              <w:marBottom w:val="0"/>
              <w:divBdr>
                <w:top w:val="none" w:sz="0" w:space="0" w:color="auto"/>
                <w:left w:val="none" w:sz="0" w:space="0" w:color="auto"/>
                <w:bottom w:val="none" w:sz="0" w:space="0" w:color="auto"/>
                <w:right w:val="none" w:sz="0" w:space="0" w:color="auto"/>
              </w:divBdr>
            </w:div>
          </w:divsChild>
        </w:div>
        <w:div w:id="1784955166">
          <w:marLeft w:val="0"/>
          <w:marRight w:val="0"/>
          <w:marTop w:val="0"/>
          <w:marBottom w:val="0"/>
          <w:divBdr>
            <w:top w:val="none" w:sz="0" w:space="0" w:color="auto"/>
            <w:left w:val="none" w:sz="0" w:space="0" w:color="auto"/>
            <w:bottom w:val="none" w:sz="0" w:space="0" w:color="auto"/>
            <w:right w:val="none" w:sz="0" w:space="0" w:color="auto"/>
          </w:divBdr>
          <w:divsChild>
            <w:div w:id="1362323609">
              <w:marLeft w:val="0"/>
              <w:marRight w:val="0"/>
              <w:marTop w:val="0"/>
              <w:marBottom w:val="0"/>
              <w:divBdr>
                <w:top w:val="none" w:sz="0" w:space="0" w:color="auto"/>
                <w:left w:val="none" w:sz="0" w:space="0" w:color="auto"/>
                <w:bottom w:val="none" w:sz="0" w:space="0" w:color="auto"/>
                <w:right w:val="none" w:sz="0" w:space="0" w:color="auto"/>
              </w:divBdr>
            </w:div>
          </w:divsChild>
        </w:div>
        <w:div w:id="1880194213">
          <w:marLeft w:val="0"/>
          <w:marRight w:val="0"/>
          <w:marTop w:val="0"/>
          <w:marBottom w:val="0"/>
          <w:divBdr>
            <w:top w:val="none" w:sz="0" w:space="0" w:color="auto"/>
            <w:left w:val="none" w:sz="0" w:space="0" w:color="auto"/>
            <w:bottom w:val="none" w:sz="0" w:space="0" w:color="auto"/>
            <w:right w:val="none" w:sz="0" w:space="0" w:color="auto"/>
          </w:divBdr>
          <w:divsChild>
            <w:div w:id="1571966007">
              <w:marLeft w:val="0"/>
              <w:marRight w:val="0"/>
              <w:marTop w:val="0"/>
              <w:marBottom w:val="0"/>
              <w:divBdr>
                <w:top w:val="none" w:sz="0" w:space="0" w:color="auto"/>
                <w:left w:val="none" w:sz="0" w:space="0" w:color="auto"/>
                <w:bottom w:val="none" w:sz="0" w:space="0" w:color="auto"/>
                <w:right w:val="none" w:sz="0" w:space="0" w:color="auto"/>
              </w:divBdr>
            </w:div>
          </w:divsChild>
        </w:div>
        <w:div w:id="1892840961">
          <w:marLeft w:val="0"/>
          <w:marRight w:val="0"/>
          <w:marTop w:val="0"/>
          <w:marBottom w:val="0"/>
          <w:divBdr>
            <w:top w:val="none" w:sz="0" w:space="0" w:color="auto"/>
            <w:left w:val="none" w:sz="0" w:space="0" w:color="auto"/>
            <w:bottom w:val="none" w:sz="0" w:space="0" w:color="auto"/>
            <w:right w:val="none" w:sz="0" w:space="0" w:color="auto"/>
          </w:divBdr>
          <w:divsChild>
            <w:div w:id="802190651">
              <w:marLeft w:val="0"/>
              <w:marRight w:val="0"/>
              <w:marTop w:val="0"/>
              <w:marBottom w:val="0"/>
              <w:divBdr>
                <w:top w:val="none" w:sz="0" w:space="0" w:color="auto"/>
                <w:left w:val="none" w:sz="0" w:space="0" w:color="auto"/>
                <w:bottom w:val="none" w:sz="0" w:space="0" w:color="auto"/>
                <w:right w:val="none" w:sz="0" w:space="0" w:color="auto"/>
              </w:divBdr>
            </w:div>
          </w:divsChild>
        </w:div>
        <w:div w:id="1961915169">
          <w:marLeft w:val="0"/>
          <w:marRight w:val="0"/>
          <w:marTop w:val="0"/>
          <w:marBottom w:val="0"/>
          <w:divBdr>
            <w:top w:val="none" w:sz="0" w:space="0" w:color="auto"/>
            <w:left w:val="none" w:sz="0" w:space="0" w:color="auto"/>
            <w:bottom w:val="none" w:sz="0" w:space="0" w:color="auto"/>
            <w:right w:val="none" w:sz="0" w:space="0" w:color="auto"/>
          </w:divBdr>
          <w:divsChild>
            <w:div w:id="187182761">
              <w:marLeft w:val="0"/>
              <w:marRight w:val="0"/>
              <w:marTop w:val="0"/>
              <w:marBottom w:val="0"/>
              <w:divBdr>
                <w:top w:val="none" w:sz="0" w:space="0" w:color="auto"/>
                <w:left w:val="none" w:sz="0" w:space="0" w:color="auto"/>
                <w:bottom w:val="none" w:sz="0" w:space="0" w:color="auto"/>
                <w:right w:val="none" w:sz="0" w:space="0" w:color="auto"/>
              </w:divBdr>
            </w:div>
            <w:div w:id="655958925">
              <w:marLeft w:val="0"/>
              <w:marRight w:val="0"/>
              <w:marTop w:val="0"/>
              <w:marBottom w:val="0"/>
              <w:divBdr>
                <w:top w:val="none" w:sz="0" w:space="0" w:color="auto"/>
                <w:left w:val="none" w:sz="0" w:space="0" w:color="auto"/>
                <w:bottom w:val="none" w:sz="0" w:space="0" w:color="auto"/>
                <w:right w:val="none" w:sz="0" w:space="0" w:color="auto"/>
              </w:divBdr>
            </w:div>
          </w:divsChild>
        </w:div>
        <w:div w:id="2041004290">
          <w:marLeft w:val="0"/>
          <w:marRight w:val="0"/>
          <w:marTop w:val="0"/>
          <w:marBottom w:val="0"/>
          <w:divBdr>
            <w:top w:val="none" w:sz="0" w:space="0" w:color="auto"/>
            <w:left w:val="none" w:sz="0" w:space="0" w:color="auto"/>
            <w:bottom w:val="none" w:sz="0" w:space="0" w:color="auto"/>
            <w:right w:val="none" w:sz="0" w:space="0" w:color="auto"/>
          </w:divBdr>
          <w:divsChild>
            <w:div w:id="2079861032">
              <w:marLeft w:val="0"/>
              <w:marRight w:val="0"/>
              <w:marTop w:val="0"/>
              <w:marBottom w:val="0"/>
              <w:divBdr>
                <w:top w:val="none" w:sz="0" w:space="0" w:color="auto"/>
                <w:left w:val="none" w:sz="0" w:space="0" w:color="auto"/>
                <w:bottom w:val="none" w:sz="0" w:space="0" w:color="auto"/>
                <w:right w:val="none" w:sz="0" w:space="0" w:color="auto"/>
              </w:divBdr>
            </w:div>
          </w:divsChild>
        </w:div>
        <w:div w:id="2059088000">
          <w:marLeft w:val="0"/>
          <w:marRight w:val="0"/>
          <w:marTop w:val="0"/>
          <w:marBottom w:val="0"/>
          <w:divBdr>
            <w:top w:val="none" w:sz="0" w:space="0" w:color="auto"/>
            <w:left w:val="none" w:sz="0" w:space="0" w:color="auto"/>
            <w:bottom w:val="none" w:sz="0" w:space="0" w:color="auto"/>
            <w:right w:val="none" w:sz="0" w:space="0" w:color="auto"/>
          </w:divBdr>
          <w:divsChild>
            <w:div w:id="2048211358">
              <w:marLeft w:val="0"/>
              <w:marRight w:val="0"/>
              <w:marTop w:val="0"/>
              <w:marBottom w:val="0"/>
              <w:divBdr>
                <w:top w:val="none" w:sz="0" w:space="0" w:color="auto"/>
                <w:left w:val="none" w:sz="0" w:space="0" w:color="auto"/>
                <w:bottom w:val="none" w:sz="0" w:space="0" w:color="auto"/>
                <w:right w:val="none" w:sz="0" w:space="0" w:color="auto"/>
              </w:divBdr>
            </w:div>
          </w:divsChild>
        </w:div>
        <w:div w:id="2101559082">
          <w:marLeft w:val="0"/>
          <w:marRight w:val="0"/>
          <w:marTop w:val="0"/>
          <w:marBottom w:val="0"/>
          <w:divBdr>
            <w:top w:val="none" w:sz="0" w:space="0" w:color="auto"/>
            <w:left w:val="none" w:sz="0" w:space="0" w:color="auto"/>
            <w:bottom w:val="none" w:sz="0" w:space="0" w:color="auto"/>
            <w:right w:val="none" w:sz="0" w:space="0" w:color="auto"/>
          </w:divBdr>
          <w:divsChild>
            <w:div w:id="2344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42030">
      <w:bodyDiv w:val="1"/>
      <w:marLeft w:val="0"/>
      <w:marRight w:val="0"/>
      <w:marTop w:val="0"/>
      <w:marBottom w:val="0"/>
      <w:divBdr>
        <w:top w:val="none" w:sz="0" w:space="0" w:color="auto"/>
        <w:left w:val="none" w:sz="0" w:space="0" w:color="auto"/>
        <w:bottom w:val="none" w:sz="0" w:space="0" w:color="auto"/>
        <w:right w:val="none" w:sz="0" w:space="0" w:color="auto"/>
      </w:divBdr>
    </w:div>
    <w:div w:id="646327083">
      <w:bodyDiv w:val="1"/>
      <w:marLeft w:val="0"/>
      <w:marRight w:val="0"/>
      <w:marTop w:val="0"/>
      <w:marBottom w:val="0"/>
      <w:divBdr>
        <w:top w:val="none" w:sz="0" w:space="0" w:color="auto"/>
        <w:left w:val="none" w:sz="0" w:space="0" w:color="auto"/>
        <w:bottom w:val="none" w:sz="0" w:space="0" w:color="auto"/>
        <w:right w:val="none" w:sz="0" w:space="0" w:color="auto"/>
      </w:divBdr>
    </w:div>
    <w:div w:id="671034298">
      <w:bodyDiv w:val="1"/>
      <w:marLeft w:val="0"/>
      <w:marRight w:val="0"/>
      <w:marTop w:val="0"/>
      <w:marBottom w:val="0"/>
      <w:divBdr>
        <w:top w:val="none" w:sz="0" w:space="0" w:color="auto"/>
        <w:left w:val="none" w:sz="0" w:space="0" w:color="auto"/>
        <w:bottom w:val="none" w:sz="0" w:space="0" w:color="auto"/>
        <w:right w:val="none" w:sz="0" w:space="0" w:color="auto"/>
      </w:divBdr>
    </w:div>
    <w:div w:id="821852724">
      <w:bodyDiv w:val="1"/>
      <w:marLeft w:val="0"/>
      <w:marRight w:val="0"/>
      <w:marTop w:val="0"/>
      <w:marBottom w:val="0"/>
      <w:divBdr>
        <w:top w:val="none" w:sz="0" w:space="0" w:color="auto"/>
        <w:left w:val="none" w:sz="0" w:space="0" w:color="auto"/>
        <w:bottom w:val="none" w:sz="0" w:space="0" w:color="auto"/>
        <w:right w:val="none" w:sz="0" w:space="0" w:color="auto"/>
      </w:divBdr>
    </w:div>
    <w:div w:id="1041704983">
      <w:bodyDiv w:val="1"/>
      <w:marLeft w:val="0"/>
      <w:marRight w:val="0"/>
      <w:marTop w:val="0"/>
      <w:marBottom w:val="0"/>
      <w:divBdr>
        <w:top w:val="none" w:sz="0" w:space="0" w:color="auto"/>
        <w:left w:val="none" w:sz="0" w:space="0" w:color="auto"/>
        <w:bottom w:val="none" w:sz="0" w:space="0" w:color="auto"/>
        <w:right w:val="none" w:sz="0" w:space="0" w:color="auto"/>
      </w:divBdr>
      <w:divsChild>
        <w:div w:id="36399042">
          <w:marLeft w:val="0"/>
          <w:marRight w:val="0"/>
          <w:marTop w:val="0"/>
          <w:marBottom w:val="0"/>
          <w:divBdr>
            <w:top w:val="none" w:sz="0" w:space="0" w:color="auto"/>
            <w:left w:val="none" w:sz="0" w:space="0" w:color="auto"/>
            <w:bottom w:val="none" w:sz="0" w:space="0" w:color="auto"/>
            <w:right w:val="none" w:sz="0" w:space="0" w:color="auto"/>
          </w:divBdr>
        </w:div>
        <w:div w:id="104353068">
          <w:marLeft w:val="0"/>
          <w:marRight w:val="0"/>
          <w:marTop w:val="0"/>
          <w:marBottom w:val="0"/>
          <w:divBdr>
            <w:top w:val="none" w:sz="0" w:space="0" w:color="auto"/>
            <w:left w:val="none" w:sz="0" w:space="0" w:color="auto"/>
            <w:bottom w:val="none" w:sz="0" w:space="0" w:color="auto"/>
            <w:right w:val="none" w:sz="0" w:space="0" w:color="auto"/>
          </w:divBdr>
        </w:div>
        <w:div w:id="171919283">
          <w:marLeft w:val="0"/>
          <w:marRight w:val="0"/>
          <w:marTop w:val="0"/>
          <w:marBottom w:val="0"/>
          <w:divBdr>
            <w:top w:val="none" w:sz="0" w:space="0" w:color="auto"/>
            <w:left w:val="none" w:sz="0" w:space="0" w:color="auto"/>
            <w:bottom w:val="none" w:sz="0" w:space="0" w:color="auto"/>
            <w:right w:val="none" w:sz="0" w:space="0" w:color="auto"/>
          </w:divBdr>
        </w:div>
        <w:div w:id="325017057">
          <w:marLeft w:val="0"/>
          <w:marRight w:val="0"/>
          <w:marTop w:val="0"/>
          <w:marBottom w:val="0"/>
          <w:divBdr>
            <w:top w:val="none" w:sz="0" w:space="0" w:color="auto"/>
            <w:left w:val="none" w:sz="0" w:space="0" w:color="auto"/>
            <w:bottom w:val="none" w:sz="0" w:space="0" w:color="auto"/>
            <w:right w:val="none" w:sz="0" w:space="0" w:color="auto"/>
          </w:divBdr>
        </w:div>
        <w:div w:id="424499336">
          <w:marLeft w:val="0"/>
          <w:marRight w:val="0"/>
          <w:marTop w:val="0"/>
          <w:marBottom w:val="0"/>
          <w:divBdr>
            <w:top w:val="none" w:sz="0" w:space="0" w:color="auto"/>
            <w:left w:val="none" w:sz="0" w:space="0" w:color="auto"/>
            <w:bottom w:val="none" w:sz="0" w:space="0" w:color="auto"/>
            <w:right w:val="none" w:sz="0" w:space="0" w:color="auto"/>
          </w:divBdr>
        </w:div>
        <w:div w:id="514811958">
          <w:marLeft w:val="0"/>
          <w:marRight w:val="0"/>
          <w:marTop w:val="0"/>
          <w:marBottom w:val="0"/>
          <w:divBdr>
            <w:top w:val="none" w:sz="0" w:space="0" w:color="auto"/>
            <w:left w:val="none" w:sz="0" w:space="0" w:color="auto"/>
            <w:bottom w:val="none" w:sz="0" w:space="0" w:color="auto"/>
            <w:right w:val="none" w:sz="0" w:space="0" w:color="auto"/>
          </w:divBdr>
        </w:div>
        <w:div w:id="545993312">
          <w:marLeft w:val="0"/>
          <w:marRight w:val="0"/>
          <w:marTop w:val="0"/>
          <w:marBottom w:val="0"/>
          <w:divBdr>
            <w:top w:val="none" w:sz="0" w:space="0" w:color="auto"/>
            <w:left w:val="none" w:sz="0" w:space="0" w:color="auto"/>
            <w:bottom w:val="none" w:sz="0" w:space="0" w:color="auto"/>
            <w:right w:val="none" w:sz="0" w:space="0" w:color="auto"/>
          </w:divBdr>
        </w:div>
        <w:div w:id="589389220">
          <w:marLeft w:val="0"/>
          <w:marRight w:val="0"/>
          <w:marTop w:val="0"/>
          <w:marBottom w:val="0"/>
          <w:divBdr>
            <w:top w:val="none" w:sz="0" w:space="0" w:color="auto"/>
            <w:left w:val="none" w:sz="0" w:space="0" w:color="auto"/>
            <w:bottom w:val="none" w:sz="0" w:space="0" w:color="auto"/>
            <w:right w:val="none" w:sz="0" w:space="0" w:color="auto"/>
          </w:divBdr>
        </w:div>
        <w:div w:id="590436995">
          <w:marLeft w:val="0"/>
          <w:marRight w:val="0"/>
          <w:marTop w:val="0"/>
          <w:marBottom w:val="0"/>
          <w:divBdr>
            <w:top w:val="none" w:sz="0" w:space="0" w:color="auto"/>
            <w:left w:val="none" w:sz="0" w:space="0" w:color="auto"/>
            <w:bottom w:val="none" w:sz="0" w:space="0" w:color="auto"/>
            <w:right w:val="none" w:sz="0" w:space="0" w:color="auto"/>
          </w:divBdr>
        </w:div>
        <w:div w:id="676081336">
          <w:marLeft w:val="0"/>
          <w:marRight w:val="0"/>
          <w:marTop w:val="0"/>
          <w:marBottom w:val="0"/>
          <w:divBdr>
            <w:top w:val="none" w:sz="0" w:space="0" w:color="auto"/>
            <w:left w:val="none" w:sz="0" w:space="0" w:color="auto"/>
            <w:bottom w:val="none" w:sz="0" w:space="0" w:color="auto"/>
            <w:right w:val="none" w:sz="0" w:space="0" w:color="auto"/>
          </w:divBdr>
        </w:div>
        <w:div w:id="839009935">
          <w:marLeft w:val="0"/>
          <w:marRight w:val="0"/>
          <w:marTop w:val="0"/>
          <w:marBottom w:val="0"/>
          <w:divBdr>
            <w:top w:val="none" w:sz="0" w:space="0" w:color="auto"/>
            <w:left w:val="none" w:sz="0" w:space="0" w:color="auto"/>
            <w:bottom w:val="none" w:sz="0" w:space="0" w:color="auto"/>
            <w:right w:val="none" w:sz="0" w:space="0" w:color="auto"/>
          </w:divBdr>
        </w:div>
        <w:div w:id="862323452">
          <w:marLeft w:val="0"/>
          <w:marRight w:val="0"/>
          <w:marTop w:val="0"/>
          <w:marBottom w:val="0"/>
          <w:divBdr>
            <w:top w:val="none" w:sz="0" w:space="0" w:color="auto"/>
            <w:left w:val="none" w:sz="0" w:space="0" w:color="auto"/>
            <w:bottom w:val="none" w:sz="0" w:space="0" w:color="auto"/>
            <w:right w:val="none" w:sz="0" w:space="0" w:color="auto"/>
          </w:divBdr>
        </w:div>
        <w:div w:id="1237202873">
          <w:marLeft w:val="0"/>
          <w:marRight w:val="0"/>
          <w:marTop w:val="0"/>
          <w:marBottom w:val="0"/>
          <w:divBdr>
            <w:top w:val="none" w:sz="0" w:space="0" w:color="auto"/>
            <w:left w:val="none" w:sz="0" w:space="0" w:color="auto"/>
            <w:bottom w:val="none" w:sz="0" w:space="0" w:color="auto"/>
            <w:right w:val="none" w:sz="0" w:space="0" w:color="auto"/>
          </w:divBdr>
        </w:div>
        <w:div w:id="1418476072">
          <w:marLeft w:val="0"/>
          <w:marRight w:val="0"/>
          <w:marTop w:val="0"/>
          <w:marBottom w:val="0"/>
          <w:divBdr>
            <w:top w:val="none" w:sz="0" w:space="0" w:color="auto"/>
            <w:left w:val="none" w:sz="0" w:space="0" w:color="auto"/>
            <w:bottom w:val="none" w:sz="0" w:space="0" w:color="auto"/>
            <w:right w:val="none" w:sz="0" w:space="0" w:color="auto"/>
          </w:divBdr>
        </w:div>
        <w:div w:id="1593969759">
          <w:marLeft w:val="0"/>
          <w:marRight w:val="0"/>
          <w:marTop w:val="0"/>
          <w:marBottom w:val="0"/>
          <w:divBdr>
            <w:top w:val="none" w:sz="0" w:space="0" w:color="auto"/>
            <w:left w:val="none" w:sz="0" w:space="0" w:color="auto"/>
            <w:bottom w:val="none" w:sz="0" w:space="0" w:color="auto"/>
            <w:right w:val="none" w:sz="0" w:space="0" w:color="auto"/>
          </w:divBdr>
        </w:div>
        <w:div w:id="1765416829">
          <w:marLeft w:val="0"/>
          <w:marRight w:val="0"/>
          <w:marTop w:val="0"/>
          <w:marBottom w:val="0"/>
          <w:divBdr>
            <w:top w:val="none" w:sz="0" w:space="0" w:color="auto"/>
            <w:left w:val="none" w:sz="0" w:space="0" w:color="auto"/>
            <w:bottom w:val="none" w:sz="0" w:space="0" w:color="auto"/>
            <w:right w:val="none" w:sz="0" w:space="0" w:color="auto"/>
          </w:divBdr>
        </w:div>
        <w:div w:id="2082020022">
          <w:marLeft w:val="0"/>
          <w:marRight w:val="0"/>
          <w:marTop w:val="0"/>
          <w:marBottom w:val="0"/>
          <w:divBdr>
            <w:top w:val="none" w:sz="0" w:space="0" w:color="auto"/>
            <w:left w:val="none" w:sz="0" w:space="0" w:color="auto"/>
            <w:bottom w:val="none" w:sz="0" w:space="0" w:color="auto"/>
            <w:right w:val="none" w:sz="0" w:space="0" w:color="auto"/>
          </w:divBdr>
        </w:div>
      </w:divsChild>
    </w:div>
    <w:div w:id="1068574258">
      <w:bodyDiv w:val="1"/>
      <w:marLeft w:val="0"/>
      <w:marRight w:val="0"/>
      <w:marTop w:val="0"/>
      <w:marBottom w:val="0"/>
      <w:divBdr>
        <w:top w:val="none" w:sz="0" w:space="0" w:color="auto"/>
        <w:left w:val="none" w:sz="0" w:space="0" w:color="auto"/>
        <w:bottom w:val="none" w:sz="0" w:space="0" w:color="auto"/>
        <w:right w:val="none" w:sz="0" w:space="0" w:color="auto"/>
      </w:divBdr>
      <w:divsChild>
        <w:div w:id="45571166">
          <w:marLeft w:val="0"/>
          <w:marRight w:val="0"/>
          <w:marTop w:val="0"/>
          <w:marBottom w:val="0"/>
          <w:divBdr>
            <w:top w:val="none" w:sz="0" w:space="0" w:color="auto"/>
            <w:left w:val="none" w:sz="0" w:space="0" w:color="auto"/>
            <w:bottom w:val="none" w:sz="0" w:space="0" w:color="auto"/>
            <w:right w:val="none" w:sz="0" w:space="0" w:color="auto"/>
          </w:divBdr>
          <w:divsChild>
            <w:div w:id="1168596945">
              <w:marLeft w:val="0"/>
              <w:marRight w:val="0"/>
              <w:marTop w:val="0"/>
              <w:marBottom w:val="0"/>
              <w:divBdr>
                <w:top w:val="none" w:sz="0" w:space="0" w:color="auto"/>
                <w:left w:val="none" w:sz="0" w:space="0" w:color="auto"/>
                <w:bottom w:val="none" w:sz="0" w:space="0" w:color="auto"/>
                <w:right w:val="none" w:sz="0" w:space="0" w:color="auto"/>
              </w:divBdr>
            </w:div>
            <w:div w:id="1719161268">
              <w:marLeft w:val="0"/>
              <w:marRight w:val="0"/>
              <w:marTop w:val="0"/>
              <w:marBottom w:val="0"/>
              <w:divBdr>
                <w:top w:val="none" w:sz="0" w:space="0" w:color="auto"/>
                <w:left w:val="none" w:sz="0" w:space="0" w:color="auto"/>
                <w:bottom w:val="none" w:sz="0" w:space="0" w:color="auto"/>
                <w:right w:val="none" w:sz="0" w:space="0" w:color="auto"/>
              </w:divBdr>
            </w:div>
          </w:divsChild>
        </w:div>
        <w:div w:id="150101313">
          <w:marLeft w:val="0"/>
          <w:marRight w:val="0"/>
          <w:marTop w:val="0"/>
          <w:marBottom w:val="0"/>
          <w:divBdr>
            <w:top w:val="none" w:sz="0" w:space="0" w:color="auto"/>
            <w:left w:val="none" w:sz="0" w:space="0" w:color="auto"/>
            <w:bottom w:val="none" w:sz="0" w:space="0" w:color="auto"/>
            <w:right w:val="none" w:sz="0" w:space="0" w:color="auto"/>
          </w:divBdr>
          <w:divsChild>
            <w:div w:id="967278271">
              <w:marLeft w:val="0"/>
              <w:marRight w:val="0"/>
              <w:marTop w:val="0"/>
              <w:marBottom w:val="0"/>
              <w:divBdr>
                <w:top w:val="none" w:sz="0" w:space="0" w:color="auto"/>
                <w:left w:val="none" w:sz="0" w:space="0" w:color="auto"/>
                <w:bottom w:val="none" w:sz="0" w:space="0" w:color="auto"/>
                <w:right w:val="none" w:sz="0" w:space="0" w:color="auto"/>
              </w:divBdr>
            </w:div>
            <w:div w:id="1948538537">
              <w:marLeft w:val="0"/>
              <w:marRight w:val="0"/>
              <w:marTop w:val="0"/>
              <w:marBottom w:val="0"/>
              <w:divBdr>
                <w:top w:val="none" w:sz="0" w:space="0" w:color="auto"/>
                <w:left w:val="none" w:sz="0" w:space="0" w:color="auto"/>
                <w:bottom w:val="none" w:sz="0" w:space="0" w:color="auto"/>
                <w:right w:val="none" w:sz="0" w:space="0" w:color="auto"/>
              </w:divBdr>
            </w:div>
          </w:divsChild>
        </w:div>
        <w:div w:id="187836929">
          <w:marLeft w:val="0"/>
          <w:marRight w:val="0"/>
          <w:marTop w:val="0"/>
          <w:marBottom w:val="0"/>
          <w:divBdr>
            <w:top w:val="none" w:sz="0" w:space="0" w:color="auto"/>
            <w:left w:val="none" w:sz="0" w:space="0" w:color="auto"/>
            <w:bottom w:val="none" w:sz="0" w:space="0" w:color="auto"/>
            <w:right w:val="none" w:sz="0" w:space="0" w:color="auto"/>
          </w:divBdr>
          <w:divsChild>
            <w:div w:id="637102351">
              <w:marLeft w:val="0"/>
              <w:marRight w:val="0"/>
              <w:marTop w:val="0"/>
              <w:marBottom w:val="0"/>
              <w:divBdr>
                <w:top w:val="none" w:sz="0" w:space="0" w:color="auto"/>
                <w:left w:val="none" w:sz="0" w:space="0" w:color="auto"/>
                <w:bottom w:val="none" w:sz="0" w:space="0" w:color="auto"/>
                <w:right w:val="none" w:sz="0" w:space="0" w:color="auto"/>
              </w:divBdr>
            </w:div>
          </w:divsChild>
        </w:div>
        <w:div w:id="246885156">
          <w:marLeft w:val="0"/>
          <w:marRight w:val="0"/>
          <w:marTop w:val="0"/>
          <w:marBottom w:val="0"/>
          <w:divBdr>
            <w:top w:val="none" w:sz="0" w:space="0" w:color="auto"/>
            <w:left w:val="none" w:sz="0" w:space="0" w:color="auto"/>
            <w:bottom w:val="none" w:sz="0" w:space="0" w:color="auto"/>
            <w:right w:val="none" w:sz="0" w:space="0" w:color="auto"/>
          </w:divBdr>
          <w:divsChild>
            <w:div w:id="656499139">
              <w:marLeft w:val="0"/>
              <w:marRight w:val="0"/>
              <w:marTop w:val="0"/>
              <w:marBottom w:val="0"/>
              <w:divBdr>
                <w:top w:val="none" w:sz="0" w:space="0" w:color="auto"/>
                <w:left w:val="none" w:sz="0" w:space="0" w:color="auto"/>
                <w:bottom w:val="none" w:sz="0" w:space="0" w:color="auto"/>
                <w:right w:val="none" w:sz="0" w:space="0" w:color="auto"/>
              </w:divBdr>
            </w:div>
          </w:divsChild>
        </w:div>
        <w:div w:id="250432782">
          <w:marLeft w:val="0"/>
          <w:marRight w:val="0"/>
          <w:marTop w:val="0"/>
          <w:marBottom w:val="0"/>
          <w:divBdr>
            <w:top w:val="none" w:sz="0" w:space="0" w:color="auto"/>
            <w:left w:val="none" w:sz="0" w:space="0" w:color="auto"/>
            <w:bottom w:val="none" w:sz="0" w:space="0" w:color="auto"/>
            <w:right w:val="none" w:sz="0" w:space="0" w:color="auto"/>
          </w:divBdr>
          <w:divsChild>
            <w:div w:id="498741922">
              <w:marLeft w:val="0"/>
              <w:marRight w:val="0"/>
              <w:marTop w:val="0"/>
              <w:marBottom w:val="0"/>
              <w:divBdr>
                <w:top w:val="none" w:sz="0" w:space="0" w:color="auto"/>
                <w:left w:val="none" w:sz="0" w:space="0" w:color="auto"/>
                <w:bottom w:val="none" w:sz="0" w:space="0" w:color="auto"/>
                <w:right w:val="none" w:sz="0" w:space="0" w:color="auto"/>
              </w:divBdr>
            </w:div>
            <w:div w:id="2080861596">
              <w:marLeft w:val="0"/>
              <w:marRight w:val="0"/>
              <w:marTop w:val="0"/>
              <w:marBottom w:val="0"/>
              <w:divBdr>
                <w:top w:val="none" w:sz="0" w:space="0" w:color="auto"/>
                <w:left w:val="none" w:sz="0" w:space="0" w:color="auto"/>
                <w:bottom w:val="none" w:sz="0" w:space="0" w:color="auto"/>
                <w:right w:val="none" w:sz="0" w:space="0" w:color="auto"/>
              </w:divBdr>
            </w:div>
          </w:divsChild>
        </w:div>
        <w:div w:id="258219574">
          <w:marLeft w:val="0"/>
          <w:marRight w:val="0"/>
          <w:marTop w:val="0"/>
          <w:marBottom w:val="0"/>
          <w:divBdr>
            <w:top w:val="none" w:sz="0" w:space="0" w:color="auto"/>
            <w:left w:val="none" w:sz="0" w:space="0" w:color="auto"/>
            <w:bottom w:val="none" w:sz="0" w:space="0" w:color="auto"/>
            <w:right w:val="none" w:sz="0" w:space="0" w:color="auto"/>
          </w:divBdr>
          <w:divsChild>
            <w:div w:id="252396903">
              <w:marLeft w:val="0"/>
              <w:marRight w:val="0"/>
              <w:marTop w:val="0"/>
              <w:marBottom w:val="0"/>
              <w:divBdr>
                <w:top w:val="none" w:sz="0" w:space="0" w:color="auto"/>
                <w:left w:val="none" w:sz="0" w:space="0" w:color="auto"/>
                <w:bottom w:val="none" w:sz="0" w:space="0" w:color="auto"/>
                <w:right w:val="none" w:sz="0" w:space="0" w:color="auto"/>
              </w:divBdr>
            </w:div>
            <w:div w:id="407927940">
              <w:marLeft w:val="0"/>
              <w:marRight w:val="0"/>
              <w:marTop w:val="0"/>
              <w:marBottom w:val="0"/>
              <w:divBdr>
                <w:top w:val="none" w:sz="0" w:space="0" w:color="auto"/>
                <w:left w:val="none" w:sz="0" w:space="0" w:color="auto"/>
                <w:bottom w:val="none" w:sz="0" w:space="0" w:color="auto"/>
                <w:right w:val="none" w:sz="0" w:space="0" w:color="auto"/>
              </w:divBdr>
            </w:div>
          </w:divsChild>
        </w:div>
        <w:div w:id="304554614">
          <w:marLeft w:val="0"/>
          <w:marRight w:val="0"/>
          <w:marTop w:val="0"/>
          <w:marBottom w:val="0"/>
          <w:divBdr>
            <w:top w:val="none" w:sz="0" w:space="0" w:color="auto"/>
            <w:left w:val="none" w:sz="0" w:space="0" w:color="auto"/>
            <w:bottom w:val="none" w:sz="0" w:space="0" w:color="auto"/>
            <w:right w:val="none" w:sz="0" w:space="0" w:color="auto"/>
          </w:divBdr>
          <w:divsChild>
            <w:div w:id="406659188">
              <w:marLeft w:val="0"/>
              <w:marRight w:val="0"/>
              <w:marTop w:val="0"/>
              <w:marBottom w:val="0"/>
              <w:divBdr>
                <w:top w:val="none" w:sz="0" w:space="0" w:color="auto"/>
                <w:left w:val="none" w:sz="0" w:space="0" w:color="auto"/>
                <w:bottom w:val="none" w:sz="0" w:space="0" w:color="auto"/>
                <w:right w:val="none" w:sz="0" w:space="0" w:color="auto"/>
              </w:divBdr>
            </w:div>
          </w:divsChild>
        </w:div>
        <w:div w:id="401485062">
          <w:marLeft w:val="0"/>
          <w:marRight w:val="0"/>
          <w:marTop w:val="0"/>
          <w:marBottom w:val="0"/>
          <w:divBdr>
            <w:top w:val="none" w:sz="0" w:space="0" w:color="auto"/>
            <w:left w:val="none" w:sz="0" w:space="0" w:color="auto"/>
            <w:bottom w:val="none" w:sz="0" w:space="0" w:color="auto"/>
            <w:right w:val="none" w:sz="0" w:space="0" w:color="auto"/>
          </w:divBdr>
          <w:divsChild>
            <w:div w:id="329213830">
              <w:marLeft w:val="0"/>
              <w:marRight w:val="0"/>
              <w:marTop w:val="0"/>
              <w:marBottom w:val="0"/>
              <w:divBdr>
                <w:top w:val="none" w:sz="0" w:space="0" w:color="auto"/>
                <w:left w:val="none" w:sz="0" w:space="0" w:color="auto"/>
                <w:bottom w:val="none" w:sz="0" w:space="0" w:color="auto"/>
                <w:right w:val="none" w:sz="0" w:space="0" w:color="auto"/>
              </w:divBdr>
            </w:div>
          </w:divsChild>
        </w:div>
        <w:div w:id="517282665">
          <w:marLeft w:val="0"/>
          <w:marRight w:val="0"/>
          <w:marTop w:val="0"/>
          <w:marBottom w:val="0"/>
          <w:divBdr>
            <w:top w:val="none" w:sz="0" w:space="0" w:color="auto"/>
            <w:left w:val="none" w:sz="0" w:space="0" w:color="auto"/>
            <w:bottom w:val="none" w:sz="0" w:space="0" w:color="auto"/>
            <w:right w:val="none" w:sz="0" w:space="0" w:color="auto"/>
          </w:divBdr>
          <w:divsChild>
            <w:div w:id="466046779">
              <w:marLeft w:val="0"/>
              <w:marRight w:val="0"/>
              <w:marTop w:val="0"/>
              <w:marBottom w:val="0"/>
              <w:divBdr>
                <w:top w:val="none" w:sz="0" w:space="0" w:color="auto"/>
                <w:left w:val="none" w:sz="0" w:space="0" w:color="auto"/>
                <w:bottom w:val="none" w:sz="0" w:space="0" w:color="auto"/>
                <w:right w:val="none" w:sz="0" w:space="0" w:color="auto"/>
              </w:divBdr>
            </w:div>
            <w:div w:id="546336386">
              <w:marLeft w:val="0"/>
              <w:marRight w:val="0"/>
              <w:marTop w:val="0"/>
              <w:marBottom w:val="0"/>
              <w:divBdr>
                <w:top w:val="none" w:sz="0" w:space="0" w:color="auto"/>
                <w:left w:val="none" w:sz="0" w:space="0" w:color="auto"/>
                <w:bottom w:val="none" w:sz="0" w:space="0" w:color="auto"/>
                <w:right w:val="none" w:sz="0" w:space="0" w:color="auto"/>
              </w:divBdr>
            </w:div>
          </w:divsChild>
        </w:div>
        <w:div w:id="522088444">
          <w:marLeft w:val="0"/>
          <w:marRight w:val="0"/>
          <w:marTop w:val="0"/>
          <w:marBottom w:val="0"/>
          <w:divBdr>
            <w:top w:val="none" w:sz="0" w:space="0" w:color="auto"/>
            <w:left w:val="none" w:sz="0" w:space="0" w:color="auto"/>
            <w:bottom w:val="none" w:sz="0" w:space="0" w:color="auto"/>
            <w:right w:val="none" w:sz="0" w:space="0" w:color="auto"/>
          </w:divBdr>
          <w:divsChild>
            <w:div w:id="397244155">
              <w:marLeft w:val="0"/>
              <w:marRight w:val="0"/>
              <w:marTop w:val="0"/>
              <w:marBottom w:val="0"/>
              <w:divBdr>
                <w:top w:val="none" w:sz="0" w:space="0" w:color="auto"/>
                <w:left w:val="none" w:sz="0" w:space="0" w:color="auto"/>
                <w:bottom w:val="none" w:sz="0" w:space="0" w:color="auto"/>
                <w:right w:val="none" w:sz="0" w:space="0" w:color="auto"/>
              </w:divBdr>
            </w:div>
          </w:divsChild>
        </w:div>
        <w:div w:id="570315311">
          <w:marLeft w:val="0"/>
          <w:marRight w:val="0"/>
          <w:marTop w:val="0"/>
          <w:marBottom w:val="0"/>
          <w:divBdr>
            <w:top w:val="none" w:sz="0" w:space="0" w:color="auto"/>
            <w:left w:val="none" w:sz="0" w:space="0" w:color="auto"/>
            <w:bottom w:val="none" w:sz="0" w:space="0" w:color="auto"/>
            <w:right w:val="none" w:sz="0" w:space="0" w:color="auto"/>
          </w:divBdr>
          <w:divsChild>
            <w:div w:id="555824256">
              <w:marLeft w:val="0"/>
              <w:marRight w:val="0"/>
              <w:marTop w:val="0"/>
              <w:marBottom w:val="0"/>
              <w:divBdr>
                <w:top w:val="none" w:sz="0" w:space="0" w:color="auto"/>
                <w:left w:val="none" w:sz="0" w:space="0" w:color="auto"/>
                <w:bottom w:val="none" w:sz="0" w:space="0" w:color="auto"/>
                <w:right w:val="none" w:sz="0" w:space="0" w:color="auto"/>
              </w:divBdr>
            </w:div>
            <w:div w:id="672800044">
              <w:marLeft w:val="0"/>
              <w:marRight w:val="0"/>
              <w:marTop w:val="0"/>
              <w:marBottom w:val="0"/>
              <w:divBdr>
                <w:top w:val="none" w:sz="0" w:space="0" w:color="auto"/>
                <w:left w:val="none" w:sz="0" w:space="0" w:color="auto"/>
                <w:bottom w:val="none" w:sz="0" w:space="0" w:color="auto"/>
                <w:right w:val="none" w:sz="0" w:space="0" w:color="auto"/>
              </w:divBdr>
            </w:div>
          </w:divsChild>
        </w:div>
        <w:div w:id="796878746">
          <w:marLeft w:val="0"/>
          <w:marRight w:val="0"/>
          <w:marTop w:val="0"/>
          <w:marBottom w:val="0"/>
          <w:divBdr>
            <w:top w:val="none" w:sz="0" w:space="0" w:color="auto"/>
            <w:left w:val="none" w:sz="0" w:space="0" w:color="auto"/>
            <w:bottom w:val="none" w:sz="0" w:space="0" w:color="auto"/>
            <w:right w:val="none" w:sz="0" w:space="0" w:color="auto"/>
          </w:divBdr>
          <w:divsChild>
            <w:div w:id="1643652797">
              <w:marLeft w:val="0"/>
              <w:marRight w:val="0"/>
              <w:marTop w:val="0"/>
              <w:marBottom w:val="0"/>
              <w:divBdr>
                <w:top w:val="none" w:sz="0" w:space="0" w:color="auto"/>
                <w:left w:val="none" w:sz="0" w:space="0" w:color="auto"/>
                <w:bottom w:val="none" w:sz="0" w:space="0" w:color="auto"/>
                <w:right w:val="none" w:sz="0" w:space="0" w:color="auto"/>
              </w:divBdr>
            </w:div>
          </w:divsChild>
        </w:div>
        <w:div w:id="911623132">
          <w:marLeft w:val="0"/>
          <w:marRight w:val="0"/>
          <w:marTop w:val="0"/>
          <w:marBottom w:val="0"/>
          <w:divBdr>
            <w:top w:val="none" w:sz="0" w:space="0" w:color="auto"/>
            <w:left w:val="none" w:sz="0" w:space="0" w:color="auto"/>
            <w:bottom w:val="none" w:sz="0" w:space="0" w:color="auto"/>
            <w:right w:val="none" w:sz="0" w:space="0" w:color="auto"/>
          </w:divBdr>
          <w:divsChild>
            <w:div w:id="525412180">
              <w:marLeft w:val="0"/>
              <w:marRight w:val="0"/>
              <w:marTop w:val="0"/>
              <w:marBottom w:val="0"/>
              <w:divBdr>
                <w:top w:val="none" w:sz="0" w:space="0" w:color="auto"/>
                <w:left w:val="none" w:sz="0" w:space="0" w:color="auto"/>
                <w:bottom w:val="none" w:sz="0" w:space="0" w:color="auto"/>
                <w:right w:val="none" w:sz="0" w:space="0" w:color="auto"/>
              </w:divBdr>
            </w:div>
            <w:div w:id="821776835">
              <w:marLeft w:val="0"/>
              <w:marRight w:val="0"/>
              <w:marTop w:val="0"/>
              <w:marBottom w:val="0"/>
              <w:divBdr>
                <w:top w:val="none" w:sz="0" w:space="0" w:color="auto"/>
                <w:left w:val="none" w:sz="0" w:space="0" w:color="auto"/>
                <w:bottom w:val="none" w:sz="0" w:space="0" w:color="auto"/>
                <w:right w:val="none" w:sz="0" w:space="0" w:color="auto"/>
              </w:divBdr>
            </w:div>
            <w:div w:id="1190725413">
              <w:marLeft w:val="0"/>
              <w:marRight w:val="0"/>
              <w:marTop w:val="0"/>
              <w:marBottom w:val="0"/>
              <w:divBdr>
                <w:top w:val="none" w:sz="0" w:space="0" w:color="auto"/>
                <w:left w:val="none" w:sz="0" w:space="0" w:color="auto"/>
                <w:bottom w:val="none" w:sz="0" w:space="0" w:color="auto"/>
                <w:right w:val="none" w:sz="0" w:space="0" w:color="auto"/>
              </w:divBdr>
            </w:div>
          </w:divsChild>
        </w:div>
        <w:div w:id="977027674">
          <w:marLeft w:val="0"/>
          <w:marRight w:val="0"/>
          <w:marTop w:val="0"/>
          <w:marBottom w:val="0"/>
          <w:divBdr>
            <w:top w:val="none" w:sz="0" w:space="0" w:color="auto"/>
            <w:left w:val="none" w:sz="0" w:space="0" w:color="auto"/>
            <w:bottom w:val="none" w:sz="0" w:space="0" w:color="auto"/>
            <w:right w:val="none" w:sz="0" w:space="0" w:color="auto"/>
          </w:divBdr>
          <w:divsChild>
            <w:div w:id="591167111">
              <w:marLeft w:val="0"/>
              <w:marRight w:val="0"/>
              <w:marTop w:val="0"/>
              <w:marBottom w:val="0"/>
              <w:divBdr>
                <w:top w:val="none" w:sz="0" w:space="0" w:color="auto"/>
                <w:left w:val="none" w:sz="0" w:space="0" w:color="auto"/>
                <w:bottom w:val="none" w:sz="0" w:space="0" w:color="auto"/>
                <w:right w:val="none" w:sz="0" w:space="0" w:color="auto"/>
              </w:divBdr>
            </w:div>
          </w:divsChild>
        </w:div>
        <w:div w:id="1257590565">
          <w:marLeft w:val="0"/>
          <w:marRight w:val="0"/>
          <w:marTop w:val="0"/>
          <w:marBottom w:val="0"/>
          <w:divBdr>
            <w:top w:val="none" w:sz="0" w:space="0" w:color="auto"/>
            <w:left w:val="none" w:sz="0" w:space="0" w:color="auto"/>
            <w:bottom w:val="none" w:sz="0" w:space="0" w:color="auto"/>
            <w:right w:val="none" w:sz="0" w:space="0" w:color="auto"/>
          </w:divBdr>
          <w:divsChild>
            <w:div w:id="1110393119">
              <w:marLeft w:val="0"/>
              <w:marRight w:val="0"/>
              <w:marTop w:val="0"/>
              <w:marBottom w:val="0"/>
              <w:divBdr>
                <w:top w:val="none" w:sz="0" w:space="0" w:color="auto"/>
                <w:left w:val="none" w:sz="0" w:space="0" w:color="auto"/>
                <w:bottom w:val="none" w:sz="0" w:space="0" w:color="auto"/>
                <w:right w:val="none" w:sz="0" w:space="0" w:color="auto"/>
              </w:divBdr>
            </w:div>
            <w:div w:id="1213927146">
              <w:marLeft w:val="0"/>
              <w:marRight w:val="0"/>
              <w:marTop w:val="0"/>
              <w:marBottom w:val="0"/>
              <w:divBdr>
                <w:top w:val="none" w:sz="0" w:space="0" w:color="auto"/>
                <w:left w:val="none" w:sz="0" w:space="0" w:color="auto"/>
                <w:bottom w:val="none" w:sz="0" w:space="0" w:color="auto"/>
                <w:right w:val="none" w:sz="0" w:space="0" w:color="auto"/>
              </w:divBdr>
            </w:div>
          </w:divsChild>
        </w:div>
        <w:div w:id="1327980578">
          <w:marLeft w:val="0"/>
          <w:marRight w:val="0"/>
          <w:marTop w:val="0"/>
          <w:marBottom w:val="0"/>
          <w:divBdr>
            <w:top w:val="none" w:sz="0" w:space="0" w:color="auto"/>
            <w:left w:val="none" w:sz="0" w:space="0" w:color="auto"/>
            <w:bottom w:val="none" w:sz="0" w:space="0" w:color="auto"/>
            <w:right w:val="none" w:sz="0" w:space="0" w:color="auto"/>
          </w:divBdr>
          <w:divsChild>
            <w:div w:id="97454359">
              <w:marLeft w:val="0"/>
              <w:marRight w:val="0"/>
              <w:marTop w:val="0"/>
              <w:marBottom w:val="0"/>
              <w:divBdr>
                <w:top w:val="none" w:sz="0" w:space="0" w:color="auto"/>
                <w:left w:val="none" w:sz="0" w:space="0" w:color="auto"/>
                <w:bottom w:val="none" w:sz="0" w:space="0" w:color="auto"/>
                <w:right w:val="none" w:sz="0" w:space="0" w:color="auto"/>
              </w:divBdr>
            </w:div>
          </w:divsChild>
        </w:div>
        <w:div w:id="1383288503">
          <w:marLeft w:val="0"/>
          <w:marRight w:val="0"/>
          <w:marTop w:val="0"/>
          <w:marBottom w:val="0"/>
          <w:divBdr>
            <w:top w:val="none" w:sz="0" w:space="0" w:color="auto"/>
            <w:left w:val="none" w:sz="0" w:space="0" w:color="auto"/>
            <w:bottom w:val="none" w:sz="0" w:space="0" w:color="auto"/>
            <w:right w:val="none" w:sz="0" w:space="0" w:color="auto"/>
          </w:divBdr>
          <w:divsChild>
            <w:div w:id="1474446259">
              <w:marLeft w:val="0"/>
              <w:marRight w:val="0"/>
              <w:marTop w:val="0"/>
              <w:marBottom w:val="0"/>
              <w:divBdr>
                <w:top w:val="none" w:sz="0" w:space="0" w:color="auto"/>
                <w:left w:val="none" w:sz="0" w:space="0" w:color="auto"/>
                <w:bottom w:val="none" w:sz="0" w:space="0" w:color="auto"/>
                <w:right w:val="none" w:sz="0" w:space="0" w:color="auto"/>
              </w:divBdr>
            </w:div>
          </w:divsChild>
        </w:div>
        <w:div w:id="1432621991">
          <w:marLeft w:val="0"/>
          <w:marRight w:val="0"/>
          <w:marTop w:val="0"/>
          <w:marBottom w:val="0"/>
          <w:divBdr>
            <w:top w:val="none" w:sz="0" w:space="0" w:color="auto"/>
            <w:left w:val="none" w:sz="0" w:space="0" w:color="auto"/>
            <w:bottom w:val="none" w:sz="0" w:space="0" w:color="auto"/>
            <w:right w:val="none" w:sz="0" w:space="0" w:color="auto"/>
          </w:divBdr>
          <w:divsChild>
            <w:div w:id="537204670">
              <w:marLeft w:val="0"/>
              <w:marRight w:val="0"/>
              <w:marTop w:val="0"/>
              <w:marBottom w:val="0"/>
              <w:divBdr>
                <w:top w:val="none" w:sz="0" w:space="0" w:color="auto"/>
                <w:left w:val="none" w:sz="0" w:space="0" w:color="auto"/>
                <w:bottom w:val="none" w:sz="0" w:space="0" w:color="auto"/>
                <w:right w:val="none" w:sz="0" w:space="0" w:color="auto"/>
              </w:divBdr>
            </w:div>
            <w:div w:id="726998269">
              <w:marLeft w:val="0"/>
              <w:marRight w:val="0"/>
              <w:marTop w:val="0"/>
              <w:marBottom w:val="0"/>
              <w:divBdr>
                <w:top w:val="none" w:sz="0" w:space="0" w:color="auto"/>
                <w:left w:val="none" w:sz="0" w:space="0" w:color="auto"/>
                <w:bottom w:val="none" w:sz="0" w:space="0" w:color="auto"/>
                <w:right w:val="none" w:sz="0" w:space="0" w:color="auto"/>
              </w:divBdr>
            </w:div>
          </w:divsChild>
        </w:div>
        <w:div w:id="1468205583">
          <w:marLeft w:val="0"/>
          <w:marRight w:val="0"/>
          <w:marTop w:val="0"/>
          <w:marBottom w:val="0"/>
          <w:divBdr>
            <w:top w:val="none" w:sz="0" w:space="0" w:color="auto"/>
            <w:left w:val="none" w:sz="0" w:space="0" w:color="auto"/>
            <w:bottom w:val="none" w:sz="0" w:space="0" w:color="auto"/>
            <w:right w:val="none" w:sz="0" w:space="0" w:color="auto"/>
          </w:divBdr>
          <w:divsChild>
            <w:div w:id="101262734">
              <w:marLeft w:val="0"/>
              <w:marRight w:val="0"/>
              <w:marTop w:val="0"/>
              <w:marBottom w:val="0"/>
              <w:divBdr>
                <w:top w:val="none" w:sz="0" w:space="0" w:color="auto"/>
                <w:left w:val="none" w:sz="0" w:space="0" w:color="auto"/>
                <w:bottom w:val="none" w:sz="0" w:space="0" w:color="auto"/>
                <w:right w:val="none" w:sz="0" w:space="0" w:color="auto"/>
              </w:divBdr>
            </w:div>
          </w:divsChild>
        </w:div>
        <w:div w:id="1485392656">
          <w:marLeft w:val="0"/>
          <w:marRight w:val="0"/>
          <w:marTop w:val="0"/>
          <w:marBottom w:val="0"/>
          <w:divBdr>
            <w:top w:val="none" w:sz="0" w:space="0" w:color="auto"/>
            <w:left w:val="none" w:sz="0" w:space="0" w:color="auto"/>
            <w:bottom w:val="none" w:sz="0" w:space="0" w:color="auto"/>
            <w:right w:val="none" w:sz="0" w:space="0" w:color="auto"/>
          </w:divBdr>
          <w:divsChild>
            <w:div w:id="1628001615">
              <w:marLeft w:val="0"/>
              <w:marRight w:val="0"/>
              <w:marTop w:val="0"/>
              <w:marBottom w:val="0"/>
              <w:divBdr>
                <w:top w:val="none" w:sz="0" w:space="0" w:color="auto"/>
                <w:left w:val="none" w:sz="0" w:space="0" w:color="auto"/>
                <w:bottom w:val="none" w:sz="0" w:space="0" w:color="auto"/>
                <w:right w:val="none" w:sz="0" w:space="0" w:color="auto"/>
              </w:divBdr>
            </w:div>
          </w:divsChild>
        </w:div>
        <w:div w:id="1923023219">
          <w:marLeft w:val="0"/>
          <w:marRight w:val="0"/>
          <w:marTop w:val="0"/>
          <w:marBottom w:val="0"/>
          <w:divBdr>
            <w:top w:val="none" w:sz="0" w:space="0" w:color="auto"/>
            <w:left w:val="none" w:sz="0" w:space="0" w:color="auto"/>
            <w:bottom w:val="none" w:sz="0" w:space="0" w:color="auto"/>
            <w:right w:val="none" w:sz="0" w:space="0" w:color="auto"/>
          </w:divBdr>
          <w:divsChild>
            <w:div w:id="13084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1996">
      <w:bodyDiv w:val="1"/>
      <w:marLeft w:val="0"/>
      <w:marRight w:val="0"/>
      <w:marTop w:val="0"/>
      <w:marBottom w:val="0"/>
      <w:divBdr>
        <w:top w:val="none" w:sz="0" w:space="0" w:color="auto"/>
        <w:left w:val="none" w:sz="0" w:space="0" w:color="auto"/>
        <w:bottom w:val="none" w:sz="0" w:space="0" w:color="auto"/>
        <w:right w:val="none" w:sz="0" w:space="0" w:color="auto"/>
      </w:divBdr>
    </w:div>
    <w:div w:id="1210268837">
      <w:bodyDiv w:val="1"/>
      <w:marLeft w:val="0"/>
      <w:marRight w:val="0"/>
      <w:marTop w:val="0"/>
      <w:marBottom w:val="0"/>
      <w:divBdr>
        <w:top w:val="none" w:sz="0" w:space="0" w:color="auto"/>
        <w:left w:val="none" w:sz="0" w:space="0" w:color="auto"/>
        <w:bottom w:val="none" w:sz="0" w:space="0" w:color="auto"/>
        <w:right w:val="none" w:sz="0" w:space="0" w:color="auto"/>
      </w:divBdr>
      <w:divsChild>
        <w:div w:id="1024358416">
          <w:marLeft w:val="0"/>
          <w:marRight w:val="0"/>
          <w:marTop w:val="0"/>
          <w:marBottom w:val="0"/>
          <w:divBdr>
            <w:top w:val="none" w:sz="0" w:space="0" w:color="auto"/>
            <w:left w:val="none" w:sz="0" w:space="0" w:color="auto"/>
            <w:bottom w:val="none" w:sz="0" w:space="0" w:color="auto"/>
            <w:right w:val="none" w:sz="0" w:space="0" w:color="auto"/>
          </w:divBdr>
        </w:div>
        <w:div w:id="818040206">
          <w:marLeft w:val="0"/>
          <w:marRight w:val="0"/>
          <w:marTop w:val="0"/>
          <w:marBottom w:val="0"/>
          <w:divBdr>
            <w:top w:val="none" w:sz="0" w:space="0" w:color="auto"/>
            <w:left w:val="none" w:sz="0" w:space="0" w:color="auto"/>
            <w:bottom w:val="none" w:sz="0" w:space="0" w:color="auto"/>
            <w:right w:val="none" w:sz="0" w:space="0" w:color="auto"/>
          </w:divBdr>
        </w:div>
        <w:div w:id="1643080381">
          <w:marLeft w:val="0"/>
          <w:marRight w:val="0"/>
          <w:marTop w:val="0"/>
          <w:marBottom w:val="0"/>
          <w:divBdr>
            <w:top w:val="none" w:sz="0" w:space="0" w:color="auto"/>
            <w:left w:val="none" w:sz="0" w:space="0" w:color="auto"/>
            <w:bottom w:val="none" w:sz="0" w:space="0" w:color="auto"/>
            <w:right w:val="none" w:sz="0" w:space="0" w:color="auto"/>
          </w:divBdr>
        </w:div>
        <w:div w:id="29301029">
          <w:marLeft w:val="0"/>
          <w:marRight w:val="0"/>
          <w:marTop w:val="0"/>
          <w:marBottom w:val="0"/>
          <w:divBdr>
            <w:top w:val="none" w:sz="0" w:space="0" w:color="auto"/>
            <w:left w:val="none" w:sz="0" w:space="0" w:color="auto"/>
            <w:bottom w:val="none" w:sz="0" w:space="0" w:color="auto"/>
            <w:right w:val="none" w:sz="0" w:space="0" w:color="auto"/>
          </w:divBdr>
        </w:div>
        <w:div w:id="670303731">
          <w:marLeft w:val="0"/>
          <w:marRight w:val="0"/>
          <w:marTop w:val="0"/>
          <w:marBottom w:val="0"/>
          <w:divBdr>
            <w:top w:val="none" w:sz="0" w:space="0" w:color="auto"/>
            <w:left w:val="none" w:sz="0" w:space="0" w:color="auto"/>
            <w:bottom w:val="none" w:sz="0" w:space="0" w:color="auto"/>
            <w:right w:val="none" w:sz="0" w:space="0" w:color="auto"/>
          </w:divBdr>
        </w:div>
      </w:divsChild>
    </w:div>
    <w:div w:id="1413968336">
      <w:bodyDiv w:val="1"/>
      <w:marLeft w:val="0"/>
      <w:marRight w:val="0"/>
      <w:marTop w:val="0"/>
      <w:marBottom w:val="0"/>
      <w:divBdr>
        <w:top w:val="none" w:sz="0" w:space="0" w:color="auto"/>
        <w:left w:val="none" w:sz="0" w:space="0" w:color="auto"/>
        <w:bottom w:val="none" w:sz="0" w:space="0" w:color="auto"/>
        <w:right w:val="none" w:sz="0" w:space="0" w:color="auto"/>
      </w:divBdr>
    </w:div>
    <w:div w:id="1642535778">
      <w:bodyDiv w:val="1"/>
      <w:marLeft w:val="0"/>
      <w:marRight w:val="0"/>
      <w:marTop w:val="0"/>
      <w:marBottom w:val="0"/>
      <w:divBdr>
        <w:top w:val="none" w:sz="0" w:space="0" w:color="auto"/>
        <w:left w:val="none" w:sz="0" w:space="0" w:color="auto"/>
        <w:bottom w:val="none" w:sz="0" w:space="0" w:color="auto"/>
        <w:right w:val="none" w:sz="0" w:space="0" w:color="auto"/>
      </w:divBdr>
      <w:divsChild>
        <w:div w:id="1060176001">
          <w:marLeft w:val="0"/>
          <w:marRight w:val="0"/>
          <w:marTop w:val="0"/>
          <w:marBottom w:val="0"/>
          <w:divBdr>
            <w:top w:val="none" w:sz="0" w:space="0" w:color="auto"/>
            <w:left w:val="none" w:sz="0" w:space="0" w:color="auto"/>
            <w:bottom w:val="none" w:sz="0" w:space="0" w:color="auto"/>
            <w:right w:val="none" w:sz="0" w:space="0" w:color="auto"/>
          </w:divBdr>
        </w:div>
        <w:div w:id="1346908069">
          <w:marLeft w:val="0"/>
          <w:marRight w:val="0"/>
          <w:marTop w:val="0"/>
          <w:marBottom w:val="0"/>
          <w:divBdr>
            <w:top w:val="none" w:sz="0" w:space="0" w:color="auto"/>
            <w:left w:val="none" w:sz="0" w:space="0" w:color="auto"/>
            <w:bottom w:val="none" w:sz="0" w:space="0" w:color="auto"/>
            <w:right w:val="none" w:sz="0" w:space="0" w:color="auto"/>
          </w:divBdr>
          <w:divsChild>
            <w:div w:id="690490524">
              <w:marLeft w:val="-75"/>
              <w:marRight w:val="0"/>
              <w:marTop w:val="30"/>
              <w:marBottom w:val="30"/>
              <w:divBdr>
                <w:top w:val="none" w:sz="0" w:space="0" w:color="auto"/>
                <w:left w:val="none" w:sz="0" w:space="0" w:color="auto"/>
                <w:bottom w:val="none" w:sz="0" w:space="0" w:color="auto"/>
                <w:right w:val="none" w:sz="0" w:space="0" w:color="auto"/>
              </w:divBdr>
              <w:divsChild>
                <w:div w:id="11228251">
                  <w:marLeft w:val="0"/>
                  <w:marRight w:val="0"/>
                  <w:marTop w:val="0"/>
                  <w:marBottom w:val="0"/>
                  <w:divBdr>
                    <w:top w:val="none" w:sz="0" w:space="0" w:color="auto"/>
                    <w:left w:val="none" w:sz="0" w:space="0" w:color="auto"/>
                    <w:bottom w:val="none" w:sz="0" w:space="0" w:color="auto"/>
                    <w:right w:val="none" w:sz="0" w:space="0" w:color="auto"/>
                  </w:divBdr>
                  <w:divsChild>
                    <w:div w:id="2129737518">
                      <w:marLeft w:val="0"/>
                      <w:marRight w:val="0"/>
                      <w:marTop w:val="0"/>
                      <w:marBottom w:val="0"/>
                      <w:divBdr>
                        <w:top w:val="none" w:sz="0" w:space="0" w:color="auto"/>
                        <w:left w:val="none" w:sz="0" w:space="0" w:color="auto"/>
                        <w:bottom w:val="none" w:sz="0" w:space="0" w:color="auto"/>
                        <w:right w:val="none" w:sz="0" w:space="0" w:color="auto"/>
                      </w:divBdr>
                    </w:div>
                  </w:divsChild>
                </w:div>
                <w:div w:id="65804215">
                  <w:marLeft w:val="0"/>
                  <w:marRight w:val="0"/>
                  <w:marTop w:val="0"/>
                  <w:marBottom w:val="0"/>
                  <w:divBdr>
                    <w:top w:val="none" w:sz="0" w:space="0" w:color="auto"/>
                    <w:left w:val="none" w:sz="0" w:space="0" w:color="auto"/>
                    <w:bottom w:val="none" w:sz="0" w:space="0" w:color="auto"/>
                    <w:right w:val="none" w:sz="0" w:space="0" w:color="auto"/>
                  </w:divBdr>
                  <w:divsChild>
                    <w:div w:id="526528909">
                      <w:marLeft w:val="0"/>
                      <w:marRight w:val="0"/>
                      <w:marTop w:val="0"/>
                      <w:marBottom w:val="0"/>
                      <w:divBdr>
                        <w:top w:val="none" w:sz="0" w:space="0" w:color="auto"/>
                        <w:left w:val="none" w:sz="0" w:space="0" w:color="auto"/>
                        <w:bottom w:val="none" w:sz="0" w:space="0" w:color="auto"/>
                        <w:right w:val="none" w:sz="0" w:space="0" w:color="auto"/>
                      </w:divBdr>
                    </w:div>
                  </w:divsChild>
                </w:div>
                <w:div w:id="102263785">
                  <w:marLeft w:val="0"/>
                  <w:marRight w:val="0"/>
                  <w:marTop w:val="0"/>
                  <w:marBottom w:val="0"/>
                  <w:divBdr>
                    <w:top w:val="none" w:sz="0" w:space="0" w:color="auto"/>
                    <w:left w:val="none" w:sz="0" w:space="0" w:color="auto"/>
                    <w:bottom w:val="none" w:sz="0" w:space="0" w:color="auto"/>
                    <w:right w:val="none" w:sz="0" w:space="0" w:color="auto"/>
                  </w:divBdr>
                  <w:divsChild>
                    <w:div w:id="332531866">
                      <w:marLeft w:val="0"/>
                      <w:marRight w:val="0"/>
                      <w:marTop w:val="0"/>
                      <w:marBottom w:val="0"/>
                      <w:divBdr>
                        <w:top w:val="none" w:sz="0" w:space="0" w:color="auto"/>
                        <w:left w:val="none" w:sz="0" w:space="0" w:color="auto"/>
                        <w:bottom w:val="none" w:sz="0" w:space="0" w:color="auto"/>
                        <w:right w:val="none" w:sz="0" w:space="0" w:color="auto"/>
                      </w:divBdr>
                    </w:div>
                  </w:divsChild>
                </w:div>
                <w:div w:id="158886320">
                  <w:marLeft w:val="0"/>
                  <w:marRight w:val="0"/>
                  <w:marTop w:val="0"/>
                  <w:marBottom w:val="0"/>
                  <w:divBdr>
                    <w:top w:val="none" w:sz="0" w:space="0" w:color="auto"/>
                    <w:left w:val="none" w:sz="0" w:space="0" w:color="auto"/>
                    <w:bottom w:val="none" w:sz="0" w:space="0" w:color="auto"/>
                    <w:right w:val="none" w:sz="0" w:space="0" w:color="auto"/>
                  </w:divBdr>
                  <w:divsChild>
                    <w:div w:id="2018728503">
                      <w:marLeft w:val="0"/>
                      <w:marRight w:val="0"/>
                      <w:marTop w:val="0"/>
                      <w:marBottom w:val="0"/>
                      <w:divBdr>
                        <w:top w:val="none" w:sz="0" w:space="0" w:color="auto"/>
                        <w:left w:val="none" w:sz="0" w:space="0" w:color="auto"/>
                        <w:bottom w:val="none" w:sz="0" w:space="0" w:color="auto"/>
                        <w:right w:val="none" w:sz="0" w:space="0" w:color="auto"/>
                      </w:divBdr>
                    </w:div>
                  </w:divsChild>
                </w:div>
                <w:div w:id="275068474">
                  <w:marLeft w:val="0"/>
                  <w:marRight w:val="0"/>
                  <w:marTop w:val="0"/>
                  <w:marBottom w:val="0"/>
                  <w:divBdr>
                    <w:top w:val="none" w:sz="0" w:space="0" w:color="auto"/>
                    <w:left w:val="none" w:sz="0" w:space="0" w:color="auto"/>
                    <w:bottom w:val="none" w:sz="0" w:space="0" w:color="auto"/>
                    <w:right w:val="none" w:sz="0" w:space="0" w:color="auto"/>
                  </w:divBdr>
                  <w:divsChild>
                    <w:div w:id="727804562">
                      <w:marLeft w:val="0"/>
                      <w:marRight w:val="0"/>
                      <w:marTop w:val="0"/>
                      <w:marBottom w:val="0"/>
                      <w:divBdr>
                        <w:top w:val="none" w:sz="0" w:space="0" w:color="auto"/>
                        <w:left w:val="none" w:sz="0" w:space="0" w:color="auto"/>
                        <w:bottom w:val="none" w:sz="0" w:space="0" w:color="auto"/>
                        <w:right w:val="none" w:sz="0" w:space="0" w:color="auto"/>
                      </w:divBdr>
                    </w:div>
                  </w:divsChild>
                </w:div>
                <w:div w:id="422456245">
                  <w:marLeft w:val="0"/>
                  <w:marRight w:val="0"/>
                  <w:marTop w:val="0"/>
                  <w:marBottom w:val="0"/>
                  <w:divBdr>
                    <w:top w:val="none" w:sz="0" w:space="0" w:color="auto"/>
                    <w:left w:val="none" w:sz="0" w:space="0" w:color="auto"/>
                    <w:bottom w:val="none" w:sz="0" w:space="0" w:color="auto"/>
                    <w:right w:val="none" w:sz="0" w:space="0" w:color="auto"/>
                  </w:divBdr>
                  <w:divsChild>
                    <w:div w:id="1210343814">
                      <w:marLeft w:val="0"/>
                      <w:marRight w:val="0"/>
                      <w:marTop w:val="0"/>
                      <w:marBottom w:val="0"/>
                      <w:divBdr>
                        <w:top w:val="none" w:sz="0" w:space="0" w:color="auto"/>
                        <w:left w:val="none" w:sz="0" w:space="0" w:color="auto"/>
                        <w:bottom w:val="none" w:sz="0" w:space="0" w:color="auto"/>
                        <w:right w:val="none" w:sz="0" w:space="0" w:color="auto"/>
                      </w:divBdr>
                    </w:div>
                    <w:div w:id="1702170292">
                      <w:marLeft w:val="0"/>
                      <w:marRight w:val="0"/>
                      <w:marTop w:val="0"/>
                      <w:marBottom w:val="0"/>
                      <w:divBdr>
                        <w:top w:val="none" w:sz="0" w:space="0" w:color="auto"/>
                        <w:left w:val="none" w:sz="0" w:space="0" w:color="auto"/>
                        <w:bottom w:val="none" w:sz="0" w:space="0" w:color="auto"/>
                        <w:right w:val="none" w:sz="0" w:space="0" w:color="auto"/>
                      </w:divBdr>
                    </w:div>
                  </w:divsChild>
                </w:div>
                <w:div w:id="558247029">
                  <w:marLeft w:val="0"/>
                  <w:marRight w:val="0"/>
                  <w:marTop w:val="0"/>
                  <w:marBottom w:val="0"/>
                  <w:divBdr>
                    <w:top w:val="none" w:sz="0" w:space="0" w:color="auto"/>
                    <w:left w:val="none" w:sz="0" w:space="0" w:color="auto"/>
                    <w:bottom w:val="none" w:sz="0" w:space="0" w:color="auto"/>
                    <w:right w:val="none" w:sz="0" w:space="0" w:color="auto"/>
                  </w:divBdr>
                  <w:divsChild>
                    <w:div w:id="667248975">
                      <w:marLeft w:val="0"/>
                      <w:marRight w:val="0"/>
                      <w:marTop w:val="0"/>
                      <w:marBottom w:val="0"/>
                      <w:divBdr>
                        <w:top w:val="none" w:sz="0" w:space="0" w:color="auto"/>
                        <w:left w:val="none" w:sz="0" w:space="0" w:color="auto"/>
                        <w:bottom w:val="none" w:sz="0" w:space="0" w:color="auto"/>
                        <w:right w:val="none" w:sz="0" w:space="0" w:color="auto"/>
                      </w:divBdr>
                    </w:div>
                  </w:divsChild>
                </w:div>
                <w:div w:id="614094121">
                  <w:marLeft w:val="0"/>
                  <w:marRight w:val="0"/>
                  <w:marTop w:val="0"/>
                  <w:marBottom w:val="0"/>
                  <w:divBdr>
                    <w:top w:val="none" w:sz="0" w:space="0" w:color="auto"/>
                    <w:left w:val="none" w:sz="0" w:space="0" w:color="auto"/>
                    <w:bottom w:val="none" w:sz="0" w:space="0" w:color="auto"/>
                    <w:right w:val="none" w:sz="0" w:space="0" w:color="auto"/>
                  </w:divBdr>
                  <w:divsChild>
                    <w:div w:id="1172646646">
                      <w:marLeft w:val="0"/>
                      <w:marRight w:val="0"/>
                      <w:marTop w:val="0"/>
                      <w:marBottom w:val="0"/>
                      <w:divBdr>
                        <w:top w:val="none" w:sz="0" w:space="0" w:color="auto"/>
                        <w:left w:val="none" w:sz="0" w:space="0" w:color="auto"/>
                        <w:bottom w:val="none" w:sz="0" w:space="0" w:color="auto"/>
                        <w:right w:val="none" w:sz="0" w:space="0" w:color="auto"/>
                      </w:divBdr>
                    </w:div>
                  </w:divsChild>
                </w:div>
                <w:div w:id="654800051">
                  <w:marLeft w:val="0"/>
                  <w:marRight w:val="0"/>
                  <w:marTop w:val="0"/>
                  <w:marBottom w:val="0"/>
                  <w:divBdr>
                    <w:top w:val="none" w:sz="0" w:space="0" w:color="auto"/>
                    <w:left w:val="none" w:sz="0" w:space="0" w:color="auto"/>
                    <w:bottom w:val="none" w:sz="0" w:space="0" w:color="auto"/>
                    <w:right w:val="none" w:sz="0" w:space="0" w:color="auto"/>
                  </w:divBdr>
                  <w:divsChild>
                    <w:div w:id="147138097">
                      <w:marLeft w:val="0"/>
                      <w:marRight w:val="0"/>
                      <w:marTop w:val="0"/>
                      <w:marBottom w:val="0"/>
                      <w:divBdr>
                        <w:top w:val="none" w:sz="0" w:space="0" w:color="auto"/>
                        <w:left w:val="none" w:sz="0" w:space="0" w:color="auto"/>
                        <w:bottom w:val="none" w:sz="0" w:space="0" w:color="auto"/>
                        <w:right w:val="none" w:sz="0" w:space="0" w:color="auto"/>
                      </w:divBdr>
                    </w:div>
                  </w:divsChild>
                </w:div>
                <w:div w:id="694693080">
                  <w:marLeft w:val="0"/>
                  <w:marRight w:val="0"/>
                  <w:marTop w:val="0"/>
                  <w:marBottom w:val="0"/>
                  <w:divBdr>
                    <w:top w:val="none" w:sz="0" w:space="0" w:color="auto"/>
                    <w:left w:val="none" w:sz="0" w:space="0" w:color="auto"/>
                    <w:bottom w:val="none" w:sz="0" w:space="0" w:color="auto"/>
                    <w:right w:val="none" w:sz="0" w:space="0" w:color="auto"/>
                  </w:divBdr>
                  <w:divsChild>
                    <w:div w:id="1670012672">
                      <w:marLeft w:val="0"/>
                      <w:marRight w:val="0"/>
                      <w:marTop w:val="0"/>
                      <w:marBottom w:val="0"/>
                      <w:divBdr>
                        <w:top w:val="none" w:sz="0" w:space="0" w:color="auto"/>
                        <w:left w:val="none" w:sz="0" w:space="0" w:color="auto"/>
                        <w:bottom w:val="none" w:sz="0" w:space="0" w:color="auto"/>
                        <w:right w:val="none" w:sz="0" w:space="0" w:color="auto"/>
                      </w:divBdr>
                    </w:div>
                  </w:divsChild>
                </w:div>
                <w:div w:id="699160650">
                  <w:marLeft w:val="0"/>
                  <w:marRight w:val="0"/>
                  <w:marTop w:val="0"/>
                  <w:marBottom w:val="0"/>
                  <w:divBdr>
                    <w:top w:val="none" w:sz="0" w:space="0" w:color="auto"/>
                    <w:left w:val="none" w:sz="0" w:space="0" w:color="auto"/>
                    <w:bottom w:val="none" w:sz="0" w:space="0" w:color="auto"/>
                    <w:right w:val="none" w:sz="0" w:space="0" w:color="auto"/>
                  </w:divBdr>
                  <w:divsChild>
                    <w:div w:id="2041853927">
                      <w:marLeft w:val="0"/>
                      <w:marRight w:val="0"/>
                      <w:marTop w:val="0"/>
                      <w:marBottom w:val="0"/>
                      <w:divBdr>
                        <w:top w:val="none" w:sz="0" w:space="0" w:color="auto"/>
                        <w:left w:val="none" w:sz="0" w:space="0" w:color="auto"/>
                        <w:bottom w:val="none" w:sz="0" w:space="0" w:color="auto"/>
                        <w:right w:val="none" w:sz="0" w:space="0" w:color="auto"/>
                      </w:divBdr>
                    </w:div>
                  </w:divsChild>
                </w:div>
                <w:div w:id="898445702">
                  <w:marLeft w:val="0"/>
                  <w:marRight w:val="0"/>
                  <w:marTop w:val="0"/>
                  <w:marBottom w:val="0"/>
                  <w:divBdr>
                    <w:top w:val="none" w:sz="0" w:space="0" w:color="auto"/>
                    <w:left w:val="none" w:sz="0" w:space="0" w:color="auto"/>
                    <w:bottom w:val="none" w:sz="0" w:space="0" w:color="auto"/>
                    <w:right w:val="none" w:sz="0" w:space="0" w:color="auto"/>
                  </w:divBdr>
                  <w:divsChild>
                    <w:div w:id="573978973">
                      <w:marLeft w:val="0"/>
                      <w:marRight w:val="0"/>
                      <w:marTop w:val="0"/>
                      <w:marBottom w:val="0"/>
                      <w:divBdr>
                        <w:top w:val="none" w:sz="0" w:space="0" w:color="auto"/>
                        <w:left w:val="none" w:sz="0" w:space="0" w:color="auto"/>
                        <w:bottom w:val="none" w:sz="0" w:space="0" w:color="auto"/>
                        <w:right w:val="none" w:sz="0" w:space="0" w:color="auto"/>
                      </w:divBdr>
                    </w:div>
                  </w:divsChild>
                </w:div>
                <w:div w:id="901335751">
                  <w:marLeft w:val="0"/>
                  <w:marRight w:val="0"/>
                  <w:marTop w:val="0"/>
                  <w:marBottom w:val="0"/>
                  <w:divBdr>
                    <w:top w:val="none" w:sz="0" w:space="0" w:color="auto"/>
                    <w:left w:val="none" w:sz="0" w:space="0" w:color="auto"/>
                    <w:bottom w:val="none" w:sz="0" w:space="0" w:color="auto"/>
                    <w:right w:val="none" w:sz="0" w:space="0" w:color="auto"/>
                  </w:divBdr>
                  <w:divsChild>
                    <w:div w:id="1582564507">
                      <w:marLeft w:val="0"/>
                      <w:marRight w:val="0"/>
                      <w:marTop w:val="0"/>
                      <w:marBottom w:val="0"/>
                      <w:divBdr>
                        <w:top w:val="none" w:sz="0" w:space="0" w:color="auto"/>
                        <w:left w:val="none" w:sz="0" w:space="0" w:color="auto"/>
                        <w:bottom w:val="none" w:sz="0" w:space="0" w:color="auto"/>
                        <w:right w:val="none" w:sz="0" w:space="0" w:color="auto"/>
                      </w:divBdr>
                    </w:div>
                  </w:divsChild>
                </w:div>
                <w:div w:id="946499575">
                  <w:marLeft w:val="0"/>
                  <w:marRight w:val="0"/>
                  <w:marTop w:val="0"/>
                  <w:marBottom w:val="0"/>
                  <w:divBdr>
                    <w:top w:val="none" w:sz="0" w:space="0" w:color="auto"/>
                    <w:left w:val="none" w:sz="0" w:space="0" w:color="auto"/>
                    <w:bottom w:val="none" w:sz="0" w:space="0" w:color="auto"/>
                    <w:right w:val="none" w:sz="0" w:space="0" w:color="auto"/>
                  </w:divBdr>
                  <w:divsChild>
                    <w:div w:id="1674410181">
                      <w:marLeft w:val="0"/>
                      <w:marRight w:val="0"/>
                      <w:marTop w:val="0"/>
                      <w:marBottom w:val="0"/>
                      <w:divBdr>
                        <w:top w:val="none" w:sz="0" w:space="0" w:color="auto"/>
                        <w:left w:val="none" w:sz="0" w:space="0" w:color="auto"/>
                        <w:bottom w:val="none" w:sz="0" w:space="0" w:color="auto"/>
                        <w:right w:val="none" w:sz="0" w:space="0" w:color="auto"/>
                      </w:divBdr>
                    </w:div>
                  </w:divsChild>
                </w:div>
                <w:div w:id="979572351">
                  <w:marLeft w:val="0"/>
                  <w:marRight w:val="0"/>
                  <w:marTop w:val="0"/>
                  <w:marBottom w:val="0"/>
                  <w:divBdr>
                    <w:top w:val="none" w:sz="0" w:space="0" w:color="auto"/>
                    <w:left w:val="none" w:sz="0" w:space="0" w:color="auto"/>
                    <w:bottom w:val="none" w:sz="0" w:space="0" w:color="auto"/>
                    <w:right w:val="none" w:sz="0" w:space="0" w:color="auto"/>
                  </w:divBdr>
                  <w:divsChild>
                    <w:div w:id="1120807547">
                      <w:marLeft w:val="0"/>
                      <w:marRight w:val="0"/>
                      <w:marTop w:val="0"/>
                      <w:marBottom w:val="0"/>
                      <w:divBdr>
                        <w:top w:val="none" w:sz="0" w:space="0" w:color="auto"/>
                        <w:left w:val="none" w:sz="0" w:space="0" w:color="auto"/>
                        <w:bottom w:val="none" w:sz="0" w:space="0" w:color="auto"/>
                        <w:right w:val="none" w:sz="0" w:space="0" w:color="auto"/>
                      </w:divBdr>
                    </w:div>
                  </w:divsChild>
                </w:div>
                <w:div w:id="1070731035">
                  <w:marLeft w:val="0"/>
                  <w:marRight w:val="0"/>
                  <w:marTop w:val="0"/>
                  <w:marBottom w:val="0"/>
                  <w:divBdr>
                    <w:top w:val="none" w:sz="0" w:space="0" w:color="auto"/>
                    <w:left w:val="none" w:sz="0" w:space="0" w:color="auto"/>
                    <w:bottom w:val="none" w:sz="0" w:space="0" w:color="auto"/>
                    <w:right w:val="none" w:sz="0" w:space="0" w:color="auto"/>
                  </w:divBdr>
                  <w:divsChild>
                    <w:div w:id="36130730">
                      <w:marLeft w:val="0"/>
                      <w:marRight w:val="0"/>
                      <w:marTop w:val="0"/>
                      <w:marBottom w:val="0"/>
                      <w:divBdr>
                        <w:top w:val="none" w:sz="0" w:space="0" w:color="auto"/>
                        <w:left w:val="none" w:sz="0" w:space="0" w:color="auto"/>
                        <w:bottom w:val="none" w:sz="0" w:space="0" w:color="auto"/>
                        <w:right w:val="none" w:sz="0" w:space="0" w:color="auto"/>
                      </w:divBdr>
                    </w:div>
                  </w:divsChild>
                </w:div>
                <w:div w:id="1080909281">
                  <w:marLeft w:val="0"/>
                  <w:marRight w:val="0"/>
                  <w:marTop w:val="0"/>
                  <w:marBottom w:val="0"/>
                  <w:divBdr>
                    <w:top w:val="none" w:sz="0" w:space="0" w:color="auto"/>
                    <w:left w:val="none" w:sz="0" w:space="0" w:color="auto"/>
                    <w:bottom w:val="none" w:sz="0" w:space="0" w:color="auto"/>
                    <w:right w:val="none" w:sz="0" w:space="0" w:color="auto"/>
                  </w:divBdr>
                  <w:divsChild>
                    <w:div w:id="1432167818">
                      <w:marLeft w:val="0"/>
                      <w:marRight w:val="0"/>
                      <w:marTop w:val="0"/>
                      <w:marBottom w:val="0"/>
                      <w:divBdr>
                        <w:top w:val="none" w:sz="0" w:space="0" w:color="auto"/>
                        <w:left w:val="none" w:sz="0" w:space="0" w:color="auto"/>
                        <w:bottom w:val="none" w:sz="0" w:space="0" w:color="auto"/>
                        <w:right w:val="none" w:sz="0" w:space="0" w:color="auto"/>
                      </w:divBdr>
                    </w:div>
                  </w:divsChild>
                </w:div>
                <w:div w:id="1158232892">
                  <w:marLeft w:val="0"/>
                  <w:marRight w:val="0"/>
                  <w:marTop w:val="0"/>
                  <w:marBottom w:val="0"/>
                  <w:divBdr>
                    <w:top w:val="none" w:sz="0" w:space="0" w:color="auto"/>
                    <w:left w:val="none" w:sz="0" w:space="0" w:color="auto"/>
                    <w:bottom w:val="none" w:sz="0" w:space="0" w:color="auto"/>
                    <w:right w:val="none" w:sz="0" w:space="0" w:color="auto"/>
                  </w:divBdr>
                  <w:divsChild>
                    <w:div w:id="30962584">
                      <w:marLeft w:val="0"/>
                      <w:marRight w:val="0"/>
                      <w:marTop w:val="0"/>
                      <w:marBottom w:val="0"/>
                      <w:divBdr>
                        <w:top w:val="none" w:sz="0" w:space="0" w:color="auto"/>
                        <w:left w:val="none" w:sz="0" w:space="0" w:color="auto"/>
                        <w:bottom w:val="none" w:sz="0" w:space="0" w:color="auto"/>
                        <w:right w:val="none" w:sz="0" w:space="0" w:color="auto"/>
                      </w:divBdr>
                    </w:div>
                  </w:divsChild>
                </w:div>
                <w:div w:id="1193765686">
                  <w:marLeft w:val="0"/>
                  <w:marRight w:val="0"/>
                  <w:marTop w:val="0"/>
                  <w:marBottom w:val="0"/>
                  <w:divBdr>
                    <w:top w:val="none" w:sz="0" w:space="0" w:color="auto"/>
                    <w:left w:val="none" w:sz="0" w:space="0" w:color="auto"/>
                    <w:bottom w:val="none" w:sz="0" w:space="0" w:color="auto"/>
                    <w:right w:val="none" w:sz="0" w:space="0" w:color="auto"/>
                  </w:divBdr>
                  <w:divsChild>
                    <w:div w:id="1170220020">
                      <w:marLeft w:val="0"/>
                      <w:marRight w:val="0"/>
                      <w:marTop w:val="0"/>
                      <w:marBottom w:val="0"/>
                      <w:divBdr>
                        <w:top w:val="none" w:sz="0" w:space="0" w:color="auto"/>
                        <w:left w:val="none" w:sz="0" w:space="0" w:color="auto"/>
                        <w:bottom w:val="none" w:sz="0" w:space="0" w:color="auto"/>
                        <w:right w:val="none" w:sz="0" w:space="0" w:color="auto"/>
                      </w:divBdr>
                    </w:div>
                  </w:divsChild>
                </w:div>
                <w:div w:id="1244989684">
                  <w:marLeft w:val="0"/>
                  <w:marRight w:val="0"/>
                  <w:marTop w:val="0"/>
                  <w:marBottom w:val="0"/>
                  <w:divBdr>
                    <w:top w:val="none" w:sz="0" w:space="0" w:color="auto"/>
                    <w:left w:val="none" w:sz="0" w:space="0" w:color="auto"/>
                    <w:bottom w:val="none" w:sz="0" w:space="0" w:color="auto"/>
                    <w:right w:val="none" w:sz="0" w:space="0" w:color="auto"/>
                  </w:divBdr>
                  <w:divsChild>
                    <w:div w:id="1854146002">
                      <w:marLeft w:val="0"/>
                      <w:marRight w:val="0"/>
                      <w:marTop w:val="0"/>
                      <w:marBottom w:val="0"/>
                      <w:divBdr>
                        <w:top w:val="none" w:sz="0" w:space="0" w:color="auto"/>
                        <w:left w:val="none" w:sz="0" w:space="0" w:color="auto"/>
                        <w:bottom w:val="none" w:sz="0" w:space="0" w:color="auto"/>
                        <w:right w:val="none" w:sz="0" w:space="0" w:color="auto"/>
                      </w:divBdr>
                    </w:div>
                  </w:divsChild>
                </w:div>
                <w:div w:id="1247962250">
                  <w:marLeft w:val="0"/>
                  <w:marRight w:val="0"/>
                  <w:marTop w:val="0"/>
                  <w:marBottom w:val="0"/>
                  <w:divBdr>
                    <w:top w:val="none" w:sz="0" w:space="0" w:color="auto"/>
                    <w:left w:val="none" w:sz="0" w:space="0" w:color="auto"/>
                    <w:bottom w:val="none" w:sz="0" w:space="0" w:color="auto"/>
                    <w:right w:val="none" w:sz="0" w:space="0" w:color="auto"/>
                  </w:divBdr>
                  <w:divsChild>
                    <w:div w:id="608391239">
                      <w:marLeft w:val="0"/>
                      <w:marRight w:val="0"/>
                      <w:marTop w:val="0"/>
                      <w:marBottom w:val="0"/>
                      <w:divBdr>
                        <w:top w:val="none" w:sz="0" w:space="0" w:color="auto"/>
                        <w:left w:val="none" w:sz="0" w:space="0" w:color="auto"/>
                        <w:bottom w:val="none" w:sz="0" w:space="0" w:color="auto"/>
                        <w:right w:val="none" w:sz="0" w:space="0" w:color="auto"/>
                      </w:divBdr>
                    </w:div>
                  </w:divsChild>
                </w:div>
                <w:div w:id="1319727167">
                  <w:marLeft w:val="0"/>
                  <w:marRight w:val="0"/>
                  <w:marTop w:val="0"/>
                  <w:marBottom w:val="0"/>
                  <w:divBdr>
                    <w:top w:val="none" w:sz="0" w:space="0" w:color="auto"/>
                    <w:left w:val="none" w:sz="0" w:space="0" w:color="auto"/>
                    <w:bottom w:val="none" w:sz="0" w:space="0" w:color="auto"/>
                    <w:right w:val="none" w:sz="0" w:space="0" w:color="auto"/>
                  </w:divBdr>
                  <w:divsChild>
                    <w:div w:id="550073197">
                      <w:marLeft w:val="0"/>
                      <w:marRight w:val="0"/>
                      <w:marTop w:val="0"/>
                      <w:marBottom w:val="0"/>
                      <w:divBdr>
                        <w:top w:val="none" w:sz="0" w:space="0" w:color="auto"/>
                        <w:left w:val="none" w:sz="0" w:space="0" w:color="auto"/>
                        <w:bottom w:val="none" w:sz="0" w:space="0" w:color="auto"/>
                        <w:right w:val="none" w:sz="0" w:space="0" w:color="auto"/>
                      </w:divBdr>
                    </w:div>
                  </w:divsChild>
                </w:div>
                <w:div w:id="1347747855">
                  <w:marLeft w:val="0"/>
                  <w:marRight w:val="0"/>
                  <w:marTop w:val="0"/>
                  <w:marBottom w:val="0"/>
                  <w:divBdr>
                    <w:top w:val="none" w:sz="0" w:space="0" w:color="auto"/>
                    <w:left w:val="none" w:sz="0" w:space="0" w:color="auto"/>
                    <w:bottom w:val="none" w:sz="0" w:space="0" w:color="auto"/>
                    <w:right w:val="none" w:sz="0" w:space="0" w:color="auto"/>
                  </w:divBdr>
                  <w:divsChild>
                    <w:div w:id="1637104583">
                      <w:marLeft w:val="0"/>
                      <w:marRight w:val="0"/>
                      <w:marTop w:val="0"/>
                      <w:marBottom w:val="0"/>
                      <w:divBdr>
                        <w:top w:val="none" w:sz="0" w:space="0" w:color="auto"/>
                        <w:left w:val="none" w:sz="0" w:space="0" w:color="auto"/>
                        <w:bottom w:val="none" w:sz="0" w:space="0" w:color="auto"/>
                        <w:right w:val="none" w:sz="0" w:space="0" w:color="auto"/>
                      </w:divBdr>
                    </w:div>
                  </w:divsChild>
                </w:div>
                <w:div w:id="1400640267">
                  <w:marLeft w:val="0"/>
                  <w:marRight w:val="0"/>
                  <w:marTop w:val="0"/>
                  <w:marBottom w:val="0"/>
                  <w:divBdr>
                    <w:top w:val="none" w:sz="0" w:space="0" w:color="auto"/>
                    <w:left w:val="none" w:sz="0" w:space="0" w:color="auto"/>
                    <w:bottom w:val="none" w:sz="0" w:space="0" w:color="auto"/>
                    <w:right w:val="none" w:sz="0" w:space="0" w:color="auto"/>
                  </w:divBdr>
                  <w:divsChild>
                    <w:div w:id="2055419386">
                      <w:marLeft w:val="0"/>
                      <w:marRight w:val="0"/>
                      <w:marTop w:val="0"/>
                      <w:marBottom w:val="0"/>
                      <w:divBdr>
                        <w:top w:val="none" w:sz="0" w:space="0" w:color="auto"/>
                        <w:left w:val="none" w:sz="0" w:space="0" w:color="auto"/>
                        <w:bottom w:val="none" w:sz="0" w:space="0" w:color="auto"/>
                        <w:right w:val="none" w:sz="0" w:space="0" w:color="auto"/>
                      </w:divBdr>
                    </w:div>
                  </w:divsChild>
                </w:div>
                <w:div w:id="1452741860">
                  <w:marLeft w:val="0"/>
                  <w:marRight w:val="0"/>
                  <w:marTop w:val="0"/>
                  <w:marBottom w:val="0"/>
                  <w:divBdr>
                    <w:top w:val="none" w:sz="0" w:space="0" w:color="auto"/>
                    <w:left w:val="none" w:sz="0" w:space="0" w:color="auto"/>
                    <w:bottom w:val="none" w:sz="0" w:space="0" w:color="auto"/>
                    <w:right w:val="none" w:sz="0" w:space="0" w:color="auto"/>
                  </w:divBdr>
                  <w:divsChild>
                    <w:div w:id="525220090">
                      <w:marLeft w:val="0"/>
                      <w:marRight w:val="0"/>
                      <w:marTop w:val="0"/>
                      <w:marBottom w:val="0"/>
                      <w:divBdr>
                        <w:top w:val="none" w:sz="0" w:space="0" w:color="auto"/>
                        <w:left w:val="none" w:sz="0" w:space="0" w:color="auto"/>
                        <w:bottom w:val="none" w:sz="0" w:space="0" w:color="auto"/>
                        <w:right w:val="none" w:sz="0" w:space="0" w:color="auto"/>
                      </w:divBdr>
                    </w:div>
                  </w:divsChild>
                </w:div>
                <w:div w:id="1566260878">
                  <w:marLeft w:val="0"/>
                  <w:marRight w:val="0"/>
                  <w:marTop w:val="0"/>
                  <w:marBottom w:val="0"/>
                  <w:divBdr>
                    <w:top w:val="none" w:sz="0" w:space="0" w:color="auto"/>
                    <w:left w:val="none" w:sz="0" w:space="0" w:color="auto"/>
                    <w:bottom w:val="none" w:sz="0" w:space="0" w:color="auto"/>
                    <w:right w:val="none" w:sz="0" w:space="0" w:color="auto"/>
                  </w:divBdr>
                  <w:divsChild>
                    <w:div w:id="319702210">
                      <w:marLeft w:val="0"/>
                      <w:marRight w:val="0"/>
                      <w:marTop w:val="0"/>
                      <w:marBottom w:val="0"/>
                      <w:divBdr>
                        <w:top w:val="none" w:sz="0" w:space="0" w:color="auto"/>
                        <w:left w:val="none" w:sz="0" w:space="0" w:color="auto"/>
                        <w:bottom w:val="none" w:sz="0" w:space="0" w:color="auto"/>
                        <w:right w:val="none" w:sz="0" w:space="0" w:color="auto"/>
                      </w:divBdr>
                    </w:div>
                  </w:divsChild>
                </w:div>
                <w:div w:id="1604846664">
                  <w:marLeft w:val="0"/>
                  <w:marRight w:val="0"/>
                  <w:marTop w:val="0"/>
                  <w:marBottom w:val="0"/>
                  <w:divBdr>
                    <w:top w:val="none" w:sz="0" w:space="0" w:color="auto"/>
                    <w:left w:val="none" w:sz="0" w:space="0" w:color="auto"/>
                    <w:bottom w:val="none" w:sz="0" w:space="0" w:color="auto"/>
                    <w:right w:val="none" w:sz="0" w:space="0" w:color="auto"/>
                  </w:divBdr>
                  <w:divsChild>
                    <w:div w:id="378633477">
                      <w:marLeft w:val="0"/>
                      <w:marRight w:val="0"/>
                      <w:marTop w:val="0"/>
                      <w:marBottom w:val="0"/>
                      <w:divBdr>
                        <w:top w:val="none" w:sz="0" w:space="0" w:color="auto"/>
                        <w:left w:val="none" w:sz="0" w:space="0" w:color="auto"/>
                        <w:bottom w:val="none" w:sz="0" w:space="0" w:color="auto"/>
                        <w:right w:val="none" w:sz="0" w:space="0" w:color="auto"/>
                      </w:divBdr>
                    </w:div>
                  </w:divsChild>
                </w:div>
                <w:div w:id="1617788287">
                  <w:marLeft w:val="0"/>
                  <w:marRight w:val="0"/>
                  <w:marTop w:val="0"/>
                  <w:marBottom w:val="0"/>
                  <w:divBdr>
                    <w:top w:val="none" w:sz="0" w:space="0" w:color="auto"/>
                    <w:left w:val="none" w:sz="0" w:space="0" w:color="auto"/>
                    <w:bottom w:val="none" w:sz="0" w:space="0" w:color="auto"/>
                    <w:right w:val="none" w:sz="0" w:space="0" w:color="auto"/>
                  </w:divBdr>
                  <w:divsChild>
                    <w:div w:id="2116241265">
                      <w:marLeft w:val="0"/>
                      <w:marRight w:val="0"/>
                      <w:marTop w:val="0"/>
                      <w:marBottom w:val="0"/>
                      <w:divBdr>
                        <w:top w:val="none" w:sz="0" w:space="0" w:color="auto"/>
                        <w:left w:val="none" w:sz="0" w:space="0" w:color="auto"/>
                        <w:bottom w:val="none" w:sz="0" w:space="0" w:color="auto"/>
                        <w:right w:val="none" w:sz="0" w:space="0" w:color="auto"/>
                      </w:divBdr>
                    </w:div>
                  </w:divsChild>
                </w:div>
                <w:div w:id="1630554379">
                  <w:marLeft w:val="0"/>
                  <w:marRight w:val="0"/>
                  <w:marTop w:val="0"/>
                  <w:marBottom w:val="0"/>
                  <w:divBdr>
                    <w:top w:val="none" w:sz="0" w:space="0" w:color="auto"/>
                    <w:left w:val="none" w:sz="0" w:space="0" w:color="auto"/>
                    <w:bottom w:val="none" w:sz="0" w:space="0" w:color="auto"/>
                    <w:right w:val="none" w:sz="0" w:space="0" w:color="auto"/>
                  </w:divBdr>
                  <w:divsChild>
                    <w:div w:id="1988774603">
                      <w:marLeft w:val="0"/>
                      <w:marRight w:val="0"/>
                      <w:marTop w:val="0"/>
                      <w:marBottom w:val="0"/>
                      <w:divBdr>
                        <w:top w:val="none" w:sz="0" w:space="0" w:color="auto"/>
                        <w:left w:val="none" w:sz="0" w:space="0" w:color="auto"/>
                        <w:bottom w:val="none" w:sz="0" w:space="0" w:color="auto"/>
                        <w:right w:val="none" w:sz="0" w:space="0" w:color="auto"/>
                      </w:divBdr>
                    </w:div>
                  </w:divsChild>
                </w:div>
                <w:div w:id="1642731082">
                  <w:marLeft w:val="0"/>
                  <w:marRight w:val="0"/>
                  <w:marTop w:val="0"/>
                  <w:marBottom w:val="0"/>
                  <w:divBdr>
                    <w:top w:val="none" w:sz="0" w:space="0" w:color="auto"/>
                    <w:left w:val="none" w:sz="0" w:space="0" w:color="auto"/>
                    <w:bottom w:val="none" w:sz="0" w:space="0" w:color="auto"/>
                    <w:right w:val="none" w:sz="0" w:space="0" w:color="auto"/>
                  </w:divBdr>
                  <w:divsChild>
                    <w:div w:id="955671168">
                      <w:marLeft w:val="0"/>
                      <w:marRight w:val="0"/>
                      <w:marTop w:val="0"/>
                      <w:marBottom w:val="0"/>
                      <w:divBdr>
                        <w:top w:val="none" w:sz="0" w:space="0" w:color="auto"/>
                        <w:left w:val="none" w:sz="0" w:space="0" w:color="auto"/>
                        <w:bottom w:val="none" w:sz="0" w:space="0" w:color="auto"/>
                        <w:right w:val="none" w:sz="0" w:space="0" w:color="auto"/>
                      </w:divBdr>
                    </w:div>
                  </w:divsChild>
                </w:div>
                <w:div w:id="1669559515">
                  <w:marLeft w:val="0"/>
                  <w:marRight w:val="0"/>
                  <w:marTop w:val="0"/>
                  <w:marBottom w:val="0"/>
                  <w:divBdr>
                    <w:top w:val="none" w:sz="0" w:space="0" w:color="auto"/>
                    <w:left w:val="none" w:sz="0" w:space="0" w:color="auto"/>
                    <w:bottom w:val="none" w:sz="0" w:space="0" w:color="auto"/>
                    <w:right w:val="none" w:sz="0" w:space="0" w:color="auto"/>
                  </w:divBdr>
                  <w:divsChild>
                    <w:div w:id="1880975997">
                      <w:marLeft w:val="0"/>
                      <w:marRight w:val="0"/>
                      <w:marTop w:val="0"/>
                      <w:marBottom w:val="0"/>
                      <w:divBdr>
                        <w:top w:val="none" w:sz="0" w:space="0" w:color="auto"/>
                        <w:left w:val="none" w:sz="0" w:space="0" w:color="auto"/>
                        <w:bottom w:val="none" w:sz="0" w:space="0" w:color="auto"/>
                        <w:right w:val="none" w:sz="0" w:space="0" w:color="auto"/>
                      </w:divBdr>
                    </w:div>
                  </w:divsChild>
                </w:div>
                <w:div w:id="1686444934">
                  <w:marLeft w:val="0"/>
                  <w:marRight w:val="0"/>
                  <w:marTop w:val="0"/>
                  <w:marBottom w:val="0"/>
                  <w:divBdr>
                    <w:top w:val="none" w:sz="0" w:space="0" w:color="auto"/>
                    <w:left w:val="none" w:sz="0" w:space="0" w:color="auto"/>
                    <w:bottom w:val="none" w:sz="0" w:space="0" w:color="auto"/>
                    <w:right w:val="none" w:sz="0" w:space="0" w:color="auto"/>
                  </w:divBdr>
                  <w:divsChild>
                    <w:div w:id="816997369">
                      <w:marLeft w:val="0"/>
                      <w:marRight w:val="0"/>
                      <w:marTop w:val="0"/>
                      <w:marBottom w:val="0"/>
                      <w:divBdr>
                        <w:top w:val="none" w:sz="0" w:space="0" w:color="auto"/>
                        <w:left w:val="none" w:sz="0" w:space="0" w:color="auto"/>
                        <w:bottom w:val="none" w:sz="0" w:space="0" w:color="auto"/>
                        <w:right w:val="none" w:sz="0" w:space="0" w:color="auto"/>
                      </w:divBdr>
                    </w:div>
                  </w:divsChild>
                </w:div>
                <w:div w:id="1711153172">
                  <w:marLeft w:val="0"/>
                  <w:marRight w:val="0"/>
                  <w:marTop w:val="0"/>
                  <w:marBottom w:val="0"/>
                  <w:divBdr>
                    <w:top w:val="none" w:sz="0" w:space="0" w:color="auto"/>
                    <w:left w:val="none" w:sz="0" w:space="0" w:color="auto"/>
                    <w:bottom w:val="none" w:sz="0" w:space="0" w:color="auto"/>
                    <w:right w:val="none" w:sz="0" w:space="0" w:color="auto"/>
                  </w:divBdr>
                  <w:divsChild>
                    <w:div w:id="528299031">
                      <w:marLeft w:val="0"/>
                      <w:marRight w:val="0"/>
                      <w:marTop w:val="0"/>
                      <w:marBottom w:val="0"/>
                      <w:divBdr>
                        <w:top w:val="none" w:sz="0" w:space="0" w:color="auto"/>
                        <w:left w:val="none" w:sz="0" w:space="0" w:color="auto"/>
                        <w:bottom w:val="none" w:sz="0" w:space="0" w:color="auto"/>
                        <w:right w:val="none" w:sz="0" w:space="0" w:color="auto"/>
                      </w:divBdr>
                    </w:div>
                  </w:divsChild>
                </w:div>
                <w:div w:id="1727757738">
                  <w:marLeft w:val="0"/>
                  <w:marRight w:val="0"/>
                  <w:marTop w:val="0"/>
                  <w:marBottom w:val="0"/>
                  <w:divBdr>
                    <w:top w:val="none" w:sz="0" w:space="0" w:color="auto"/>
                    <w:left w:val="none" w:sz="0" w:space="0" w:color="auto"/>
                    <w:bottom w:val="none" w:sz="0" w:space="0" w:color="auto"/>
                    <w:right w:val="none" w:sz="0" w:space="0" w:color="auto"/>
                  </w:divBdr>
                  <w:divsChild>
                    <w:div w:id="817889963">
                      <w:marLeft w:val="0"/>
                      <w:marRight w:val="0"/>
                      <w:marTop w:val="0"/>
                      <w:marBottom w:val="0"/>
                      <w:divBdr>
                        <w:top w:val="none" w:sz="0" w:space="0" w:color="auto"/>
                        <w:left w:val="none" w:sz="0" w:space="0" w:color="auto"/>
                        <w:bottom w:val="none" w:sz="0" w:space="0" w:color="auto"/>
                        <w:right w:val="none" w:sz="0" w:space="0" w:color="auto"/>
                      </w:divBdr>
                    </w:div>
                  </w:divsChild>
                </w:div>
                <w:div w:id="1741906964">
                  <w:marLeft w:val="0"/>
                  <w:marRight w:val="0"/>
                  <w:marTop w:val="0"/>
                  <w:marBottom w:val="0"/>
                  <w:divBdr>
                    <w:top w:val="none" w:sz="0" w:space="0" w:color="auto"/>
                    <w:left w:val="none" w:sz="0" w:space="0" w:color="auto"/>
                    <w:bottom w:val="none" w:sz="0" w:space="0" w:color="auto"/>
                    <w:right w:val="none" w:sz="0" w:space="0" w:color="auto"/>
                  </w:divBdr>
                  <w:divsChild>
                    <w:div w:id="1919440014">
                      <w:marLeft w:val="0"/>
                      <w:marRight w:val="0"/>
                      <w:marTop w:val="0"/>
                      <w:marBottom w:val="0"/>
                      <w:divBdr>
                        <w:top w:val="none" w:sz="0" w:space="0" w:color="auto"/>
                        <w:left w:val="none" w:sz="0" w:space="0" w:color="auto"/>
                        <w:bottom w:val="none" w:sz="0" w:space="0" w:color="auto"/>
                        <w:right w:val="none" w:sz="0" w:space="0" w:color="auto"/>
                      </w:divBdr>
                    </w:div>
                  </w:divsChild>
                </w:div>
                <w:div w:id="1780490488">
                  <w:marLeft w:val="0"/>
                  <w:marRight w:val="0"/>
                  <w:marTop w:val="0"/>
                  <w:marBottom w:val="0"/>
                  <w:divBdr>
                    <w:top w:val="none" w:sz="0" w:space="0" w:color="auto"/>
                    <w:left w:val="none" w:sz="0" w:space="0" w:color="auto"/>
                    <w:bottom w:val="none" w:sz="0" w:space="0" w:color="auto"/>
                    <w:right w:val="none" w:sz="0" w:space="0" w:color="auto"/>
                  </w:divBdr>
                  <w:divsChild>
                    <w:div w:id="1281911551">
                      <w:marLeft w:val="0"/>
                      <w:marRight w:val="0"/>
                      <w:marTop w:val="0"/>
                      <w:marBottom w:val="0"/>
                      <w:divBdr>
                        <w:top w:val="none" w:sz="0" w:space="0" w:color="auto"/>
                        <w:left w:val="none" w:sz="0" w:space="0" w:color="auto"/>
                        <w:bottom w:val="none" w:sz="0" w:space="0" w:color="auto"/>
                        <w:right w:val="none" w:sz="0" w:space="0" w:color="auto"/>
                      </w:divBdr>
                    </w:div>
                  </w:divsChild>
                </w:div>
                <w:div w:id="1892379489">
                  <w:marLeft w:val="0"/>
                  <w:marRight w:val="0"/>
                  <w:marTop w:val="0"/>
                  <w:marBottom w:val="0"/>
                  <w:divBdr>
                    <w:top w:val="none" w:sz="0" w:space="0" w:color="auto"/>
                    <w:left w:val="none" w:sz="0" w:space="0" w:color="auto"/>
                    <w:bottom w:val="none" w:sz="0" w:space="0" w:color="auto"/>
                    <w:right w:val="none" w:sz="0" w:space="0" w:color="auto"/>
                  </w:divBdr>
                  <w:divsChild>
                    <w:div w:id="1888685920">
                      <w:marLeft w:val="0"/>
                      <w:marRight w:val="0"/>
                      <w:marTop w:val="0"/>
                      <w:marBottom w:val="0"/>
                      <w:divBdr>
                        <w:top w:val="none" w:sz="0" w:space="0" w:color="auto"/>
                        <w:left w:val="none" w:sz="0" w:space="0" w:color="auto"/>
                        <w:bottom w:val="none" w:sz="0" w:space="0" w:color="auto"/>
                        <w:right w:val="none" w:sz="0" w:space="0" w:color="auto"/>
                      </w:divBdr>
                    </w:div>
                  </w:divsChild>
                </w:div>
                <w:div w:id="1989360078">
                  <w:marLeft w:val="0"/>
                  <w:marRight w:val="0"/>
                  <w:marTop w:val="0"/>
                  <w:marBottom w:val="0"/>
                  <w:divBdr>
                    <w:top w:val="none" w:sz="0" w:space="0" w:color="auto"/>
                    <w:left w:val="none" w:sz="0" w:space="0" w:color="auto"/>
                    <w:bottom w:val="none" w:sz="0" w:space="0" w:color="auto"/>
                    <w:right w:val="none" w:sz="0" w:space="0" w:color="auto"/>
                  </w:divBdr>
                  <w:divsChild>
                    <w:div w:id="936600312">
                      <w:marLeft w:val="0"/>
                      <w:marRight w:val="0"/>
                      <w:marTop w:val="0"/>
                      <w:marBottom w:val="0"/>
                      <w:divBdr>
                        <w:top w:val="none" w:sz="0" w:space="0" w:color="auto"/>
                        <w:left w:val="none" w:sz="0" w:space="0" w:color="auto"/>
                        <w:bottom w:val="none" w:sz="0" w:space="0" w:color="auto"/>
                        <w:right w:val="none" w:sz="0" w:space="0" w:color="auto"/>
                      </w:divBdr>
                    </w:div>
                  </w:divsChild>
                </w:div>
                <w:div w:id="1994412606">
                  <w:marLeft w:val="0"/>
                  <w:marRight w:val="0"/>
                  <w:marTop w:val="0"/>
                  <w:marBottom w:val="0"/>
                  <w:divBdr>
                    <w:top w:val="none" w:sz="0" w:space="0" w:color="auto"/>
                    <w:left w:val="none" w:sz="0" w:space="0" w:color="auto"/>
                    <w:bottom w:val="none" w:sz="0" w:space="0" w:color="auto"/>
                    <w:right w:val="none" w:sz="0" w:space="0" w:color="auto"/>
                  </w:divBdr>
                  <w:divsChild>
                    <w:div w:id="941642737">
                      <w:marLeft w:val="0"/>
                      <w:marRight w:val="0"/>
                      <w:marTop w:val="0"/>
                      <w:marBottom w:val="0"/>
                      <w:divBdr>
                        <w:top w:val="none" w:sz="0" w:space="0" w:color="auto"/>
                        <w:left w:val="none" w:sz="0" w:space="0" w:color="auto"/>
                        <w:bottom w:val="none" w:sz="0" w:space="0" w:color="auto"/>
                        <w:right w:val="none" w:sz="0" w:space="0" w:color="auto"/>
                      </w:divBdr>
                    </w:div>
                  </w:divsChild>
                </w:div>
                <w:div w:id="2017075317">
                  <w:marLeft w:val="0"/>
                  <w:marRight w:val="0"/>
                  <w:marTop w:val="0"/>
                  <w:marBottom w:val="0"/>
                  <w:divBdr>
                    <w:top w:val="none" w:sz="0" w:space="0" w:color="auto"/>
                    <w:left w:val="none" w:sz="0" w:space="0" w:color="auto"/>
                    <w:bottom w:val="none" w:sz="0" w:space="0" w:color="auto"/>
                    <w:right w:val="none" w:sz="0" w:space="0" w:color="auto"/>
                  </w:divBdr>
                  <w:divsChild>
                    <w:div w:id="1286036306">
                      <w:marLeft w:val="0"/>
                      <w:marRight w:val="0"/>
                      <w:marTop w:val="0"/>
                      <w:marBottom w:val="0"/>
                      <w:divBdr>
                        <w:top w:val="none" w:sz="0" w:space="0" w:color="auto"/>
                        <w:left w:val="none" w:sz="0" w:space="0" w:color="auto"/>
                        <w:bottom w:val="none" w:sz="0" w:space="0" w:color="auto"/>
                        <w:right w:val="none" w:sz="0" w:space="0" w:color="auto"/>
                      </w:divBdr>
                    </w:div>
                  </w:divsChild>
                </w:div>
                <w:div w:id="2036613617">
                  <w:marLeft w:val="0"/>
                  <w:marRight w:val="0"/>
                  <w:marTop w:val="0"/>
                  <w:marBottom w:val="0"/>
                  <w:divBdr>
                    <w:top w:val="none" w:sz="0" w:space="0" w:color="auto"/>
                    <w:left w:val="none" w:sz="0" w:space="0" w:color="auto"/>
                    <w:bottom w:val="none" w:sz="0" w:space="0" w:color="auto"/>
                    <w:right w:val="none" w:sz="0" w:space="0" w:color="auto"/>
                  </w:divBdr>
                  <w:divsChild>
                    <w:div w:id="780683939">
                      <w:marLeft w:val="0"/>
                      <w:marRight w:val="0"/>
                      <w:marTop w:val="0"/>
                      <w:marBottom w:val="0"/>
                      <w:divBdr>
                        <w:top w:val="none" w:sz="0" w:space="0" w:color="auto"/>
                        <w:left w:val="none" w:sz="0" w:space="0" w:color="auto"/>
                        <w:bottom w:val="none" w:sz="0" w:space="0" w:color="auto"/>
                        <w:right w:val="none" w:sz="0" w:space="0" w:color="auto"/>
                      </w:divBdr>
                    </w:div>
                  </w:divsChild>
                </w:div>
                <w:div w:id="2052458021">
                  <w:marLeft w:val="0"/>
                  <w:marRight w:val="0"/>
                  <w:marTop w:val="0"/>
                  <w:marBottom w:val="0"/>
                  <w:divBdr>
                    <w:top w:val="none" w:sz="0" w:space="0" w:color="auto"/>
                    <w:left w:val="none" w:sz="0" w:space="0" w:color="auto"/>
                    <w:bottom w:val="none" w:sz="0" w:space="0" w:color="auto"/>
                    <w:right w:val="none" w:sz="0" w:space="0" w:color="auto"/>
                  </w:divBdr>
                  <w:divsChild>
                    <w:div w:id="1768964577">
                      <w:marLeft w:val="0"/>
                      <w:marRight w:val="0"/>
                      <w:marTop w:val="0"/>
                      <w:marBottom w:val="0"/>
                      <w:divBdr>
                        <w:top w:val="none" w:sz="0" w:space="0" w:color="auto"/>
                        <w:left w:val="none" w:sz="0" w:space="0" w:color="auto"/>
                        <w:bottom w:val="none" w:sz="0" w:space="0" w:color="auto"/>
                        <w:right w:val="none" w:sz="0" w:space="0" w:color="auto"/>
                      </w:divBdr>
                    </w:div>
                  </w:divsChild>
                </w:div>
                <w:div w:id="2085567461">
                  <w:marLeft w:val="0"/>
                  <w:marRight w:val="0"/>
                  <w:marTop w:val="0"/>
                  <w:marBottom w:val="0"/>
                  <w:divBdr>
                    <w:top w:val="none" w:sz="0" w:space="0" w:color="auto"/>
                    <w:left w:val="none" w:sz="0" w:space="0" w:color="auto"/>
                    <w:bottom w:val="none" w:sz="0" w:space="0" w:color="auto"/>
                    <w:right w:val="none" w:sz="0" w:space="0" w:color="auto"/>
                  </w:divBdr>
                  <w:divsChild>
                    <w:div w:id="733351420">
                      <w:marLeft w:val="0"/>
                      <w:marRight w:val="0"/>
                      <w:marTop w:val="0"/>
                      <w:marBottom w:val="0"/>
                      <w:divBdr>
                        <w:top w:val="none" w:sz="0" w:space="0" w:color="auto"/>
                        <w:left w:val="none" w:sz="0" w:space="0" w:color="auto"/>
                        <w:bottom w:val="none" w:sz="0" w:space="0" w:color="auto"/>
                        <w:right w:val="none" w:sz="0" w:space="0" w:color="auto"/>
                      </w:divBdr>
                    </w:div>
                  </w:divsChild>
                </w:div>
                <w:div w:id="2101564206">
                  <w:marLeft w:val="0"/>
                  <w:marRight w:val="0"/>
                  <w:marTop w:val="0"/>
                  <w:marBottom w:val="0"/>
                  <w:divBdr>
                    <w:top w:val="none" w:sz="0" w:space="0" w:color="auto"/>
                    <w:left w:val="none" w:sz="0" w:space="0" w:color="auto"/>
                    <w:bottom w:val="none" w:sz="0" w:space="0" w:color="auto"/>
                    <w:right w:val="none" w:sz="0" w:space="0" w:color="auto"/>
                  </w:divBdr>
                  <w:divsChild>
                    <w:div w:id="307519057">
                      <w:marLeft w:val="0"/>
                      <w:marRight w:val="0"/>
                      <w:marTop w:val="0"/>
                      <w:marBottom w:val="0"/>
                      <w:divBdr>
                        <w:top w:val="none" w:sz="0" w:space="0" w:color="auto"/>
                        <w:left w:val="none" w:sz="0" w:space="0" w:color="auto"/>
                        <w:bottom w:val="none" w:sz="0" w:space="0" w:color="auto"/>
                        <w:right w:val="none" w:sz="0" w:space="0" w:color="auto"/>
                      </w:divBdr>
                    </w:div>
                  </w:divsChild>
                </w:div>
                <w:div w:id="2127499703">
                  <w:marLeft w:val="0"/>
                  <w:marRight w:val="0"/>
                  <w:marTop w:val="0"/>
                  <w:marBottom w:val="0"/>
                  <w:divBdr>
                    <w:top w:val="none" w:sz="0" w:space="0" w:color="auto"/>
                    <w:left w:val="none" w:sz="0" w:space="0" w:color="auto"/>
                    <w:bottom w:val="none" w:sz="0" w:space="0" w:color="auto"/>
                    <w:right w:val="none" w:sz="0" w:space="0" w:color="auto"/>
                  </w:divBdr>
                  <w:divsChild>
                    <w:div w:id="1488744592">
                      <w:marLeft w:val="0"/>
                      <w:marRight w:val="0"/>
                      <w:marTop w:val="0"/>
                      <w:marBottom w:val="0"/>
                      <w:divBdr>
                        <w:top w:val="none" w:sz="0" w:space="0" w:color="auto"/>
                        <w:left w:val="none" w:sz="0" w:space="0" w:color="auto"/>
                        <w:bottom w:val="none" w:sz="0" w:space="0" w:color="auto"/>
                        <w:right w:val="none" w:sz="0" w:space="0" w:color="auto"/>
                      </w:divBdr>
                    </w:div>
                  </w:divsChild>
                </w:div>
                <w:div w:id="2136755238">
                  <w:marLeft w:val="0"/>
                  <w:marRight w:val="0"/>
                  <w:marTop w:val="0"/>
                  <w:marBottom w:val="0"/>
                  <w:divBdr>
                    <w:top w:val="none" w:sz="0" w:space="0" w:color="auto"/>
                    <w:left w:val="none" w:sz="0" w:space="0" w:color="auto"/>
                    <w:bottom w:val="none" w:sz="0" w:space="0" w:color="auto"/>
                    <w:right w:val="none" w:sz="0" w:space="0" w:color="auto"/>
                  </w:divBdr>
                  <w:divsChild>
                    <w:div w:id="484204294">
                      <w:marLeft w:val="0"/>
                      <w:marRight w:val="0"/>
                      <w:marTop w:val="0"/>
                      <w:marBottom w:val="0"/>
                      <w:divBdr>
                        <w:top w:val="none" w:sz="0" w:space="0" w:color="auto"/>
                        <w:left w:val="none" w:sz="0" w:space="0" w:color="auto"/>
                        <w:bottom w:val="none" w:sz="0" w:space="0" w:color="auto"/>
                        <w:right w:val="none" w:sz="0" w:space="0" w:color="auto"/>
                      </w:divBdr>
                    </w:div>
                  </w:divsChild>
                </w:div>
                <w:div w:id="2139182069">
                  <w:marLeft w:val="0"/>
                  <w:marRight w:val="0"/>
                  <w:marTop w:val="0"/>
                  <w:marBottom w:val="0"/>
                  <w:divBdr>
                    <w:top w:val="none" w:sz="0" w:space="0" w:color="auto"/>
                    <w:left w:val="none" w:sz="0" w:space="0" w:color="auto"/>
                    <w:bottom w:val="none" w:sz="0" w:space="0" w:color="auto"/>
                    <w:right w:val="none" w:sz="0" w:space="0" w:color="auto"/>
                  </w:divBdr>
                  <w:divsChild>
                    <w:div w:id="8911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843528">
          <w:marLeft w:val="0"/>
          <w:marRight w:val="0"/>
          <w:marTop w:val="0"/>
          <w:marBottom w:val="0"/>
          <w:divBdr>
            <w:top w:val="none" w:sz="0" w:space="0" w:color="auto"/>
            <w:left w:val="none" w:sz="0" w:space="0" w:color="auto"/>
            <w:bottom w:val="none" w:sz="0" w:space="0" w:color="auto"/>
            <w:right w:val="none" w:sz="0" w:space="0" w:color="auto"/>
          </w:divBdr>
        </w:div>
      </w:divsChild>
    </w:div>
    <w:div w:id="1678922428">
      <w:bodyDiv w:val="1"/>
      <w:marLeft w:val="0"/>
      <w:marRight w:val="0"/>
      <w:marTop w:val="0"/>
      <w:marBottom w:val="0"/>
      <w:divBdr>
        <w:top w:val="none" w:sz="0" w:space="0" w:color="auto"/>
        <w:left w:val="none" w:sz="0" w:space="0" w:color="auto"/>
        <w:bottom w:val="none" w:sz="0" w:space="0" w:color="auto"/>
        <w:right w:val="none" w:sz="0" w:space="0" w:color="auto"/>
      </w:divBdr>
    </w:div>
    <w:div w:id="1731801535">
      <w:bodyDiv w:val="1"/>
      <w:marLeft w:val="0"/>
      <w:marRight w:val="0"/>
      <w:marTop w:val="0"/>
      <w:marBottom w:val="0"/>
      <w:divBdr>
        <w:top w:val="none" w:sz="0" w:space="0" w:color="auto"/>
        <w:left w:val="none" w:sz="0" w:space="0" w:color="auto"/>
        <w:bottom w:val="none" w:sz="0" w:space="0" w:color="auto"/>
        <w:right w:val="none" w:sz="0" w:space="0" w:color="auto"/>
      </w:divBdr>
    </w:div>
    <w:div w:id="1790083046">
      <w:bodyDiv w:val="1"/>
      <w:marLeft w:val="0"/>
      <w:marRight w:val="0"/>
      <w:marTop w:val="0"/>
      <w:marBottom w:val="0"/>
      <w:divBdr>
        <w:top w:val="none" w:sz="0" w:space="0" w:color="auto"/>
        <w:left w:val="none" w:sz="0" w:space="0" w:color="auto"/>
        <w:bottom w:val="none" w:sz="0" w:space="0" w:color="auto"/>
        <w:right w:val="none" w:sz="0" w:space="0" w:color="auto"/>
      </w:divBdr>
    </w:div>
    <w:div w:id="1884438236">
      <w:bodyDiv w:val="1"/>
      <w:marLeft w:val="0"/>
      <w:marRight w:val="0"/>
      <w:marTop w:val="0"/>
      <w:marBottom w:val="0"/>
      <w:divBdr>
        <w:top w:val="none" w:sz="0" w:space="0" w:color="auto"/>
        <w:left w:val="none" w:sz="0" w:space="0" w:color="auto"/>
        <w:bottom w:val="none" w:sz="0" w:space="0" w:color="auto"/>
        <w:right w:val="none" w:sz="0" w:space="0" w:color="auto"/>
      </w:divBdr>
    </w:div>
    <w:div w:id="1898544548">
      <w:bodyDiv w:val="1"/>
      <w:marLeft w:val="0"/>
      <w:marRight w:val="0"/>
      <w:marTop w:val="0"/>
      <w:marBottom w:val="0"/>
      <w:divBdr>
        <w:top w:val="none" w:sz="0" w:space="0" w:color="auto"/>
        <w:left w:val="none" w:sz="0" w:space="0" w:color="auto"/>
        <w:bottom w:val="none" w:sz="0" w:space="0" w:color="auto"/>
        <w:right w:val="none" w:sz="0" w:space="0" w:color="auto"/>
      </w:divBdr>
    </w:div>
    <w:div w:id="1929196769">
      <w:bodyDiv w:val="1"/>
      <w:marLeft w:val="0"/>
      <w:marRight w:val="0"/>
      <w:marTop w:val="0"/>
      <w:marBottom w:val="0"/>
      <w:divBdr>
        <w:top w:val="none" w:sz="0" w:space="0" w:color="auto"/>
        <w:left w:val="none" w:sz="0" w:space="0" w:color="auto"/>
        <w:bottom w:val="none" w:sz="0" w:space="0" w:color="auto"/>
        <w:right w:val="none" w:sz="0" w:space="0" w:color="auto"/>
      </w:divBdr>
    </w:div>
    <w:div w:id="1945725078">
      <w:bodyDiv w:val="1"/>
      <w:marLeft w:val="0"/>
      <w:marRight w:val="0"/>
      <w:marTop w:val="0"/>
      <w:marBottom w:val="0"/>
      <w:divBdr>
        <w:top w:val="none" w:sz="0" w:space="0" w:color="auto"/>
        <w:left w:val="none" w:sz="0" w:space="0" w:color="auto"/>
        <w:bottom w:val="none" w:sz="0" w:space="0" w:color="auto"/>
        <w:right w:val="none" w:sz="0" w:space="0" w:color="auto"/>
      </w:divBdr>
    </w:div>
    <w:div w:id="2141456756">
      <w:bodyDiv w:val="1"/>
      <w:marLeft w:val="0"/>
      <w:marRight w:val="0"/>
      <w:marTop w:val="0"/>
      <w:marBottom w:val="0"/>
      <w:divBdr>
        <w:top w:val="none" w:sz="0" w:space="0" w:color="auto"/>
        <w:left w:val="none" w:sz="0" w:space="0" w:color="auto"/>
        <w:bottom w:val="none" w:sz="0" w:space="0" w:color="auto"/>
        <w:right w:val="none" w:sz="0" w:space="0" w:color="auto"/>
      </w:divBdr>
      <w:divsChild>
        <w:div w:id="448397721">
          <w:marLeft w:val="0"/>
          <w:marRight w:val="0"/>
          <w:marTop w:val="0"/>
          <w:marBottom w:val="0"/>
          <w:divBdr>
            <w:top w:val="none" w:sz="0" w:space="0" w:color="auto"/>
            <w:left w:val="none" w:sz="0" w:space="0" w:color="auto"/>
            <w:bottom w:val="none" w:sz="0" w:space="0" w:color="auto"/>
            <w:right w:val="none" w:sz="0" w:space="0" w:color="auto"/>
          </w:divBdr>
        </w:div>
        <w:div w:id="589581456">
          <w:marLeft w:val="0"/>
          <w:marRight w:val="0"/>
          <w:marTop w:val="0"/>
          <w:marBottom w:val="0"/>
          <w:divBdr>
            <w:top w:val="none" w:sz="0" w:space="0" w:color="auto"/>
            <w:left w:val="none" w:sz="0" w:space="0" w:color="auto"/>
            <w:bottom w:val="none" w:sz="0" w:space="0" w:color="auto"/>
            <w:right w:val="none" w:sz="0" w:space="0" w:color="auto"/>
          </w:divBdr>
        </w:div>
        <w:div w:id="778987198">
          <w:marLeft w:val="0"/>
          <w:marRight w:val="0"/>
          <w:marTop w:val="0"/>
          <w:marBottom w:val="0"/>
          <w:divBdr>
            <w:top w:val="none" w:sz="0" w:space="0" w:color="auto"/>
            <w:left w:val="none" w:sz="0" w:space="0" w:color="auto"/>
            <w:bottom w:val="none" w:sz="0" w:space="0" w:color="auto"/>
            <w:right w:val="none" w:sz="0" w:space="0" w:color="auto"/>
          </w:divBdr>
        </w:div>
        <w:div w:id="786238459">
          <w:marLeft w:val="0"/>
          <w:marRight w:val="0"/>
          <w:marTop w:val="0"/>
          <w:marBottom w:val="0"/>
          <w:divBdr>
            <w:top w:val="none" w:sz="0" w:space="0" w:color="auto"/>
            <w:left w:val="none" w:sz="0" w:space="0" w:color="auto"/>
            <w:bottom w:val="none" w:sz="0" w:space="0" w:color="auto"/>
            <w:right w:val="none" w:sz="0" w:space="0" w:color="auto"/>
          </w:divBdr>
        </w:div>
        <w:div w:id="1072436232">
          <w:marLeft w:val="0"/>
          <w:marRight w:val="0"/>
          <w:marTop w:val="0"/>
          <w:marBottom w:val="0"/>
          <w:divBdr>
            <w:top w:val="none" w:sz="0" w:space="0" w:color="auto"/>
            <w:left w:val="none" w:sz="0" w:space="0" w:color="auto"/>
            <w:bottom w:val="none" w:sz="0" w:space="0" w:color="auto"/>
            <w:right w:val="none" w:sz="0" w:space="0" w:color="auto"/>
          </w:divBdr>
        </w:div>
        <w:div w:id="1334451572">
          <w:marLeft w:val="0"/>
          <w:marRight w:val="0"/>
          <w:marTop w:val="0"/>
          <w:marBottom w:val="0"/>
          <w:divBdr>
            <w:top w:val="none" w:sz="0" w:space="0" w:color="auto"/>
            <w:left w:val="none" w:sz="0" w:space="0" w:color="auto"/>
            <w:bottom w:val="none" w:sz="0" w:space="0" w:color="auto"/>
            <w:right w:val="none" w:sz="0" w:space="0" w:color="auto"/>
          </w:divBdr>
        </w:div>
        <w:div w:id="1372340705">
          <w:marLeft w:val="0"/>
          <w:marRight w:val="0"/>
          <w:marTop w:val="0"/>
          <w:marBottom w:val="0"/>
          <w:divBdr>
            <w:top w:val="none" w:sz="0" w:space="0" w:color="auto"/>
            <w:left w:val="none" w:sz="0" w:space="0" w:color="auto"/>
            <w:bottom w:val="none" w:sz="0" w:space="0" w:color="auto"/>
            <w:right w:val="none" w:sz="0" w:space="0" w:color="auto"/>
          </w:divBdr>
        </w:div>
        <w:div w:id="1669596844">
          <w:marLeft w:val="0"/>
          <w:marRight w:val="0"/>
          <w:marTop w:val="0"/>
          <w:marBottom w:val="0"/>
          <w:divBdr>
            <w:top w:val="none" w:sz="0" w:space="0" w:color="auto"/>
            <w:left w:val="none" w:sz="0" w:space="0" w:color="auto"/>
            <w:bottom w:val="none" w:sz="0" w:space="0" w:color="auto"/>
            <w:right w:val="none" w:sz="0" w:space="0" w:color="auto"/>
          </w:divBdr>
        </w:div>
        <w:div w:id="1824852533">
          <w:marLeft w:val="0"/>
          <w:marRight w:val="0"/>
          <w:marTop w:val="0"/>
          <w:marBottom w:val="0"/>
          <w:divBdr>
            <w:top w:val="none" w:sz="0" w:space="0" w:color="auto"/>
            <w:left w:val="none" w:sz="0" w:space="0" w:color="auto"/>
            <w:bottom w:val="none" w:sz="0" w:space="0" w:color="auto"/>
            <w:right w:val="none" w:sz="0" w:space="0" w:color="auto"/>
          </w:divBdr>
        </w:div>
        <w:div w:id="1966957720">
          <w:marLeft w:val="0"/>
          <w:marRight w:val="0"/>
          <w:marTop w:val="0"/>
          <w:marBottom w:val="0"/>
          <w:divBdr>
            <w:top w:val="none" w:sz="0" w:space="0" w:color="auto"/>
            <w:left w:val="none" w:sz="0" w:space="0" w:color="auto"/>
            <w:bottom w:val="none" w:sz="0" w:space="0" w:color="auto"/>
            <w:right w:val="none" w:sz="0" w:space="0" w:color="auto"/>
          </w:divBdr>
        </w:div>
        <w:div w:id="2121993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image" Target="media/image5.png"/><Relationship Id="rId39"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2.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3.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image" Target="media/image10.emf"/><Relationship Id="rId37" Type="http://schemas.openxmlformats.org/officeDocument/2006/relationships/image" Target="media/image14.png"/><Relationship Id="rId40" Type="http://schemas.openxmlformats.org/officeDocument/2006/relationships/chart" Target="charts/chart1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7.emf"/><Relationship Id="rId36" Type="http://schemas.openxmlformats.org/officeDocument/2006/relationships/chart" Target="charts/chart14.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6.png"/><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Windows.old\Users\rmatias.INDOTEL2\Downloads\Desktop\Direcciones\Direcci&#243;n%20Financiera\Para%20Memorias%202022.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emartinez\Downloads\Memoria%20OA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felipeagudo\Downloads\Estadisticas%20Trimestrales%20311%20(T4)%202021.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emartinez\Downloads\Memoria%20DIGEIG.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languasco\Documents\Memoria%20Institucional\Memoria%202022%20estadist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languasco\Documents\Memoria%20Institucional\Memoria%202022%20estadistic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turbi\Documents\Tablas%20memoria%20protecc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Derecho de Uso (DU) del </a:t>
            </a:r>
          </a:p>
          <a:p>
            <a:pPr>
              <a:defRPr sz="1200"/>
            </a:pPr>
            <a:r>
              <a:rPr lang="en-US"/>
              <a:t>Espectro Radioeléctrico por Servicios  Año  2022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Derecho de Uso (DU) del Espectro Radioeléctrico por Servicios  Año  2022
</c:v>
                </c:pt>
              </c:strCache>
            </c:strRef>
          </c:tx>
          <c:dPt>
            <c:idx val="0"/>
            <c:bubble3D val="0"/>
            <c:spPr>
              <a:solidFill>
                <a:schemeClr val="accent5">
                  <a:tint val="58000"/>
                </a:schemeClr>
              </a:solidFill>
              <a:ln w="25400">
                <a:solidFill>
                  <a:schemeClr val="lt1"/>
                </a:solidFill>
              </a:ln>
              <a:effectLst/>
              <a:sp3d contourW="25400">
                <a:contourClr>
                  <a:schemeClr val="lt1"/>
                </a:contourClr>
              </a:sp3d>
            </c:spPr>
          </c:dPt>
          <c:dPt>
            <c:idx val="1"/>
            <c:bubble3D val="0"/>
            <c:spPr>
              <a:solidFill>
                <a:schemeClr val="accent5">
                  <a:tint val="86000"/>
                </a:schemeClr>
              </a:solidFill>
              <a:ln w="25400">
                <a:solidFill>
                  <a:schemeClr val="lt1"/>
                </a:solidFill>
              </a:ln>
              <a:effectLst/>
              <a:sp3d contourW="25400">
                <a:contourClr>
                  <a:schemeClr val="lt1"/>
                </a:contourClr>
              </a:sp3d>
            </c:spPr>
          </c:dPt>
          <c:dPt>
            <c:idx val="2"/>
            <c:bubble3D val="0"/>
            <c:spPr>
              <a:solidFill>
                <a:schemeClr val="accent5">
                  <a:shade val="86000"/>
                </a:schemeClr>
              </a:solidFill>
              <a:ln w="25400">
                <a:solidFill>
                  <a:schemeClr val="lt1"/>
                </a:solidFill>
              </a:ln>
              <a:effectLst/>
              <a:sp3d contourW="25400">
                <a:contourClr>
                  <a:schemeClr val="lt1"/>
                </a:contourClr>
              </a:sp3d>
            </c:spPr>
          </c:dPt>
          <c:dPt>
            <c:idx val="3"/>
            <c:bubble3D val="0"/>
            <c:spPr>
              <a:solidFill>
                <a:schemeClr val="accent5">
                  <a:shade val="58000"/>
                </a:schemeClr>
              </a:solidFill>
              <a:ln w="25400">
                <a:solidFill>
                  <a:schemeClr val="lt1"/>
                </a:solidFill>
              </a:ln>
              <a:effectLst/>
              <a:sp3d contourW="25400">
                <a:contourClr>
                  <a:schemeClr val="lt1"/>
                </a:contourClr>
              </a:sp3d>
            </c:spPr>
          </c:dPt>
          <c:dLbls>
            <c:dLbl>
              <c:idx val="0"/>
              <c:layout>
                <c:manualLayout>
                  <c:x val="-6.0606060606060608E-2"/>
                  <c:y val="-3.276003276003276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2.5078369905956112E-2"/>
                  <c:y val="-3.6036036036036098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2.9258098223615466E-2"/>
                  <c:y val="3.9312039312039311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Radiodifusión Televisiva</c:v>
                </c:pt>
                <c:pt idx="1">
                  <c:v>Radiodifusión Sonora</c:v>
                </c:pt>
                <c:pt idx="2">
                  <c:v>Radiocomunicación</c:v>
                </c:pt>
                <c:pt idx="3">
                  <c:v>Telefónicas</c:v>
                </c:pt>
              </c:strCache>
            </c:strRef>
          </c:cat>
          <c:val>
            <c:numRef>
              <c:f>Hoja1!$B$2:$B$5</c:f>
              <c:numCache>
                <c:formatCode>#,##0.00</c:formatCode>
                <c:ptCount val="4"/>
                <c:pt idx="0">
                  <c:v>51799871.420000002</c:v>
                </c:pt>
                <c:pt idx="1">
                  <c:v>7709326.79</c:v>
                </c:pt>
                <c:pt idx="2">
                  <c:v>15474786.4</c:v>
                </c:pt>
                <c:pt idx="3">
                  <c:v>250210004.02000001</c:v>
                </c:pt>
              </c:numCache>
            </c:numRef>
          </c:val>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Monto Acreditado Usuarios (RD$)</a:t>
            </a:r>
          </a:p>
          <a:p>
            <a:pPr>
              <a:defRPr/>
            </a:pPr>
            <a:r>
              <a:rPr lang="es-DO"/>
              <a:t>Enero - noviembre</a:t>
            </a:r>
            <a:r>
              <a:rPr lang="es-DO" baseline="0"/>
              <a:t> </a:t>
            </a:r>
            <a:r>
              <a:rPr lang="es-DO"/>
              <a:t>2022</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Hoja2!$A$68</c:f>
              <c:strCache>
                <c:ptCount val="1"/>
                <c:pt idx="0">
                  <c:v>Balance reclamado</c:v>
                </c:pt>
              </c:strCache>
            </c:strRef>
          </c:tx>
          <c:spPr>
            <a:solidFill>
              <a:schemeClr val="accent1"/>
            </a:solidFill>
            <a:ln>
              <a:noFill/>
            </a:ln>
            <a:effectLst/>
          </c:spPr>
          <c:invertIfNegative val="0"/>
          <c:cat>
            <c:strRef>
              <c:f>Hoja2!$B$67:$L$67</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Hoja2!$B$68:$L$68</c:f>
              <c:numCache>
                <c:formatCode>_(* #,##0.0_);_(* \(#,##0.0\);_(* "-"??_);_(@_)</c:formatCode>
                <c:ptCount val="11"/>
                <c:pt idx="0">
                  <c:v>57491.99</c:v>
                </c:pt>
                <c:pt idx="1">
                  <c:v>11562.73</c:v>
                </c:pt>
                <c:pt idx="2">
                  <c:v>178731</c:v>
                </c:pt>
                <c:pt idx="3">
                  <c:v>0</c:v>
                </c:pt>
                <c:pt idx="4">
                  <c:v>25865.61</c:v>
                </c:pt>
                <c:pt idx="5">
                  <c:v>0</c:v>
                </c:pt>
                <c:pt idx="6">
                  <c:v>0</c:v>
                </c:pt>
                <c:pt idx="7">
                  <c:v>0</c:v>
                </c:pt>
                <c:pt idx="8">
                  <c:v>0</c:v>
                </c:pt>
                <c:pt idx="9">
                  <c:v>0</c:v>
                </c:pt>
                <c:pt idx="10">
                  <c:v>0</c:v>
                </c:pt>
              </c:numCache>
            </c:numRef>
          </c:val>
        </c:ser>
        <c:ser>
          <c:idx val="1"/>
          <c:order val="1"/>
          <c:tx>
            <c:strRef>
              <c:f>Hoja2!$A$69</c:f>
              <c:strCache>
                <c:ptCount val="1"/>
                <c:pt idx="0">
                  <c:v>Balance acreditado</c:v>
                </c:pt>
              </c:strCache>
            </c:strRef>
          </c:tx>
          <c:spPr>
            <a:solidFill>
              <a:schemeClr val="tx2">
                <a:lumMod val="40000"/>
                <a:lumOff val="60000"/>
              </a:schemeClr>
            </a:solidFill>
            <a:ln>
              <a:noFill/>
            </a:ln>
            <a:effectLst/>
          </c:spPr>
          <c:invertIfNegative val="0"/>
          <c:cat>
            <c:strRef>
              <c:f>Hoja2!$B$67:$L$67</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Hoja2!$B$69:$L$69</c:f>
              <c:numCache>
                <c:formatCode>_(* #,##0.0_);_(* \(#,##0.0\);_(* "-"??_);_(@_)</c:formatCode>
                <c:ptCount val="11"/>
                <c:pt idx="0">
                  <c:v>46168.46</c:v>
                </c:pt>
                <c:pt idx="1">
                  <c:v>6562.73</c:v>
                </c:pt>
                <c:pt idx="2">
                  <c:v>127341.89</c:v>
                </c:pt>
                <c:pt idx="3">
                  <c:v>1248.1300000000001</c:v>
                </c:pt>
                <c:pt idx="4">
                  <c:v>25865.61</c:v>
                </c:pt>
                <c:pt idx="5">
                  <c:v>0</c:v>
                </c:pt>
                <c:pt idx="6">
                  <c:v>0</c:v>
                </c:pt>
                <c:pt idx="7">
                  <c:v>2973.1</c:v>
                </c:pt>
                <c:pt idx="8">
                  <c:v>0</c:v>
                </c:pt>
                <c:pt idx="9">
                  <c:v>6974.7800000000007</c:v>
                </c:pt>
                <c:pt idx="10" formatCode="General">
                  <c:v>3533</c:v>
                </c:pt>
              </c:numCache>
            </c:numRef>
          </c:val>
        </c:ser>
        <c:dLbls>
          <c:showLegendKey val="0"/>
          <c:showVal val="0"/>
          <c:showCatName val="0"/>
          <c:showSerName val="0"/>
          <c:showPercent val="0"/>
          <c:showBubbleSize val="0"/>
        </c:dLbls>
        <c:gapWidth val="219"/>
        <c:overlap val="-27"/>
        <c:axId val="546567176"/>
        <c:axId val="546565608"/>
      </c:barChart>
      <c:catAx>
        <c:axId val="54656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6565608"/>
        <c:crosses val="autoZero"/>
        <c:auto val="1"/>
        <c:lblAlgn val="ctr"/>
        <c:lblOffset val="100"/>
        <c:noMultiLvlLbl val="0"/>
      </c:catAx>
      <c:valAx>
        <c:axId val="546565608"/>
        <c:scaling>
          <c:orientation val="minMax"/>
        </c:scaling>
        <c:delete val="1"/>
        <c:axPos val="l"/>
        <c:numFmt formatCode="_(* #,##0.0_);_(* \(#,##0.0\);_(* &quot;-&quot;??_);_(@_)" sourceLinked="1"/>
        <c:majorTickMark val="none"/>
        <c:minorTickMark val="none"/>
        <c:tickLblPos val="nextTo"/>
        <c:crossAx val="546567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12700" cap="flat" cmpd="sng" algn="ctr">
      <a:solidFill>
        <a:schemeClr val="bg1">
          <a:lumMod val="50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RDQ Cuerpos Colegiados </a:t>
            </a:r>
          </a:p>
          <a:p>
            <a:pPr>
              <a:defRPr/>
            </a:pPr>
            <a:r>
              <a:rPr lang="en-US"/>
              <a:t>Enero-noviembre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'RDQ cuerpos colegiados'!$B$4</c:f>
              <c:strCache>
                <c:ptCount val="1"/>
                <c:pt idx="0">
                  <c:v>RDQ's apoderados</c:v>
                </c:pt>
              </c:strCache>
            </c:strRef>
          </c:tx>
          <c:spPr>
            <a:solidFill>
              <a:schemeClr val="accent5">
                <a:tint val="65000"/>
              </a:schemeClr>
            </a:solidFill>
            <a:ln>
              <a:noFill/>
            </a:ln>
            <a:effectLst/>
          </c:spPr>
          <c:invertIfNegative val="0"/>
          <c:cat>
            <c:strRef>
              <c:f>'RDQ cuerpos colegiados'!$C$3:$M$3</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'RDQ cuerpos colegiados'!$C$4:$M$4</c:f>
              <c:numCache>
                <c:formatCode>General</c:formatCode>
                <c:ptCount val="11"/>
                <c:pt idx="0">
                  <c:v>1</c:v>
                </c:pt>
                <c:pt idx="1">
                  <c:v>0</c:v>
                </c:pt>
                <c:pt idx="2">
                  <c:v>0</c:v>
                </c:pt>
                <c:pt idx="3">
                  <c:v>0</c:v>
                </c:pt>
                <c:pt idx="4">
                  <c:v>0</c:v>
                </c:pt>
                <c:pt idx="5">
                  <c:v>0</c:v>
                </c:pt>
                <c:pt idx="6">
                  <c:v>0</c:v>
                </c:pt>
                <c:pt idx="7">
                  <c:v>0</c:v>
                </c:pt>
                <c:pt idx="8">
                  <c:v>0</c:v>
                </c:pt>
                <c:pt idx="9">
                  <c:v>0</c:v>
                </c:pt>
                <c:pt idx="10">
                  <c:v>0</c:v>
                </c:pt>
              </c:numCache>
            </c:numRef>
          </c:val>
        </c:ser>
        <c:ser>
          <c:idx val="1"/>
          <c:order val="1"/>
          <c:tx>
            <c:strRef>
              <c:f>'RDQ cuerpos colegiados'!$B$5</c:f>
              <c:strCache>
                <c:ptCount val="1"/>
                <c:pt idx="0">
                  <c:v>Fallados a favor del usuario </c:v>
                </c:pt>
              </c:strCache>
            </c:strRef>
          </c:tx>
          <c:spPr>
            <a:solidFill>
              <a:schemeClr val="accent5"/>
            </a:solidFill>
            <a:ln>
              <a:noFill/>
            </a:ln>
            <a:effectLst/>
          </c:spPr>
          <c:invertIfNegative val="0"/>
          <c:cat>
            <c:strRef>
              <c:f>'RDQ cuerpos colegiados'!$C$3:$M$3</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'RDQ cuerpos colegiados'!$C$5:$M$5</c:f>
              <c:numCache>
                <c:formatCode>General</c:formatCode>
                <c:ptCount val="11"/>
                <c:pt idx="0">
                  <c:v>1</c:v>
                </c:pt>
                <c:pt idx="1">
                  <c:v>0</c:v>
                </c:pt>
                <c:pt idx="2">
                  <c:v>0</c:v>
                </c:pt>
                <c:pt idx="3">
                  <c:v>0</c:v>
                </c:pt>
                <c:pt idx="4">
                  <c:v>0</c:v>
                </c:pt>
                <c:pt idx="5">
                  <c:v>0</c:v>
                </c:pt>
                <c:pt idx="6">
                  <c:v>0</c:v>
                </c:pt>
                <c:pt idx="7">
                  <c:v>0</c:v>
                </c:pt>
                <c:pt idx="8">
                  <c:v>0</c:v>
                </c:pt>
                <c:pt idx="9">
                  <c:v>0</c:v>
                </c:pt>
                <c:pt idx="10">
                  <c:v>0</c:v>
                </c:pt>
              </c:numCache>
            </c:numRef>
          </c:val>
        </c:ser>
        <c:ser>
          <c:idx val="2"/>
          <c:order val="2"/>
          <c:tx>
            <c:strRef>
              <c:f>'RDQ cuerpos colegiados'!$B$6</c:f>
              <c:strCache>
                <c:ptCount val="1"/>
                <c:pt idx="0">
                  <c:v>Fallados a favor de la prestadora </c:v>
                </c:pt>
              </c:strCache>
            </c:strRef>
          </c:tx>
          <c:spPr>
            <a:solidFill>
              <a:schemeClr val="accent5">
                <a:shade val="65000"/>
              </a:schemeClr>
            </a:solidFill>
            <a:ln>
              <a:noFill/>
            </a:ln>
            <a:effectLst/>
          </c:spPr>
          <c:invertIfNegative val="0"/>
          <c:cat>
            <c:strRef>
              <c:f>'RDQ cuerpos colegiados'!$C$3:$M$3</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'RDQ cuerpos colegiados'!$C$6:$M$6</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150"/>
        <c:axId val="546567568"/>
        <c:axId val="546564824"/>
      </c:barChart>
      <c:catAx>
        <c:axId val="54656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6564824"/>
        <c:crosses val="autoZero"/>
        <c:auto val="1"/>
        <c:lblAlgn val="ctr"/>
        <c:lblOffset val="100"/>
        <c:noMultiLvlLbl val="0"/>
      </c:catAx>
      <c:valAx>
        <c:axId val="546564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6567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Monto de fallos (RD$)</a:t>
            </a:r>
          </a:p>
          <a:p>
            <a:pPr>
              <a:defRPr/>
            </a:pPr>
            <a:r>
              <a:rPr lang="en-US"/>
              <a:t>Enero-noviembre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'Montos de fallos'!$B$4</c:f>
              <c:strCache>
                <c:ptCount val="1"/>
                <c:pt idx="0">
                  <c:v>Monto a favor del usuario</c:v>
                </c:pt>
              </c:strCache>
            </c:strRef>
          </c:tx>
          <c:spPr>
            <a:solidFill>
              <a:schemeClr val="accent5">
                <a:shade val="76000"/>
              </a:schemeClr>
            </a:solidFill>
            <a:ln>
              <a:noFill/>
            </a:ln>
            <a:effectLst/>
          </c:spPr>
          <c:invertIfNegative val="0"/>
          <c:cat>
            <c:strRef>
              <c:f>'Montos de fallos'!$C$3:$M$3</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'Montos de fallos'!$C$4:$M$4</c:f>
              <c:numCache>
                <c:formatCode>General</c:formatCode>
                <c:ptCount val="11"/>
                <c:pt idx="0">
                  <c:v>130.91</c:v>
                </c:pt>
                <c:pt idx="1">
                  <c:v>0</c:v>
                </c:pt>
                <c:pt idx="2">
                  <c:v>0</c:v>
                </c:pt>
                <c:pt idx="3">
                  <c:v>0</c:v>
                </c:pt>
                <c:pt idx="4">
                  <c:v>0</c:v>
                </c:pt>
                <c:pt idx="5">
                  <c:v>0</c:v>
                </c:pt>
                <c:pt idx="6">
                  <c:v>0</c:v>
                </c:pt>
                <c:pt idx="7">
                  <c:v>0</c:v>
                </c:pt>
                <c:pt idx="8">
                  <c:v>0</c:v>
                </c:pt>
                <c:pt idx="9">
                  <c:v>0</c:v>
                </c:pt>
                <c:pt idx="10">
                  <c:v>0</c:v>
                </c:pt>
              </c:numCache>
            </c:numRef>
          </c:val>
        </c:ser>
        <c:ser>
          <c:idx val="1"/>
          <c:order val="1"/>
          <c:tx>
            <c:strRef>
              <c:f>'Montos de fallos'!$B$5</c:f>
              <c:strCache>
                <c:ptCount val="1"/>
                <c:pt idx="0">
                  <c:v>Monto a favor de la prestadora</c:v>
                </c:pt>
              </c:strCache>
            </c:strRef>
          </c:tx>
          <c:spPr>
            <a:solidFill>
              <a:schemeClr val="accent5">
                <a:tint val="77000"/>
              </a:schemeClr>
            </a:solidFill>
            <a:ln>
              <a:noFill/>
            </a:ln>
            <a:effectLst/>
          </c:spPr>
          <c:invertIfNegative val="0"/>
          <c:cat>
            <c:strRef>
              <c:f>'Montos de fallos'!$C$3:$M$3</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'Montos de fallos'!$C$5:$M$5</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150"/>
        <c:axId val="546881712"/>
        <c:axId val="546881320"/>
      </c:barChart>
      <c:catAx>
        <c:axId val="54688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6881320"/>
        <c:crosses val="autoZero"/>
        <c:auto val="1"/>
        <c:lblAlgn val="ctr"/>
        <c:lblOffset val="100"/>
        <c:noMultiLvlLbl val="0"/>
      </c:catAx>
      <c:valAx>
        <c:axId val="54688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6881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Ingresos Ejecutados Vs. Presupuestados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Ejecutado (DOP)</c:v>
                </c:pt>
              </c:strCache>
            </c:strRef>
          </c:tx>
          <c:spPr>
            <a:solidFill>
              <a:schemeClr val="accent1"/>
            </a:solidFill>
            <a:ln>
              <a:noFill/>
            </a:ln>
            <a:effectLst/>
          </c:spPr>
          <c:invertIfNegative val="0"/>
          <c:cat>
            <c:numRef>
              <c:f>Hoja1!$A$2:$A$12</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Hoja1!$B$2:$B$12</c:f>
              <c:numCache>
                <c:formatCode>#,##0.00</c:formatCode>
                <c:ptCount val="11"/>
                <c:pt idx="0">
                  <c:v>147209324.18000001</c:v>
                </c:pt>
                <c:pt idx="1">
                  <c:v>142836332.69999999</c:v>
                </c:pt>
                <c:pt idx="2">
                  <c:v>142905940.09</c:v>
                </c:pt>
                <c:pt idx="3">
                  <c:v>130624170.75</c:v>
                </c:pt>
                <c:pt idx="4">
                  <c:v>159828745.97999999</c:v>
                </c:pt>
                <c:pt idx="5">
                  <c:v>146703133.31</c:v>
                </c:pt>
                <c:pt idx="6">
                  <c:v>145829069.06</c:v>
                </c:pt>
                <c:pt idx="7">
                  <c:v>150999396.61000001</c:v>
                </c:pt>
                <c:pt idx="8">
                  <c:v>146469890.27000001</c:v>
                </c:pt>
                <c:pt idx="9">
                  <c:v>149270555.18000001</c:v>
                </c:pt>
                <c:pt idx="10">
                  <c:v>147677028.11000001</c:v>
                </c:pt>
              </c:numCache>
            </c:numRef>
          </c:val>
        </c:ser>
        <c:ser>
          <c:idx val="1"/>
          <c:order val="1"/>
          <c:tx>
            <c:strRef>
              <c:f>Hoja1!$C$1</c:f>
              <c:strCache>
                <c:ptCount val="1"/>
                <c:pt idx="0">
                  <c:v>Presupuestado (DOP)</c:v>
                </c:pt>
              </c:strCache>
            </c:strRef>
          </c:tx>
          <c:spPr>
            <a:solidFill>
              <a:schemeClr val="accent2"/>
            </a:solidFill>
            <a:ln>
              <a:noFill/>
            </a:ln>
            <a:effectLst/>
          </c:spPr>
          <c:invertIfNegative val="0"/>
          <c:cat>
            <c:numRef>
              <c:f>Hoja1!$A$2:$A$12</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Hoja1!$C$2:$C$12</c:f>
              <c:numCache>
                <c:formatCode>#,##0.00</c:formatCode>
                <c:ptCount val="11"/>
                <c:pt idx="0">
                  <c:v>133624281.88</c:v>
                </c:pt>
                <c:pt idx="1">
                  <c:v>136076345.53999999</c:v>
                </c:pt>
                <c:pt idx="2">
                  <c:v>131228435.86</c:v>
                </c:pt>
                <c:pt idx="3">
                  <c:v>131250029.2</c:v>
                </c:pt>
                <c:pt idx="4">
                  <c:v>134827316.36000001</c:v>
                </c:pt>
                <c:pt idx="5">
                  <c:v>135237353.00999999</c:v>
                </c:pt>
                <c:pt idx="6">
                  <c:v>130635867.83</c:v>
                </c:pt>
                <c:pt idx="7">
                  <c:v>131758413.39</c:v>
                </c:pt>
                <c:pt idx="8">
                  <c:v>135664543.22999999</c:v>
                </c:pt>
                <c:pt idx="9">
                  <c:v>134308413.86000001</c:v>
                </c:pt>
                <c:pt idx="10">
                  <c:v>130635867.83</c:v>
                </c:pt>
              </c:numCache>
            </c:numRef>
          </c:val>
        </c:ser>
        <c:ser>
          <c:idx val="2"/>
          <c:order val="2"/>
          <c:tx>
            <c:strRef>
              <c:f>Hoja1!$D$1</c:f>
              <c:strCache>
                <c:ptCount val="1"/>
                <c:pt idx="0">
                  <c:v>Varianza Absoluta (DOP)</c:v>
                </c:pt>
              </c:strCache>
            </c:strRef>
          </c:tx>
          <c:spPr>
            <a:solidFill>
              <a:schemeClr val="accent3"/>
            </a:solidFill>
            <a:ln>
              <a:noFill/>
            </a:ln>
            <a:effectLst/>
          </c:spPr>
          <c:invertIfNegative val="0"/>
          <c:cat>
            <c:numRef>
              <c:f>Hoja1!$A$2:$A$12</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Hoja1!$D$2:$D$12</c:f>
              <c:numCache>
                <c:formatCode>#,##0.00</c:formatCode>
                <c:ptCount val="11"/>
                <c:pt idx="0">
                  <c:v>13585042.300000012</c:v>
                </c:pt>
                <c:pt idx="1">
                  <c:v>6759987.1599999964</c:v>
                </c:pt>
                <c:pt idx="2">
                  <c:v>11677504.230000004</c:v>
                </c:pt>
                <c:pt idx="3">
                  <c:v>-625858.45000000298</c:v>
                </c:pt>
                <c:pt idx="4">
                  <c:v>25001429.619999975</c:v>
                </c:pt>
                <c:pt idx="5">
                  <c:v>11465780.300000012</c:v>
                </c:pt>
                <c:pt idx="6">
                  <c:v>15193201.230000004</c:v>
                </c:pt>
                <c:pt idx="7">
                  <c:v>19240983.220000014</c:v>
                </c:pt>
                <c:pt idx="8">
                  <c:v>10805347.040000021</c:v>
                </c:pt>
                <c:pt idx="9">
                  <c:v>14962141.319999993</c:v>
                </c:pt>
                <c:pt idx="10">
                  <c:v>17041160.280000016</c:v>
                </c:pt>
              </c:numCache>
            </c:numRef>
          </c:val>
        </c:ser>
        <c:dLbls>
          <c:showLegendKey val="0"/>
          <c:showVal val="0"/>
          <c:showCatName val="0"/>
          <c:showSerName val="0"/>
          <c:showPercent val="0"/>
          <c:showBubbleSize val="0"/>
        </c:dLbls>
        <c:gapWidth val="219"/>
        <c:overlap val="-27"/>
        <c:axId val="546882888"/>
        <c:axId val="546882496"/>
      </c:barChart>
      <c:lineChart>
        <c:grouping val="standard"/>
        <c:varyColors val="0"/>
        <c:ser>
          <c:idx val="3"/>
          <c:order val="3"/>
          <c:tx>
            <c:strRef>
              <c:f>Hoja1!$E$1</c:f>
              <c:strCache>
                <c:ptCount val="1"/>
                <c:pt idx="0">
                  <c:v>Varianza Relativa (%)</c:v>
                </c:pt>
              </c:strCache>
            </c:strRef>
          </c:tx>
          <c:spPr>
            <a:ln w="28575" cap="rnd">
              <a:solidFill>
                <a:schemeClr val="accent4"/>
              </a:solidFill>
              <a:round/>
            </a:ln>
            <a:effectLst/>
          </c:spPr>
          <c:marker>
            <c:symbol val="none"/>
          </c:marker>
          <c:cat>
            <c:numRef>
              <c:f>Hoja1!$A$2:$A$12</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Hoja1!$E$2:$E$12</c:f>
              <c:numCache>
                <c:formatCode>0%</c:formatCode>
                <c:ptCount val="11"/>
                <c:pt idx="0">
                  <c:v>1.1016659705022769</c:v>
                </c:pt>
                <c:pt idx="1">
                  <c:v>1.0496779005430659</c:v>
                </c:pt>
                <c:pt idx="2">
                  <c:v>1.0889860810537897</c:v>
                </c:pt>
                <c:pt idx="3">
                  <c:v>0.99523155572753197</c:v>
                </c:pt>
                <c:pt idx="4">
                  <c:v>1.1854329693342267</c:v>
                </c:pt>
                <c:pt idx="5">
                  <c:v>1.0847826435877681</c:v>
                </c:pt>
                <c:pt idx="6">
                  <c:v>1.116301912195901</c:v>
                </c:pt>
                <c:pt idx="7">
                  <c:v>1.1460322929287818</c:v>
                </c:pt>
                <c:pt idx="8">
                  <c:v>1.0796475393108507</c:v>
                </c:pt>
                <c:pt idx="9">
                  <c:v>1.1114013701002841</c:v>
                </c:pt>
                <c:pt idx="10">
                  <c:v>1.1304477902054904</c:v>
                </c:pt>
              </c:numCache>
            </c:numRef>
          </c:val>
          <c:smooth val="0"/>
        </c:ser>
        <c:dLbls>
          <c:showLegendKey val="0"/>
          <c:showVal val="0"/>
          <c:showCatName val="0"/>
          <c:showSerName val="0"/>
          <c:showPercent val="0"/>
          <c:showBubbleSize val="0"/>
        </c:dLbls>
        <c:marker val="1"/>
        <c:smooth val="0"/>
        <c:axId val="546884456"/>
        <c:axId val="546882104"/>
      </c:lineChart>
      <c:dateAx>
        <c:axId val="5468828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6882496"/>
        <c:crosses val="autoZero"/>
        <c:auto val="1"/>
        <c:lblOffset val="100"/>
        <c:baseTimeUnit val="months"/>
      </c:dateAx>
      <c:valAx>
        <c:axId val="546882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6882888"/>
        <c:crosses val="autoZero"/>
        <c:crossBetween val="between"/>
      </c:valAx>
      <c:valAx>
        <c:axId val="54688210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6884456"/>
        <c:crosses val="max"/>
        <c:crossBetween val="between"/>
      </c:valAx>
      <c:dateAx>
        <c:axId val="546884456"/>
        <c:scaling>
          <c:orientation val="minMax"/>
        </c:scaling>
        <c:delete val="1"/>
        <c:axPos val="b"/>
        <c:numFmt formatCode="mmm\-yy" sourceLinked="1"/>
        <c:majorTickMark val="out"/>
        <c:minorTickMark val="none"/>
        <c:tickLblPos val="nextTo"/>
        <c:crossAx val="54688210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Servicios!$G$171:$G$174</c:f>
              <c:strCache>
                <c:ptCount val="4"/>
                <c:pt idx="0">
                  <c:v>Al Dia </c:v>
                </c:pt>
                <c:pt idx="1">
                  <c:v>Atraso 2 Trimestres </c:v>
                </c:pt>
                <c:pt idx="2">
                  <c:v>PSA</c:v>
                </c:pt>
                <c:pt idx="3">
                  <c:v>Requerir Estadísticas</c:v>
                </c:pt>
              </c:strCache>
            </c:strRef>
          </c:cat>
          <c:val>
            <c:numRef>
              <c:f>Servicios!$H$171:$H$174</c:f>
              <c:numCache>
                <c:formatCode>0%</c:formatCode>
                <c:ptCount val="4"/>
                <c:pt idx="0">
                  <c:v>0.7</c:v>
                </c:pt>
                <c:pt idx="1">
                  <c:v>0.19</c:v>
                </c:pt>
                <c:pt idx="2">
                  <c:v>7.0000000000000007E-2</c:v>
                </c:pt>
                <c:pt idx="3">
                  <c:v>0.08</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solidFill>
                  <a:srgbClr val="4C4747"/>
                </a:solidFill>
                <a:latin typeface="Times New Roman" panose="02020603050405020304" pitchFamily="18" charset="0"/>
                <a:cs typeface="Times New Roman" panose="02020603050405020304" pitchFamily="18" charset="0"/>
              </a:rPr>
              <a:t>Solicitudes de información </a:t>
            </a:r>
          </a:p>
          <a:p>
            <a:pPr>
              <a:defRPr>
                <a:latin typeface="Times New Roman" panose="02020603050405020304" pitchFamily="18" charset="0"/>
                <a:cs typeface="Times New Roman" panose="02020603050405020304" pitchFamily="18" charset="0"/>
              </a:defRPr>
            </a:pPr>
            <a:r>
              <a:rPr lang="en-US">
                <a:solidFill>
                  <a:srgbClr val="4C4747"/>
                </a:solidFill>
                <a:latin typeface="Times New Roman" panose="02020603050405020304" pitchFamily="18" charset="0"/>
                <a:cs typeface="Times New Roman" panose="02020603050405020304" pitchFamily="18" charset="0"/>
              </a:rPr>
              <a:t>Enero - noviembre de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'[Memoria OAI.xlsx]Estad. Semestral'!$B$8</c:f>
              <c:strCache>
                <c:ptCount val="1"/>
                <c:pt idx="0">
                  <c:v>Total Solicitudes Recibidas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dLbl>
              <c:idx val="0"/>
              <c:tx>
                <c:rich>
                  <a:bodyPr/>
                  <a:lstStyle/>
                  <a:p>
                    <a:fld id="{F92A4DD6-E05F-443D-B816-CE879F819821}"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10</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E14D455-CC59-495B-9808-4D8DF02099B8}"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8</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43243A8A-4C5C-4B64-9E49-219EBD6222DF}"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9</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1ECC13A5-26C1-4C65-BE03-4EEE31A21EAD}"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8</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tx>
                <c:rich>
                  <a:bodyPr/>
                  <a:lstStyle/>
                  <a:p>
                    <a:fld id="{3EC68E45-52DB-4E45-9A32-6B90B2207D03}"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11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tx>
                <c:rich>
                  <a:bodyPr/>
                  <a:lstStyle/>
                  <a:p>
                    <a:fld id="{3297E224-13E9-4B1B-B154-8974445DBA3D}"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6</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tx>
                <c:rich>
                  <a:bodyPr/>
                  <a:lstStyle/>
                  <a:p>
                    <a:fld id="{066E19B5-88D3-4787-AC36-E92C77F7E55D}"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6</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tx>
                <c:rich>
                  <a:bodyPr/>
                  <a:lstStyle/>
                  <a:p>
                    <a:fld id="{4AD4C5D9-BAFB-4C5A-A755-2C3482C1D728}"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8"/>
              <c:tx>
                <c:rich>
                  <a:bodyPr/>
                  <a:lstStyle/>
                  <a:p>
                    <a:fld id="{41C93E5D-6FFF-429D-84FC-F22AC8336A31}"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8</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9"/>
              <c:tx>
                <c:rich>
                  <a:bodyPr/>
                  <a:lstStyle/>
                  <a:p>
                    <a:fld id="{3969E27A-21BC-4E7D-90A2-888E400FBC63}"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5</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0"/>
              <c:tx>
                <c:rich>
                  <a:bodyPr/>
                  <a:lstStyle/>
                  <a:p>
                    <a:fld id="{961F2DAA-D040-4E6A-B5BF-A9B875EAA0F9}" type="CATEGORYNAME">
                      <a:rPr lang="en-US">
                        <a:latin typeface="Times New Roman" panose="02020603050405020304" pitchFamily="18" charset="0"/>
                        <a:cs typeface="Times New Roman" panose="02020603050405020304" pitchFamily="18" charset="0"/>
                      </a:rPr>
                      <a:pPr/>
                      <a:t>[NOMBRE DE CATEGORÍA]</a:t>
                    </a:fld>
                    <a:r>
                      <a:rPr lang="en-US">
                        <a:latin typeface="Times New Roman" panose="02020603050405020304" pitchFamily="18" charset="0"/>
                        <a:cs typeface="Times New Roman" panose="02020603050405020304" pitchFamily="18" charset="0"/>
                      </a:rPr>
                      <a:t>
6</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4C4747"/>
                    </a:solidFill>
                    <a:latin typeface=""/>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'[Memoria OAI.xlsx]Estad. Semestral'!$A$9:$A$19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'[Memoria OAI.xlsx]Estad. Semestral'!$B$9:$B$19</c:f>
              <c:numCache>
                <c:formatCode>General</c:formatCode>
                <c:ptCount val="11"/>
                <c:pt idx="0">
                  <c:v>10</c:v>
                </c:pt>
                <c:pt idx="1">
                  <c:v>8</c:v>
                </c:pt>
                <c:pt idx="2">
                  <c:v>9</c:v>
                </c:pt>
                <c:pt idx="3">
                  <c:v>8</c:v>
                </c:pt>
                <c:pt idx="4">
                  <c:v>11</c:v>
                </c:pt>
                <c:pt idx="5">
                  <c:v>6</c:v>
                </c:pt>
                <c:pt idx="6">
                  <c:v>6</c:v>
                </c:pt>
                <c:pt idx="7">
                  <c:v>1</c:v>
                </c:pt>
                <c:pt idx="8">
                  <c:v>8</c:v>
                </c:pt>
                <c:pt idx="9">
                  <c:v>5</c:v>
                </c:pt>
                <c:pt idx="10">
                  <c:v>6</c:v>
                </c:pt>
              </c:numCache>
            </c:numRef>
          </c:val>
        </c:ser>
        <c:ser>
          <c:idx val="1"/>
          <c:order val="1"/>
          <c:tx>
            <c:strRef>
              <c:f>'[Memoria OAI.xlsx]Estad. Semestral'!$C$8</c:f>
              <c:strCache>
                <c:ptCount val="1"/>
                <c:pt idx="0">
                  <c:v>Presencial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'[Memoria OAI.xlsx]Estad. Semestral'!$A$9:$A$19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'[Memoria OAI.xlsx]Estad. Semestral'!$C$9:$C$19</c:f>
              <c:numCache>
                <c:formatCode>General</c:formatCode>
                <c:ptCount val="11"/>
                <c:pt idx="0">
                  <c:v>1</c:v>
                </c:pt>
                <c:pt idx="1">
                  <c:v>0</c:v>
                </c:pt>
                <c:pt idx="2">
                  <c:v>0</c:v>
                </c:pt>
                <c:pt idx="3">
                  <c:v>1</c:v>
                </c:pt>
                <c:pt idx="4">
                  <c:v>3</c:v>
                </c:pt>
                <c:pt idx="5">
                  <c:v>1</c:v>
                </c:pt>
                <c:pt idx="6">
                  <c:v>0</c:v>
                </c:pt>
                <c:pt idx="7">
                  <c:v>0</c:v>
                </c:pt>
                <c:pt idx="8">
                  <c:v>1</c:v>
                </c:pt>
                <c:pt idx="9">
                  <c:v>0</c:v>
                </c:pt>
                <c:pt idx="10">
                  <c:v>1</c:v>
                </c:pt>
              </c:numCache>
            </c:numRef>
          </c:val>
        </c:ser>
        <c:ser>
          <c:idx val="2"/>
          <c:order val="2"/>
          <c:tx>
            <c:strRef>
              <c:f>'[Memoria OAI.xlsx]Estad. Semestral'!$D$8</c:f>
              <c:strCache>
                <c:ptCount val="1"/>
                <c:pt idx="0">
                  <c:v>Correo Electrónico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'[Memoria OAI.xlsx]Estad. Semestral'!$A$9:$A$19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'[Memoria OAI.xlsx]Estad. Semestral'!$D$9:$D$19</c:f>
              <c:numCache>
                <c:formatCode>General</c:formatCode>
                <c:ptCount val="11"/>
                <c:pt idx="0">
                  <c:v>0</c:v>
                </c:pt>
                <c:pt idx="1">
                  <c:v>1</c:v>
                </c:pt>
                <c:pt idx="2">
                  <c:v>1</c:v>
                </c:pt>
                <c:pt idx="3">
                  <c:v>0</c:v>
                </c:pt>
                <c:pt idx="4">
                  <c:v>0</c:v>
                </c:pt>
                <c:pt idx="5">
                  <c:v>1</c:v>
                </c:pt>
                <c:pt idx="6">
                  <c:v>3</c:v>
                </c:pt>
                <c:pt idx="7">
                  <c:v>0</c:v>
                </c:pt>
                <c:pt idx="8">
                  <c:v>0</c:v>
                </c:pt>
                <c:pt idx="9">
                  <c:v>1</c:v>
                </c:pt>
                <c:pt idx="10">
                  <c:v>1</c:v>
                </c:pt>
              </c:numCache>
            </c:numRef>
          </c:val>
        </c:ser>
        <c:ser>
          <c:idx val="3"/>
          <c:order val="3"/>
          <c:tx>
            <c:strRef>
              <c:f>'[Memoria OAI.xlsx]Estad. Semestral'!$E$8</c:f>
              <c:strCache>
                <c:ptCount val="1"/>
                <c:pt idx="0">
                  <c:v>SAIP</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'[Memoria OAI.xlsx]Estad. Semestral'!$A$9:$A$19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'[Memoria OAI.xlsx]Estad. Semestral'!$E$9:$E$19</c:f>
              <c:numCache>
                <c:formatCode>General</c:formatCode>
                <c:ptCount val="11"/>
                <c:pt idx="0">
                  <c:v>9</c:v>
                </c:pt>
                <c:pt idx="1">
                  <c:v>7</c:v>
                </c:pt>
                <c:pt idx="2">
                  <c:v>8</c:v>
                </c:pt>
                <c:pt idx="3">
                  <c:v>7</c:v>
                </c:pt>
                <c:pt idx="4">
                  <c:v>8</c:v>
                </c:pt>
                <c:pt idx="5">
                  <c:v>4</c:v>
                </c:pt>
                <c:pt idx="6">
                  <c:v>3</c:v>
                </c:pt>
                <c:pt idx="7">
                  <c:v>1</c:v>
                </c:pt>
                <c:pt idx="8">
                  <c:v>7</c:v>
                </c:pt>
                <c:pt idx="9">
                  <c:v>4</c:v>
                </c:pt>
                <c:pt idx="10">
                  <c:v>4</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solidFill>
                  <a:srgbClr val="767171"/>
                </a:solidFill>
              </a:rPr>
              <a:t>Sistema de Atención Ciudadana 3-1-1 </a:t>
            </a:r>
            <a:r>
              <a:rPr lang="en-US" sz="1200">
                <a:solidFill>
                  <a:srgbClr val="767171"/>
                </a:solidFill>
              </a:rPr>
              <a:t>de Quejas, Reclamaciones Y Sugerencias 2022</a:t>
            </a:r>
            <a:endParaRPr lang="es-DO" sz="1200">
              <a:solidFill>
                <a:srgbClr val="767171"/>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7212963735055055E-2"/>
          <c:y val="0.20291545189504376"/>
          <c:w val="0.9265641416608098"/>
          <c:h val="0.6273002609367706"/>
        </c:manualLayout>
      </c:layout>
      <c:barChart>
        <c:barDir val="col"/>
        <c:grouping val="clustered"/>
        <c:varyColors val="0"/>
        <c:ser>
          <c:idx val="0"/>
          <c:order val="0"/>
          <c:tx>
            <c:strRef>
              <c:f>'Cuarto Trimestre 2021'!$A$8</c:f>
              <c:strCache>
                <c:ptCount val="1"/>
                <c:pt idx="0">
                  <c:v>Enero</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6FA8-0644-851E-4F3309009EA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6FA8-0644-851E-4F3309009EA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'Cuarto Trimestre 2021'!$B$7:$D$7</c:f>
              <c:strCache>
                <c:ptCount val="3"/>
                <c:pt idx="0">
                  <c:v>Quejas</c:v>
                </c:pt>
                <c:pt idx="1">
                  <c:v>Reclamaciones</c:v>
                </c:pt>
                <c:pt idx="2">
                  <c:v>Sugerencias</c:v>
                </c:pt>
              </c:strCache>
            </c:strRef>
          </c:cat>
          <c:val>
            <c:numRef>
              <c:f>'Cuarto Trimestre 2021'!$B$8:$D$8</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2-6FA8-0644-851E-4F3309009EA8}"/>
            </c:ext>
          </c:extLst>
        </c:ser>
        <c:ser>
          <c:idx val="1"/>
          <c:order val="1"/>
          <c:tx>
            <c:strRef>
              <c:f>'Cuarto Trimestre 2021'!$A$9</c:f>
              <c:strCache>
                <c:ptCount val="1"/>
                <c:pt idx="0">
                  <c:v>Febrero</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3-6FA8-0644-851E-4F3309009EA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4-6FA8-0644-851E-4F3309009EA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'Cuarto Trimestre 2021'!$B$7:$D$7</c:f>
              <c:strCache>
                <c:ptCount val="3"/>
                <c:pt idx="0">
                  <c:v>Quejas</c:v>
                </c:pt>
                <c:pt idx="1">
                  <c:v>Reclamaciones</c:v>
                </c:pt>
                <c:pt idx="2">
                  <c:v>Sugerencias</c:v>
                </c:pt>
              </c:strCache>
            </c:strRef>
          </c:cat>
          <c:val>
            <c:numRef>
              <c:f>'Cuarto Trimestre 2021'!$B$9:$D$9</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5-6FA8-0644-851E-4F3309009EA8}"/>
            </c:ext>
          </c:extLst>
        </c:ser>
        <c:ser>
          <c:idx val="2"/>
          <c:order val="2"/>
          <c:tx>
            <c:strRef>
              <c:f>'Cuarto Trimestre 2021'!$A$10</c:f>
              <c:strCache>
                <c:ptCount val="1"/>
                <c:pt idx="0">
                  <c:v>Marzo</c:v>
                </c:pt>
              </c:strCache>
            </c:strRef>
          </c:tx>
          <c:spPr>
            <a:solidFill>
              <a:schemeClr val="accent3"/>
            </a:solidFill>
            <a:ln>
              <a:noFill/>
            </a:ln>
            <a:effectLst/>
          </c:spPr>
          <c:invertIfNegative val="0"/>
          <c:dLbls>
            <c:delete val="1"/>
          </c:dLbls>
          <c:cat>
            <c:strRef>
              <c:f>'Cuarto Trimestre 2021'!$B$7:$D$7</c:f>
              <c:strCache>
                <c:ptCount val="3"/>
                <c:pt idx="0">
                  <c:v>Quejas</c:v>
                </c:pt>
                <c:pt idx="1">
                  <c:v>Reclamaciones</c:v>
                </c:pt>
                <c:pt idx="2">
                  <c:v>Sugerencias</c:v>
                </c:pt>
              </c:strCache>
            </c:strRef>
          </c:cat>
          <c:val>
            <c:numRef>
              <c:f>'Cuarto Trimestre 2021'!$B$10:$D$10</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6-6FA8-0644-851E-4F3309009EA8}"/>
            </c:ext>
          </c:extLst>
        </c:ser>
        <c:ser>
          <c:idx val="3"/>
          <c:order val="3"/>
          <c:tx>
            <c:strRef>
              <c:f>'Cuarto Trimestre 2021'!$A$11</c:f>
              <c:strCache>
                <c:ptCount val="1"/>
                <c:pt idx="0">
                  <c:v>Abril</c:v>
                </c:pt>
              </c:strCache>
            </c:strRef>
          </c:tx>
          <c:spPr>
            <a:solidFill>
              <a:schemeClr val="accent4"/>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7-6FA8-0644-851E-4F3309009EA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6FA8-0644-851E-4F3309009EA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'Cuarto Trimestre 2021'!$B$7:$D$7</c:f>
              <c:strCache>
                <c:ptCount val="3"/>
                <c:pt idx="0">
                  <c:v>Quejas</c:v>
                </c:pt>
                <c:pt idx="1">
                  <c:v>Reclamaciones</c:v>
                </c:pt>
                <c:pt idx="2">
                  <c:v>Sugerencias</c:v>
                </c:pt>
              </c:strCache>
            </c:strRef>
          </c:cat>
          <c:val>
            <c:numRef>
              <c:f>'Cuarto Trimestre 2021'!$B$11:$D$11</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9-6FA8-0644-851E-4F3309009EA8}"/>
            </c:ext>
          </c:extLst>
        </c:ser>
        <c:ser>
          <c:idx val="4"/>
          <c:order val="4"/>
          <c:tx>
            <c:strRef>
              <c:f>'Cuarto Trimestre 2021'!$A$12</c:f>
              <c:strCache>
                <c:ptCount val="1"/>
                <c:pt idx="0">
                  <c:v>Mayo</c:v>
                </c:pt>
              </c:strCache>
            </c:strRef>
          </c:tx>
          <c:spPr>
            <a:solidFill>
              <a:schemeClr val="accent5"/>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A-6FA8-0644-851E-4F3309009EA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'Cuarto Trimestre 2021'!$B$7:$D$7</c:f>
              <c:strCache>
                <c:ptCount val="3"/>
                <c:pt idx="0">
                  <c:v>Quejas</c:v>
                </c:pt>
                <c:pt idx="1">
                  <c:v>Reclamaciones</c:v>
                </c:pt>
                <c:pt idx="2">
                  <c:v>Sugerencias</c:v>
                </c:pt>
              </c:strCache>
            </c:strRef>
          </c:cat>
          <c:val>
            <c:numRef>
              <c:f>'Cuarto Trimestre 2021'!$B$12:$D$12</c:f>
              <c:numCache>
                <c:formatCode>General</c:formatCode>
                <c:ptCount val="3"/>
                <c:pt idx="0">
                  <c:v>2</c:v>
                </c:pt>
                <c:pt idx="1">
                  <c:v>1</c:v>
                </c:pt>
                <c:pt idx="2">
                  <c:v>0</c:v>
                </c:pt>
              </c:numCache>
            </c:numRef>
          </c:val>
          <c:extLst xmlns:c16r2="http://schemas.microsoft.com/office/drawing/2015/06/chart">
            <c:ext xmlns:c16="http://schemas.microsoft.com/office/drawing/2014/chart" uri="{C3380CC4-5D6E-409C-BE32-E72D297353CC}">
              <c16:uniqueId val="{0000000B-6FA8-0644-851E-4F3309009EA8}"/>
            </c:ext>
          </c:extLst>
        </c:ser>
        <c:ser>
          <c:idx val="5"/>
          <c:order val="5"/>
          <c:tx>
            <c:strRef>
              <c:f>'Cuarto Trimestre 2021'!$A$13</c:f>
              <c:strCache>
                <c:ptCount val="1"/>
                <c:pt idx="0">
                  <c:v>Junio</c:v>
                </c:pt>
              </c:strCache>
            </c:strRef>
          </c:tx>
          <c:spPr>
            <a:solidFill>
              <a:schemeClr val="accent6"/>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C-6FA8-0644-851E-4F3309009EA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D-6FA8-0644-851E-4F3309009EA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'Cuarto Trimestre 2021'!$B$7:$D$7</c:f>
              <c:strCache>
                <c:ptCount val="3"/>
                <c:pt idx="0">
                  <c:v>Quejas</c:v>
                </c:pt>
                <c:pt idx="1">
                  <c:v>Reclamaciones</c:v>
                </c:pt>
                <c:pt idx="2">
                  <c:v>Sugerencias</c:v>
                </c:pt>
              </c:strCache>
            </c:strRef>
          </c:cat>
          <c:val>
            <c:numRef>
              <c:f>'Cuarto Trimestre 2021'!$B$13:$D$13</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E-6FA8-0644-851E-4F3309009EA8}"/>
            </c:ext>
          </c:extLst>
        </c:ser>
        <c:ser>
          <c:idx val="6"/>
          <c:order val="6"/>
          <c:tx>
            <c:strRef>
              <c:f>'Cuarto Trimestre 2021'!$A$14</c:f>
              <c:strCache>
                <c:ptCount val="1"/>
                <c:pt idx="0">
                  <c:v>Julio</c:v>
                </c:pt>
              </c:strCache>
            </c:strRef>
          </c:tx>
          <c:spPr>
            <a:solidFill>
              <a:srgbClr val="FFFF00"/>
            </a:solidFill>
            <a:ln>
              <a:noFill/>
            </a:ln>
            <a:effectLst/>
          </c:spPr>
          <c:invertIfNegative val="0"/>
          <c:dLbls>
            <c:delete val="1"/>
          </c:dLbls>
          <c:cat>
            <c:strRef>
              <c:f>'Cuarto Trimestre 2021'!$B$7:$D$7</c:f>
              <c:strCache>
                <c:ptCount val="3"/>
                <c:pt idx="0">
                  <c:v>Quejas</c:v>
                </c:pt>
                <c:pt idx="1">
                  <c:v>Reclamaciones</c:v>
                </c:pt>
                <c:pt idx="2">
                  <c:v>Sugerencias</c:v>
                </c:pt>
              </c:strCache>
            </c:strRef>
          </c:cat>
          <c:val>
            <c:numRef>
              <c:f>'Cuarto Trimestre 2021'!$B$14:$D$14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1-6FA8-0644-851E-4F3309009EA8}"/>
            </c:ext>
          </c:extLst>
        </c:ser>
        <c:ser>
          <c:idx val="7"/>
          <c:order val="7"/>
          <c:tx>
            <c:strRef>
              <c:f>'Cuarto Trimestre 2021'!$A$15</c:f>
              <c:strCache>
                <c:ptCount val="1"/>
                <c:pt idx="0">
                  <c:v>Agosto</c:v>
                </c:pt>
              </c:strCache>
            </c:strRef>
          </c:tx>
          <c:spPr>
            <a:solidFill>
              <a:schemeClr val="tx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12-6FA8-0644-851E-4F3309009EA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3-6FA8-0644-851E-4F3309009EA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'Cuarto Trimestre 2021'!$B$7:$D$7</c:f>
              <c:strCache>
                <c:ptCount val="3"/>
                <c:pt idx="0">
                  <c:v>Quejas</c:v>
                </c:pt>
                <c:pt idx="1">
                  <c:v>Reclamaciones</c:v>
                </c:pt>
                <c:pt idx="2">
                  <c:v>Sugerencias</c:v>
                </c:pt>
              </c:strCache>
            </c:strRef>
          </c:cat>
          <c:val>
            <c:numRef>
              <c:f>'Cuarto Trimestre 2021'!$B$15:$D$15</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14-6FA8-0644-851E-4F3309009EA8}"/>
            </c:ext>
          </c:extLst>
        </c:ser>
        <c:ser>
          <c:idx val="8"/>
          <c:order val="8"/>
          <c:tx>
            <c:strRef>
              <c:f>'Cuarto Trimestre 2021'!$A$16</c:f>
              <c:strCache>
                <c:ptCount val="1"/>
                <c:pt idx="0">
                  <c:v>Septiembre</c:v>
                </c:pt>
              </c:strCache>
            </c:strRef>
          </c:tx>
          <c:spPr>
            <a:solidFill>
              <a:schemeClr val="accent3">
                <a:lumMod val="60000"/>
              </a:schemeClr>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15-6FA8-0644-851E-4F3309009EA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6-6FA8-0644-851E-4F3309009EA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'Cuarto Trimestre 2021'!$B$7:$D$7</c:f>
              <c:strCache>
                <c:ptCount val="3"/>
                <c:pt idx="0">
                  <c:v>Quejas</c:v>
                </c:pt>
                <c:pt idx="1">
                  <c:v>Reclamaciones</c:v>
                </c:pt>
                <c:pt idx="2">
                  <c:v>Sugerencias</c:v>
                </c:pt>
              </c:strCache>
            </c:strRef>
          </c:cat>
          <c:val>
            <c:numRef>
              <c:f>'Cuarto Trimestre 2021'!$B$16:$D$16</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17-6FA8-0644-851E-4F3309009EA8}"/>
            </c:ext>
          </c:extLst>
        </c:ser>
        <c:ser>
          <c:idx val="9"/>
          <c:order val="9"/>
          <c:tx>
            <c:strRef>
              <c:f>'Cuarto Trimestre 2021'!$A$17</c:f>
              <c:strCache>
                <c:ptCount val="1"/>
                <c:pt idx="0">
                  <c:v>Octubre</c:v>
                </c:pt>
              </c:strCache>
            </c:strRef>
          </c:tx>
          <c:spPr>
            <a:solidFill>
              <a:srgbClr val="7030A0"/>
            </a:solidFill>
            <a:ln>
              <a:noFill/>
            </a:ln>
            <a:effectLst/>
          </c:spPr>
          <c:invertIfNegative val="0"/>
          <c:dLbls>
            <c:delete val="1"/>
          </c:dLbls>
          <c:cat>
            <c:strRef>
              <c:f>'Cuarto Trimestre 2021'!$B$7:$D$7</c:f>
              <c:strCache>
                <c:ptCount val="3"/>
                <c:pt idx="0">
                  <c:v>Quejas</c:v>
                </c:pt>
                <c:pt idx="1">
                  <c:v>Reclamaciones</c:v>
                </c:pt>
                <c:pt idx="2">
                  <c:v>Sugerencias</c:v>
                </c:pt>
              </c:strCache>
            </c:strRef>
          </c:cat>
          <c:val>
            <c:numRef>
              <c:f>'Cuarto Trimestre 2021'!$B$17:$D$17</c:f>
              <c:numCache>
                <c:formatCode>General</c:formatCode>
                <c:ptCount val="3"/>
                <c:pt idx="0">
                  <c:v>0</c:v>
                </c:pt>
                <c:pt idx="1">
                  <c:v>1</c:v>
                </c:pt>
                <c:pt idx="2">
                  <c:v>0</c:v>
                </c:pt>
              </c:numCache>
            </c:numRef>
          </c:val>
          <c:extLst xmlns:c16r2="http://schemas.microsoft.com/office/drawing/2015/06/chart">
            <c:ext xmlns:c16="http://schemas.microsoft.com/office/drawing/2014/chart" uri="{C3380CC4-5D6E-409C-BE32-E72D297353CC}">
              <c16:uniqueId val="{0000001A-6FA8-0644-851E-4F3309009EA8}"/>
            </c:ext>
          </c:extLst>
        </c:ser>
        <c:ser>
          <c:idx val="10"/>
          <c:order val="10"/>
          <c:tx>
            <c:strRef>
              <c:f>'Cuarto Trimestre 2021'!$A$18</c:f>
              <c:strCache>
                <c:ptCount val="1"/>
                <c:pt idx="0">
                  <c:v>Noviembre</c:v>
                </c:pt>
              </c:strCache>
            </c:strRef>
          </c:tx>
          <c:spPr>
            <a:solidFill>
              <a:srgbClr val="FF0000"/>
            </a:solidFill>
            <a:ln>
              <a:noFill/>
            </a:ln>
            <a:effectLst/>
          </c:spPr>
          <c:invertIfNegative val="0"/>
          <c:dLbls>
            <c:delete val="1"/>
          </c:dLbls>
          <c:cat>
            <c:strRef>
              <c:f>'Cuarto Trimestre 2021'!$B$7:$D$7</c:f>
              <c:strCache>
                <c:ptCount val="3"/>
                <c:pt idx="0">
                  <c:v>Quejas</c:v>
                </c:pt>
                <c:pt idx="1">
                  <c:v>Reclamaciones</c:v>
                </c:pt>
                <c:pt idx="2">
                  <c:v>Sugerencias</c:v>
                </c:pt>
              </c:strCache>
            </c:strRef>
          </c:cat>
          <c:val>
            <c:numRef>
              <c:f>'Cuarto Trimestre 2021'!$B$18:$D$18</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B-6FA8-0644-851E-4F3309009EA8}"/>
            </c:ext>
          </c:extLst>
        </c:ser>
        <c:ser>
          <c:idx val="11"/>
          <c:order val="11"/>
          <c:tx>
            <c:strRef>
              <c:f>'Cuarto Trimestre 2021'!$A$19</c:f>
              <c:strCache>
                <c:ptCount val="1"/>
                <c:pt idx="0">
                  <c:v>Diciembre</c:v>
                </c:pt>
              </c:strCache>
            </c:strRef>
          </c:tx>
          <c:spPr>
            <a:solidFill>
              <a:srgbClr val="FFFF00"/>
            </a:solidFill>
            <a:ln>
              <a:noFill/>
            </a:ln>
            <a:effectLst/>
          </c:spPr>
          <c:invertIfNegative val="0"/>
          <c:dLbls>
            <c:delete val="1"/>
          </c:dLbls>
          <c:cat>
            <c:strRef>
              <c:f>'Cuarto Trimestre 2021'!$B$7:$D$7</c:f>
              <c:strCache>
                <c:ptCount val="3"/>
                <c:pt idx="0">
                  <c:v>Quejas</c:v>
                </c:pt>
                <c:pt idx="1">
                  <c:v>Reclamaciones</c:v>
                </c:pt>
                <c:pt idx="2">
                  <c:v>Sugerencias</c:v>
                </c:pt>
              </c:strCache>
            </c:strRef>
          </c:cat>
          <c:val>
            <c:numRef>
              <c:f>'Cuarto Trimestre 2021'!$B$19:$D$19</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C-6FA8-0644-851E-4F3309009EA8}"/>
            </c:ext>
          </c:extLst>
        </c:ser>
        <c:dLbls>
          <c:dLblPos val="inEnd"/>
          <c:showLegendKey val="0"/>
          <c:showVal val="1"/>
          <c:showCatName val="0"/>
          <c:showSerName val="0"/>
          <c:showPercent val="0"/>
          <c:showBubbleSize val="0"/>
        </c:dLbls>
        <c:gapWidth val="219"/>
        <c:overlap val="-27"/>
        <c:axId val="365542848"/>
        <c:axId val="365544808"/>
      </c:barChart>
      <c:catAx>
        <c:axId val="3655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5544808"/>
        <c:crosses val="autoZero"/>
        <c:auto val="1"/>
        <c:lblAlgn val="ctr"/>
        <c:lblOffset val="100"/>
        <c:noMultiLvlLbl val="0"/>
      </c:catAx>
      <c:valAx>
        <c:axId val="365544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5542848"/>
        <c:crosses val="autoZero"/>
        <c:crossBetween val="between"/>
      </c:valAx>
      <c:spPr>
        <a:noFill/>
        <a:ln>
          <a:noFill/>
        </a:ln>
        <a:effectLst/>
      </c:spPr>
    </c:plotArea>
    <c:legend>
      <c:legendPos val="b"/>
      <c:legendEntry>
        <c:idx val="11"/>
        <c:delete val="1"/>
      </c:legendEntry>
      <c:layout>
        <c:manualLayout>
          <c:xMode val="edge"/>
          <c:yMode val="edge"/>
          <c:x val="4.999996029240672E-2"/>
          <c:y val="0.91165513401733878"/>
          <c:w val="0.91008564927871161"/>
          <c:h val="8.430446194225721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Evaluación del Portal de Transparencia </a:t>
            </a:r>
          </a:p>
          <a:p>
            <a:pPr>
              <a:defRPr sz="1200">
                <a:latin typeface="Times New Roman" panose="02020603050405020304" pitchFamily="18" charset="0"/>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Enero - noviembre de 2022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'[Memoria DIGEIG.xlsx]Evaluaciones DIGEIG 2022'!$C$5</c:f>
              <c:strCache>
                <c:ptCount val="1"/>
                <c:pt idx="0">
                  <c:v>Puntuacion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2FC5-B947-AF21-98CE9967B4B6}"/>
              </c:ext>
            </c:extLst>
          </c:dPt>
          <c:dPt>
            <c:idx val="1"/>
            <c:invertIfNegative val="0"/>
            <c:bubble3D val="0"/>
            <c:extLst xmlns:c16r2="http://schemas.microsoft.com/office/drawing/2015/06/chart">
              <c:ext xmlns:c16="http://schemas.microsoft.com/office/drawing/2014/chart" uri="{C3380CC4-5D6E-409C-BE32-E72D297353CC}">
                <c16:uniqueId val="{00000003-2FC5-B947-AF21-98CE9967B4B6}"/>
              </c:ext>
            </c:extLst>
          </c:dPt>
          <c:dPt>
            <c:idx val="2"/>
            <c:invertIfNegative val="0"/>
            <c:bubble3D val="0"/>
            <c:extLst xmlns:c16r2="http://schemas.microsoft.com/office/drawing/2015/06/chart">
              <c:ext xmlns:c16="http://schemas.microsoft.com/office/drawing/2014/chart" uri="{C3380CC4-5D6E-409C-BE32-E72D297353CC}">
                <c16:uniqueId val="{00000005-2FC5-B947-AF21-98CE9967B4B6}"/>
              </c:ext>
            </c:extLst>
          </c:dPt>
          <c:dPt>
            <c:idx val="3"/>
            <c:invertIfNegative val="0"/>
            <c:bubble3D val="0"/>
            <c:extLst xmlns:c16r2="http://schemas.microsoft.com/office/drawing/2015/06/chart">
              <c:ext xmlns:c16="http://schemas.microsoft.com/office/drawing/2014/chart" uri="{C3380CC4-5D6E-409C-BE32-E72D297353CC}">
                <c16:uniqueId val="{00000007-2FC5-B947-AF21-98CE9967B4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DIGEIG.xlsx]Evaluaciones DIGEIG 2022'!$B$6:$B$16</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'[Memoria DIGEIG.xlsx]Evaluaciones DIGEIG 2022'!$C$6:$C$16</c:f>
              <c:numCache>
                <c:formatCode>0.0%</c:formatCode>
                <c:ptCount val="11"/>
                <c:pt idx="0">
                  <c:v>0.98499999999999999</c:v>
                </c:pt>
                <c:pt idx="1">
                  <c:v>0.98499999999999999</c:v>
                </c:pt>
                <c:pt idx="2">
                  <c:v>0.96</c:v>
                </c:pt>
                <c:pt idx="3">
                  <c:v>0.95</c:v>
                </c:pt>
                <c:pt idx="4">
                  <c:v>0.98</c:v>
                </c:pt>
                <c:pt idx="5">
                  <c:v>0.95</c:v>
                </c:pt>
                <c:pt idx="6" formatCode="0.00%">
                  <c:v>0.92749999999999999</c:v>
                </c:pt>
                <c:pt idx="7" formatCode="0.00%">
                  <c:v>0.94750000000000001</c:v>
                </c:pt>
                <c:pt idx="8" formatCode="0.00%">
                  <c:v>0.94750000000000001</c:v>
                </c:pt>
                <c:pt idx="9" formatCode="0.00%">
                  <c:v>0</c:v>
                </c:pt>
                <c:pt idx="10" formatCode="0.00%">
                  <c:v>0</c:v>
                </c:pt>
              </c:numCache>
            </c:numRef>
          </c:val>
          <c:extLst xmlns:c16r2="http://schemas.microsoft.com/office/drawing/2015/06/chart">
            <c:ext xmlns:c16="http://schemas.microsoft.com/office/drawing/2014/chart" uri="{C3380CC4-5D6E-409C-BE32-E72D297353CC}">
              <c16:uniqueId val="{00000008-2FC5-B947-AF21-98CE9967B4B6}"/>
            </c:ext>
          </c:extLst>
        </c:ser>
        <c:dLbls>
          <c:dLblPos val="outEnd"/>
          <c:showLegendKey val="0"/>
          <c:showVal val="1"/>
          <c:showCatName val="0"/>
          <c:showSerName val="0"/>
          <c:showPercent val="0"/>
          <c:showBubbleSize val="0"/>
        </c:dLbls>
        <c:gapWidth val="100"/>
        <c:overlap val="-24"/>
        <c:axId val="365544416"/>
        <c:axId val="365543632"/>
      </c:barChart>
      <c:catAx>
        <c:axId val="365544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365543632"/>
        <c:crosses val="autoZero"/>
        <c:auto val="1"/>
        <c:lblAlgn val="ctr"/>
        <c:lblOffset val="100"/>
        <c:noMultiLvlLbl val="0"/>
      </c:catAx>
      <c:valAx>
        <c:axId val="3655436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n-US"/>
          </a:p>
        </c:txPr>
        <c:crossAx val="36554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solidFill>
            <a:schemeClr val="bg1">
              <a:lumMod val="50000"/>
            </a:schemeClr>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Distrubución de Casos de</a:t>
            </a:r>
            <a:r>
              <a:rPr lang="en-US" sz="1200" baseline="0"/>
              <a:t> Comprobaciones</a:t>
            </a:r>
            <a:r>
              <a:rPr lang="en-US" sz="1200"/>
              <a:t>                                  </a:t>
            </a:r>
            <a:br>
              <a:rPr lang="en-US" sz="1200"/>
            </a:br>
            <a:r>
              <a:rPr lang="en-US" sz="1200"/>
              <a:t>Enero - Noviembre de 2022</a:t>
            </a:r>
            <a:endParaRPr lang="es-DO" sz="1200"/>
          </a:p>
          <a:p>
            <a:pPr algn="ctr" rtl="0">
              <a:defRPr/>
            </a:pPr>
            <a:endParaRPr lang="en-US"/>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Hoja1!$B$1</c:f>
              <c:strCache>
                <c:ptCount val="1"/>
                <c:pt idx="0">
                  <c:v>Ventas</c:v>
                </c:pt>
              </c:strCache>
            </c:strRef>
          </c:tx>
          <c:dPt>
            <c:idx val="0"/>
            <c:bubble3D val="0"/>
            <c:spPr>
              <a:solidFill>
                <a:schemeClr val="accent1">
                  <a:shade val="50000"/>
                </a:schemeClr>
              </a:solidFill>
              <a:ln w="19050">
                <a:solidFill>
                  <a:schemeClr val="lt1"/>
                </a:solidFill>
              </a:ln>
              <a:effectLst/>
            </c:spPr>
          </c:dPt>
          <c:dPt>
            <c:idx val="1"/>
            <c:bubble3D val="0"/>
            <c:spPr>
              <a:solidFill>
                <a:schemeClr val="accent1">
                  <a:shade val="70000"/>
                </a:schemeClr>
              </a:solidFill>
              <a:ln w="19050">
                <a:solidFill>
                  <a:schemeClr val="lt1"/>
                </a:solidFill>
              </a:ln>
              <a:effectLst/>
            </c:spPr>
          </c:dPt>
          <c:dPt>
            <c:idx val="2"/>
            <c:bubble3D val="0"/>
            <c:spPr>
              <a:solidFill>
                <a:schemeClr val="accent1">
                  <a:shade val="90000"/>
                </a:schemeClr>
              </a:solidFill>
              <a:ln w="19050">
                <a:solidFill>
                  <a:schemeClr val="lt1"/>
                </a:solidFill>
              </a:ln>
              <a:effectLst/>
            </c:spPr>
          </c:dPt>
          <c:dPt>
            <c:idx val="3"/>
            <c:bubble3D val="0"/>
            <c:spPr>
              <a:solidFill>
                <a:schemeClr val="accent1">
                  <a:tint val="90000"/>
                </a:schemeClr>
              </a:solidFill>
              <a:ln w="19050">
                <a:solidFill>
                  <a:schemeClr val="lt1"/>
                </a:solidFill>
              </a:ln>
              <a:effectLst/>
            </c:spPr>
          </c:dPt>
          <c:dPt>
            <c:idx val="4"/>
            <c:bubble3D val="0"/>
            <c:spPr>
              <a:solidFill>
                <a:schemeClr val="accent1">
                  <a:tint val="70000"/>
                </a:schemeClr>
              </a:solidFill>
              <a:ln w="19050">
                <a:solidFill>
                  <a:schemeClr val="lt1"/>
                </a:solidFill>
              </a:ln>
              <a:effectLst/>
            </c:spPr>
          </c:dPt>
          <c:dPt>
            <c:idx val="5"/>
            <c:bubble3D val="0"/>
            <c:spPr>
              <a:solidFill>
                <a:schemeClr val="accent1">
                  <a:tint val="50000"/>
                </a:schemeClr>
              </a:solidFill>
              <a:ln w="19050">
                <a:solidFill>
                  <a:schemeClr val="lt1"/>
                </a:solidFill>
              </a:ln>
              <a:effectLst/>
            </c:spPr>
          </c:dPt>
          <c:dLbls>
            <c:dLbl>
              <c:idx val="0"/>
              <c:layout>
                <c:manualLayout>
                  <c:x val="3.4253360375407618E-2"/>
                  <c:y val="-0.10027937864016109"/>
                </c:manualLayout>
              </c:layout>
              <c:tx>
                <c:rich>
                  <a:bodyPr/>
                  <a:lstStyle/>
                  <a:p>
                    <a:fld id="{C7F3814E-CE75-4A2B-B518-BE948320D152}" type="CELLRANGE">
                      <a:rPr lang="en-US" baseline="0"/>
                      <a:pPr/>
                      <a:t>[CELLRANGE]</a:t>
                    </a:fld>
                    <a:r>
                      <a:rPr lang="en-US" baseline="0"/>
                      <a:t>; </a:t>
                    </a:r>
                    <a:fld id="{40FD86A1-8A0A-4EE7-8644-C6ACAC8CC82D}" type="VALUE">
                      <a:rPr lang="en-US" baseline="0"/>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BAFD6764-D5AE-43CF-A307-55762C6FEF15}" type="CELLRANGE">
                      <a:rPr lang="en-US"/>
                      <a:pPr/>
                      <a:t>[CELLRANGE]</a:t>
                    </a:fld>
                    <a:r>
                      <a:rPr lang="en-US" baseline="0"/>
                      <a:t>; </a:t>
                    </a:r>
                    <a:fld id="{02E83830-B248-4A68-8B79-7FEAD6AC452F}" type="VALUE">
                      <a:rPr lang="en-US" baseline="0"/>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2"/>
              <c:layout>
                <c:manualLayout>
                  <c:x val="-1.6803865425912671E-2"/>
                  <c:y val="1.5769774787068629E-2"/>
                </c:manualLayout>
              </c:layout>
              <c:tx>
                <c:rich>
                  <a:bodyPr/>
                  <a:lstStyle/>
                  <a:p>
                    <a:fld id="{F66D463C-46F8-43A4-929E-C2296D6EA188}" type="CELLRANGE">
                      <a:rPr lang="en-US" baseline="0"/>
                      <a:pPr/>
                      <a:t>[CELLRANGE]</a:t>
                    </a:fld>
                    <a:r>
                      <a:rPr lang="en-US" baseline="0"/>
                      <a:t>; </a:t>
                    </a:r>
                    <a:fld id="{8B6FAD2D-A085-4418-9493-1E32B764367D}" type="VALUE">
                      <a:rPr lang="en-US" baseline="0"/>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3"/>
              <c:layout>
                <c:manualLayout>
                  <c:x val="-3.0562713751690142E-2"/>
                  <c:y val="9.6243506739853973E-3"/>
                </c:manualLayout>
              </c:layout>
              <c:tx>
                <c:rich>
                  <a:bodyPr/>
                  <a:lstStyle/>
                  <a:p>
                    <a:fld id="{9B520D64-20F7-43DE-B7EF-A16BA8F9D974}" type="CELLRANGE">
                      <a:rPr lang="en-US" baseline="0"/>
                      <a:pPr/>
                      <a:t>[CELLRANGE]</a:t>
                    </a:fld>
                    <a:r>
                      <a:rPr lang="en-US" baseline="0"/>
                      <a:t>; </a:t>
                    </a:r>
                    <a:fld id="{88173A53-0AA8-4940-AF23-46BBEF1F353F}" type="VALUE">
                      <a:rPr lang="en-US" baseline="0"/>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4"/>
              <c:layout>
                <c:manualLayout>
                  <c:x val="-2.4787839020122486E-2"/>
                  <c:y val="-4.6392482257135324E-3"/>
                </c:manualLayout>
              </c:layout>
              <c:tx>
                <c:rich>
                  <a:bodyPr/>
                  <a:lstStyle/>
                  <a:p>
                    <a:fld id="{7996F001-2F58-474C-80CD-D370E6E6751D}" type="CELLRANGE">
                      <a:rPr lang="en-US" baseline="0"/>
                      <a:pPr/>
                      <a:t>[CELLRANGE]</a:t>
                    </a:fld>
                    <a:r>
                      <a:rPr lang="en-US" baseline="0"/>
                      <a:t>; </a:t>
                    </a:r>
                    <a:fld id="{48A28A6F-5307-432B-8BFF-18CA2DD2F6B9}" type="VALUE">
                      <a:rPr lang="en-US" baseline="0"/>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5"/>
              <c:tx>
                <c:rich>
                  <a:bodyPr/>
                  <a:lstStyle/>
                  <a:p>
                    <a:fld id="{DD8FA54B-73AC-4984-8756-6442650F9201}" type="CELLRANGE">
                      <a:rPr lang="en-US"/>
                      <a:pPr/>
                      <a:t>[CELLRANGE]</a:t>
                    </a:fld>
                    <a:r>
                      <a:rPr lang="en-US" baseline="0"/>
                      <a:t>; </a:t>
                    </a:r>
                    <a:fld id="{EEA1ECD7-6D25-4F82-9B3E-DBD759C325DB}" type="VALUE">
                      <a:rPr lang="en-US" baseline="0"/>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Hoja1!$A$2:$A$7</c:f>
              <c:strCache>
                <c:ptCount val="6"/>
                <c:pt idx="0">
                  <c:v>Telefónicas</c:v>
                </c:pt>
                <c:pt idx="1">
                  <c:v>Radiocomunicación</c:v>
                </c:pt>
                <c:pt idx="2">
                  <c:v>Radiodifusión Televisiva</c:v>
                </c:pt>
                <c:pt idx="3">
                  <c:v>Radiodifusión Sonora AM</c:v>
                </c:pt>
                <c:pt idx="4">
                  <c:v>Radiodifusión Sonora FM</c:v>
                </c:pt>
                <c:pt idx="5">
                  <c:v>Entidades Estatales</c:v>
                </c:pt>
              </c:strCache>
            </c:strRef>
          </c:cat>
          <c:val>
            <c:numRef>
              <c:f>Hoja1!$B$2:$B$7</c:f>
              <c:numCache>
                <c:formatCode>General</c:formatCode>
                <c:ptCount val="6"/>
                <c:pt idx="0">
                  <c:v>80</c:v>
                </c:pt>
                <c:pt idx="1">
                  <c:v>8</c:v>
                </c:pt>
                <c:pt idx="2">
                  <c:v>12</c:v>
                </c:pt>
                <c:pt idx="3">
                  <c:v>4</c:v>
                </c:pt>
                <c:pt idx="4">
                  <c:v>88</c:v>
                </c:pt>
                <c:pt idx="5">
                  <c:v>6</c:v>
                </c:pt>
              </c:numCache>
            </c:numRef>
          </c:val>
          <c:extLst>
            <c:ext xmlns:c15="http://schemas.microsoft.com/office/drawing/2012/chart" uri="{02D57815-91ED-43cb-92C2-25804820EDAC}">
              <c15:datalabelsRange>
                <c15:f>Hoja1!$A$2:$A$7</c15:f>
                <c15:dlblRangeCache>
                  <c:ptCount val="6"/>
                  <c:pt idx="0">
                    <c:v>Telefónicas</c:v>
                  </c:pt>
                  <c:pt idx="1">
                    <c:v>Radiocomunicación</c:v>
                  </c:pt>
                  <c:pt idx="2">
                    <c:v>Radiodifusión Televisiva</c:v>
                  </c:pt>
                  <c:pt idx="3">
                    <c:v>Radiodifusión Sonora AM</c:v>
                  </c:pt>
                  <c:pt idx="4">
                    <c:v>Radiodifusión Sonora FM</c:v>
                  </c:pt>
                  <c:pt idx="5">
                    <c:v>Entidades Estatales</c:v>
                  </c:pt>
                </c15:dlblRangeCache>
              </c15:datalabelsRang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7915441292729961E-2"/>
          <c:y val="0.91485757101731235"/>
          <c:w val="0.95822518420137237"/>
          <c:h val="7.17868363282636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Tipo de solicitud </a:t>
            </a:r>
          </a:p>
          <a:p>
            <a:pPr algn="ctr">
              <a:defRPr/>
            </a:pPr>
            <a:r>
              <a:rPr lang="es-DO"/>
              <a:t>Enero - Noviembre de 2022 </a:t>
            </a:r>
          </a:p>
        </c:rich>
      </c:tx>
      <c:layout>
        <c:manualLayout>
          <c:xMode val="edge"/>
          <c:yMode val="edge"/>
          <c:x val="0.36436355156869743"/>
          <c:y val="2.114537444933920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1.7127284782241962E-2"/>
          <c:y val="0.13423788546255511"/>
          <c:w val="0.96574543043551608"/>
          <c:h val="0.7162754171147108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Hoja2!$A$2:$A$8</c:f>
              <c:strCache>
                <c:ptCount val="7"/>
                <c:pt idx="0">
                  <c:v>Casos de Información</c:v>
                </c:pt>
                <c:pt idx="1">
                  <c:v>Casos de Pre-Formalización</c:v>
                </c:pt>
                <c:pt idx="2">
                  <c:v>Casos de Quejas</c:v>
                </c:pt>
                <c:pt idx="3">
                  <c:v>Casos de Denuncia</c:v>
                </c:pt>
                <c:pt idx="4">
                  <c:v>Recursos de Quejas</c:v>
                </c:pt>
                <c:pt idx="5">
                  <c:v>Referidos a Prestadoras</c:v>
                </c:pt>
                <c:pt idx="6">
                  <c:v>Verificación Estado de Casos</c:v>
                </c:pt>
              </c:strCache>
            </c:strRef>
          </c:cat>
          <c:val>
            <c:numRef>
              <c:f>Hoja2!$B$2:$B$8</c:f>
              <c:numCache>
                <c:formatCode>General</c:formatCode>
                <c:ptCount val="7"/>
                <c:pt idx="0">
                  <c:v>4365</c:v>
                </c:pt>
                <c:pt idx="1">
                  <c:v>42</c:v>
                </c:pt>
                <c:pt idx="2">
                  <c:v>12</c:v>
                </c:pt>
                <c:pt idx="3">
                  <c:v>200</c:v>
                </c:pt>
                <c:pt idx="4">
                  <c:v>7</c:v>
                </c:pt>
                <c:pt idx="5">
                  <c:v>1926</c:v>
                </c:pt>
                <c:pt idx="6">
                  <c:v>76</c:v>
                </c:pt>
              </c:numCache>
            </c:numRef>
          </c:val>
        </c:ser>
        <c:dLbls>
          <c:dLblPos val="outEnd"/>
          <c:showLegendKey val="0"/>
          <c:showVal val="1"/>
          <c:showCatName val="0"/>
          <c:showSerName val="0"/>
          <c:showPercent val="0"/>
          <c:showBubbleSize val="0"/>
        </c:dLbls>
        <c:gapWidth val="219"/>
        <c:overlap val="-27"/>
        <c:axId val="542510576"/>
        <c:axId val="542508616"/>
      </c:barChart>
      <c:catAx>
        <c:axId val="542510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2508616"/>
        <c:crosses val="autoZero"/>
        <c:auto val="1"/>
        <c:lblAlgn val="ctr"/>
        <c:lblOffset val="100"/>
        <c:noMultiLvlLbl val="0"/>
      </c:catAx>
      <c:valAx>
        <c:axId val="542508616"/>
        <c:scaling>
          <c:orientation val="minMax"/>
        </c:scaling>
        <c:delete val="1"/>
        <c:axPos val="l"/>
        <c:numFmt formatCode="General" sourceLinked="1"/>
        <c:majorTickMark val="out"/>
        <c:minorTickMark val="none"/>
        <c:tickLblPos val="nextTo"/>
        <c:crossAx val="54251057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Vía de Solicitud</a:t>
            </a:r>
          </a:p>
          <a:p>
            <a:pPr algn="ctr">
              <a:defRPr/>
            </a:pPr>
            <a:r>
              <a:rPr lang="es-DO"/>
              <a:t>Enero - Noviembre 2022</a:t>
            </a:r>
          </a:p>
        </c:rich>
      </c:tx>
      <c:layout>
        <c:manualLayout>
          <c:xMode val="edge"/>
          <c:yMode val="edge"/>
          <c:x val="0.36936473938419428"/>
          <c:y val="1.342281879194630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Hoja2!$A$12:$A$18</c:f>
              <c:strCache>
                <c:ptCount val="7"/>
                <c:pt idx="0">
                  <c:v>Correo Electronico</c:v>
                </c:pt>
                <c:pt idx="1">
                  <c:v>Correspondencia</c:v>
                </c:pt>
                <c:pt idx="2">
                  <c:v>Formulario Web</c:v>
                </c:pt>
                <c:pt idx="3">
                  <c:v>Live Chat</c:v>
                </c:pt>
                <c:pt idx="4">
                  <c:v>Personal</c:v>
                </c:pt>
                <c:pt idx="5">
                  <c:v>Redes Sociales</c:v>
                </c:pt>
                <c:pt idx="6">
                  <c:v>Teléfono</c:v>
                </c:pt>
              </c:strCache>
            </c:strRef>
          </c:cat>
          <c:val>
            <c:numRef>
              <c:f>Hoja2!$B$12:$B$18</c:f>
              <c:numCache>
                <c:formatCode>General</c:formatCode>
                <c:ptCount val="7"/>
                <c:pt idx="0">
                  <c:v>9</c:v>
                </c:pt>
                <c:pt idx="1">
                  <c:v>3</c:v>
                </c:pt>
                <c:pt idx="2">
                  <c:v>908</c:v>
                </c:pt>
                <c:pt idx="3">
                  <c:v>66</c:v>
                </c:pt>
                <c:pt idx="4">
                  <c:v>627</c:v>
                </c:pt>
                <c:pt idx="5">
                  <c:v>136</c:v>
                </c:pt>
                <c:pt idx="6">
                  <c:v>4879</c:v>
                </c:pt>
              </c:numCache>
            </c:numRef>
          </c:val>
        </c:ser>
        <c:dLbls>
          <c:dLblPos val="outEnd"/>
          <c:showLegendKey val="0"/>
          <c:showVal val="1"/>
          <c:showCatName val="0"/>
          <c:showSerName val="0"/>
          <c:showPercent val="0"/>
          <c:showBubbleSize val="0"/>
        </c:dLbls>
        <c:gapWidth val="219"/>
        <c:overlap val="-27"/>
        <c:axId val="542506656"/>
        <c:axId val="542505088"/>
      </c:barChart>
      <c:catAx>
        <c:axId val="542506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2505088"/>
        <c:crosses val="autoZero"/>
        <c:auto val="1"/>
        <c:lblAlgn val="ctr"/>
        <c:lblOffset val="100"/>
        <c:noMultiLvlLbl val="0"/>
      </c:catAx>
      <c:valAx>
        <c:axId val="542505088"/>
        <c:scaling>
          <c:orientation val="minMax"/>
        </c:scaling>
        <c:delete val="1"/>
        <c:axPos val="l"/>
        <c:numFmt formatCode="General" sourceLinked="1"/>
        <c:majorTickMark val="none"/>
        <c:minorTickMark val="none"/>
        <c:tickLblPos val="nextTo"/>
        <c:crossAx val="54250665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Motivos de reclamos </a:t>
            </a:r>
          </a:p>
          <a:p>
            <a:pPr>
              <a:defRPr sz="1100"/>
            </a:pPr>
            <a:r>
              <a:rPr lang="en-US" sz="1100"/>
              <a:t>Enero-noviembre 2022</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4739992866645635"/>
          <c:y val="0.20043810036146043"/>
          <c:w val="0.75260007133354367"/>
          <c:h val="0.36900357038898446"/>
        </c:manualLayout>
      </c:layout>
      <c:barChart>
        <c:barDir val="col"/>
        <c:grouping val="clustered"/>
        <c:varyColors val="0"/>
        <c:ser>
          <c:idx val="0"/>
          <c:order val="0"/>
          <c:tx>
            <c:strRef>
              <c:f>Hoja1!$A$3</c:f>
              <c:strCache>
                <c:ptCount val="1"/>
                <c:pt idx="0">
                  <c:v>Averia </c:v>
                </c:pt>
              </c:strCache>
            </c:strRef>
          </c:tx>
          <c:spPr>
            <a:solidFill>
              <a:schemeClr val="accent5">
                <a:tint val="50000"/>
              </a:schemeClr>
            </a:solidFill>
            <a:ln>
              <a:noFill/>
            </a:ln>
            <a:effectLst/>
          </c:spPr>
          <c:invertIfNegative val="0"/>
          <c:cat>
            <c:strRef>
              <c:f>Hoja1!$B$2:$L$2</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Hoja1!$B$3:$L$3</c:f>
              <c:numCache>
                <c:formatCode>General</c:formatCode>
                <c:ptCount val="11"/>
                <c:pt idx="0">
                  <c:v>39</c:v>
                </c:pt>
                <c:pt idx="1">
                  <c:v>33</c:v>
                </c:pt>
                <c:pt idx="2">
                  <c:v>43</c:v>
                </c:pt>
                <c:pt idx="3">
                  <c:v>27</c:v>
                </c:pt>
                <c:pt idx="4">
                  <c:v>27</c:v>
                </c:pt>
                <c:pt idx="5">
                  <c:v>35</c:v>
                </c:pt>
                <c:pt idx="6">
                  <c:v>41</c:v>
                </c:pt>
                <c:pt idx="7">
                  <c:v>21</c:v>
                </c:pt>
                <c:pt idx="8">
                  <c:v>11</c:v>
                </c:pt>
                <c:pt idx="9">
                  <c:v>41</c:v>
                </c:pt>
                <c:pt idx="10">
                  <c:v>33</c:v>
                </c:pt>
              </c:numCache>
            </c:numRef>
          </c:val>
        </c:ser>
        <c:ser>
          <c:idx val="1"/>
          <c:order val="1"/>
          <c:tx>
            <c:strRef>
              <c:f>Hoja1!$A$4</c:f>
              <c:strCache>
                <c:ptCount val="1"/>
                <c:pt idx="0">
                  <c:v>Cargos de penalidad </c:v>
                </c:pt>
              </c:strCache>
            </c:strRef>
          </c:tx>
          <c:spPr>
            <a:solidFill>
              <a:schemeClr val="accent5">
                <a:tint val="70000"/>
              </a:schemeClr>
            </a:solidFill>
            <a:ln>
              <a:noFill/>
            </a:ln>
            <a:effectLst/>
          </c:spPr>
          <c:invertIfNegative val="0"/>
          <c:cat>
            <c:strRef>
              <c:f>Hoja1!$B$2:$L$2</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Hoja1!$B$4:$L$4</c:f>
              <c:numCache>
                <c:formatCode>General</c:formatCode>
                <c:ptCount val="11"/>
                <c:pt idx="0">
                  <c:v>120</c:v>
                </c:pt>
                <c:pt idx="1">
                  <c:v>87</c:v>
                </c:pt>
                <c:pt idx="2">
                  <c:v>64</c:v>
                </c:pt>
                <c:pt idx="3">
                  <c:v>45</c:v>
                </c:pt>
                <c:pt idx="4">
                  <c:v>55</c:v>
                </c:pt>
                <c:pt idx="5">
                  <c:v>53</c:v>
                </c:pt>
                <c:pt idx="6">
                  <c:v>57</c:v>
                </c:pt>
                <c:pt idx="7">
                  <c:v>26</c:v>
                </c:pt>
                <c:pt idx="8">
                  <c:v>11</c:v>
                </c:pt>
                <c:pt idx="9">
                  <c:v>54</c:v>
                </c:pt>
                <c:pt idx="10">
                  <c:v>52</c:v>
                </c:pt>
              </c:numCache>
            </c:numRef>
          </c:val>
        </c:ser>
        <c:ser>
          <c:idx val="2"/>
          <c:order val="2"/>
          <c:tx>
            <c:strRef>
              <c:f>Hoja1!$A$5</c:f>
              <c:strCache>
                <c:ptCount val="1"/>
                <c:pt idx="0">
                  <c:v>Cancelación </c:v>
                </c:pt>
              </c:strCache>
            </c:strRef>
          </c:tx>
          <c:spPr>
            <a:solidFill>
              <a:schemeClr val="accent5">
                <a:tint val="90000"/>
              </a:schemeClr>
            </a:solidFill>
            <a:ln>
              <a:noFill/>
            </a:ln>
            <a:effectLst/>
          </c:spPr>
          <c:invertIfNegative val="0"/>
          <c:cat>
            <c:strRef>
              <c:f>Hoja1!$B$2:$L$2</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Hoja1!$B$5:$L$5</c:f>
              <c:numCache>
                <c:formatCode>General</c:formatCode>
                <c:ptCount val="11"/>
                <c:pt idx="0">
                  <c:v>6</c:v>
                </c:pt>
                <c:pt idx="1">
                  <c:v>10</c:v>
                </c:pt>
                <c:pt idx="2">
                  <c:v>4</c:v>
                </c:pt>
                <c:pt idx="3">
                  <c:v>4</c:v>
                </c:pt>
                <c:pt idx="4">
                  <c:v>14</c:v>
                </c:pt>
                <c:pt idx="5">
                  <c:v>15</c:v>
                </c:pt>
                <c:pt idx="6">
                  <c:v>18</c:v>
                </c:pt>
                <c:pt idx="7">
                  <c:v>8</c:v>
                </c:pt>
                <c:pt idx="8">
                  <c:v>6</c:v>
                </c:pt>
                <c:pt idx="9">
                  <c:v>14</c:v>
                </c:pt>
                <c:pt idx="10">
                  <c:v>16</c:v>
                </c:pt>
              </c:numCache>
            </c:numRef>
          </c:val>
        </c:ser>
        <c:ser>
          <c:idx val="3"/>
          <c:order val="3"/>
          <c:tx>
            <c:strRef>
              <c:f>Hoja1!$A$6</c:f>
              <c:strCache>
                <c:ptCount val="1"/>
                <c:pt idx="0">
                  <c:v>Facturación del servicio </c:v>
                </c:pt>
              </c:strCache>
            </c:strRef>
          </c:tx>
          <c:spPr>
            <a:solidFill>
              <a:schemeClr val="accent5">
                <a:shade val="90000"/>
              </a:schemeClr>
            </a:solidFill>
            <a:ln>
              <a:noFill/>
            </a:ln>
            <a:effectLst/>
          </c:spPr>
          <c:invertIfNegative val="0"/>
          <c:cat>
            <c:strRef>
              <c:f>Hoja1!$B$2:$L$2</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Hoja1!$B$6:$L$6</c:f>
              <c:numCache>
                <c:formatCode>General</c:formatCode>
                <c:ptCount val="11"/>
                <c:pt idx="0">
                  <c:v>15</c:v>
                </c:pt>
                <c:pt idx="1">
                  <c:v>33</c:v>
                </c:pt>
                <c:pt idx="2">
                  <c:v>29</c:v>
                </c:pt>
                <c:pt idx="3">
                  <c:v>31</c:v>
                </c:pt>
                <c:pt idx="4">
                  <c:v>11</c:v>
                </c:pt>
                <c:pt idx="5">
                  <c:v>12</c:v>
                </c:pt>
                <c:pt idx="6">
                  <c:v>18</c:v>
                </c:pt>
                <c:pt idx="7">
                  <c:v>15</c:v>
                </c:pt>
                <c:pt idx="8">
                  <c:v>11</c:v>
                </c:pt>
                <c:pt idx="9">
                  <c:v>23</c:v>
                </c:pt>
                <c:pt idx="10">
                  <c:v>20</c:v>
                </c:pt>
              </c:numCache>
            </c:numRef>
          </c:val>
        </c:ser>
        <c:ser>
          <c:idx val="4"/>
          <c:order val="4"/>
          <c:tx>
            <c:strRef>
              <c:f>Hoja1!$A$7</c:f>
              <c:strCache>
                <c:ptCount val="1"/>
                <c:pt idx="0">
                  <c:v>Calidad de servicio </c:v>
                </c:pt>
              </c:strCache>
            </c:strRef>
          </c:tx>
          <c:spPr>
            <a:solidFill>
              <a:schemeClr val="accent5">
                <a:shade val="70000"/>
              </a:schemeClr>
            </a:solidFill>
            <a:ln>
              <a:noFill/>
            </a:ln>
            <a:effectLst/>
          </c:spPr>
          <c:invertIfNegative val="0"/>
          <c:cat>
            <c:strRef>
              <c:f>Hoja1!$B$2:$L$2</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Hoja1!$B$7:$L$7</c:f>
              <c:numCache>
                <c:formatCode>General</c:formatCode>
                <c:ptCount val="11"/>
                <c:pt idx="0">
                  <c:v>30</c:v>
                </c:pt>
                <c:pt idx="1">
                  <c:v>20</c:v>
                </c:pt>
                <c:pt idx="2">
                  <c:v>33</c:v>
                </c:pt>
                <c:pt idx="3">
                  <c:v>18</c:v>
                </c:pt>
                <c:pt idx="4">
                  <c:v>19</c:v>
                </c:pt>
                <c:pt idx="5">
                  <c:v>25</c:v>
                </c:pt>
                <c:pt idx="6">
                  <c:v>36</c:v>
                </c:pt>
                <c:pt idx="7">
                  <c:v>7</c:v>
                </c:pt>
                <c:pt idx="8">
                  <c:v>10</c:v>
                </c:pt>
                <c:pt idx="9">
                  <c:v>20</c:v>
                </c:pt>
                <c:pt idx="10">
                  <c:v>23</c:v>
                </c:pt>
              </c:numCache>
            </c:numRef>
          </c:val>
        </c:ser>
        <c:dLbls>
          <c:showLegendKey val="0"/>
          <c:showVal val="0"/>
          <c:showCatName val="0"/>
          <c:showSerName val="0"/>
          <c:showPercent val="0"/>
          <c:showBubbleSize val="0"/>
        </c:dLbls>
        <c:gapWidth val="150"/>
        <c:axId val="542511360"/>
        <c:axId val="542510184"/>
        <c:extLst>
          <c:ext xmlns:c15="http://schemas.microsoft.com/office/drawing/2012/chart" uri="{02D57815-91ED-43cb-92C2-25804820EDAC}">
            <c15:filteredBarSeries>
              <c15:ser>
                <c:idx val="5"/>
                <c:order val="5"/>
                <c:tx>
                  <c:strRef>
                    <c:extLst>
                      <c:ext uri="{02D57815-91ED-43cb-92C2-25804820EDAC}">
                        <c15:formulaRef>
                          <c15:sqref>Hoja1!#REF!</c15:sqref>
                        </c15:formulaRef>
                      </c:ext>
                    </c:extLst>
                    <c:strCache>
                      <c:ptCount val="1"/>
                      <c:pt idx="0">
                        <c:v>#REF!</c:v>
                      </c:pt>
                    </c:strCache>
                  </c:strRef>
                </c:tx>
                <c:spPr>
                  <a:solidFill>
                    <a:schemeClr val="accent5">
                      <a:shade val="50000"/>
                    </a:schemeClr>
                  </a:solidFill>
                  <a:ln>
                    <a:noFill/>
                  </a:ln>
                  <a:effectLst/>
                </c:spPr>
                <c:invertIfNegative val="0"/>
                <c:cat>
                  <c:strRef>
                    <c:extLst>
                      <c:ext uri="{02D57815-91ED-43cb-92C2-25804820EDAC}">
                        <c15:formulaRef>
                          <c15:sqref>Hoja1!$B$2:$L$2</c15:sqref>
                        </c15:formulaRef>
                      </c:ext>
                    </c:extLst>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extLst>
                      <c:ext uri="{02D57815-91ED-43cb-92C2-25804820EDAC}">
                        <c15:formulaRef>
                          <c15:sqref>Hoja1!#REF!</c15:sqref>
                        </c15:formulaRef>
                      </c:ext>
                    </c:extLst>
                    <c:numCache>
                      <c:formatCode>General</c:formatCode>
                      <c:ptCount val="1"/>
                      <c:pt idx="0">
                        <c:v>1</c:v>
                      </c:pt>
                    </c:numCache>
                  </c:numRef>
                </c:val>
              </c15:ser>
            </c15:filteredBarSeries>
          </c:ext>
        </c:extLst>
      </c:barChart>
      <c:catAx>
        <c:axId val="54251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2510184"/>
        <c:crosses val="autoZero"/>
        <c:auto val="1"/>
        <c:lblAlgn val="ctr"/>
        <c:lblOffset val="100"/>
        <c:noMultiLvlLbl val="0"/>
      </c:catAx>
      <c:valAx>
        <c:axId val="542510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2511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Casos de Pre-formalización</a:t>
            </a:r>
          </a:p>
          <a:p>
            <a:pPr algn="ctr">
              <a:defRPr/>
            </a:pPr>
            <a:r>
              <a:rPr lang="es-DO"/>
              <a:t>Enero - noviembre 2022</a:t>
            </a:r>
          </a:p>
        </c:rich>
      </c:tx>
      <c:layout>
        <c:manualLayout>
          <c:xMode val="edge"/>
          <c:yMode val="edge"/>
          <c:x val="0.30846247919222214"/>
          <c:y val="3.018383036766073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Hoja2!$A$72</c:f>
              <c:strCache>
                <c:ptCount val="1"/>
                <c:pt idx="0">
                  <c:v>Recibidos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Hoja2!$B$71:$L$71</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Hoja2!$B$72:$L$72</c:f>
              <c:numCache>
                <c:formatCode>General</c:formatCode>
                <c:ptCount val="11"/>
                <c:pt idx="0">
                  <c:v>26</c:v>
                </c:pt>
                <c:pt idx="1">
                  <c:v>2</c:v>
                </c:pt>
                <c:pt idx="2">
                  <c:v>1</c:v>
                </c:pt>
                <c:pt idx="3">
                  <c:v>1</c:v>
                </c:pt>
                <c:pt idx="4">
                  <c:v>1</c:v>
                </c:pt>
                <c:pt idx="5">
                  <c:v>0</c:v>
                </c:pt>
                <c:pt idx="6">
                  <c:v>0</c:v>
                </c:pt>
                <c:pt idx="7">
                  <c:v>3</c:v>
                </c:pt>
                <c:pt idx="8">
                  <c:v>0</c:v>
                </c:pt>
                <c:pt idx="9">
                  <c:v>4</c:v>
                </c:pt>
                <c:pt idx="10">
                  <c:v>3</c:v>
                </c:pt>
              </c:numCache>
            </c:numRef>
          </c:val>
        </c:ser>
        <c:ser>
          <c:idx val="1"/>
          <c:order val="1"/>
          <c:tx>
            <c:strRef>
              <c:f>Hoja2!$A$73</c:f>
              <c:strCache>
                <c:ptCount val="1"/>
                <c:pt idx="0">
                  <c:v>Concluidos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Hoja2!$B$71:$L$71</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Hoja2!$B$73:$L$73</c:f>
              <c:numCache>
                <c:formatCode>General</c:formatCode>
                <c:ptCount val="11"/>
                <c:pt idx="0">
                  <c:v>22</c:v>
                </c:pt>
                <c:pt idx="1">
                  <c:v>6</c:v>
                </c:pt>
                <c:pt idx="2">
                  <c:v>1</c:v>
                </c:pt>
                <c:pt idx="3">
                  <c:v>1</c:v>
                </c:pt>
                <c:pt idx="4">
                  <c:v>1</c:v>
                </c:pt>
                <c:pt idx="5">
                  <c:v>0</c:v>
                </c:pt>
                <c:pt idx="6">
                  <c:v>0</c:v>
                </c:pt>
                <c:pt idx="7">
                  <c:v>3</c:v>
                </c:pt>
                <c:pt idx="8">
                  <c:v>0</c:v>
                </c:pt>
                <c:pt idx="9">
                  <c:v>4</c:v>
                </c:pt>
                <c:pt idx="10">
                  <c:v>3</c:v>
                </c:pt>
              </c:numCache>
            </c:numRef>
          </c:val>
        </c:ser>
        <c:ser>
          <c:idx val="2"/>
          <c:order val="2"/>
          <c:tx>
            <c:strRef>
              <c:f>Hoja2!$A$74</c:f>
              <c:strCache>
                <c:ptCount val="1"/>
                <c:pt idx="0">
                  <c:v>En Proceso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Hoja2!$B$71:$L$71</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Hoja2!$B$74:$L$74</c:f>
              <c:numCache>
                <c:formatCode>General</c:formatCode>
                <c:ptCount val="11"/>
                <c:pt idx="0">
                  <c:v>4</c:v>
                </c:pt>
                <c:pt idx="1">
                  <c:v>0</c:v>
                </c:pt>
                <c:pt idx="2">
                  <c:v>0</c:v>
                </c:pt>
                <c:pt idx="3">
                  <c:v>0</c:v>
                </c:pt>
                <c:pt idx="4">
                  <c:v>0</c:v>
                </c:pt>
                <c:pt idx="5">
                  <c:v>0</c:v>
                </c:pt>
                <c:pt idx="6">
                  <c:v>0</c:v>
                </c:pt>
                <c:pt idx="7">
                  <c:v>0</c:v>
                </c:pt>
                <c:pt idx="8">
                  <c:v>0</c:v>
                </c:pt>
                <c:pt idx="9">
                  <c:v>0</c:v>
                </c:pt>
                <c:pt idx="10">
                  <c:v>0</c:v>
                </c:pt>
              </c:numCache>
            </c:numRef>
          </c:val>
        </c:ser>
        <c:dLbls>
          <c:dLblPos val="outEnd"/>
          <c:showLegendKey val="0"/>
          <c:showVal val="1"/>
          <c:showCatName val="0"/>
          <c:showSerName val="0"/>
          <c:showPercent val="0"/>
          <c:showBubbleSize val="0"/>
        </c:dLbls>
        <c:gapWidth val="219"/>
        <c:overlap val="-27"/>
        <c:axId val="542512144"/>
        <c:axId val="542505480"/>
      </c:barChart>
      <c:catAx>
        <c:axId val="54251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2505480"/>
        <c:crosses val="autoZero"/>
        <c:auto val="1"/>
        <c:lblAlgn val="ctr"/>
        <c:lblOffset val="100"/>
        <c:noMultiLvlLbl val="0"/>
      </c:catAx>
      <c:valAx>
        <c:axId val="542505480"/>
        <c:scaling>
          <c:orientation val="minMax"/>
        </c:scaling>
        <c:delete val="1"/>
        <c:axPos val="l"/>
        <c:numFmt formatCode="General" sourceLinked="1"/>
        <c:majorTickMark val="out"/>
        <c:minorTickMark val="none"/>
        <c:tickLblPos val="nextTo"/>
        <c:crossAx val="542512144"/>
        <c:crosses val="autoZero"/>
        <c:crossBetween val="between"/>
      </c:valAx>
      <c:spPr>
        <a:noFill/>
        <a:ln>
          <a:solidFill>
            <a:schemeClr val="bg1">
              <a:lumMod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Casos de Denuncias </a:t>
            </a:r>
          </a:p>
          <a:p>
            <a:pPr>
              <a:defRPr>
                <a:latin typeface="Times New Roman" panose="02020603050405020304" pitchFamily="18" charset="0"/>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Enero - noviembre de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Hoja2!$A$55</c:f>
              <c:strCache>
                <c:ptCount val="1"/>
                <c:pt idx="0">
                  <c:v>Recibidos</c:v>
                </c:pt>
              </c:strCache>
            </c:strRef>
          </c:tx>
          <c:spPr>
            <a:solidFill>
              <a:schemeClr val="accent1"/>
            </a:solidFill>
            <a:ln>
              <a:noFill/>
            </a:ln>
            <a:effectLst/>
          </c:spPr>
          <c:invertIfNegative val="0"/>
          <c:cat>
            <c:strRef>
              <c:f>Hoja2!$B$54:$L$54</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Hoja2!$B$55:$L$55</c:f>
              <c:numCache>
                <c:formatCode>General</c:formatCode>
                <c:ptCount val="11"/>
                <c:pt idx="0">
                  <c:v>10</c:v>
                </c:pt>
                <c:pt idx="1">
                  <c:v>14</c:v>
                </c:pt>
                <c:pt idx="2">
                  <c:v>28</c:v>
                </c:pt>
                <c:pt idx="3">
                  <c:v>13</c:v>
                </c:pt>
                <c:pt idx="4">
                  <c:v>16</c:v>
                </c:pt>
                <c:pt idx="5">
                  <c:v>16</c:v>
                </c:pt>
                <c:pt idx="6">
                  <c:v>27</c:v>
                </c:pt>
                <c:pt idx="7">
                  <c:v>12</c:v>
                </c:pt>
                <c:pt idx="8">
                  <c:v>6</c:v>
                </c:pt>
                <c:pt idx="9">
                  <c:v>27</c:v>
                </c:pt>
                <c:pt idx="10">
                  <c:v>28</c:v>
                </c:pt>
              </c:numCache>
            </c:numRef>
          </c:val>
        </c:ser>
        <c:ser>
          <c:idx val="1"/>
          <c:order val="1"/>
          <c:tx>
            <c:strRef>
              <c:f>Hoja2!$A$56</c:f>
              <c:strCache>
                <c:ptCount val="1"/>
                <c:pt idx="0">
                  <c:v>Concluidos </c:v>
                </c:pt>
              </c:strCache>
            </c:strRef>
          </c:tx>
          <c:spPr>
            <a:solidFill>
              <a:schemeClr val="tx2">
                <a:lumMod val="40000"/>
                <a:lumOff val="60000"/>
              </a:schemeClr>
            </a:solidFill>
            <a:ln>
              <a:noFill/>
            </a:ln>
            <a:effectLst/>
          </c:spPr>
          <c:invertIfNegative val="0"/>
          <c:cat>
            <c:strRef>
              <c:f>Hoja2!$B$54:$L$54</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Hoja2!$B$56:$L$56</c:f>
              <c:numCache>
                <c:formatCode>General</c:formatCode>
                <c:ptCount val="11"/>
                <c:pt idx="0">
                  <c:v>6</c:v>
                </c:pt>
                <c:pt idx="1">
                  <c:v>16</c:v>
                </c:pt>
                <c:pt idx="2">
                  <c:v>16</c:v>
                </c:pt>
                <c:pt idx="3">
                  <c:v>19</c:v>
                </c:pt>
                <c:pt idx="4">
                  <c:v>19</c:v>
                </c:pt>
                <c:pt idx="5">
                  <c:v>18</c:v>
                </c:pt>
                <c:pt idx="6">
                  <c:v>20</c:v>
                </c:pt>
                <c:pt idx="7">
                  <c:v>19</c:v>
                </c:pt>
                <c:pt idx="8">
                  <c:v>3</c:v>
                </c:pt>
                <c:pt idx="9">
                  <c:v>21</c:v>
                </c:pt>
                <c:pt idx="10">
                  <c:v>32</c:v>
                </c:pt>
              </c:numCache>
            </c:numRef>
          </c:val>
        </c:ser>
        <c:ser>
          <c:idx val="2"/>
          <c:order val="2"/>
          <c:tx>
            <c:strRef>
              <c:f>Hoja2!$A$57</c:f>
              <c:strCache>
                <c:ptCount val="1"/>
                <c:pt idx="0">
                  <c:v>En Proceso</c:v>
                </c:pt>
              </c:strCache>
            </c:strRef>
          </c:tx>
          <c:spPr>
            <a:solidFill>
              <a:schemeClr val="accent1">
                <a:lumMod val="20000"/>
                <a:lumOff val="80000"/>
              </a:schemeClr>
            </a:solidFill>
            <a:ln>
              <a:noFill/>
            </a:ln>
            <a:effectLst/>
          </c:spPr>
          <c:invertIfNegative val="0"/>
          <c:cat>
            <c:strRef>
              <c:f>Hoja2!$B$54:$L$54</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Hoja2!$B$57:$L$57</c:f>
              <c:numCache>
                <c:formatCode>General</c:formatCode>
                <c:ptCount val="11"/>
                <c:pt idx="0">
                  <c:v>4</c:v>
                </c:pt>
                <c:pt idx="1">
                  <c:v>2</c:v>
                </c:pt>
                <c:pt idx="2">
                  <c:v>14</c:v>
                </c:pt>
                <c:pt idx="3">
                  <c:v>8</c:v>
                </c:pt>
                <c:pt idx="4">
                  <c:v>5</c:v>
                </c:pt>
                <c:pt idx="5">
                  <c:v>3</c:v>
                </c:pt>
                <c:pt idx="6">
                  <c:v>10</c:v>
                </c:pt>
                <c:pt idx="7">
                  <c:v>3</c:v>
                </c:pt>
                <c:pt idx="8">
                  <c:v>6</c:v>
                </c:pt>
                <c:pt idx="9">
                  <c:v>12</c:v>
                </c:pt>
                <c:pt idx="10">
                  <c:v>8</c:v>
                </c:pt>
              </c:numCache>
            </c:numRef>
          </c:val>
        </c:ser>
        <c:dLbls>
          <c:showLegendKey val="0"/>
          <c:showVal val="0"/>
          <c:showCatName val="0"/>
          <c:showSerName val="0"/>
          <c:showPercent val="0"/>
          <c:showBubbleSize val="0"/>
        </c:dLbls>
        <c:gapWidth val="219"/>
        <c:overlap val="-27"/>
        <c:axId val="228378816"/>
        <c:axId val="228375680"/>
      </c:barChart>
      <c:catAx>
        <c:axId val="228378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375680"/>
        <c:crosses val="autoZero"/>
        <c:auto val="1"/>
        <c:lblAlgn val="ctr"/>
        <c:lblOffset val="100"/>
        <c:noMultiLvlLbl val="0"/>
      </c:catAx>
      <c:valAx>
        <c:axId val="228375680"/>
        <c:scaling>
          <c:orientation val="minMax"/>
        </c:scaling>
        <c:delete val="1"/>
        <c:axPos val="l"/>
        <c:numFmt formatCode="General" sourceLinked="1"/>
        <c:majorTickMark val="out"/>
        <c:minorTickMark val="none"/>
        <c:tickLblPos val="nextTo"/>
        <c:crossAx val="228378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12700"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solidFill>
                  <a:srgbClr val="4C4747"/>
                </a:solidFill>
              </a:rPr>
              <a:t>Casos de Quejas </a:t>
            </a:r>
          </a:p>
          <a:p>
            <a:pPr>
              <a:defRPr/>
            </a:pPr>
            <a:r>
              <a:rPr lang="es-DO">
                <a:solidFill>
                  <a:srgbClr val="4C4747"/>
                </a:solidFill>
              </a:rPr>
              <a:t>Enero - noviembre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1.5117157974300832E-2"/>
          <c:y val="0.1877974683544304"/>
          <c:w val="0.96674225245653822"/>
          <c:h val="0.57891956543406753"/>
        </c:manualLayout>
      </c:layout>
      <c:barChart>
        <c:barDir val="col"/>
        <c:grouping val="clustered"/>
        <c:varyColors val="0"/>
        <c:ser>
          <c:idx val="0"/>
          <c:order val="0"/>
          <c:tx>
            <c:strRef>
              <c:f>Hoja2!$A$78</c:f>
              <c:strCache>
                <c:ptCount val="1"/>
                <c:pt idx="0">
                  <c:v>Recibidos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Hoja2!$B$77:$L$77</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Hoja2!$B$78:$L$78</c:f>
              <c:numCache>
                <c:formatCode>General</c:formatCode>
                <c:ptCount val="11"/>
                <c:pt idx="0">
                  <c:v>1</c:v>
                </c:pt>
                <c:pt idx="1">
                  <c:v>3</c:v>
                </c:pt>
                <c:pt idx="2">
                  <c:v>2</c:v>
                </c:pt>
                <c:pt idx="3">
                  <c:v>2</c:v>
                </c:pt>
                <c:pt idx="4">
                  <c:v>0</c:v>
                </c:pt>
                <c:pt idx="5">
                  <c:v>0</c:v>
                </c:pt>
                <c:pt idx="6">
                  <c:v>2</c:v>
                </c:pt>
                <c:pt idx="7">
                  <c:v>0</c:v>
                </c:pt>
                <c:pt idx="8">
                  <c:v>0</c:v>
                </c:pt>
                <c:pt idx="9">
                  <c:v>0</c:v>
                </c:pt>
                <c:pt idx="10">
                  <c:v>1</c:v>
                </c:pt>
              </c:numCache>
            </c:numRef>
          </c:val>
        </c:ser>
        <c:ser>
          <c:idx val="1"/>
          <c:order val="1"/>
          <c:tx>
            <c:strRef>
              <c:f>Hoja2!$A$79</c:f>
              <c:strCache>
                <c:ptCount val="1"/>
                <c:pt idx="0">
                  <c:v>Concluidos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Hoja2!$B$77:$L$77</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Hoja2!$B$79:$L$79</c:f>
              <c:numCache>
                <c:formatCode>General</c:formatCode>
                <c:ptCount val="11"/>
                <c:pt idx="0">
                  <c:v>1</c:v>
                </c:pt>
                <c:pt idx="1">
                  <c:v>3</c:v>
                </c:pt>
                <c:pt idx="2">
                  <c:v>2</c:v>
                </c:pt>
                <c:pt idx="3">
                  <c:v>2</c:v>
                </c:pt>
                <c:pt idx="4">
                  <c:v>0</c:v>
                </c:pt>
                <c:pt idx="5">
                  <c:v>0</c:v>
                </c:pt>
                <c:pt idx="6">
                  <c:v>2</c:v>
                </c:pt>
                <c:pt idx="7">
                  <c:v>0</c:v>
                </c:pt>
                <c:pt idx="8">
                  <c:v>0</c:v>
                </c:pt>
                <c:pt idx="9">
                  <c:v>0</c:v>
                </c:pt>
                <c:pt idx="10">
                  <c:v>1</c:v>
                </c:pt>
              </c:numCache>
            </c:numRef>
          </c:val>
        </c:ser>
        <c:ser>
          <c:idx val="2"/>
          <c:order val="2"/>
          <c:tx>
            <c:strRef>
              <c:f>Hoja2!$A$80</c:f>
              <c:strCache>
                <c:ptCount val="1"/>
                <c:pt idx="0">
                  <c:v>En Proceso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Hoja2!$B$77:$L$77</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Hoja2!$B$80:$L$80</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er>
        <c:dLbls>
          <c:dLblPos val="outEnd"/>
          <c:showLegendKey val="0"/>
          <c:showVal val="1"/>
          <c:showCatName val="0"/>
          <c:showSerName val="0"/>
          <c:showPercent val="0"/>
          <c:showBubbleSize val="0"/>
        </c:dLbls>
        <c:gapWidth val="219"/>
        <c:overlap val="-27"/>
        <c:axId val="228379992"/>
        <c:axId val="228381168"/>
      </c:barChart>
      <c:catAx>
        <c:axId val="22837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8381168"/>
        <c:crosses val="autoZero"/>
        <c:auto val="1"/>
        <c:lblAlgn val="ctr"/>
        <c:lblOffset val="100"/>
        <c:noMultiLvlLbl val="0"/>
      </c:catAx>
      <c:valAx>
        <c:axId val="228381168"/>
        <c:scaling>
          <c:orientation val="minMax"/>
        </c:scaling>
        <c:delete val="1"/>
        <c:axPos val="l"/>
        <c:numFmt formatCode="General" sourceLinked="1"/>
        <c:majorTickMark val="none"/>
        <c:minorTickMark val="none"/>
        <c:tickLblPos val="nextTo"/>
        <c:crossAx val="228379992"/>
        <c:crosses val="autoZero"/>
        <c:crossBetween val="between"/>
      </c:valAx>
      <c:spPr>
        <a:noFill/>
        <a:ln>
          <a:solidFill>
            <a:schemeClr val="bg1">
              <a:lumMod val="50000"/>
            </a:schemeClr>
          </a:solidFill>
        </a:ln>
        <a:effectLst/>
      </c:spPr>
    </c:plotArea>
    <c:legend>
      <c:legendPos val="b"/>
      <c:layout>
        <c:manualLayout>
          <c:xMode val="edge"/>
          <c:yMode val="edge"/>
          <c:x val="0.31119400577721079"/>
          <c:y val="0.88597265285182125"/>
          <c:w val="0.38188522107813444"/>
          <c:h val="0.100837275830512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chemeClr val="bg1">
          <a:lumMod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RDQ´S Concluidos</a:t>
            </a:r>
          </a:p>
          <a:p>
            <a:pPr>
              <a:defRPr/>
            </a:pPr>
            <a:r>
              <a:rPr lang="es-DO"/>
              <a:t>Enero- noviembre</a:t>
            </a:r>
            <a:r>
              <a:rPr lang="es-DO" baseline="0"/>
              <a:t> </a:t>
            </a:r>
            <a:r>
              <a:rPr lang="es-DO"/>
              <a:t>2022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Hoja2!$B$41</c:f>
              <c:strCache>
                <c:ptCount val="1"/>
                <c:pt idx="0">
                  <c:v>Recibidos en Conciliación</c:v>
                </c:pt>
              </c:strCache>
            </c:strRef>
          </c:tx>
          <c:spPr>
            <a:solidFill>
              <a:schemeClr val="accent1"/>
            </a:solidFill>
            <a:ln>
              <a:noFill/>
            </a:ln>
            <a:effectLst/>
          </c:spPr>
          <c:invertIfNegative val="0"/>
          <c:cat>
            <c:strRef>
              <c:f>Hoja2!$A$42:$A$52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Hoja2!$B$42:$B$52</c:f>
              <c:numCache>
                <c:formatCode>General</c:formatCode>
                <c:ptCount val="11"/>
                <c:pt idx="0">
                  <c:v>5</c:v>
                </c:pt>
                <c:pt idx="1">
                  <c:v>0</c:v>
                </c:pt>
                <c:pt idx="2">
                  <c:v>1</c:v>
                </c:pt>
                <c:pt idx="3">
                  <c:v>1</c:v>
                </c:pt>
                <c:pt idx="4">
                  <c:v>1</c:v>
                </c:pt>
                <c:pt idx="5">
                  <c:v>0</c:v>
                </c:pt>
                <c:pt idx="6">
                  <c:v>0</c:v>
                </c:pt>
                <c:pt idx="7">
                  <c:v>0</c:v>
                </c:pt>
                <c:pt idx="8">
                  <c:v>0</c:v>
                </c:pt>
                <c:pt idx="9">
                  <c:v>0</c:v>
                </c:pt>
                <c:pt idx="10">
                  <c:v>0</c:v>
                </c:pt>
              </c:numCache>
            </c:numRef>
          </c:val>
        </c:ser>
        <c:ser>
          <c:idx val="1"/>
          <c:order val="1"/>
          <c:tx>
            <c:strRef>
              <c:f>Hoja2!$C$41</c:f>
              <c:strCache>
                <c:ptCount val="1"/>
                <c:pt idx="0">
                  <c:v>Concluidos en Conciliación</c:v>
                </c:pt>
              </c:strCache>
            </c:strRef>
          </c:tx>
          <c:spPr>
            <a:solidFill>
              <a:schemeClr val="tx2">
                <a:lumMod val="40000"/>
                <a:lumOff val="60000"/>
              </a:schemeClr>
            </a:solidFill>
            <a:ln>
              <a:noFill/>
            </a:ln>
            <a:effectLst/>
          </c:spPr>
          <c:invertIfNegative val="0"/>
          <c:cat>
            <c:strRef>
              <c:f>Hoja2!$A$42:$A$52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Hoja2!$C$42:$C$52</c:f>
              <c:numCache>
                <c:formatCode>General</c:formatCode>
                <c:ptCount val="11"/>
                <c:pt idx="0">
                  <c:v>6</c:v>
                </c:pt>
                <c:pt idx="1">
                  <c:v>1</c:v>
                </c:pt>
                <c:pt idx="2">
                  <c:v>1</c:v>
                </c:pt>
                <c:pt idx="3">
                  <c:v>1</c:v>
                </c:pt>
                <c:pt idx="4">
                  <c:v>1</c:v>
                </c:pt>
                <c:pt idx="5">
                  <c:v>0</c:v>
                </c:pt>
                <c:pt idx="6">
                  <c:v>0</c:v>
                </c:pt>
                <c:pt idx="7">
                  <c:v>0</c:v>
                </c:pt>
                <c:pt idx="8">
                  <c:v>0</c:v>
                </c:pt>
                <c:pt idx="9">
                  <c:v>0</c:v>
                </c:pt>
                <c:pt idx="10">
                  <c:v>0</c:v>
                </c:pt>
              </c:numCache>
            </c:numRef>
          </c:val>
        </c:ser>
        <c:ser>
          <c:idx val="2"/>
          <c:order val="2"/>
          <c:tx>
            <c:strRef>
              <c:f>Hoja2!$D$41</c:f>
              <c:strCache>
                <c:ptCount val="1"/>
                <c:pt idx="0">
                  <c:v>Remitidos a Cuerpos Colegiados</c:v>
                </c:pt>
              </c:strCache>
            </c:strRef>
          </c:tx>
          <c:spPr>
            <a:solidFill>
              <a:schemeClr val="accent1">
                <a:lumMod val="20000"/>
                <a:lumOff val="80000"/>
              </a:schemeClr>
            </a:solidFill>
            <a:ln>
              <a:noFill/>
            </a:ln>
            <a:effectLst/>
          </c:spPr>
          <c:invertIfNegative val="0"/>
          <c:cat>
            <c:strRef>
              <c:f>Hoja2!$A$42:$A$52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Hoja2!$D$42:$D$52</c:f>
              <c:numCache>
                <c:formatCode>General</c:formatCode>
                <c:ptCount val="11"/>
                <c:pt idx="0">
                  <c:v>1</c:v>
                </c:pt>
                <c:pt idx="1">
                  <c:v>0</c:v>
                </c:pt>
                <c:pt idx="2">
                  <c:v>0</c:v>
                </c:pt>
                <c:pt idx="3">
                  <c:v>0</c:v>
                </c:pt>
                <c:pt idx="4">
                  <c:v>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219"/>
        <c:overlap val="-27"/>
        <c:axId val="308925352"/>
        <c:axId val="301541808"/>
      </c:barChart>
      <c:catAx>
        <c:axId val="308925352"/>
        <c:scaling>
          <c:orientation val="minMax"/>
        </c:scaling>
        <c:delete val="1"/>
        <c:axPos val="b"/>
        <c:numFmt formatCode="General" sourceLinked="1"/>
        <c:majorTickMark val="out"/>
        <c:minorTickMark val="none"/>
        <c:tickLblPos val="nextTo"/>
        <c:crossAx val="301541808"/>
        <c:crosses val="autoZero"/>
        <c:auto val="1"/>
        <c:lblAlgn val="ctr"/>
        <c:lblOffset val="100"/>
        <c:noMultiLvlLbl val="0"/>
      </c:catAx>
      <c:valAx>
        <c:axId val="301541808"/>
        <c:scaling>
          <c:orientation val="minMax"/>
        </c:scaling>
        <c:delete val="1"/>
        <c:axPos val="l"/>
        <c:numFmt formatCode="General" sourceLinked="1"/>
        <c:majorTickMark val="out"/>
        <c:minorTickMark val="none"/>
        <c:tickLblPos val="nextTo"/>
        <c:crossAx val="308925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12700" cap="flat" cmpd="sng" algn="ctr">
      <a:solidFill>
        <a:schemeClr val="bg1">
          <a:lumMod val="50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0.36012</cdr:x>
      <cdr:y>0.27422</cdr:y>
    </cdr:from>
    <cdr:to>
      <cdr:x>0.36022</cdr:x>
      <cdr:y>0.79695</cdr:y>
    </cdr:to>
    <cdr:cxnSp macro="">
      <cdr:nvCxnSpPr>
        <cdr:cNvPr id="4" name="Conector recto 3">
          <a:extLst xmlns:a="http://schemas.openxmlformats.org/drawingml/2006/main">
            <a:ext uri="{FF2B5EF4-FFF2-40B4-BE49-F238E27FC236}">
              <a16:creationId xmlns="" xmlns:a16="http://schemas.microsoft.com/office/drawing/2014/main" id="{4179B2E8-32CA-6EFE-0582-2F507C2C53BA}"/>
            </a:ext>
          </a:extLst>
        </cdr:cNvPr>
        <cdr:cNvCxnSpPr/>
      </cdr:nvCxnSpPr>
      <cdr:spPr>
        <a:xfrm xmlns:a="http://schemas.openxmlformats.org/drawingml/2006/main" flipV="1">
          <a:off x="2466273" y="795338"/>
          <a:ext cx="703" cy="1516107"/>
        </a:xfrm>
        <a:prstGeom xmlns:a="http://schemas.openxmlformats.org/drawingml/2006/main" prst="line">
          <a:avLst/>
        </a:prstGeom>
        <a:ln xmlns:a="http://schemas.openxmlformats.org/drawingml/2006/main" w="190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0.67733</cdr:x>
      <cdr:y>0.27422</cdr:y>
    </cdr:from>
    <cdr:to>
      <cdr:x>0.67872</cdr:x>
      <cdr:y>0.79967</cdr:y>
    </cdr:to>
    <cdr:cxnSp macro="">
      <cdr:nvCxnSpPr>
        <cdr:cNvPr id="5" name="Conector recto 4">
          <a:extLst xmlns:a="http://schemas.openxmlformats.org/drawingml/2006/main">
            <a:ext uri="{FF2B5EF4-FFF2-40B4-BE49-F238E27FC236}">
              <a16:creationId xmlns="" xmlns:a16="http://schemas.microsoft.com/office/drawing/2014/main" id="{7416A092-D389-5957-0E7E-88178FB0F667}"/>
            </a:ext>
          </a:extLst>
        </cdr:cNvPr>
        <cdr:cNvCxnSpPr/>
      </cdr:nvCxnSpPr>
      <cdr:spPr>
        <a:xfrm xmlns:a="http://schemas.openxmlformats.org/drawingml/2006/main" flipV="1">
          <a:off x="4638676" y="795339"/>
          <a:ext cx="9526" cy="1523999"/>
        </a:xfrm>
        <a:prstGeom xmlns:a="http://schemas.openxmlformats.org/drawingml/2006/main" prst="line">
          <a:avLst/>
        </a:prstGeom>
        <a:ln xmlns:a="http://schemas.openxmlformats.org/drawingml/2006/main" w="190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0.57489</cdr:x>
      <cdr:y>0.57143</cdr:y>
    </cdr:from>
    <cdr:to>
      <cdr:x>0.60514</cdr:x>
      <cdr:y>0.6414</cdr:y>
    </cdr:to>
    <cdr:sp macro="" textlink="">
      <cdr:nvSpPr>
        <cdr:cNvPr id="6" name="Cuadro de texto 5"/>
        <cdr:cNvSpPr txBox="1"/>
      </cdr:nvSpPr>
      <cdr:spPr>
        <a:xfrm xmlns:a="http://schemas.openxmlformats.org/drawingml/2006/main">
          <a:off x="3619501" y="1866900"/>
          <a:ext cx="190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900" b="1" i="0" u="none" strike="noStrike" kern="1200" baseline="0">
              <a:solidFill>
                <a:sysClr val="window" lastClr="FFFFFF"/>
              </a:solidFill>
              <a:latin typeface="Times New Roman" panose="02020603050405020304" pitchFamily="18" charset="0"/>
              <a:ea typeface="+mn-ea"/>
              <a:cs typeface="Times New Roman" panose="02020603050405020304" pitchFamily="18" charset="0"/>
            </a:defRPr>
          </a:pPr>
          <a:fld id="{B86F5A58-EF0C-4C0A-A44E-BC4067CC8FE0}" type="VALUE">
            <a:rPr lang="en-US" sz="1100"/>
            <a:pPr algn="ctr" rtl="0">
              <a:defRPr sz="900" b="1" i="0" u="none" strike="noStrike" kern="1200" baseline="0">
                <a:solidFill>
                  <a:sysClr val="window" lastClr="FFFFFF"/>
                </a:solidFill>
                <a:latin typeface="Times New Roman" panose="02020603050405020304" pitchFamily="18" charset="0"/>
                <a:ea typeface="+mn-ea"/>
                <a:cs typeface="Times New Roman" panose="02020603050405020304" pitchFamily="18" charset="0"/>
              </a:defRPr>
            </a:pPr>
            <a:t>1</a:t>
          </a:fld>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3EFB9-1341-49D5-AAF8-EC2CCCF0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36215</Words>
  <Characters>206429</Characters>
  <Application>Microsoft Office Word</Application>
  <DocSecurity>0</DocSecurity>
  <Lines>1720</Lines>
  <Paragraphs>484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Pamela Turbi Herrera</cp:lastModifiedBy>
  <cp:revision>2</cp:revision>
  <cp:lastPrinted>2022-07-21T15:44:00Z</cp:lastPrinted>
  <dcterms:created xsi:type="dcterms:W3CDTF">2022-12-20T14:42:00Z</dcterms:created>
  <dcterms:modified xsi:type="dcterms:W3CDTF">2022-12-20T14:42:00Z</dcterms:modified>
</cp:coreProperties>
</file>