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charts/chart12.xml" ContentType="application/vnd.openxmlformats-officedocument.drawingml.chart+xml"/>
  <Override PartName="/word/charts/style12.xml" ContentType="application/vnd.ms-office.chartstyle+xml"/>
  <Override PartName="/word/charts/colors12.xml" ContentType="application/vnd.ms-office.chartcolorstyle+xml"/>
  <Override PartName="/word/charts/chart13.xml" ContentType="application/vnd.openxmlformats-officedocument.drawingml.chart+xml"/>
  <Override PartName="/word/charts/style13.xml" ContentType="application/vnd.ms-office.chartstyle+xml"/>
  <Override PartName="/word/charts/colors13.xml" ContentType="application/vnd.ms-office.chartcolorstyle+xml"/>
  <Override PartName="/word/theme/themeOverride1.xml" ContentType="application/vnd.openxmlformats-officedocument.themeOverride+xml"/>
  <Override PartName="/word/charts/chart14.xml" ContentType="application/vnd.openxmlformats-officedocument.drawingml.chart+xml"/>
  <Override PartName="/word/charts/style14.xml" ContentType="application/vnd.ms-office.chartstyle+xml"/>
  <Override PartName="/word/charts/colors14.xml" ContentType="application/vnd.ms-office.chartcolorstyle+xml"/>
  <Override PartName="/word/charts/chart15.xml" ContentType="application/vnd.openxmlformats-officedocument.drawingml.chart+xml"/>
  <Override PartName="/word/charts/style15.xml" ContentType="application/vnd.ms-office.chartstyle+xml"/>
  <Override PartName="/word/charts/colors15.xml" ContentType="application/vnd.ms-office.chartcolorstyle+xml"/>
  <Override PartName="/word/charts/chart16.xml" ContentType="application/vnd.openxmlformats-officedocument.drawingml.chart+xml"/>
  <Override PartName="/word/charts/style16.xml" ContentType="application/vnd.ms-office.chartstyle+xml"/>
  <Override PartName="/word/charts/colors16.xml" ContentType="application/vnd.ms-office.chartcolorstyle+xml"/>
  <Override PartName="/word/drawings/drawing1.xml" ContentType="application/vnd.openxmlformats-officedocument.drawingml.chartshapes+xml"/>
  <Override PartName="/word/charts/chart17.xml" ContentType="application/vnd.openxmlformats-officedocument.drawingml.chart+xml"/>
  <Override PartName="/word/charts/style17.xml" ContentType="application/vnd.ms-office.chartstyle+xml"/>
  <Override PartName="/word/charts/colors17.xml" ContentType="application/vnd.ms-office.chartcolorstyle+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24A9A258" w14:textId="5DED8E84" w:rsidR="008D7F4E" w:rsidRPr="008E6046" w:rsidRDefault="00DF0B54" w:rsidP="008D7F4E">
      <w:pPr>
        <w:rPr>
          <w:lang w:val="es-DO"/>
        </w:rPr>
      </w:pPr>
      <w:r w:rsidRPr="00B82CCE">
        <w:rPr>
          <w:noProof/>
        </w:rPr>
        <w:drawing>
          <wp:anchor distT="0" distB="0" distL="114300" distR="114300" simplePos="0" relativeHeight="251656192" behindDoc="0" locked="0" layoutInCell="1" allowOverlap="1" wp14:anchorId="3F0A51DA" wp14:editId="10E2BA02">
            <wp:simplePos x="0" y="0"/>
            <wp:positionH relativeFrom="column">
              <wp:posOffset>2376805</wp:posOffset>
            </wp:positionH>
            <wp:positionV relativeFrom="paragraph">
              <wp:posOffset>274955</wp:posOffset>
            </wp:positionV>
            <wp:extent cx="1280160" cy="1207770"/>
            <wp:effectExtent l="0" t="0" r="0" b="0"/>
            <wp:wrapNone/>
            <wp:docPr id="1" name="Picture 1"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1280160" cy="1207770"/>
                    </a:xfrm>
                    <a:prstGeom prst="rect">
                      <a:avLst/>
                    </a:prstGeom>
                  </pic:spPr>
                </pic:pic>
              </a:graphicData>
            </a:graphic>
            <wp14:sizeRelH relativeFrom="page">
              <wp14:pctWidth>0</wp14:pctWidth>
            </wp14:sizeRelH>
            <wp14:sizeRelV relativeFrom="page">
              <wp14:pctHeight>0</wp14:pctHeight>
            </wp14:sizeRelV>
          </wp:anchor>
        </w:drawing>
      </w:r>
    </w:p>
    <w:p w14:paraId="1AC5E2C3" w14:textId="77777777" w:rsidR="008D7F4E" w:rsidRPr="008E6046" w:rsidRDefault="008D7F4E" w:rsidP="008D7F4E">
      <w:pPr>
        <w:rPr>
          <w:lang w:val="es-DO"/>
        </w:rPr>
      </w:pPr>
    </w:p>
    <w:p w14:paraId="34990FAF" w14:textId="52B5DA41" w:rsidR="008D7F4E" w:rsidRPr="008E6046" w:rsidRDefault="008D7F4E" w:rsidP="008D7F4E">
      <w:pPr>
        <w:rPr>
          <w:lang w:val="es-DO"/>
        </w:rPr>
      </w:pPr>
      <w:bookmarkStart w:id="0" w:name="_Hlk86404256"/>
      <w:bookmarkEnd w:id="0"/>
    </w:p>
    <w:p w14:paraId="6EFB72EE" w14:textId="272B2AD6" w:rsidR="008D7F4E" w:rsidRPr="008E6046" w:rsidRDefault="008D7F4E" w:rsidP="008D7F4E">
      <w:pPr>
        <w:rPr>
          <w:lang w:val="es-DO"/>
        </w:rPr>
      </w:pPr>
    </w:p>
    <w:p w14:paraId="3F7503CE" w14:textId="172B5CFE" w:rsidR="008D7F4E" w:rsidRPr="008E6046" w:rsidRDefault="008D7F4E" w:rsidP="008D7F4E">
      <w:pPr>
        <w:rPr>
          <w:lang w:val="es-DO"/>
        </w:rPr>
      </w:pPr>
    </w:p>
    <w:p w14:paraId="071FCCAE" w14:textId="3EABEDC4" w:rsidR="008D7F4E" w:rsidRPr="008E6046" w:rsidRDefault="008D7F4E" w:rsidP="008D7F4E">
      <w:pPr>
        <w:rPr>
          <w:lang w:val="es-DO"/>
        </w:rPr>
      </w:pPr>
    </w:p>
    <w:p w14:paraId="69FBF6B1" w14:textId="64CD4A2C" w:rsidR="008D7F4E" w:rsidRPr="008E6046" w:rsidRDefault="00D33A54" w:rsidP="008D7F4E">
      <w:pPr>
        <w:rPr>
          <w:lang w:val="es-DO"/>
        </w:rPr>
      </w:pPr>
      <w:r w:rsidRPr="00B82CCE">
        <w:rPr>
          <w:noProof/>
        </w:rPr>
        <mc:AlternateContent>
          <mc:Choice Requires="wps">
            <w:drawing>
              <wp:anchor distT="0" distB="0" distL="114300" distR="114300" simplePos="0" relativeHeight="251660288" behindDoc="0" locked="0" layoutInCell="1" allowOverlap="1" wp14:anchorId="49B1C421" wp14:editId="42EFA7FE">
                <wp:simplePos x="0" y="0"/>
                <wp:positionH relativeFrom="column">
                  <wp:posOffset>2137410</wp:posOffset>
                </wp:positionH>
                <wp:positionV relativeFrom="paragraph">
                  <wp:posOffset>11430</wp:posOffset>
                </wp:positionV>
                <wp:extent cx="1884680" cy="177165"/>
                <wp:effectExtent l="0" t="0" r="0" b="0"/>
                <wp:wrapNone/>
                <wp:docPr id="6" name="object 6"/>
                <wp:cNvGraphicFramePr/>
                <a:graphic xmlns:a="http://schemas.openxmlformats.org/drawingml/2006/main">
                  <a:graphicData uri="http://schemas.microsoft.com/office/word/2010/wordprocessingShape">
                    <wps:wsp>
                      <wps:cNvSpPr txBox="1"/>
                      <wps:spPr>
                        <a:xfrm>
                          <a:off x="0" y="0"/>
                          <a:ext cx="1884680" cy="177165"/>
                        </a:xfrm>
                        <a:prstGeom prst="rect">
                          <a:avLst/>
                        </a:prstGeom>
                      </wps:spPr>
                      <wps:txbx>
                        <w:txbxContent>
                          <w:p w14:paraId="65FDDD46" w14:textId="77777777" w:rsidR="007C16C5" w:rsidRPr="005C548C" w:rsidRDefault="007C16C5"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49B1C421" id="_x0000_t202" coordsize="21600,21600" o:spt="202" path="m,l,21600r21600,l21600,xe">
                <v:stroke joinstyle="miter"/>
                <v:path gradientshapeok="t" o:connecttype="rect"/>
              </v:shapetype>
              <v:shape id="object 6" o:spid="_x0000_s1026" type="#_x0000_t202" style="position:absolute;margin-left:168.3pt;margin-top:.9pt;width:148.4pt;height:13.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" filled="f" stroked="f">
                <v:textbox inset="0,1pt,0,0">
                  <w:txbxContent>
                    <w:p w14:paraId="65FDDD46" w14:textId="77777777" w:rsidR="007C16C5" w:rsidRPr="005C548C" w:rsidRDefault="007C16C5" w:rsidP="008D7F4E">
                      <w:pPr>
                        <w:spacing w:before="20"/>
                        <w:ind w:left="14"/>
                        <w:rPr>
                          <w:rFonts w:ascii="Times New Roman" w:hAnsi="Times New Roman" w:cs="Times New Roman"/>
                          <w:b/>
                          <w:bCs/>
                          <w:color w:val="D0B787"/>
                          <w:spacing w:val="9"/>
                          <w:kern w:val="24"/>
                          <w:sz w:val="20"/>
                          <w:szCs w:val="20"/>
                        </w:rPr>
                      </w:pPr>
                      <w:r w:rsidRPr="005C548C">
                        <w:rPr>
                          <w:rFonts w:ascii="Times New Roman" w:hAnsi="Times New Roman" w:cs="Times New Roman"/>
                          <w:b/>
                          <w:bCs/>
                          <w:color w:val="D0B787"/>
                          <w:spacing w:val="9"/>
                          <w:kern w:val="24"/>
                          <w:sz w:val="20"/>
                          <w:szCs w:val="20"/>
                        </w:rPr>
                        <w:t>REPÚBLICA</w:t>
                      </w:r>
                      <w:r w:rsidRPr="005C548C">
                        <w:rPr>
                          <w:rFonts w:ascii="Times New Roman" w:hAnsi="Times New Roman" w:cs="Times New Roman"/>
                          <w:b/>
                          <w:bCs/>
                          <w:color w:val="D0B787"/>
                          <w:spacing w:val="11"/>
                          <w:kern w:val="24"/>
                          <w:sz w:val="20"/>
                          <w:szCs w:val="20"/>
                        </w:rPr>
                        <w:t xml:space="preserve"> DOMINICANA</w:t>
                      </w:r>
                    </w:p>
                  </w:txbxContent>
                </v:textbox>
              </v:shape>
            </w:pict>
          </mc:Fallback>
        </mc:AlternateContent>
      </w:r>
    </w:p>
    <w:p w14:paraId="0233C915" w14:textId="77777777" w:rsidR="008D7F4E" w:rsidRPr="008E6046" w:rsidRDefault="008D7F4E" w:rsidP="008D7F4E">
      <w:pPr>
        <w:rPr>
          <w:lang w:val="es-DO"/>
        </w:rPr>
      </w:pPr>
    </w:p>
    <w:p w14:paraId="274DCED8" w14:textId="2DBF2D3F" w:rsidR="004F2DD5" w:rsidRPr="00943FA5" w:rsidRDefault="00C64CEF" w:rsidP="004F2DD5">
      <w:pPr>
        <w:rPr>
          <w:rFonts w:ascii="Times New Roman" w:hAnsi="Times New Roman"/>
          <w:lang w:val="es-DO"/>
        </w:rPr>
      </w:pPr>
      <w:r w:rsidRPr="00B82CCE">
        <w:rPr>
          <w:noProof/>
        </w:rPr>
        <mc:AlternateContent>
          <mc:Choice Requires="wps">
            <w:drawing>
              <wp:anchor distT="0" distB="0" distL="114300" distR="114300" simplePos="0" relativeHeight="251658240" behindDoc="0" locked="0" layoutInCell="1" allowOverlap="1" wp14:anchorId="0C109D41" wp14:editId="50A9D433">
                <wp:simplePos x="0" y="0"/>
                <wp:positionH relativeFrom="column">
                  <wp:posOffset>152400</wp:posOffset>
                </wp:positionH>
                <wp:positionV relativeFrom="paragraph">
                  <wp:posOffset>1477010</wp:posOffset>
                </wp:positionV>
                <wp:extent cx="5758815" cy="904875"/>
                <wp:effectExtent l="0" t="0" r="0" b="0"/>
                <wp:wrapNone/>
                <wp:docPr id="4" name="object 4"/>
                <wp:cNvGraphicFramePr/>
                <a:graphic xmlns:a="http://schemas.openxmlformats.org/drawingml/2006/main">
                  <a:graphicData uri="http://schemas.microsoft.com/office/word/2010/wordprocessingShape">
                    <wps:wsp>
                      <wps:cNvSpPr txBox="1"/>
                      <wps:spPr>
                        <a:xfrm>
                          <a:off x="0" y="0"/>
                          <a:ext cx="5758815" cy="904875"/>
                        </a:xfrm>
                        <a:prstGeom prst="rect">
                          <a:avLst/>
                        </a:prstGeom>
                      </wps:spPr>
                      <wps:txbx>
                        <w:txbxContent>
                          <w:p w14:paraId="5D02EB6E" w14:textId="77777777" w:rsidR="007C16C5" w:rsidRPr="0053121F"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 xml:space="preserve">MEMORIA </w:t>
                            </w:r>
                          </w:p>
                          <w:p w14:paraId="0C3AA7DD" w14:textId="540EB300" w:rsidR="007C16C5" w:rsidRPr="008D7F4E"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0C109D41" id="object 4" o:spid="_x0000_s1027" type="#_x0000_t202" style="position:absolute;margin-left:12pt;margin-top:116.3pt;width:453.45pt;height:71.2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" filled="f" stroked="f">
                <v:textbox inset="0,1.35pt,0,0">
                  <w:txbxContent>
                    <w:p w14:paraId="5D02EB6E" w14:textId="77777777" w:rsidR="007C16C5" w:rsidRPr="0053121F"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 xml:space="preserve">MEMORIA </w:t>
                      </w:r>
                    </w:p>
                    <w:p w14:paraId="0C3AA7DD" w14:textId="540EB300" w:rsidR="007C16C5" w:rsidRPr="008D7F4E"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INSTITUCIONAL</w:t>
                      </w:r>
                    </w:p>
                  </w:txbxContent>
                </v:textbox>
              </v:shape>
            </w:pict>
          </mc:Fallback>
        </mc:AlternateContent>
      </w:r>
      <w:r w:rsidR="0089273D" w:rsidRPr="00B82CCE">
        <w:rPr>
          <w:noProof/>
        </w:rPr>
        <mc:AlternateContent>
          <mc:Choice Requires="wps">
            <w:drawing>
              <wp:anchor distT="4294967295" distB="4294967295" distL="114300" distR="114300" simplePos="0" relativeHeight="251703296" behindDoc="0" locked="0" layoutInCell="1" allowOverlap="1" wp14:anchorId="209AF3DE" wp14:editId="00845B01">
                <wp:simplePos x="0" y="0"/>
                <wp:positionH relativeFrom="margin">
                  <wp:posOffset>2724150</wp:posOffset>
                </wp:positionH>
                <wp:positionV relativeFrom="paragraph">
                  <wp:posOffset>2534154</wp:posOffset>
                </wp:positionV>
                <wp:extent cx="463550" cy="0"/>
                <wp:effectExtent l="0" t="19050" r="31750" b="1905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09F6ED6A" id="Straight Connector 9" o:spid="_x0000_s1026" style="position:absolute;z-index:25170329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14.5pt,199.55pt" to="251pt,19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" strokecolor="#c8b688" strokeweight="2.25pt">
                <v:stroke joinstyle="miter"/>
                <o:lock v:ext="edit" shapetype="f"/>
                <w10:wrap anchorx="margin"/>
              </v:line>
            </w:pict>
          </mc:Fallback>
        </mc:AlternateContent>
      </w:r>
      <w:r w:rsidR="006160B6" w:rsidRPr="00B82CCE">
        <w:rPr>
          <w:noProof/>
        </w:rPr>
        <mc:AlternateContent>
          <mc:Choice Requires="wps">
            <w:drawing>
              <wp:anchor distT="0" distB="0" distL="114300" distR="114300" simplePos="0" relativeHeight="251685888" behindDoc="0" locked="0" layoutInCell="1" allowOverlap="1" wp14:anchorId="4B9C2ACC" wp14:editId="270650EA">
                <wp:simplePos x="0" y="0"/>
                <wp:positionH relativeFrom="column">
                  <wp:posOffset>4719955</wp:posOffset>
                </wp:positionH>
                <wp:positionV relativeFrom="paragraph">
                  <wp:posOffset>8886825</wp:posOffset>
                </wp:positionV>
                <wp:extent cx="542925" cy="509270"/>
                <wp:effectExtent l="0" t="0" r="9525" b="5080"/>
                <wp:wrapNone/>
                <wp:docPr id="44" name="Freeform: Shape 4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42925" cy="509270"/>
                        </a:xfrm>
                        <a:custGeom>
                          <a:avLst/>
                          <a:gdLst/>
                          <a:ahLst/>
                          <a:cxnLst/>
                          <a:rect l="l" t="t" r="r" b="b"/>
                          <a:pathLst>
                            <a:path w="542925" h="509270">
                              <a:moveTo>
                                <a:pt x="469493" y="480745"/>
                              </a:moveTo>
                              <a:lnTo>
                                <a:pt x="443026" y="420751"/>
                              </a:lnTo>
                              <a:lnTo>
                                <a:pt x="411670" y="394119"/>
                              </a:lnTo>
                              <a:lnTo>
                                <a:pt x="345376" y="367334"/>
                              </a:lnTo>
                              <a:lnTo>
                                <a:pt x="301078" y="358165"/>
                              </a:lnTo>
                              <a:lnTo>
                                <a:pt x="246227" y="353021"/>
                              </a:lnTo>
                              <a:lnTo>
                                <a:pt x="178435" y="352831"/>
                              </a:lnTo>
                              <a:lnTo>
                                <a:pt x="95364" y="358508"/>
                              </a:lnTo>
                              <a:lnTo>
                                <a:pt x="247738" y="379996"/>
                              </a:lnTo>
                              <a:lnTo>
                                <a:pt x="335800" y="402526"/>
                              </a:lnTo>
                              <a:lnTo>
                                <a:pt x="393103" y="439928"/>
                              </a:lnTo>
                              <a:lnTo>
                                <a:pt x="453174" y="506006"/>
                              </a:lnTo>
                              <a:lnTo>
                                <a:pt x="454482" y="507199"/>
                              </a:lnTo>
                              <a:lnTo>
                                <a:pt x="457822" y="508825"/>
                              </a:lnTo>
                              <a:lnTo>
                                <a:pt x="462343" y="507949"/>
                              </a:lnTo>
                              <a:lnTo>
                                <a:pt x="467156" y="501599"/>
                              </a:lnTo>
                              <a:lnTo>
                                <a:pt x="469493" y="480745"/>
                              </a:lnTo>
                              <a:close/>
                            </a:path>
                            <a:path w="542925" h="509270">
                              <a:moveTo>
                                <a:pt x="521449" y="422846"/>
                              </a:moveTo>
                              <a:lnTo>
                                <a:pt x="487654" y="346379"/>
                              </a:lnTo>
                              <a:lnTo>
                                <a:pt x="430403" y="305701"/>
                              </a:lnTo>
                              <a:lnTo>
                                <a:pt x="392887" y="290309"/>
                              </a:lnTo>
                              <a:lnTo>
                                <a:pt x="322529" y="272478"/>
                              </a:lnTo>
                              <a:lnTo>
                                <a:pt x="274904" y="265658"/>
                              </a:lnTo>
                              <a:lnTo>
                                <a:pt x="218884" y="261848"/>
                              </a:lnTo>
                              <a:lnTo>
                                <a:pt x="154432" y="262255"/>
                              </a:lnTo>
                              <a:lnTo>
                                <a:pt x="81495" y="268097"/>
                              </a:lnTo>
                              <a:lnTo>
                                <a:pt x="0" y="280555"/>
                              </a:lnTo>
                              <a:lnTo>
                                <a:pt x="241833" y="283540"/>
                              </a:lnTo>
                              <a:lnTo>
                                <a:pt x="374916" y="302133"/>
                              </a:lnTo>
                              <a:lnTo>
                                <a:pt x="446468" y="352209"/>
                              </a:lnTo>
                              <a:lnTo>
                                <a:pt x="503732" y="449592"/>
                              </a:lnTo>
                              <a:lnTo>
                                <a:pt x="505193" y="451142"/>
                              </a:lnTo>
                              <a:lnTo>
                                <a:pt x="508774" y="453580"/>
                              </a:lnTo>
                              <a:lnTo>
                                <a:pt x="513181" y="453669"/>
                              </a:lnTo>
                              <a:lnTo>
                                <a:pt x="517182" y="448132"/>
                              </a:lnTo>
                              <a:lnTo>
                                <a:pt x="521449" y="422846"/>
                              </a:lnTo>
                              <a:close/>
                            </a:path>
                            <a:path w="542925" h="509270">
                              <a:moveTo>
                                <a:pt x="542658" y="361467"/>
                              </a:moveTo>
                              <a:lnTo>
                                <a:pt x="539229" y="301866"/>
                              </a:lnTo>
                              <a:lnTo>
                                <a:pt x="527697" y="269087"/>
                              </a:lnTo>
                              <a:lnTo>
                                <a:pt x="498741" y="251523"/>
                              </a:lnTo>
                              <a:lnTo>
                                <a:pt x="443001" y="237540"/>
                              </a:lnTo>
                              <a:lnTo>
                                <a:pt x="453275" y="232930"/>
                              </a:lnTo>
                              <a:lnTo>
                                <a:pt x="476542" y="216649"/>
                              </a:lnTo>
                              <a:lnTo>
                                <a:pt x="501421" y="185026"/>
                              </a:lnTo>
                              <a:lnTo>
                                <a:pt x="516547" y="134416"/>
                              </a:lnTo>
                              <a:lnTo>
                                <a:pt x="508228" y="82753"/>
                              </a:lnTo>
                              <a:lnTo>
                                <a:pt x="483108" y="44183"/>
                              </a:lnTo>
                              <a:lnTo>
                                <a:pt x="447649" y="18046"/>
                              </a:lnTo>
                              <a:lnTo>
                                <a:pt x="408343" y="3632"/>
                              </a:lnTo>
                              <a:lnTo>
                                <a:pt x="359117" y="0"/>
                              </a:lnTo>
                              <a:lnTo>
                                <a:pt x="172377" y="241"/>
                              </a:lnTo>
                              <a:lnTo>
                                <a:pt x="172288" y="165176"/>
                              </a:lnTo>
                              <a:lnTo>
                                <a:pt x="172542" y="206806"/>
                              </a:lnTo>
                              <a:lnTo>
                                <a:pt x="199491" y="209765"/>
                              </a:lnTo>
                              <a:lnTo>
                                <a:pt x="218147" y="212483"/>
                              </a:lnTo>
                              <a:lnTo>
                                <a:pt x="237210" y="216535"/>
                              </a:lnTo>
                              <a:lnTo>
                                <a:pt x="265417" y="223469"/>
                              </a:lnTo>
                              <a:lnTo>
                                <a:pt x="265417" y="77266"/>
                              </a:lnTo>
                              <a:lnTo>
                                <a:pt x="338963" y="77343"/>
                              </a:lnTo>
                              <a:lnTo>
                                <a:pt x="371525" y="83299"/>
                              </a:lnTo>
                              <a:lnTo>
                                <a:pt x="403936" y="103695"/>
                              </a:lnTo>
                              <a:lnTo>
                                <a:pt x="418338" y="147142"/>
                              </a:lnTo>
                              <a:lnTo>
                                <a:pt x="415925" y="194195"/>
                              </a:lnTo>
                              <a:lnTo>
                                <a:pt x="402196" y="218440"/>
                              </a:lnTo>
                              <a:lnTo>
                                <a:pt x="365506" y="227584"/>
                              </a:lnTo>
                              <a:lnTo>
                                <a:pt x="294233" y="229336"/>
                              </a:lnTo>
                              <a:lnTo>
                                <a:pt x="321665" y="235572"/>
                              </a:lnTo>
                              <a:lnTo>
                                <a:pt x="388099" y="256959"/>
                              </a:lnTo>
                              <a:lnTo>
                                <a:pt x="469709" y="297573"/>
                              </a:lnTo>
                              <a:lnTo>
                                <a:pt x="542658" y="361467"/>
                              </a:lnTo>
                              <a:close/>
                            </a:path>
                          </a:pathLst>
                        </a:custGeom>
                        <a:solidFill>
                          <a:srgbClr val="D5B788"/>
                        </a:solidFill>
                      </wps:spPr>
                      <wps:bodyPr wrap="square" lIns="0" tIns="0" rIns="0" bIns="0" rtlCol="0"/>
                    </wps:wsp>
                  </a:graphicData>
                </a:graphic>
                <wp14:sizeRelH relativeFrom="margin">
                  <wp14:pctWidth>0</wp14:pctWidth>
                </wp14:sizeRelH>
                <wp14:sizeRelV relativeFrom="margin">
                  <wp14:pctHeight>0</wp14:pctHeight>
                </wp14:sizeRelV>
              </wp:anchor>
            </w:drawing>
          </mc:Choice>
          <mc:Fallback>
            <w:pict>
              <v:shape w14:anchorId="7D7A89DA" id="Freeform: Shape 44" o:spid="_x0000_s1026" style="position:absolute;margin-left:371.65pt;margin-top:699.75pt;width:42.75pt;height:40.1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542925,509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" path="m469493,480745l443026,420751,411670,394119,345376,367334r-44298,-9169l246227,353021r-67792,-190l95364,358508r152374,21488l335800,402526r57303,37402l453174,506006r1308,1193l457822,508825r4521,-876l467156,501599r2337,-20854xem521449,422846l487654,346379,430403,305701,392887,290309,322529,272478r-47625,-6820l218884,261848r-64452,407l81495,268097,,280555r241833,2985l374916,302133r71552,50076l503732,449592r1461,1550l508774,453580r4407,89l517182,448132r4267,-25286xem542658,361467r-3429,-59601l527697,269087,498741,251523,443001,237540r10274,-4610l476542,216649r24879,-31623l516547,134416,508228,82753,483108,44183,447649,18046,408343,3632,359117,,172377,241r-89,164935l172542,206806r26949,2959l218147,212483r19063,4052l265417,223469r,-146203l338963,77343r32562,5956l403936,103695r14402,43447l415925,194195r-13729,24245l365506,227584r-71273,1752l321665,235572r66434,21387l469709,297573r72949,63894xe" fillcolor="#d5b788" stroked="f">
                <v:path arrowok="t"/>
              </v:shape>
            </w:pict>
          </mc:Fallback>
        </mc:AlternateContent>
      </w:r>
      <w:r w:rsidR="000960E2" w:rsidRPr="00B82CCE">
        <w:rPr>
          <w:noProof/>
        </w:rPr>
        <mc:AlternateContent>
          <mc:Choice Requires="wps">
            <w:drawing>
              <wp:anchor distT="0" distB="0" distL="114300" distR="114300" simplePos="0" relativeHeight="251659264" behindDoc="0" locked="0" layoutInCell="1" allowOverlap="1" wp14:anchorId="6B2EB822" wp14:editId="3A30B5A9">
                <wp:simplePos x="0" y="0"/>
                <wp:positionH relativeFrom="column">
                  <wp:posOffset>2431158</wp:posOffset>
                </wp:positionH>
                <wp:positionV relativeFrom="paragraph">
                  <wp:posOffset>2802890</wp:posOffset>
                </wp:positionV>
                <wp:extent cx="1210945" cy="308610"/>
                <wp:effectExtent l="0" t="0" r="0" b="0"/>
                <wp:wrapNone/>
                <wp:docPr id="5" name="object 5"/>
                <wp:cNvGraphicFramePr/>
                <a:graphic xmlns:a="http://schemas.openxmlformats.org/drawingml/2006/main">
                  <a:graphicData uri="http://schemas.microsoft.com/office/word/2010/wordprocessingShape">
                    <wps:wsp>
                      <wps:cNvSpPr txBox="1"/>
                      <wps:spPr>
                        <a:xfrm>
                          <a:off x="0" y="0"/>
                          <a:ext cx="1210945" cy="308610"/>
                        </a:xfrm>
                        <a:prstGeom prst="rect">
                          <a:avLst/>
                        </a:prstGeom>
                      </wps:spPr>
                      <wps:txbx>
                        <w:txbxContent>
                          <w:p w14:paraId="50ABDE0F" w14:textId="4E051B9B" w:rsidR="007C16C5" w:rsidRPr="00F36012" w:rsidRDefault="007C16C5"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B2EB822" id="object 5" o:spid="_x0000_s1028" type="#_x0000_t202" style="position:absolute;margin-left:191.45pt;margin-top:220.7pt;width:95.35pt;height:24.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" filled="f" stroked="f">
                <v:textbox inset="0,1pt,0,0">
                  <w:txbxContent>
                    <w:p w14:paraId="50ABDE0F" w14:textId="4E051B9B" w:rsidR="007C16C5" w:rsidRPr="00F36012" w:rsidRDefault="007C16C5" w:rsidP="008D7F4E">
                      <w:pPr>
                        <w:spacing w:before="20"/>
                        <w:ind w:left="14"/>
                        <w:rPr>
                          <w:rFonts w:ascii="Times New Roman" w:hAnsi="Times New Roman" w:cs="Times New Roman"/>
                          <w:b/>
                          <w:bCs/>
                          <w:color w:val="D5B788"/>
                          <w:spacing w:val="74"/>
                          <w:kern w:val="24"/>
                          <w:sz w:val="28"/>
                          <w:szCs w:val="28"/>
                        </w:rPr>
                      </w:pPr>
                      <w:r w:rsidRPr="00F36012">
                        <w:rPr>
                          <w:rFonts w:ascii="Times New Roman" w:hAnsi="Times New Roman" w:cs="Times New Roman"/>
                          <w:b/>
                          <w:bCs/>
                          <w:color w:val="D5B788"/>
                          <w:spacing w:val="74"/>
                          <w:kern w:val="24"/>
                          <w:sz w:val="28"/>
                          <w:szCs w:val="28"/>
                        </w:rPr>
                        <w:t>AÑ</w:t>
                      </w:r>
                      <w:r w:rsidRPr="00F36012">
                        <w:rPr>
                          <w:rFonts w:ascii="Times New Roman" w:hAnsi="Times New Roman" w:cs="Times New Roman"/>
                          <w:b/>
                          <w:bCs/>
                          <w:color w:val="D5B788"/>
                          <w:spacing w:val="37"/>
                          <w:kern w:val="24"/>
                          <w:sz w:val="28"/>
                          <w:szCs w:val="28"/>
                        </w:rPr>
                        <w:t>O</w:t>
                      </w:r>
                      <w:r w:rsidRPr="00F36012">
                        <w:rPr>
                          <w:rFonts w:ascii="Times New Roman" w:hAnsi="Times New Roman" w:cs="Times New Roman"/>
                          <w:b/>
                          <w:bCs/>
                          <w:color w:val="D5B788"/>
                          <w:spacing w:val="74"/>
                          <w:kern w:val="24"/>
                          <w:sz w:val="28"/>
                          <w:szCs w:val="28"/>
                        </w:rPr>
                        <w:t xml:space="preserve"> </w:t>
                      </w:r>
                      <w:r w:rsidRPr="00F36012">
                        <w:rPr>
                          <w:rFonts w:ascii="Times New Roman" w:hAnsi="Times New Roman" w:cs="Times New Roman"/>
                          <w:b/>
                          <w:bCs/>
                          <w:color w:val="D5B788"/>
                          <w:spacing w:val="68"/>
                          <w:kern w:val="24"/>
                          <w:sz w:val="28"/>
                          <w:szCs w:val="28"/>
                        </w:rPr>
                        <w:t>2</w:t>
                      </w:r>
                      <w:r w:rsidRPr="00F36012">
                        <w:rPr>
                          <w:rFonts w:ascii="Times New Roman" w:hAnsi="Times New Roman" w:cs="Times New Roman"/>
                          <w:b/>
                          <w:bCs/>
                          <w:color w:val="D5B788"/>
                          <w:spacing w:val="28"/>
                          <w:kern w:val="24"/>
                          <w:sz w:val="28"/>
                          <w:szCs w:val="28"/>
                        </w:rPr>
                        <w:t>0</w:t>
                      </w:r>
                      <w:r w:rsidRPr="00F36012">
                        <w:rPr>
                          <w:rFonts w:ascii="Times New Roman" w:hAnsi="Times New Roman" w:cs="Times New Roman"/>
                          <w:b/>
                          <w:bCs/>
                          <w:color w:val="D5B788"/>
                          <w:spacing w:val="-23"/>
                          <w:kern w:val="24"/>
                          <w:sz w:val="28"/>
                          <w:szCs w:val="28"/>
                        </w:rPr>
                        <w:t xml:space="preserve"> </w:t>
                      </w:r>
                      <w:r w:rsidRPr="00F36012">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F36012">
                        <w:rPr>
                          <w:rFonts w:ascii="Times New Roman" w:hAnsi="Times New Roman" w:cs="Times New Roman"/>
                          <w:b/>
                          <w:bCs/>
                          <w:color w:val="D5B788"/>
                          <w:spacing w:val="-21"/>
                          <w:kern w:val="24"/>
                          <w:sz w:val="28"/>
                          <w:szCs w:val="28"/>
                        </w:rPr>
                        <w:t xml:space="preserve"> </w:t>
                      </w:r>
                    </w:p>
                  </w:txbxContent>
                </v:textbox>
              </v:shape>
            </w:pict>
          </mc:Fallback>
        </mc:AlternateContent>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r w:rsidR="004F2DD5" w:rsidRPr="00943FA5">
        <w:rPr>
          <w:lang w:val="es-DO"/>
        </w:rPr>
        <w:tab/>
      </w:r>
    </w:p>
    <w:p w14:paraId="6F050B88" w14:textId="2E1F4F25" w:rsidR="004F2DD5" w:rsidRPr="00943FA5" w:rsidRDefault="004F2DD5" w:rsidP="004F2DD5">
      <w:pPr>
        <w:rPr>
          <w:rFonts w:ascii="Times New Roman" w:hAnsi="Times New Roman"/>
          <w:lang w:val="es-DO"/>
        </w:rPr>
      </w:pPr>
    </w:p>
    <w:p w14:paraId="17B5E9DF" w14:textId="1D424DDF" w:rsidR="008D7F4E" w:rsidRPr="008E6046" w:rsidRDefault="00D33A54" w:rsidP="008D7F4E">
      <w:pPr>
        <w:rPr>
          <w:lang w:val="es-DO"/>
        </w:rPr>
      </w:pPr>
      <w:r w:rsidRPr="0054777B">
        <w:rPr>
          <w:noProof/>
        </w:rPr>
        <w:drawing>
          <wp:anchor distT="0" distB="0" distL="114300" distR="114300" simplePos="0" relativeHeight="251711488" behindDoc="1" locked="0" layoutInCell="1" allowOverlap="1" wp14:anchorId="3B639118" wp14:editId="3A1DED82">
            <wp:simplePos x="0" y="0"/>
            <wp:positionH relativeFrom="margin">
              <wp:posOffset>4237990</wp:posOffset>
            </wp:positionH>
            <wp:positionV relativeFrom="margin">
              <wp:posOffset>7489825</wp:posOffset>
            </wp:positionV>
            <wp:extent cx="1931670" cy="645795"/>
            <wp:effectExtent l="0" t="0" r="0" b="1905"/>
            <wp:wrapTight wrapText="bothSides">
              <wp:wrapPolygon edited="0">
                <wp:start x="0" y="0"/>
                <wp:lineTo x="0" y="21027"/>
                <wp:lineTo x="21302" y="21027"/>
                <wp:lineTo x="21302" y="0"/>
                <wp:lineTo x="0" y="0"/>
              </wp:wrapPolygon>
            </wp:wrapTight>
            <wp:docPr id="20" name="Imagen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31670" cy="645795"/>
                    </a:xfrm>
                    <a:prstGeom prst="rect">
                      <a:avLst/>
                    </a:prstGeom>
                  </pic:spPr>
                </pic:pic>
              </a:graphicData>
            </a:graphic>
            <wp14:sizeRelH relativeFrom="margin">
              <wp14:pctWidth>0</wp14:pctWidth>
            </wp14:sizeRelH>
            <wp14:sizeRelV relativeFrom="margin">
              <wp14:pctHeight>0</wp14:pctHeight>
            </wp14:sizeRelV>
          </wp:anchor>
        </w:drawing>
      </w:r>
      <w:r w:rsidR="00330BBF" w:rsidRPr="00943FA5">
        <w:rPr>
          <w:noProof/>
        </w:rPr>
        <mc:AlternateContent>
          <mc:Choice Requires="wpg">
            <w:drawing>
              <wp:anchor distT="0" distB="0" distL="114300" distR="114300" simplePos="0" relativeHeight="251683840" behindDoc="0" locked="0" layoutInCell="1" allowOverlap="1" wp14:anchorId="7F7330D2" wp14:editId="5EF2EFB4">
                <wp:simplePos x="0" y="0"/>
                <wp:positionH relativeFrom="column">
                  <wp:posOffset>390525</wp:posOffset>
                </wp:positionH>
                <wp:positionV relativeFrom="paragraph">
                  <wp:posOffset>57150</wp:posOffset>
                </wp:positionV>
                <wp:extent cx="2267585" cy="1005840"/>
                <wp:effectExtent l="0" t="0" r="0" b="3810"/>
                <wp:wrapNone/>
                <wp:docPr id="11" name="Group 11"/>
                <wp:cNvGraphicFramePr/>
                <a:graphic xmlns:a="http://schemas.openxmlformats.org/drawingml/2006/main">
                  <a:graphicData uri="http://schemas.microsoft.com/office/word/2010/wordprocessingGroup">
                    <wpg:wgp>
                      <wpg:cNvGrpSpPr/>
                      <wpg:grpSpPr>
                        <a:xfrm>
                          <a:off x="0" y="0"/>
                          <a:ext cx="2267585" cy="1005840"/>
                          <a:chOff x="0" y="0"/>
                          <a:chExt cx="2267585" cy="1005840"/>
                        </a:xfrm>
                      </wpg:grpSpPr>
                      <wps:wsp>
                        <wps:cNvPr id="34" name="Text Box 34"/>
                        <wps:cNvSpPr txBox="1">
                          <a:spLocks/>
                        </wps:cNvSpPr>
                        <wps:spPr>
                          <a:xfrm>
                            <a:off x="0" y="600075"/>
                            <a:ext cx="2267585" cy="371475"/>
                          </a:xfrm>
                          <a:prstGeom prst="rect">
                            <a:avLst/>
                          </a:prstGeom>
                        </wps:spPr>
                        <wps:txbx>
                          <w:txbxContent>
                            <w:p w14:paraId="043402B9" w14:textId="77777777" w:rsidR="007C16C5" w:rsidRPr="003A00CC" w:rsidRDefault="007C16C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7C16C5" w:rsidRDefault="007C16C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wpg:grpSp>
                        <wpg:cNvPr id="10" name="Group 10"/>
                        <wpg:cNvGrpSpPr/>
                        <wpg:grpSpPr>
                          <a:xfrm>
                            <a:off x="0" y="0"/>
                            <a:ext cx="612775" cy="1005840"/>
                            <a:chOff x="0" y="0"/>
                            <a:chExt cx="612775" cy="1005840"/>
                          </a:xfrm>
                        </wpg:grpSpPr>
                        <wps:wsp>
                          <wps:cNvPr id="33" name="Freeform: Shape 33"/>
                          <wps:cNvSpPr>
                            <a:spLocks/>
                          </wps:cNvSpPr>
                          <wps:spPr>
                            <a:xfrm>
                              <a:off x="0" y="981075"/>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pic:pic xmlns:pic="http://schemas.openxmlformats.org/drawingml/2006/picture">
                          <pic:nvPicPr>
                            <pic:cNvPr id="35" name="Picture 35"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grpSp>
                    </wpg:wgp>
                  </a:graphicData>
                </a:graphic>
              </wp:anchor>
            </w:drawing>
          </mc:Choice>
          <mc:Fallback>
            <w:pict>
              <v:group w14:anchorId="7F7330D2" id="Group 11" o:spid="_x0000_s1029" style="position:absolute;margin-left:30.75pt;margin-top:4.5pt;width:178.55pt;height:79.2pt;z-index:251683840" coordsize="22675,10058"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">
                <v:shape id="Text Box 34" o:spid="_x0000_s1030" type="#_x0000_t202" style="position:absolute;top:6000;width:226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Th7D8IA&#10;AADbAAAADwAAAGRycy9kb3ducmV2LnhtbESPQWsCMRSE7wX/Q3hCbzVrK6WuRhGxtFftInh7bp6b&#10;1c3LkqTr9t8bQehxmJlvmPmyt43oyIfasYLxKANBXDpdc6Wg+Pl8+QARIrLGxjEp+KMAy8XgaY65&#10;dlfeUreLlUgQDjkqMDG2uZShNGQxjFxLnLyT8xZjkr6S2uM1wW0jX7PsXVqsOS0YbGltqLzsfq2C&#10;r7YrqNT7w3TDZ6O306L2x41Sz8N+NQMRqY//4Uf7Wyt4m8D9S/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OHsPwgAAANsAAAAPAAAAAAAAAAAAAAAAAJgCAABkcnMvZG93&#10;bnJldi54bWxQSwUGAAAAAAQABAD1AAAAhwMAAAAA&#10;" filled="f" stroked="f">
                  <v:path arrowok="t"/>
                  <v:textbox inset="0,1.2pt,0,0">
                    <w:txbxContent>
                      <w:p w14:paraId="043402B9" w14:textId="77777777" w:rsidR="007C16C5" w:rsidRPr="003A00CC" w:rsidRDefault="007C16C5" w:rsidP="004F2DD5">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A591A2B" w14:textId="77777777" w:rsidR="007C16C5" w:rsidRDefault="007C16C5" w:rsidP="004F2DD5">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group id="Group 10" o:spid="_x0000_s1031" style="position:absolute;width:6127;height:10058" coordsize="6127,10058"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O09whrFAAAA2wAA&#10;AA8AAAAAAAAAAAAAAAAAqgIAAGRycy9kb3ducmV2LnhtbFBLBQYAAAAABAAEAPoAAACcAwAAAAA=&#10;">
                  <v:shape id="Freeform: Shape 33" o:spid="_x0000_s1032" style="position:absolute;top:9810;width:5130;height:248;visibility:visible;mso-wrap-style:square;v-text-anchor:top" coordsize="513080,24765"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5B4wMMA&#10;AADbAAAADwAAAGRycy9kb3ducmV2LnhtbESPUWvCMBSF3wf+h3CFvc3UFcRVo0hhOAd7sO4HXJtr&#10;U2xuSpLZ7t8vgrDHwznnO5z1drSduJEPrWMF81kGgrh2uuVGwffp/WUJIkRkjZ1jUvBLAbabydMa&#10;C+0GPtKtio1IEA4FKjAx9oWUoTZkMcxcT5y8i/MWY5K+kdrjkOC2k69ZtpAWW04LBnsqDdXX6scq&#10;cCZflJ/7/deBDsObr+J5KOdnpZ6n424FItIY/8OP9odWkOdw/5J+gNz8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F5B4wMMAAADbAAAADwAAAAAAAAAAAAAAAACYAgAAZHJzL2Rv&#10;d25yZXYueG1sUEsFBgAAAAAEAAQA9QAAAIgDAAAAAA==&#10;" path="m512457,l,,,24256r512457,l512457,xe" fillcolor="#d5b788" stroked="f">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5" o:spid="_x0000_s1033"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NXILPEAAAA2wAAAA8AAABkcnMvZG93bnJldi54bWxEj0FrwkAUhO+C/2F5Qm+6MSVWYjZBCoUU&#10;T2op9PbIviahu29Ddqtpf323IHgcZuYbpqgma8SFRt87VrBeJSCIG6d7bhW8nV+WWxA+IGs0jknB&#10;D3moyvmswFy7Kx/pcgqtiBD2OSroQhhyKX3TkUW/cgNx9D7daDFEObZSj3iNcGtkmiQbabHnuNDh&#10;QM8dNV+nb6sgS17N8dA3JpWHjyf3u3k/12yVelhM+x2IQFO4h2/tWit4zOD/S/wBsvwD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NXILPEAAAA2wAAAA8AAAAAAAAAAAAAAAAA&#10;nwIAAGRycy9kb3ducmV2LnhtbFBLBQYAAAAABAAEAPcAAACQAwAAAAA=&#10;">
                    <v:imagedata r:id="rId11" o:title="Icon&#10;&#10;Description automatically generated"/>
                    <v:path arrowok="t"/>
                  </v:shape>
                </v:group>
              </v:group>
            </w:pict>
          </mc:Fallback>
        </mc:AlternateContent>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r w:rsidR="008D7F4E" w:rsidRPr="008E6046">
        <w:rPr>
          <w:lang w:val="es-DO"/>
        </w:rPr>
        <w:tab/>
      </w:r>
    </w:p>
    <w:p w14:paraId="38D9CF2E" w14:textId="63A3C826" w:rsidR="008D7F4E" w:rsidRPr="008E6046" w:rsidRDefault="008D7F4E" w:rsidP="008D7F4E">
      <w:pPr>
        <w:rPr>
          <w:lang w:val="es-DO"/>
        </w:rPr>
      </w:pPr>
    </w:p>
    <w:p w14:paraId="16EDE6EA" w14:textId="51136D97" w:rsidR="008D7F4E" w:rsidRPr="008E6046" w:rsidRDefault="008D7F4E" w:rsidP="008D7F4E">
      <w:pPr>
        <w:rPr>
          <w:b/>
          <w:bCs/>
          <w:lang w:val="es-DO"/>
        </w:rPr>
      </w:pPr>
    </w:p>
    <w:p w14:paraId="3FC05242" w14:textId="77777777" w:rsidR="008D7F4E" w:rsidRPr="008E6046" w:rsidRDefault="008D7F4E" w:rsidP="008D7F4E">
      <w:pPr>
        <w:rPr>
          <w:lang w:val="es-DO"/>
        </w:rPr>
      </w:pPr>
    </w:p>
    <w:p w14:paraId="52109915" w14:textId="77777777" w:rsidR="008D7F4E" w:rsidRPr="008E6046" w:rsidRDefault="008D7F4E" w:rsidP="008D7F4E">
      <w:pPr>
        <w:rPr>
          <w:lang w:val="es-DO"/>
        </w:rPr>
      </w:pPr>
    </w:p>
    <w:p w14:paraId="61CD95E4" w14:textId="75608CA4" w:rsidR="008D7F4E" w:rsidRPr="008E6046" w:rsidRDefault="008D7F4E" w:rsidP="008D7F4E">
      <w:pPr>
        <w:rPr>
          <w:lang w:val="es-DO"/>
        </w:rPr>
      </w:pPr>
    </w:p>
    <w:p w14:paraId="26FC2ECF" w14:textId="1304E68D" w:rsidR="008D7F4E" w:rsidRPr="008E6046" w:rsidRDefault="008D7F4E" w:rsidP="008D7F4E">
      <w:pPr>
        <w:rPr>
          <w:lang w:val="es-DO"/>
        </w:rPr>
      </w:pPr>
    </w:p>
    <w:p w14:paraId="339C9304" w14:textId="532ECEA5" w:rsidR="008D7F4E" w:rsidRPr="008E6046" w:rsidRDefault="008D7F4E" w:rsidP="008D7F4E">
      <w:pPr>
        <w:rPr>
          <w:lang w:val="es-DO"/>
        </w:rPr>
      </w:pPr>
    </w:p>
    <w:p w14:paraId="45BA7FA9" w14:textId="77777777" w:rsidR="0087772C" w:rsidRPr="008E6046" w:rsidRDefault="0087772C" w:rsidP="008D7F4E">
      <w:pPr>
        <w:rPr>
          <w:lang w:val="es-DO"/>
        </w:rPr>
      </w:pPr>
    </w:p>
    <w:p w14:paraId="18C0D5CD" w14:textId="6B0129B8" w:rsidR="008D7F4E" w:rsidRPr="008E6046" w:rsidRDefault="008D7F4E" w:rsidP="008D7F4E">
      <w:pPr>
        <w:rPr>
          <w:lang w:val="es-DO"/>
        </w:rPr>
      </w:pPr>
    </w:p>
    <w:p w14:paraId="38D6C8AE" w14:textId="626E8B34" w:rsidR="008D7F4E" w:rsidRPr="008E6046" w:rsidRDefault="008D7F4E" w:rsidP="008D7F4E">
      <w:pPr>
        <w:rPr>
          <w:lang w:val="es-DO"/>
        </w:rPr>
      </w:pPr>
    </w:p>
    <w:p w14:paraId="22DD7F53" w14:textId="11B7CA22" w:rsidR="008D7F4E" w:rsidRPr="008E6046" w:rsidRDefault="008D7F4E" w:rsidP="008D7F4E">
      <w:pPr>
        <w:rPr>
          <w:lang w:val="es-DO"/>
        </w:rPr>
      </w:pPr>
    </w:p>
    <w:p w14:paraId="266A4AE7" w14:textId="5784A2EE" w:rsidR="008D7F4E" w:rsidRPr="008E6046" w:rsidRDefault="008D7F4E" w:rsidP="008D7F4E">
      <w:pPr>
        <w:rPr>
          <w:lang w:val="es-DO"/>
        </w:rPr>
      </w:pPr>
    </w:p>
    <w:p w14:paraId="56C838CA" w14:textId="59180D27" w:rsidR="008D7F4E" w:rsidRPr="008E6046" w:rsidRDefault="008D7F4E" w:rsidP="008D7F4E">
      <w:pPr>
        <w:rPr>
          <w:lang w:val="es-DO"/>
        </w:rPr>
      </w:pPr>
    </w:p>
    <w:p w14:paraId="5A37720D" w14:textId="305BC668" w:rsidR="008D7F4E" w:rsidRPr="008E6046" w:rsidRDefault="008D7F4E" w:rsidP="008D7F4E">
      <w:pPr>
        <w:rPr>
          <w:lang w:val="es-DO"/>
        </w:rPr>
      </w:pPr>
    </w:p>
    <w:p w14:paraId="1C1F404E" w14:textId="250A7968" w:rsidR="008D7F4E" w:rsidRPr="008E6046" w:rsidRDefault="0053121F" w:rsidP="008D7F4E">
      <w:pPr>
        <w:rPr>
          <w:lang w:val="es-DO"/>
        </w:rPr>
      </w:pPr>
      <w:r w:rsidRPr="0054777B">
        <w:rPr>
          <w:noProof/>
        </w:rPr>
        <mc:AlternateContent>
          <mc:Choice Requires="wps">
            <w:drawing>
              <wp:anchor distT="0" distB="0" distL="114300" distR="114300" simplePos="0" relativeHeight="251707392" behindDoc="0" locked="0" layoutInCell="1" allowOverlap="1" wp14:anchorId="4D0BD95E" wp14:editId="56A695BA">
                <wp:simplePos x="0" y="0"/>
                <wp:positionH relativeFrom="margin">
                  <wp:posOffset>92075</wp:posOffset>
                </wp:positionH>
                <wp:positionV relativeFrom="paragraph">
                  <wp:posOffset>96520</wp:posOffset>
                </wp:positionV>
                <wp:extent cx="5758815" cy="971550"/>
                <wp:effectExtent l="0" t="0" r="0" b="0"/>
                <wp:wrapNone/>
                <wp:docPr id="23" name="object 4"/>
                <wp:cNvGraphicFramePr/>
                <a:graphic xmlns:a="http://schemas.openxmlformats.org/drawingml/2006/main">
                  <a:graphicData uri="http://schemas.microsoft.com/office/word/2010/wordprocessingShape">
                    <wps:wsp>
                      <wps:cNvSpPr txBox="1"/>
                      <wps:spPr>
                        <a:xfrm>
                          <a:off x="0" y="0"/>
                          <a:ext cx="5758815" cy="971550"/>
                        </a:xfrm>
                        <a:prstGeom prst="rect">
                          <a:avLst/>
                        </a:prstGeom>
                      </wps:spPr>
                      <wps:txbx>
                        <w:txbxContent>
                          <w:p w14:paraId="7534D5E4" w14:textId="77777777" w:rsidR="007C16C5" w:rsidRPr="0053121F"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 xml:space="preserve">MEMORIA </w:t>
                            </w:r>
                          </w:p>
                          <w:p w14:paraId="2F488BCC" w14:textId="06FE793A" w:rsidR="007C16C5" w:rsidRPr="008D7F4E"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INSTITUCIONAL</w:t>
                            </w:r>
                          </w:p>
                        </w:txbxContent>
                      </wps:txbx>
                      <wps:bodyPr vert="horz" wrap="square" lIns="0" tIns="17145" rIns="0" bIns="0" rtlCol="0">
                        <a:noAutofit/>
                      </wps:bodyPr>
                    </wps:wsp>
                  </a:graphicData>
                </a:graphic>
                <wp14:sizeRelH relativeFrom="margin">
                  <wp14:pctWidth>0</wp14:pctWidth>
                </wp14:sizeRelH>
                <wp14:sizeRelV relativeFrom="margin">
                  <wp14:pctHeight>0</wp14:pctHeight>
                </wp14:sizeRelV>
              </wp:anchor>
            </w:drawing>
          </mc:Choice>
          <mc:Fallback>
            <w:pict>
              <v:shape w14:anchorId="4D0BD95E" id="_x0000_s1034" type="#_x0000_t202" style="position:absolute;margin-left:7.25pt;margin-top:7.6pt;width:453.45pt;height:76.5pt;z-index:25170739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" filled="f" stroked="f">
                <v:textbox inset="0,1.35pt,0,0">
                  <w:txbxContent>
                    <w:p w14:paraId="7534D5E4" w14:textId="77777777" w:rsidR="007C16C5" w:rsidRPr="0053121F"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 xml:space="preserve">MEMORIA </w:t>
                      </w:r>
                    </w:p>
                    <w:p w14:paraId="2F488BCC" w14:textId="06FE793A" w:rsidR="007C16C5" w:rsidRPr="008D7F4E" w:rsidRDefault="007C16C5" w:rsidP="0053121F">
                      <w:pPr>
                        <w:spacing w:after="0"/>
                        <w:jc w:val="center"/>
                        <w:rPr>
                          <w:rFonts w:ascii="Times New Roman" w:hAnsi="Times New Roman" w:cs="Times New Roman"/>
                          <w:b/>
                          <w:bCs/>
                          <w:color w:val="D5B788"/>
                          <w:spacing w:val="60"/>
                          <w:kern w:val="24"/>
                          <w:sz w:val="56"/>
                          <w:szCs w:val="56"/>
                          <w:lang w:val="es-DO"/>
                        </w:rPr>
                      </w:pPr>
                      <w:r w:rsidRPr="0053121F">
                        <w:rPr>
                          <w:rFonts w:ascii="Times New Roman" w:hAnsi="Times New Roman" w:cs="Times New Roman"/>
                          <w:b/>
                          <w:bCs/>
                          <w:color w:val="D5B788"/>
                          <w:spacing w:val="60"/>
                          <w:kern w:val="24"/>
                          <w:sz w:val="56"/>
                          <w:szCs w:val="56"/>
                          <w:lang w:val="es-DO"/>
                        </w:rPr>
                        <w:t>INSTITUCIONAL</w:t>
                      </w:r>
                    </w:p>
                  </w:txbxContent>
                </v:textbox>
                <w10:wrap anchorx="margin"/>
              </v:shape>
            </w:pict>
          </mc:Fallback>
        </mc:AlternateContent>
      </w:r>
    </w:p>
    <w:p w14:paraId="75F2B32B" w14:textId="64762F89" w:rsidR="008D7F4E" w:rsidRPr="008E6046" w:rsidRDefault="008D7F4E" w:rsidP="008D7F4E">
      <w:pPr>
        <w:rPr>
          <w:b/>
          <w:bCs/>
          <w:lang w:val="es-DO"/>
        </w:rPr>
      </w:pPr>
    </w:p>
    <w:p w14:paraId="7AD079B8" w14:textId="6A76E097" w:rsidR="008D7F4E" w:rsidRPr="008E6046" w:rsidRDefault="008D7F4E" w:rsidP="008D7F4E">
      <w:pPr>
        <w:rPr>
          <w:lang w:val="es-DO"/>
        </w:rPr>
      </w:pPr>
    </w:p>
    <w:p w14:paraId="2ADA86D9" w14:textId="7BFC7FAB" w:rsidR="008D7F4E" w:rsidRPr="008E6046" w:rsidRDefault="008D7F4E" w:rsidP="008D7F4E">
      <w:pPr>
        <w:rPr>
          <w:b/>
          <w:bCs/>
          <w:lang w:val="es-DO"/>
        </w:rPr>
      </w:pPr>
    </w:p>
    <w:p w14:paraId="163CEF29" w14:textId="2E82E86B" w:rsidR="00E739F8" w:rsidRPr="008E6046" w:rsidRDefault="001E07B9" w:rsidP="008D7F4E">
      <w:pPr>
        <w:rPr>
          <w:b/>
          <w:bCs/>
          <w:lang w:val="es-DO"/>
        </w:rPr>
      </w:pPr>
      <w:r w:rsidRPr="0054777B">
        <w:rPr>
          <w:noProof/>
        </w:rPr>
        <mc:AlternateContent>
          <mc:Choice Requires="wps">
            <w:drawing>
              <wp:anchor distT="4294967295" distB="4294967295" distL="114300" distR="114300" simplePos="0" relativeHeight="251705344" behindDoc="0" locked="0" layoutInCell="1" allowOverlap="1" wp14:anchorId="4E0C23B7" wp14:editId="3C850EFB">
                <wp:simplePos x="0" y="0"/>
                <wp:positionH relativeFrom="margin">
                  <wp:posOffset>2868295</wp:posOffset>
                </wp:positionH>
                <wp:positionV relativeFrom="paragraph">
                  <wp:posOffset>164741</wp:posOffset>
                </wp:positionV>
                <wp:extent cx="463550" cy="0"/>
                <wp:effectExtent l="0" t="19050" r="31750" b="19050"/>
                <wp:wrapNone/>
                <wp:docPr id="22" name="Straight Connector 22"/>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63550" cy="0"/>
                        </a:xfrm>
                        <a:prstGeom prst="line">
                          <a:avLst/>
                        </a:prstGeom>
                        <a:noFill/>
                        <a:ln w="28575" cap="flat" cmpd="sng" algn="ctr">
                          <a:solidFill>
                            <a:srgbClr val="C8B688"/>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198EFDAD" id="Straight Connector 22" o:spid="_x0000_s1026" style="position:absolute;z-index:251705344;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225.85pt,12.95pt" to="262.3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" strokecolor="#c8b688" strokeweight="2.25pt">
                <v:stroke joinstyle="miter"/>
                <o:lock v:ext="edit" shapetype="f"/>
                <w10:wrap anchorx="margin"/>
              </v:line>
            </w:pict>
          </mc:Fallback>
        </mc:AlternateContent>
      </w:r>
    </w:p>
    <w:p w14:paraId="3A86A8D9" w14:textId="6F1B1115" w:rsidR="00E739F8" w:rsidRPr="008E6046" w:rsidRDefault="001E07B9" w:rsidP="008D7F4E">
      <w:pPr>
        <w:rPr>
          <w:b/>
          <w:bCs/>
          <w:lang w:val="es-DO"/>
        </w:rPr>
      </w:pPr>
      <w:r w:rsidRPr="0054777B">
        <w:rPr>
          <w:noProof/>
        </w:rPr>
        <mc:AlternateContent>
          <mc:Choice Requires="wps">
            <w:drawing>
              <wp:anchor distT="0" distB="0" distL="114300" distR="114300" simplePos="0" relativeHeight="251670528" behindDoc="0" locked="0" layoutInCell="1" allowOverlap="1" wp14:anchorId="65361376" wp14:editId="29E9A73A">
                <wp:simplePos x="0" y="0"/>
                <wp:positionH relativeFrom="column">
                  <wp:posOffset>2565400</wp:posOffset>
                </wp:positionH>
                <wp:positionV relativeFrom="paragraph">
                  <wp:posOffset>113665</wp:posOffset>
                </wp:positionV>
                <wp:extent cx="1214755" cy="308610"/>
                <wp:effectExtent l="0" t="0" r="0" b="0"/>
                <wp:wrapNone/>
                <wp:docPr id="16" name="object 5"/>
                <wp:cNvGraphicFramePr/>
                <a:graphic xmlns:a="http://schemas.openxmlformats.org/drawingml/2006/main">
                  <a:graphicData uri="http://schemas.microsoft.com/office/word/2010/wordprocessingShape">
                    <wps:wsp>
                      <wps:cNvSpPr txBox="1"/>
                      <wps:spPr>
                        <a:xfrm>
                          <a:off x="0" y="0"/>
                          <a:ext cx="1214755" cy="308610"/>
                        </a:xfrm>
                        <a:prstGeom prst="rect">
                          <a:avLst/>
                        </a:prstGeom>
                      </wps:spPr>
                      <wps:txbx>
                        <w:txbxContent>
                          <w:p w14:paraId="6B362718" w14:textId="7D473DBA" w:rsidR="007C16C5" w:rsidRPr="005805BA" w:rsidRDefault="007C16C5"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wps:txbx>
                      <wps:bodyPr vert="horz" wrap="square" lIns="0" tIns="12700" rIns="0" bIns="0" rtlCol="0">
                        <a:noAutofit/>
                      </wps:bodyPr>
                    </wps:wsp>
                  </a:graphicData>
                </a:graphic>
                <wp14:sizeRelH relativeFrom="margin">
                  <wp14:pctWidth>0</wp14:pctWidth>
                </wp14:sizeRelH>
                <wp14:sizeRelV relativeFrom="margin">
                  <wp14:pctHeight>0</wp14:pctHeight>
                </wp14:sizeRelV>
              </wp:anchor>
            </w:drawing>
          </mc:Choice>
          <mc:Fallback>
            <w:pict>
              <v:shape w14:anchorId="65361376" id="_x0000_s1035" type="#_x0000_t202" style="position:absolute;margin-left:202pt;margin-top:8.95pt;width:95.65pt;height:24.3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" filled="f" stroked="f">
                <v:textbox inset="0,1pt,0,0">
                  <w:txbxContent>
                    <w:p w14:paraId="6B362718" w14:textId="7D473DBA" w:rsidR="007C16C5" w:rsidRPr="005805BA" w:rsidRDefault="007C16C5" w:rsidP="008D7F4E">
                      <w:pPr>
                        <w:spacing w:before="20"/>
                        <w:ind w:left="14"/>
                        <w:rPr>
                          <w:rFonts w:ascii="Times New Roman" w:hAnsi="Times New Roman" w:cs="Times New Roman"/>
                          <w:b/>
                          <w:bCs/>
                          <w:color w:val="D5B788"/>
                          <w:spacing w:val="74"/>
                          <w:kern w:val="24"/>
                          <w:sz w:val="28"/>
                          <w:szCs w:val="28"/>
                        </w:rPr>
                      </w:pPr>
                      <w:r w:rsidRPr="005805BA">
                        <w:rPr>
                          <w:rFonts w:ascii="Times New Roman" w:hAnsi="Times New Roman" w:cs="Times New Roman"/>
                          <w:b/>
                          <w:bCs/>
                          <w:color w:val="D5B788"/>
                          <w:spacing w:val="74"/>
                          <w:kern w:val="24"/>
                          <w:sz w:val="28"/>
                          <w:szCs w:val="28"/>
                        </w:rPr>
                        <w:t>AÑ</w:t>
                      </w:r>
                      <w:r w:rsidRPr="005805BA">
                        <w:rPr>
                          <w:rFonts w:ascii="Times New Roman" w:hAnsi="Times New Roman" w:cs="Times New Roman"/>
                          <w:b/>
                          <w:bCs/>
                          <w:color w:val="D5B788"/>
                          <w:spacing w:val="37"/>
                          <w:kern w:val="24"/>
                          <w:sz w:val="28"/>
                          <w:szCs w:val="28"/>
                        </w:rPr>
                        <w:t>O</w:t>
                      </w:r>
                      <w:r w:rsidRPr="005805BA">
                        <w:rPr>
                          <w:rFonts w:ascii="Times New Roman" w:hAnsi="Times New Roman" w:cs="Times New Roman"/>
                          <w:b/>
                          <w:bCs/>
                          <w:color w:val="D5B788"/>
                          <w:spacing w:val="74"/>
                          <w:kern w:val="24"/>
                          <w:sz w:val="28"/>
                          <w:szCs w:val="28"/>
                        </w:rPr>
                        <w:t xml:space="preserve"> </w:t>
                      </w:r>
                      <w:r w:rsidRPr="005805BA">
                        <w:rPr>
                          <w:rFonts w:ascii="Times New Roman" w:hAnsi="Times New Roman" w:cs="Times New Roman"/>
                          <w:b/>
                          <w:bCs/>
                          <w:color w:val="D5B788"/>
                          <w:spacing w:val="68"/>
                          <w:kern w:val="24"/>
                          <w:sz w:val="28"/>
                          <w:szCs w:val="28"/>
                        </w:rPr>
                        <w:t>2</w:t>
                      </w:r>
                      <w:r w:rsidRPr="005805BA">
                        <w:rPr>
                          <w:rFonts w:ascii="Times New Roman" w:hAnsi="Times New Roman" w:cs="Times New Roman"/>
                          <w:b/>
                          <w:bCs/>
                          <w:color w:val="D5B788"/>
                          <w:spacing w:val="28"/>
                          <w:kern w:val="24"/>
                          <w:sz w:val="28"/>
                          <w:szCs w:val="28"/>
                        </w:rPr>
                        <w:t>0</w:t>
                      </w:r>
                      <w:r w:rsidRPr="005805BA">
                        <w:rPr>
                          <w:rFonts w:ascii="Times New Roman" w:hAnsi="Times New Roman" w:cs="Times New Roman"/>
                          <w:b/>
                          <w:bCs/>
                          <w:color w:val="D5B788"/>
                          <w:spacing w:val="-23"/>
                          <w:kern w:val="24"/>
                          <w:sz w:val="28"/>
                          <w:szCs w:val="28"/>
                        </w:rPr>
                        <w:t xml:space="preserve"> </w:t>
                      </w:r>
                      <w:r w:rsidRPr="005805BA">
                        <w:rPr>
                          <w:rFonts w:ascii="Times New Roman" w:hAnsi="Times New Roman" w:cs="Times New Roman"/>
                          <w:b/>
                          <w:bCs/>
                          <w:color w:val="D5B788"/>
                          <w:spacing w:val="68"/>
                          <w:kern w:val="24"/>
                          <w:sz w:val="28"/>
                          <w:szCs w:val="28"/>
                        </w:rPr>
                        <w:t>2</w:t>
                      </w:r>
                      <w:r>
                        <w:rPr>
                          <w:rFonts w:ascii="Times New Roman" w:hAnsi="Times New Roman" w:cs="Times New Roman"/>
                          <w:b/>
                          <w:bCs/>
                          <w:color w:val="D5B788"/>
                          <w:spacing w:val="28"/>
                          <w:kern w:val="24"/>
                          <w:sz w:val="28"/>
                          <w:szCs w:val="28"/>
                        </w:rPr>
                        <w:t>2</w:t>
                      </w:r>
                      <w:r w:rsidRPr="005805BA">
                        <w:rPr>
                          <w:rFonts w:ascii="Times New Roman" w:hAnsi="Times New Roman" w:cs="Times New Roman"/>
                          <w:b/>
                          <w:bCs/>
                          <w:color w:val="D5B788"/>
                          <w:spacing w:val="-21"/>
                          <w:kern w:val="24"/>
                          <w:sz w:val="28"/>
                          <w:szCs w:val="28"/>
                        </w:rPr>
                        <w:t xml:space="preserve"> </w:t>
                      </w:r>
                    </w:p>
                  </w:txbxContent>
                </v:textbox>
              </v:shape>
            </w:pict>
          </mc:Fallback>
        </mc:AlternateContent>
      </w:r>
    </w:p>
    <w:p w14:paraId="1C74082E" w14:textId="28C0782E" w:rsidR="008D7F4E" w:rsidRPr="008E6046" w:rsidRDefault="008D7F4E" w:rsidP="008D7F4E">
      <w:pPr>
        <w:tabs>
          <w:tab w:val="left" w:pos="5229"/>
        </w:tabs>
        <w:rPr>
          <w:lang w:val="es-DO"/>
        </w:rPr>
      </w:pPr>
      <w:r w:rsidRPr="008E6046">
        <w:rPr>
          <w:lang w:val="es-DO"/>
        </w:rPr>
        <w:tab/>
      </w:r>
      <w:r w:rsidRPr="008E6046">
        <w:rPr>
          <w:lang w:val="es-DO"/>
        </w:rPr>
        <w:tab/>
      </w:r>
      <w:r w:rsidRPr="008E6046">
        <w:rPr>
          <w:lang w:val="es-DO"/>
        </w:rPr>
        <w:tab/>
      </w:r>
    </w:p>
    <w:p w14:paraId="2A6A7BEB" w14:textId="35E3FF32" w:rsidR="008D7F4E" w:rsidRPr="008E6046" w:rsidRDefault="008D7F4E" w:rsidP="008D7F4E">
      <w:pPr>
        <w:tabs>
          <w:tab w:val="left" w:pos="5229"/>
        </w:tabs>
        <w:rPr>
          <w:lang w:val="es-DO"/>
        </w:rPr>
      </w:pPr>
    </w:p>
    <w:p w14:paraId="5220AA7B" w14:textId="7F7316F4" w:rsidR="008D7F4E" w:rsidRPr="008E6046" w:rsidRDefault="008D7F4E" w:rsidP="008D7F4E">
      <w:pPr>
        <w:tabs>
          <w:tab w:val="left" w:pos="5229"/>
        </w:tabs>
        <w:rPr>
          <w:lang w:val="es-DO"/>
        </w:rPr>
      </w:pPr>
    </w:p>
    <w:p w14:paraId="04CE79E8" w14:textId="77777777" w:rsidR="00B45B38" w:rsidRPr="008E6046" w:rsidRDefault="00B45B38" w:rsidP="008D7F4E">
      <w:pPr>
        <w:tabs>
          <w:tab w:val="left" w:pos="5229"/>
        </w:tabs>
        <w:rPr>
          <w:lang w:val="es-DO"/>
        </w:rPr>
      </w:pPr>
    </w:p>
    <w:p w14:paraId="59F2CBAA" w14:textId="09C11FC9" w:rsidR="00B45B38" w:rsidRPr="008E6046" w:rsidRDefault="00B45B38" w:rsidP="00B45B38">
      <w:pPr>
        <w:tabs>
          <w:tab w:val="left" w:pos="5229"/>
        </w:tabs>
        <w:jc w:val="center"/>
        <w:rPr>
          <w:lang w:val="es-DO"/>
        </w:rPr>
      </w:pPr>
    </w:p>
    <w:p w14:paraId="6B439D31" w14:textId="3DAF8F1F" w:rsidR="00B45B38" w:rsidRPr="008E6046" w:rsidRDefault="00B45B38" w:rsidP="008D7F4E">
      <w:pPr>
        <w:tabs>
          <w:tab w:val="left" w:pos="5229"/>
        </w:tabs>
        <w:rPr>
          <w:lang w:val="es-DO"/>
        </w:rPr>
      </w:pPr>
    </w:p>
    <w:p w14:paraId="07C90397" w14:textId="77777777" w:rsidR="007E688D" w:rsidRPr="008E6046" w:rsidRDefault="007E688D" w:rsidP="008D7F4E">
      <w:pPr>
        <w:tabs>
          <w:tab w:val="left" w:pos="5229"/>
        </w:tabs>
        <w:rPr>
          <w:lang w:val="es-DO"/>
        </w:rPr>
      </w:pPr>
    </w:p>
    <w:p w14:paraId="4A390ECB" w14:textId="744231B8" w:rsidR="008D7F4E" w:rsidRPr="008E6046" w:rsidRDefault="00F177DE" w:rsidP="008D7F4E">
      <w:pPr>
        <w:tabs>
          <w:tab w:val="left" w:pos="5229"/>
        </w:tabs>
        <w:rPr>
          <w:lang w:val="es-DO"/>
        </w:rPr>
      </w:pPr>
      <w:r w:rsidRPr="0054777B">
        <w:rPr>
          <w:noProof/>
        </w:rPr>
        <mc:AlternateContent>
          <mc:Choice Requires="wpg">
            <w:drawing>
              <wp:anchor distT="0" distB="0" distL="114300" distR="114300" simplePos="0" relativeHeight="251691008" behindDoc="0" locked="0" layoutInCell="1" allowOverlap="1" wp14:anchorId="4727C32C" wp14:editId="3081E39D">
                <wp:simplePos x="0" y="0"/>
                <wp:positionH relativeFrom="column">
                  <wp:posOffset>433137</wp:posOffset>
                </wp:positionH>
                <wp:positionV relativeFrom="paragraph">
                  <wp:posOffset>174625</wp:posOffset>
                </wp:positionV>
                <wp:extent cx="2267585" cy="973054"/>
                <wp:effectExtent l="0" t="0" r="0" b="0"/>
                <wp:wrapNone/>
                <wp:docPr id="19" name="Group 19"/>
                <wp:cNvGraphicFramePr/>
                <a:graphic xmlns:a="http://schemas.openxmlformats.org/drawingml/2006/main">
                  <a:graphicData uri="http://schemas.microsoft.com/office/word/2010/wordprocessingGroup">
                    <wpg:wgp>
                      <wpg:cNvGrpSpPr/>
                      <wpg:grpSpPr>
                        <a:xfrm>
                          <a:off x="0" y="0"/>
                          <a:ext cx="2267585" cy="973054"/>
                          <a:chOff x="0" y="0"/>
                          <a:chExt cx="2267585" cy="973054"/>
                        </a:xfrm>
                      </wpg:grpSpPr>
                      <wps:wsp>
                        <wps:cNvPr id="47" name="Text Box 47"/>
                        <wps:cNvSpPr txBox="1">
                          <a:spLocks/>
                        </wps:cNvSpPr>
                        <wps:spPr>
                          <a:xfrm>
                            <a:off x="0" y="601579"/>
                            <a:ext cx="2267585" cy="371475"/>
                          </a:xfrm>
                          <a:prstGeom prst="rect">
                            <a:avLst/>
                          </a:prstGeom>
                        </wps:spPr>
                        <wps:txbx>
                          <w:txbxContent>
                            <w:p w14:paraId="048A91A1" w14:textId="77777777" w:rsidR="007C16C5" w:rsidRPr="003A00CC" w:rsidRDefault="007C16C5"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7C16C5" w:rsidRDefault="007C16C5"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wps:txbx>
                        <wps:bodyPr vert="horz" wrap="square" lIns="0" tIns="15240" rIns="0" bIns="0" rtlCol="0">
                          <a:noAutofit/>
                        </wps:bodyPr>
                      </wps:wsp>
                      <pic:pic xmlns:pic="http://schemas.openxmlformats.org/drawingml/2006/picture">
                        <pic:nvPicPr>
                          <pic:cNvPr id="49" name="Picture 49" descr="Icon&#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612775" cy="571500"/>
                          </a:xfrm>
                          <a:prstGeom prst="rect">
                            <a:avLst/>
                          </a:prstGeom>
                        </pic:spPr>
                      </pic:pic>
                    </wpg:wgp>
                  </a:graphicData>
                </a:graphic>
              </wp:anchor>
            </w:drawing>
          </mc:Choice>
          <mc:Fallback>
            <w:pict>
              <v:group w14:anchorId="4727C32C" id="Group 19" o:spid="_x0000_s1036" style="position:absolute;margin-left:34.1pt;margin-top:13.75pt;width:178.55pt;height:76.6pt;z-index:251691008" coordsize="22675,973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">
                <v:shape id="Text Box 47" o:spid="_x0000_s1037" type="#_x0000_t202" style="position:absolute;top:6015;width:22675;height:371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eyWBcIA&#10;AADbAAAADwAAAGRycy9kb3ducmV2LnhtbESPQWsCMRSE7wX/Q3hCbzVrKbauRhGxtFftInh7bp6b&#10;1c3LkqTr9t8bQehxmJlvmPmyt43oyIfasYLxKANBXDpdc6Wg+Pl8+QARIrLGxjEp+KMAy8XgaY65&#10;dlfeUreLlUgQDjkqMDG2uZShNGQxjFxLnLyT8xZjkr6S2uM1wW0jX7NsIi3WnBYMtrQ2VF52v1bB&#10;V9sVVOr9Ybrhs9HbaVH740ap52G/moGI1Mf/8KP9rRW8vcP9S/oBcnE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F7JYFwgAAANsAAAAPAAAAAAAAAAAAAAAAAJgCAABkcnMvZG93&#10;bnJldi54bWxQSwUGAAAAAAQABAD1AAAAhwMAAAAA&#10;" filled="f" stroked="f">
                  <v:path arrowok="t"/>
                  <v:textbox inset="0,1.2pt,0,0">
                    <w:txbxContent>
                      <w:p w14:paraId="048A91A1" w14:textId="77777777" w:rsidR="007C16C5" w:rsidRPr="003A00CC" w:rsidRDefault="007C16C5" w:rsidP="00BB7662">
                        <w:pPr>
                          <w:pStyle w:val="Sinespaciado"/>
                          <w:rPr>
                            <w:rFonts w:ascii="Arial MT" w:hAnsi="Arial MT" w:cs="Arial MT"/>
                            <w:color w:val="D5B788"/>
                            <w:spacing w:val="23"/>
                            <w:kern w:val="24"/>
                            <w:sz w:val="15"/>
                            <w:szCs w:val="15"/>
                          </w:rPr>
                        </w:pPr>
                        <w:r w:rsidRPr="003A00CC">
                          <w:rPr>
                            <w:rFonts w:ascii="Arial MT" w:hAnsi="Arial MT" w:cs="Arial MT"/>
                            <w:color w:val="D5B788"/>
                            <w:spacing w:val="23"/>
                            <w:kern w:val="24"/>
                            <w:sz w:val="15"/>
                            <w:szCs w:val="15"/>
                          </w:rPr>
                          <w:t>GOBIERNO DE LA</w:t>
                        </w:r>
                      </w:p>
                      <w:p w14:paraId="5301737A" w14:textId="77777777" w:rsidR="007C16C5" w:rsidRDefault="007C16C5" w:rsidP="00BB7662">
                        <w:pPr>
                          <w:spacing w:before="13"/>
                          <w:ind w:left="14"/>
                          <w:rPr>
                            <w:rFonts w:ascii="Georgia" w:hAnsi="Georgia" w:cs="Georgia"/>
                            <w:b/>
                            <w:bCs/>
                            <w:color w:val="D5B788"/>
                            <w:spacing w:val="18"/>
                            <w:kern w:val="24"/>
                          </w:rPr>
                        </w:pPr>
                        <w:r>
                          <w:rPr>
                            <w:rFonts w:ascii="Georgia" w:hAnsi="Georgia" w:cs="Georgia"/>
                            <w:b/>
                            <w:bCs/>
                            <w:color w:val="D5B788"/>
                            <w:spacing w:val="18"/>
                            <w:kern w:val="24"/>
                          </w:rPr>
                          <w:t>REPÚBLICA</w:t>
                        </w:r>
                        <w:r>
                          <w:rPr>
                            <w:rFonts w:ascii="Georgia" w:hAnsi="Georgia" w:cs="Georgia"/>
                            <w:b/>
                            <w:bCs/>
                            <w:color w:val="D5B788"/>
                            <w:spacing w:val="29"/>
                            <w:kern w:val="24"/>
                          </w:rPr>
                          <w:t xml:space="preserve"> </w:t>
                        </w:r>
                        <w:r>
                          <w:rPr>
                            <w:rFonts w:ascii="Georgia" w:hAnsi="Georgia" w:cs="Georgia"/>
                            <w:b/>
                            <w:bCs/>
                            <w:color w:val="D5B788"/>
                            <w:spacing w:val="20"/>
                            <w:kern w:val="24"/>
                          </w:rPr>
                          <w:t>DOMINICANA</w:t>
                        </w:r>
                      </w:p>
                    </w:txbxContent>
                  </v:textbox>
                </v:shape>
                <v:shape id="Picture 49" o:spid="_x0000_s1038" type="#_x0000_t75" alt="Icon&#10;&#10;Description automatically generated" style="position:absolute;width:6127;height:571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CocWcvFAAAA2wAAAA8AAABkcnMvZG93bnJldi54bWxEj81qwzAQhO+FvoPYQG6NnND81I0SSqHg&#10;4lPsUshtsba2qbQylho7ffooEMhxmJlvmO1+tEacqPetYwXzWQKCuHK65VrBV/nxtAHhA7JG45gU&#10;nMnDfvf4sMVUu4EPdCpCLSKEfYoKmhC6VEpfNWTRz1xHHL0f11sMUfa11D0OEW6NXCTJSlpsOS40&#10;2NF7Q9Vv8WcVLJNPc8jbyixkfly7/9V3mbFVajoZ315BBBrDPXxrZ1rB8wtcv8QfIHcX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AqHFnLxQAAANsAAAAPAAAAAAAAAAAAAAAA&#10;AJ8CAABkcnMvZG93bnJldi54bWxQSwUGAAAAAAQABAD3AAAAkQMAAAAA&#10;">
                  <v:imagedata r:id="rId11" o:title="Icon&#10;&#10;Description automatically generated"/>
                  <v:path arrowok="t"/>
                </v:shape>
              </v:group>
            </w:pict>
          </mc:Fallback>
        </mc:AlternateContent>
      </w:r>
    </w:p>
    <w:p w14:paraId="09F960FC" w14:textId="2A7A4A52" w:rsidR="008D7F4E" w:rsidRPr="008E6046" w:rsidRDefault="00CF1A02" w:rsidP="002F2766">
      <w:pPr>
        <w:tabs>
          <w:tab w:val="left" w:pos="6480"/>
        </w:tabs>
        <w:rPr>
          <w:lang w:val="es-DO"/>
        </w:rPr>
      </w:pPr>
      <w:r w:rsidRPr="0054777B">
        <w:rPr>
          <w:noProof/>
        </w:rPr>
        <w:drawing>
          <wp:anchor distT="0" distB="0" distL="114300" distR="114300" simplePos="0" relativeHeight="251709440" behindDoc="1" locked="0" layoutInCell="1" allowOverlap="1" wp14:anchorId="3C7ADB94" wp14:editId="36BC6F50">
            <wp:simplePos x="0" y="0"/>
            <wp:positionH relativeFrom="margin">
              <wp:posOffset>4157980</wp:posOffset>
            </wp:positionH>
            <wp:positionV relativeFrom="margin">
              <wp:posOffset>7603794</wp:posOffset>
            </wp:positionV>
            <wp:extent cx="1931670" cy="645795"/>
            <wp:effectExtent l="0" t="0" r="0" b="1905"/>
            <wp:wrapTight wrapText="bothSides">
              <wp:wrapPolygon edited="0">
                <wp:start x="0" y="0"/>
                <wp:lineTo x="0" y="21027"/>
                <wp:lineTo x="21302" y="21027"/>
                <wp:lineTo x="21302" y="0"/>
                <wp:lineTo x="0" y="0"/>
              </wp:wrapPolygon>
            </wp:wrapTight>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1931670" cy="645795"/>
                    </a:xfrm>
                    <a:prstGeom prst="rect">
                      <a:avLst/>
                    </a:prstGeom>
                  </pic:spPr>
                </pic:pic>
              </a:graphicData>
            </a:graphic>
            <wp14:sizeRelH relativeFrom="margin">
              <wp14:pctWidth>0</wp14:pctWidth>
            </wp14:sizeRelH>
            <wp14:sizeRelV relativeFrom="margin">
              <wp14:pctHeight>0</wp14:pctHeight>
            </wp14:sizeRelV>
          </wp:anchor>
        </w:drawing>
      </w:r>
      <w:r w:rsidR="002F2766" w:rsidRPr="008E6046">
        <w:rPr>
          <w:lang w:val="es-DO"/>
        </w:rPr>
        <w:tab/>
      </w:r>
    </w:p>
    <w:p w14:paraId="70955679" w14:textId="2A1C4FDF" w:rsidR="00E80BF2" w:rsidRPr="008E6046" w:rsidRDefault="00E80BF2" w:rsidP="0034224F">
      <w:pPr>
        <w:tabs>
          <w:tab w:val="left" w:pos="5913"/>
        </w:tabs>
        <w:rPr>
          <w:lang w:val="es-DO"/>
        </w:rPr>
      </w:pPr>
    </w:p>
    <w:p w14:paraId="64AE30BF" w14:textId="1D523DAD" w:rsidR="00E80BF2" w:rsidRPr="008E6046" w:rsidRDefault="00B45B38">
      <w:pPr>
        <w:rPr>
          <w:lang w:val="es-DO"/>
        </w:rPr>
      </w:pPr>
      <w:r w:rsidRPr="0054777B">
        <w:rPr>
          <w:noProof/>
        </w:rPr>
        <mc:AlternateContent>
          <mc:Choice Requires="wps">
            <w:drawing>
              <wp:anchor distT="0" distB="0" distL="114300" distR="114300" simplePos="0" relativeHeight="251695104" behindDoc="0" locked="0" layoutInCell="1" allowOverlap="1" wp14:anchorId="5EF24404" wp14:editId="5305B4C4">
                <wp:simplePos x="0" y="0"/>
                <wp:positionH relativeFrom="column">
                  <wp:posOffset>467995</wp:posOffset>
                </wp:positionH>
                <wp:positionV relativeFrom="paragraph">
                  <wp:posOffset>300355</wp:posOffset>
                </wp:positionV>
                <wp:extent cx="513080" cy="24765"/>
                <wp:effectExtent l="0" t="0" r="1270" b="0"/>
                <wp:wrapNone/>
                <wp:docPr id="51" name="Freeform: Shape 5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13080" cy="24765"/>
                        </a:xfrm>
                        <a:custGeom>
                          <a:avLst/>
                          <a:gdLst/>
                          <a:ahLst/>
                          <a:cxnLst/>
                          <a:rect l="l" t="t" r="r" b="b"/>
                          <a:pathLst>
                            <a:path w="513080" h="24765">
                              <a:moveTo>
                                <a:pt x="512457" y="0"/>
                              </a:moveTo>
                              <a:lnTo>
                                <a:pt x="0" y="0"/>
                              </a:lnTo>
                              <a:lnTo>
                                <a:pt x="0" y="24256"/>
                              </a:lnTo>
                              <a:lnTo>
                                <a:pt x="512457" y="24256"/>
                              </a:lnTo>
                              <a:lnTo>
                                <a:pt x="512457" y="0"/>
                              </a:lnTo>
                              <a:close/>
                            </a:path>
                          </a:pathLst>
                        </a:custGeom>
                        <a:solidFill>
                          <a:srgbClr val="D5B788"/>
                        </a:solidFill>
                      </wps:spPr>
                      <wps:bodyPr wrap="square" lIns="0" tIns="0" rIns="0" bIns="0" rtlCol="0"/>
                    </wps:wsp>
                  </a:graphicData>
                </a:graphic>
                <wp14:sizeRelH relativeFrom="page">
                  <wp14:pctWidth>0</wp14:pctWidth>
                </wp14:sizeRelH>
                <wp14:sizeRelV relativeFrom="page">
                  <wp14:pctHeight>0</wp14:pctHeight>
                </wp14:sizeRelV>
              </wp:anchor>
            </w:drawing>
          </mc:Choice>
          <mc:Fallback>
            <w:pict>
              <v:shape w14:anchorId="2FD30BC9" id="Freeform: Shape 51" o:spid="_x0000_s1026" style="position:absolute;margin-left:36.85pt;margin-top:23.65pt;width:40.4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513080,2476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" path="m512457,l,,,24256r512457,l512457,xe" fillcolor="#d5b788" stroked="f">
                <v:path arrowok="t"/>
              </v:shape>
            </w:pict>
          </mc:Fallback>
        </mc:AlternateContent>
      </w:r>
    </w:p>
    <w:p w14:paraId="31E2FE32" w14:textId="2317FF3C" w:rsidR="00545797" w:rsidRPr="002D79D0" w:rsidRDefault="00545797" w:rsidP="00545797">
      <w:pPr>
        <w:jc w:val="center"/>
        <w:rPr>
          <w:rFonts w:ascii="Times New Roman" w:hAnsi="Times New Roman" w:cs="Times New Roman"/>
          <w:bCs/>
          <w:color w:val="4C4747"/>
          <w:spacing w:val="20"/>
          <w:sz w:val="28"/>
          <w:lang w:val="es-DO"/>
        </w:rPr>
      </w:pPr>
      <w:r w:rsidRPr="002D79D0">
        <w:rPr>
          <w:rFonts w:ascii="Times New Roman" w:hAnsi="Times New Roman" w:cs="Times New Roman"/>
          <w:bCs/>
          <w:color w:val="4C4747"/>
          <w:spacing w:val="20"/>
          <w:sz w:val="28"/>
          <w:lang w:val="es-DO"/>
        </w:rPr>
        <w:lastRenderedPageBreak/>
        <w:t>TABLA DE CONTENIDOS</w:t>
      </w:r>
    </w:p>
    <w:p w14:paraId="6C3E8713" w14:textId="043AA35F" w:rsidR="00545797" w:rsidRPr="002D79D0" w:rsidRDefault="00545797" w:rsidP="00545797">
      <w:pPr>
        <w:rPr>
          <w:rFonts w:ascii="Times New Roman" w:hAnsi="Times New Roman" w:cs="Times New Roman"/>
          <w:color w:val="4C4747"/>
          <w:lang w:val="es-DO"/>
        </w:rPr>
      </w:pPr>
      <w:r w:rsidRPr="002D79D0">
        <w:rPr>
          <w:rFonts w:ascii="Times New Roman" w:hAnsi="Times New Roman" w:cs="Times New Roman"/>
          <w:noProof/>
          <w:color w:val="4C4747"/>
        </w:rPr>
        <mc:AlternateContent>
          <mc:Choice Requires="wps">
            <w:drawing>
              <wp:anchor distT="0" distB="0" distL="114300" distR="114300" simplePos="0" relativeHeight="251675648" behindDoc="0" locked="0" layoutInCell="1" allowOverlap="1" wp14:anchorId="1E07F231" wp14:editId="1CF4A30A">
                <wp:simplePos x="0" y="0"/>
                <wp:positionH relativeFrom="margin">
                  <wp:posOffset>2743835</wp:posOffset>
                </wp:positionH>
                <wp:positionV relativeFrom="paragraph">
                  <wp:posOffset>87127</wp:posOffset>
                </wp:positionV>
                <wp:extent cx="463550" cy="0"/>
                <wp:effectExtent l="22860" t="15875" r="18415" b="22225"/>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C327BC" id="Straight Connector 18" o:spid="_x0000_s1026" style="position:absolute;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16.05pt,6.85pt" to="252.55pt,6.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" strokecolor="#ee2a24" strokeweight="2.25pt">
                <v:stroke joinstyle="miter"/>
                <w10:wrap anchorx="margin"/>
              </v:line>
            </w:pict>
          </mc:Fallback>
        </mc:AlternateContent>
      </w:r>
    </w:p>
    <w:p w14:paraId="2539C61E" w14:textId="487FCAE5" w:rsidR="00545797" w:rsidRPr="002D79D0" w:rsidRDefault="00F342FF" w:rsidP="0053121F">
      <w:pPr>
        <w:jc w:val="center"/>
        <w:rPr>
          <w:rFonts w:ascii="Times New Roman" w:hAnsi="Times New Roman" w:cs="Times New Roman"/>
          <w:color w:val="4C4747"/>
          <w:sz w:val="24"/>
          <w:szCs w:val="24"/>
          <w:lang w:val="es-DO"/>
        </w:rPr>
      </w:pPr>
      <w:r w:rsidRPr="002D79D0">
        <w:rPr>
          <w:rFonts w:ascii="Times New Roman" w:hAnsi="Times New Roman" w:cs="Times New Roman"/>
          <w:color w:val="4C4747"/>
          <w:spacing w:val="20"/>
          <w:sz w:val="24"/>
          <w:szCs w:val="24"/>
          <w:lang w:val="es-DO"/>
        </w:rPr>
        <w:t>Memorias I</w:t>
      </w:r>
      <w:r w:rsidR="0053121F" w:rsidRPr="002D79D0">
        <w:rPr>
          <w:rFonts w:ascii="Times New Roman" w:hAnsi="Times New Roman" w:cs="Times New Roman"/>
          <w:color w:val="4C4747"/>
          <w:spacing w:val="20"/>
          <w:sz w:val="24"/>
          <w:szCs w:val="24"/>
          <w:lang w:val="es-DO"/>
        </w:rPr>
        <w:t>nstitucionales 2022</w:t>
      </w:r>
    </w:p>
    <w:p w14:paraId="34723B93" w14:textId="77777777" w:rsidR="00545797" w:rsidRPr="002D79D0" w:rsidRDefault="00545797" w:rsidP="00545797">
      <w:pPr>
        <w:rPr>
          <w:rFonts w:ascii="Times New Roman" w:hAnsi="Times New Roman" w:cs="Times New Roman"/>
          <w:color w:val="4C4747"/>
          <w:sz w:val="24"/>
          <w:szCs w:val="24"/>
          <w:lang w:val="es-DO"/>
        </w:rPr>
      </w:pPr>
    </w:p>
    <w:p w14:paraId="769F9DE6" w14:textId="77777777" w:rsidR="00376423" w:rsidRPr="00376423" w:rsidRDefault="00545797">
      <w:pPr>
        <w:pStyle w:val="TDC1"/>
        <w:tabs>
          <w:tab w:val="left" w:pos="440"/>
          <w:tab w:val="right" w:leader="dot" w:pos="9350"/>
        </w:tabs>
        <w:rPr>
          <w:rFonts w:ascii="Times New Roman" w:eastAsiaTheme="minorEastAsia" w:hAnsi="Times New Roman" w:cs="Times New Roman"/>
          <w:noProof/>
          <w:color w:val="4C4747"/>
          <w:sz w:val="24"/>
          <w:szCs w:val="24"/>
        </w:rPr>
      </w:pPr>
      <w:r w:rsidRPr="00376423">
        <w:rPr>
          <w:rFonts w:ascii="Times New Roman" w:eastAsia="Calibri" w:hAnsi="Times New Roman" w:cs="Times New Roman"/>
          <w:color w:val="4C4747"/>
          <w:spacing w:val="20"/>
          <w:sz w:val="24"/>
          <w:szCs w:val="24"/>
          <w:lang w:val="es-DO"/>
        </w:rPr>
        <w:fldChar w:fldCharType="begin"/>
      </w:r>
      <w:r w:rsidRPr="00376423">
        <w:rPr>
          <w:rFonts w:ascii="Times New Roman" w:eastAsia="Calibri" w:hAnsi="Times New Roman" w:cs="Times New Roman"/>
          <w:color w:val="4C4747"/>
          <w:spacing w:val="20"/>
          <w:sz w:val="24"/>
          <w:szCs w:val="24"/>
          <w:lang w:val="es-DO"/>
        </w:rPr>
        <w:instrText xml:space="preserve"> TOC \o "1-3" \h \z \u </w:instrText>
      </w:r>
      <w:r w:rsidRPr="00376423">
        <w:rPr>
          <w:rFonts w:ascii="Times New Roman" w:eastAsia="Calibri" w:hAnsi="Times New Roman" w:cs="Times New Roman"/>
          <w:color w:val="4C4747"/>
          <w:spacing w:val="20"/>
          <w:sz w:val="24"/>
          <w:szCs w:val="24"/>
          <w:lang w:val="es-DO"/>
        </w:rPr>
        <w:fldChar w:fldCharType="separate"/>
      </w:r>
      <w:hyperlink w:anchor="_Toc122425225" w:history="1">
        <w:r w:rsidR="00376423" w:rsidRPr="00376423">
          <w:rPr>
            <w:rStyle w:val="Hipervnculo"/>
            <w:rFonts w:ascii="Times New Roman" w:hAnsi="Times New Roman" w:cs="Times New Roman"/>
            <w:noProof/>
            <w:color w:val="4C4747"/>
            <w:sz w:val="24"/>
            <w:szCs w:val="24"/>
            <w:lang w:val="es-DO"/>
          </w:rPr>
          <w:t>I.</w:t>
        </w:r>
        <w:r w:rsidR="00376423" w:rsidRPr="00376423">
          <w:rPr>
            <w:rFonts w:ascii="Times New Roman" w:eastAsiaTheme="minorEastAsia" w:hAnsi="Times New Roman" w:cs="Times New Roman"/>
            <w:noProof/>
            <w:color w:val="4C4747"/>
            <w:sz w:val="24"/>
            <w:szCs w:val="24"/>
          </w:rPr>
          <w:tab/>
        </w:r>
        <w:r w:rsidR="00376423" w:rsidRPr="00376423">
          <w:rPr>
            <w:rStyle w:val="Hipervnculo"/>
            <w:rFonts w:ascii="Times New Roman" w:hAnsi="Times New Roman" w:cs="Times New Roman"/>
            <w:noProof/>
            <w:color w:val="4C4747"/>
            <w:sz w:val="24"/>
            <w:szCs w:val="24"/>
            <w:lang w:val="es-DO"/>
          </w:rPr>
          <w:t>RESUMEN EJECUTIVO</w:t>
        </w:r>
        <w:r w:rsidR="00376423" w:rsidRPr="00376423">
          <w:rPr>
            <w:rFonts w:ascii="Times New Roman" w:hAnsi="Times New Roman" w:cs="Times New Roman"/>
            <w:noProof/>
            <w:webHidden/>
            <w:color w:val="4C4747"/>
            <w:sz w:val="24"/>
            <w:szCs w:val="24"/>
          </w:rPr>
          <w:tab/>
        </w:r>
        <w:r w:rsidR="00376423" w:rsidRPr="00376423">
          <w:rPr>
            <w:rFonts w:ascii="Times New Roman" w:hAnsi="Times New Roman" w:cs="Times New Roman"/>
            <w:noProof/>
            <w:webHidden/>
            <w:color w:val="4C4747"/>
            <w:sz w:val="24"/>
            <w:szCs w:val="24"/>
          </w:rPr>
          <w:fldChar w:fldCharType="begin"/>
        </w:r>
        <w:r w:rsidR="00376423" w:rsidRPr="00376423">
          <w:rPr>
            <w:rFonts w:ascii="Times New Roman" w:hAnsi="Times New Roman" w:cs="Times New Roman"/>
            <w:noProof/>
            <w:webHidden/>
            <w:color w:val="4C4747"/>
            <w:sz w:val="24"/>
            <w:szCs w:val="24"/>
          </w:rPr>
          <w:instrText xml:space="preserve"> PAGEREF _Toc122425225 \h </w:instrText>
        </w:r>
        <w:r w:rsidR="00376423" w:rsidRPr="00376423">
          <w:rPr>
            <w:rFonts w:ascii="Times New Roman" w:hAnsi="Times New Roman" w:cs="Times New Roman"/>
            <w:noProof/>
            <w:webHidden/>
            <w:color w:val="4C4747"/>
            <w:sz w:val="24"/>
            <w:szCs w:val="24"/>
          </w:rPr>
        </w:r>
        <w:r w:rsidR="00376423" w:rsidRPr="00376423">
          <w:rPr>
            <w:rFonts w:ascii="Times New Roman" w:hAnsi="Times New Roman" w:cs="Times New Roman"/>
            <w:noProof/>
            <w:webHidden/>
            <w:color w:val="4C4747"/>
            <w:sz w:val="24"/>
            <w:szCs w:val="24"/>
          </w:rPr>
          <w:fldChar w:fldCharType="separate"/>
        </w:r>
        <w:r w:rsidR="00376423" w:rsidRPr="00376423">
          <w:rPr>
            <w:rFonts w:ascii="Times New Roman" w:hAnsi="Times New Roman" w:cs="Times New Roman"/>
            <w:noProof/>
            <w:webHidden/>
            <w:color w:val="4C4747"/>
            <w:sz w:val="24"/>
            <w:szCs w:val="24"/>
          </w:rPr>
          <w:t>1</w:t>
        </w:r>
        <w:r w:rsidR="00376423" w:rsidRPr="00376423">
          <w:rPr>
            <w:rFonts w:ascii="Times New Roman" w:hAnsi="Times New Roman" w:cs="Times New Roman"/>
            <w:noProof/>
            <w:webHidden/>
            <w:color w:val="4C4747"/>
            <w:sz w:val="24"/>
            <w:szCs w:val="24"/>
          </w:rPr>
          <w:fldChar w:fldCharType="end"/>
        </w:r>
      </w:hyperlink>
    </w:p>
    <w:p w14:paraId="64798075" w14:textId="77777777" w:rsidR="00376423" w:rsidRPr="00376423" w:rsidRDefault="00376423">
      <w:pPr>
        <w:pStyle w:val="TDC1"/>
        <w:tabs>
          <w:tab w:val="left" w:pos="660"/>
          <w:tab w:val="right" w:leader="dot" w:pos="9350"/>
        </w:tabs>
        <w:rPr>
          <w:rFonts w:ascii="Times New Roman" w:eastAsiaTheme="minorEastAsia" w:hAnsi="Times New Roman" w:cs="Times New Roman"/>
          <w:noProof/>
          <w:color w:val="4C4747"/>
          <w:sz w:val="24"/>
          <w:szCs w:val="24"/>
        </w:rPr>
      </w:pPr>
      <w:hyperlink w:anchor="_Toc122425226" w:history="1">
        <w:r w:rsidRPr="00376423">
          <w:rPr>
            <w:rStyle w:val="Hipervnculo"/>
            <w:rFonts w:ascii="Times New Roman" w:hAnsi="Times New Roman" w:cs="Times New Roman"/>
            <w:noProof/>
            <w:color w:val="4C4747"/>
            <w:spacing w:val="20"/>
            <w:sz w:val="24"/>
            <w:szCs w:val="24"/>
            <w:lang w:val="es-DO"/>
          </w:rPr>
          <w:t>II.</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pacing w:val="20"/>
            <w:sz w:val="24"/>
            <w:szCs w:val="24"/>
            <w:lang w:val="es-DO"/>
          </w:rPr>
          <w:t>INFORMACIÓN INSTITUCIONAL</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_Toc122425226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6</w:t>
        </w:r>
        <w:r w:rsidRPr="00376423">
          <w:rPr>
            <w:rFonts w:ascii="Times New Roman" w:hAnsi="Times New Roman" w:cs="Times New Roman"/>
            <w:noProof/>
            <w:webHidden/>
            <w:color w:val="4C4747"/>
            <w:sz w:val="24"/>
            <w:szCs w:val="24"/>
          </w:rPr>
          <w:fldChar w:fldCharType="end"/>
        </w:r>
      </w:hyperlink>
    </w:p>
    <w:p w14:paraId="2441E4BE" w14:textId="77777777" w:rsidR="00376423" w:rsidRPr="00376423" w:rsidRDefault="00376423">
      <w:pPr>
        <w:pStyle w:val="TDC2"/>
        <w:tabs>
          <w:tab w:val="left" w:pos="880"/>
          <w:tab w:val="right" w:leader="dot" w:pos="9350"/>
        </w:tabs>
        <w:rPr>
          <w:rFonts w:ascii="Times New Roman" w:eastAsiaTheme="minorEastAsia" w:hAnsi="Times New Roman" w:cs="Times New Roman"/>
          <w:noProof/>
          <w:color w:val="4C4747"/>
          <w:sz w:val="24"/>
          <w:szCs w:val="24"/>
        </w:rPr>
      </w:pPr>
      <w:hyperlink w:anchor="_Toc122425227" w:history="1">
        <w:r w:rsidRPr="00376423">
          <w:rPr>
            <w:rStyle w:val="Hipervnculo"/>
            <w:rFonts w:ascii="Times New Roman" w:hAnsi="Times New Roman" w:cs="Times New Roman"/>
            <w:noProof/>
            <w:color w:val="4C4747"/>
            <w:sz w:val="24"/>
            <w:szCs w:val="24"/>
            <w:lang w:val="es-DO"/>
          </w:rPr>
          <w:t>2.1</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Marco Filosófico Institucional</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_Toc122425227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6</w:t>
        </w:r>
        <w:r w:rsidRPr="00376423">
          <w:rPr>
            <w:rFonts w:ascii="Times New Roman" w:hAnsi="Times New Roman" w:cs="Times New Roman"/>
            <w:noProof/>
            <w:webHidden/>
            <w:color w:val="4C4747"/>
            <w:sz w:val="24"/>
            <w:szCs w:val="24"/>
          </w:rPr>
          <w:fldChar w:fldCharType="end"/>
        </w:r>
      </w:hyperlink>
    </w:p>
    <w:p w14:paraId="0EF11781"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28" w:history="1">
        <w:r w:rsidRPr="00376423">
          <w:rPr>
            <w:rStyle w:val="Hipervnculo"/>
            <w:rFonts w:ascii="Times New Roman" w:hAnsi="Times New Roman" w:cs="Times New Roman"/>
            <w:noProof/>
            <w:color w:val="4C4747"/>
            <w:sz w:val="24"/>
            <w:szCs w:val="24"/>
            <w:lang w:val="es-DO"/>
          </w:rPr>
          <w:t>Misión</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_Toc122425228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6</w:t>
        </w:r>
        <w:r w:rsidRPr="00376423">
          <w:rPr>
            <w:rFonts w:ascii="Times New Roman" w:hAnsi="Times New Roman" w:cs="Times New Roman"/>
            <w:noProof/>
            <w:webHidden/>
            <w:color w:val="4C4747"/>
            <w:sz w:val="24"/>
            <w:szCs w:val="24"/>
          </w:rPr>
          <w:fldChar w:fldCharType="end"/>
        </w:r>
      </w:hyperlink>
    </w:p>
    <w:p w14:paraId="521F7878"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29" w:history="1">
        <w:r w:rsidRPr="00376423">
          <w:rPr>
            <w:rStyle w:val="Hipervnculo"/>
            <w:rFonts w:ascii="Times New Roman" w:hAnsi="Times New Roman" w:cs="Times New Roman"/>
            <w:noProof/>
            <w:color w:val="4C4747"/>
            <w:sz w:val="24"/>
            <w:szCs w:val="24"/>
            <w:lang w:val="es-DO"/>
          </w:rPr>
          <w:t>Visión</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_Toc122425229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6</w:t>
        </w:r>
        <w:r w:rsidRPr="00376423">
          <w:rPr>
            <w:rFonts w:ascii="Times New Roman" w:hAnsi="Times New Roman" w:cs="Times New Roman"/>
            <w:noProof/>
            <w:webHidden/>
            <w:color w:val="4C4747"/>
            <w:sz w:val="24"/>
            <w:szCs w:val="24"/>
          </w:rPr>
          <w:fldChar w:fldCharType="end"/>
        </w:r>
      </w:hyperlink>
    </w:p>
    <w:p w14:paraId="1C5D6DCF"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0" w:history="1">
        <w:r w:rsidRPr="00376423">
          <w:rPr>
            <w:rStyle w:val="Hipervnculo"/>
            <w:rFonts w:ascii="Times New Roman" w:hAnsi="Times New Roman" w:cs="Times New Roman"/>
            <w:noProof/>
            <w:color w:val="4C4747"/>
            <w:sz w:val="24"/>
            <w:szCs w:val="24"/>
            <w:lang w:val="es-DO"/>
          </w:rPr>
          <w:t>Valores: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_Toc122425230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6</w:t>
        </w:r>
        <w:r w:rsidRPr="00376423">
          <w:rPr>
            <w:rFonts w:ascii="Times New Roman" w:hAnsi="Times New Roman" w:cs="Times New Roman"/>
            <w:noProof/>
            <w:webHidden/>
            <w:color w:val="4C4747"/>
            <w:sz w:val="24"/>
            <w:szCs w:val="24"/>
          </w:rPr>
          <w:fldChar w:fldCharType="end"/>
        </w:r>
      </w:hyperlink>
    </w:p>
    <w:p w14:paraId="474A6C59" w14:textId="77777777" w:rsidR="00376423" w:rsidRPr="00376423" w:rsidRDefault="00376423">
      <w:pPr>
        <w:pStyle w:val="TDC2"/>
        <w:tabs>
          <w:tab w:val="left" w:pos="880"/>
          <w:tab w:val="right" w:leader="dot" w:pos="9350"/>
        </w:tabs>
        <w:rPr>
          <w:rFonts w:ascii="Times New Roman" w:eastAsiaTheme="minorEastAsia" w:hAnsi="Times New Roman" w:cs="Times New Roman"/>
          <w:noProof/>
          <w:color w:val="4C4747"/>
          <w:sz w:val="24"/>
          <w:szCs w:val="24"/>
        </w:rPr>
      </w:pPr>
      <w:hyperlink w:anchor="_Toc122425231" w:history="1">
        <w:r w:rsidRPr="00376423">
          <w:rPr>
            <w:rStyle w:val="Hipervnculo"/>
            <w:rFonts w:ascii="Times New Roman" w:hAnsi="Times New Roman" w:cs="Times New Roman"/>
            <w:noProof/>
            <w:color w:val="4C4747"/>
            <w:sz w:val="24"/>
            <w:szCs w:val="24"/>
            <w:lang w:val="es-DO"/>
          </w:rPr>
          <w:t>2.2</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Base Legal</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_Toc122425231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7</w:t>
        </w:r>
        <w:r w:rsidRPr="00376423">
          <w:rPr>
            <w:rFonts w:ascii="Times New Roman" w:hAnsi="Times New Roman" w:cs="Times New Roman"/>
            <w:noProof/>
            <w:webHidden/>
            <w:color w:val="4C4747"/>
            <w:sz w:val="24"/>
            <w:szCs w:val="24"/>
          </w:rPr>
          <w:fldChar w:fldCharType="end"/>
        </w:r>
      </w:hyperlink>
    </w:p>
    <w:p w14:paraId="0D2B7D7C" w14:textId="77777777" w:rsidR="00376423" w:rsidRPr="00376423" w:rsidRDefault="00376423">
      <w:pPr>
        <w:pStyle w:val="TDC2"/>
        <w:tabs>
          <w:tab w:val="left" w:pos="880"/>
          <w:tab w:val="right" w:leader="dot" w:pos="9350"/>
        </w:tabs>
        <w:rPr>
          <w:rFonts w:ascii="Times New Roman" w:eastAsiaTheme="minorEastAsia" w:hAnsi="Times New Roman" w:cs="Times New Roman"/>
          <w:noProof/>
          <w:color w:val="4C4747"/>
          <w:sz w:val="24"/>
          <w:szCs w:val="24"/>
        </w:rPr>
      </w:pPr>
      <w:hyperlink w:anchor="_Toc122425232" w:history="1">
        <w:r w:rsidRPr="00376423">
          <w:rPr>
            <w:rStyle w:val="Hipervnculo"/>
            <w:rFonts w:ascii="Times New Roman" w:hAnsi="Times New Roman" w:cs="Times New Roman"/>
            <w:noProof/>
            <w:color w:val="4C4747"/>
            <w:sz w:val="24"/>
            <w:szCs w:val="24"/>
            <w:lang w:val="es-DO"/>
          </w:rPr>
          <w:t>2.3</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Estructura Organizativa</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_Toc122425232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8</w:t>
        </w:r>
        <w:r w:rsidRPr="00376423">
          <w:rPr>
            <w:rFonts w:ascii="Times New Roman" w:hAnsi="Times New Roman" w:cs="Times New Roman"/>
            <w:noProof/>
            <w:webHidden/>
            <w:color w:val="4C4747"/>
            <w:sz w:val="24"/>
            <w:szCs w:val="24"/>
          </w:rPr>
          <w:fldChar w:fldCharType="end"/>
        </w:r>
      </w:hyperlink>
    </w:p>
    <w:p w14:paraId="5879A7C8" w14:textId="77777777" w:rsidR="00376423" w:rsidRPr="00376423" w:rsidRDefault="00376423">
      <w:pPr>
        <w:pStyle w:val="TDC1"/>
        <w:tabs>
          <w:tab w:val="left" w:pos="660"/>
          <w:tab w:val="right" w:leader="dot" w:pos="9350"/>
        </w:tabs>
        <w:rPr>
          <w:rFonts w:ascii="Times New Roman" w:eastAsiaTheme="minorEastAsia" w:hAnsi="Times New Roman" w:cs="Times New Roman"/>
          <w:noProof/>
          <w:color w:val="4C4747"/>
          <w:sz w:val="24"/>
          <w:szCs w:val="24"/>
        </w:rPr>
      </w:pPr>
      <w:hyperlink w:anchor="_Toc122425233" w:history="1">
        <w:r w:rsidRPr="00376423">
          <w:rPr>
            <w:rStyle w:val="Hipervnculo"/>
            <w:rFonts w:ascii="Times New Roman" w:hAnsi="Times New Roman" w:cs="Times New Roman"/>
            <w:noProof/>
            <w:color w:val="4C4747"/>
            <w:spacing w:val="20"/>
            <w:sz w:val="24"/>
            <w:szCs w:val="24"/>
            <w:lang w:val="es-DO"/>
          </w:rPr>
          <w:t>III.</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pacing w:val="20"/>
            <w:sz w:val="24"/>
            <w:szCs w:val="24"/>
            <w:lang w:val="es-DO"/>
          </w:rPr>
          <w:t>RESULTADOS MISIONALES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_Toc122425233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15</w:t>
        </w:r>
        <w:r w:rsidRPr="00376423">
          <w:rPr>
            <w:rFonts w:ascii="Times New Roman" w:hAnsi="Times New Roman" w:cs="Times New Roman"/>
            <w:noProof/>
            <w:webHidden/>
            <w:color w:val="4C4747"/>
            <w:sz w:val="24"/>
            <w:szCs w:val="24"/>
          </w:rPr>
          <w:fldChar w:fldCharType="end"/>
        </w:r>
      </w:hyperlink>
    </w:p>
    <w:p w14:paraId="4E26842A"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4" w:history="1">
        <w:r w:rsidRPr="00376423">
          <w:rPr>
            <w:rStyle w:val="Hipervnculo"/>
            <w:rFonts w:ascii="Times New Roman" w:eastAsia="Calibri" w:hAnsi="Times New Roman" w:cs="Times New Roman"/>
            <w:noProof/>
            <w:color w:val="4C4747"/>
            <w:spacing w:val="20"/>
            <w:sz w:val="24"/>
            <w:szCs w:val="24"/>
            <w:lang w:val="es-DO"/>
          </w:rPr>
          <w:t>3.1 Regulación y Defensa de la Competencia del Sector de las Telecomunicaciones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_Toc122425234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15</w:t>
        </w:r>
        <w:r w:rsidRPr="00376423">
          <w:rPr>
            <w:rFonts w:ascii="Times New Roman" w:hAnsi="Times New Roman" w:cs="Times New Roman"/>
            <w:noProof/>
            <w:webHidden/>
            <w:color w:val="4C4747"/>
            <w:sz w:val="24"/>
            <w:szCs w:val="24"/>
          </w:rPr>
          <w:fldChar w:fldCharType="end"/>
        </w:r>
      </w:hyperlink>
    </w:p>
    <w:p w14:paraId="36A9174D"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5" w:history="1">
        <w:r w:rsidRPr="00376423">
          <w:rPr>
            <w:rStyle w:val="Hipervnculo"/>
            <w:rFonts w:ascii="Times New Roman" w:eastAsia="Times New Roman" w:hAnsi="Times New Roman" w:cs="Times New Roman"/>
            <w:bCs/>
            <w:noProof/>
            <w:color w:val="4C4747"/>
            <w:sz w:val="24"/>
            <w:szCs w:val="24"/>
            <w:lang w:val="es-DO" w:eastAsia="es-DO"/>
          </w:rPr>
          <w:t>3.2 Espectro Radioeléctrico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_Toc122425235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24</w:t>
        </w:r>
        <w:r w:rsidRPr="00376423">
          <w:rPr>
            <w:rFonts w:ascii="Times New Roman" w:hAnsi="Times New Roman" w:cs="Times New Roman"/>
            <w:noProof/>
            <w:webHidden/>
            <w:color w:val="4C4747"/>
            <w:sz w:val="24"/>
            <w:szCs w:val="24"/>
          </w:rPr>
          <w:fldChar w:fldCharType="end"/>
        </w:r>
      </w:hyperlink>
    </w:p>
    <w:p w14:paraId="0FEFA8DC"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6" w:history="1">
        <w:r w:rsidRPr="00376423">
          <w:rPr>
            <w:rStyle w:val="Hipervnculo"/>
            <w:rFonts w:ascii="Times New Roman" w:eastAsia="Times New Roman" w:hAnsi="Times New Roman" w:cs="Times New Roman"/>
            <w:bCs/>
            <w:noProof/>
            <w:color w:val="4C4747"/>
            <w:sz w:val="24"/>
            <w:szCs w:val="24"/>
            <w:lang w:val="es-DO" w:eastAsia="es-DO"/>
          </w:rPr>
          <w:t>3.3 Fiscalización</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_Toc122425236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33</w:t>
        </w:r>
        <w:r w:rsidRPr="00376423">
          <w:rPr>
            <w:rFonts w:ascii="Times New Roman" w:hAnsi="Times New Roman" w:cs="Times New Roman"/>
            <w:noProof/>
            <w:webHidden/>
            <w:color w:val="4C4747"/>
            <w:sz w:val="24"/>
            <w:szCs w:val="24"/>
          </w:rPr>
          <w:fldChar w:fldCharType="end"/>
        </w:r>
      </w:hyperlink>
    </w:p>
    <w:p w14:paraId="782DC920"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7" w:history="1">
        <w:r w:rsidRPr="00376423">
          <w:rPr>
            <w:rStyle w:val="Hipervnculo"/>
            <w:rFonts w:ascii="Times New Roman" w:eastAsia="Calibri" w:hAnsi="Times New Roman" w:cs="Times New Roman"/>
            <w:noProof/>
            <w:color w:val="4C4747"/>
            <w:spacing w:val="20"/>
            <w:sz w:val="24"/>
            <w:szCs w:val="24"/>
            <w:lang w:val="es-DO"/>
          </w:rPr>
          <w:t>3.4 Autorizaciones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_Toc122425237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37</w:t>
        </w:r>
        <w:r w:rsidRPr="00376423">
          <w:rPr>
            <w:rFonts w:ascii="Times New Roman" w:hAnsi="Times New Roman" w:cs="Times New Roman"/>
            <w:noProof/>
            <w:webHidden/>
            <w:color w:val="4C4747"/>
            <w:sz w:val="24"/>
            <w:szCs w:val="24"/>
          </w:rPr>
          <w:fldChar w:fldCharType="end"/>
        </w:r>
      </w:hyperlink>
    </w:p>
    <w:p w14:paraId="0F89BC3A"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8" w:history="1">
        <w:r w:rsidRPr="00376423">
          <w:rPr>
            <w:rStyle w:val="Hipervnculo"/>
            <w:rFonts w:ascii="Times New Roman" w:eastAsia="Calibri" w:hAnsi="Times New Roman" w:cs="Times New Roman"/>
            <w:noProof/>
            <w:color w:val="4C4747"/>
            <w:spacing w:val="20"/>
            <w:sz w:val="24"/>
            <w:szCs w:val="24"/>
            <w:lang w:val="es-DO"/>
          </w:rPr>
          <w:t>3.5 Dirección Unidad Ejecutoria BID</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_Toc122425238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41</w:t>
        </w:r>
        <w:r w:rsidRPr="00376423">
          <w:rPr>
            <w:rFonts w:ascii="Times New Roman" w:hAnsi="Times New Roman" w:cs="Times New Roman"/>
            <w:noProof/>
            <w:webHidden/>
            <w:color w:val="4C4747"/>
            <w:sz w:val="24"/>
            <w:szCs w:val="24"/>
          </w:rPr>
          <w:fldChar w:fldCharType="end"/>
        </w:r>
      </w:hyperlink>
    </w:p>
    <w:p w14:paraId="3206AA41"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39" w:history="1">
        <w:r w:rsidRPr="00376423">
          <w:rPr>
            <w:rStyle w:val="Hipervnculo"/>
            <w:rFonts w:ascii="Times New Roman" w:eastAsia="Times New Roman" w:hAnsi="Times New Roman" w:cs="Times New Roman"/>
            <w:bCs/>
            <w:noProof/>
            <w:color w:val="4C4747"/>
            <w:sz w:val="24"/>
            <w:szCs w:val="24"/>
            <w:lang w:val="es-DO" w:eastAsia="es-DO"/>
          </w:rPr>
          <w:t>3.6 Protección al Usuario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_Toc122425239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46</w:t>
        </w:r>
        <w:r w:rsidRPr="00376423">
          <w:rPr>
            <w:rFonts w:ascii="Times New Roman" w:hAnsi="Times New Roman" w:cs="Times New Roman"/>
            <w:noProof/>
            <w:webHidden/>
            <w:color w:val="4C4747"/>
            <w:sz w:val="24"/>
            <w:szCs w:val="24"/>
          </w:rPr>
          <w:fldChar w:fldCharType="end"/>
        </w:r>
      </w:hyperlink>
    </w:p>
    <w:p w14:paraId="44BE4765"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0" w:history="1">
        <w:r w:rsidRPr="00376423">
          <w:rPr>
            <w:rStyle w:val="Hipervnculo"/>
            <w:rFonts w:ascii="Times New Roman" w:eastAsia="Times New Roman" w:hAnsi="Times New Roman" w:cs="Times New Roman"/>
            <w:bCs/>
            <w:noProof/>
            <w:color w:val="4C4747"/>
            <w:sz w:val="24"/>
            <w:szCs w:val="24"/>
            <w:lang w:val="es-DO" w:eastAsia="es-DO"/>
          </w:rPr>
          <w:t>3.7 Fondo para el Desarrollo de las Telecomunicaciones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_Toc122425240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57</w:t>
        </w:r>
        <w:r w:rsidRPr="00376423">
          <w:rPr>
            <w:rFonts w:ascii="Times New Roman" w:hAnsi="Times New Roman" w:cs="Times New Roman"/>
            <w:noProof/>
            <w:webHidden/>
            <w:color w:val="4C4747"/>
            <w:sz w:val="24"/>
            <w:szCs w:val="24"/>
          </w:rPr>
          <w:fldChar w:fldCharType="end"/>
        </w:r>
      </w:hyperlink>
    </w:p>
    <w:p w14:paraId="52C5C7FB"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1" w:history="1">
        <w:r w:rsidRPr="00376423">
          <w:rPr>
            <w:rStyle w:val="Hipervnculo"/>
            <w:rFonts w:ascii="Times New Roman" w:eastAsia="Calibri" w:hAnsi="Times New Roman" w:cs="Times New Roman"/>
            <w:noProof/>
            <w:color w:val="4C4747"/>
            <w:spacing w:val="20"/>
            <w:sz w:val="24"/>
            <w:szCs w:val="24"/>
            <w:lang w:val="es-DO"/>
          </w:rPr>
          <w:t>3.8 Ciberseguridad, Comercio Electrónico y Firma Digital</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_Toc122425241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65</w:t>
        </w:r>
        <w:r w:rsidRPr="00376423">
          <w:rPr>
            <w:rFonts w:ascii="Times New Roman" w:hAnsi="Times New Roman" w:cs="Times New Roman"/>
            <w:noProof/>
            <w:webHidden/>
            <w:color w:val="4C4747"/>
            <w:sz w:val="24"/>
            <w:szCs w:val="24"/>
          </w:rPr>
          <w:fldChar w:fldCharType="end"/>
        </w:r>
      </w:hyperlink>
    </w:p>
    <w:p w14:paraId="0895BD4E" w14:textId="77777777" w:rsidR="00376423" w:rsidRPr="00376423" w:rsidRDefault="00376423">
      <w:pPr>
        <w:pStyle w:val="TDC1"/>
        <w:tabs>
          <w:tab w:val="left" w:pos="660"/>
          <w:tab w:val="right" w:leader="dot" w:pos="9350"/>
        </w:tabs>
        <w:rPr>
          <w:rFonts w:ascii="Times New Roman" w:eastAsiaTheme="minorEastAsia" w:hAnsi="Times New Roman" w:cs="Times New Roman"/>
          <w:noProof/>
          <w:color w:val="4C4747"/>
          <w:sz w:val="24"/>
          <w:szCs w:val="24"/>
        </w:rPr>
      </w:pPr>
      <w:hyperlink w:anchor="_Toc122425242" w:history="1">
        <w:r w:rsidRPr="00376423">
          <w:rPr>
            <w:rStyle w:val="Hipervnculo"/>
            <w:rFonts w:ascii="Times New Roman" w:hAnsi="Times New Roman" w:cs="Times New Roman"/>
            <w:noProof/>
            <w:color w:val="4C4747"/>
            <w:sz w:val="24"/>
            <w:szCs w:val="24"/>
            <w:lang w:val="es-DO"/>
          </w:rPr>
          <w:t>IV.</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RESULTADOS ÁREAS TRANSVERSALES  Y DE APOYO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_Toc122425242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73</w:t>
        </w:r>
        <w:r w:rsidRPr="00376423">
          <w:rPr>
            <w:rFonts w:ascii="Times New Roman" w:hAnsi="Times New Roman" w:cs="Times New Roman"/>
            <w:noProof/>
            <w:webHidden/>
            <w:color w:val="4C4747"/>
            <w:sz w:val="24"/>
            <w:szCs w:val="24"/>
          </w:rPr>
          <w:fldChar w:fldCharType="end"/>
        </w:r>
      </w:hyperlink>
    </w:p>
    <w:p w14:paraId="738C19FF" w14:textId="41F9B56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3" w:history="1">
        <w:r w:rsidRPr="00376423">
          <w:rPr>
            <w:rStyle w:val="Hipervnculo"/>
            <w:rFonts w:ascii="Times New Roman" w:hAnsi="Times New Roman" w:cs="Times New Roman"/>
            <w:noProof/>
            <w:color w:val="4C4747"/>
            <w:sz w:val="24"/>
            <w:szCs w:val="24"/>
            <w:lang w:val="es-DO" w:eastAsia="es-DO"/>
          </w:rPr>
          <w:t>4.1</w:t>
        </w:r>
        <w:r>
          <w:rPr>
            <w:rStyle w:val="Hipervnculo"/>
            <w:rFonts w:ascii="Times New Roman" w:hAnsi="Times New Roman" w:cs="Times New Roman"/>
            <w:i/>
            <w:noProof/>
            <w:color w:val="4C4747"/>
            <w:sz w:val="24"/>
            <w:szCs w:val="24"/>
            <w:lang w:val="es-DO" w:eastAsia="es-DO"/>
          </w:rPr>
          <w:t xml:space="preserve"> </w:t>
        </w:r>
        <w:r w:rsidRPr="00376423">
          <w:rPr>
            <w:rStyle w:val="Hipervnculo"/>
            <w:rFonts w:ascii="Times New Roman" w:eastAsia="Times New Roman" w:hAnsi="Times New Roman" w:cs="Times New Roman"/>
            <w:bCs/>
            <w:noProof/>
            <w:color w:val="4C4747"/>
            <w:sz w:val="24"/>
            <w:szCs w:val="24"/>
            <w:lang w:val="es-DO" w:eastAsia="es-DO"/>
          </w:rPr>
          <w:t>Desempeño Administrativo y Financiero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_Toc122425243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73</w:t>
        </w:r>
        <w:r w:rsidRPr="00376423">
          <w:rPr>
            <w:rFonts w:ascii="Times New Roman" w:hAnsi="Times New Roman" w:cs="Times New Roman"/>
            <w:noProof/>
            <w:webHidden/>
            <w:color w:val="4C4747"/>
            <w:sz w:val="24"/>
            <w:szCs w:val="24"/>
          </w:rPr>
          <w:fldChar w:fldCharType="end"/>
        </w:r>
      </w:hyperlink>
    </w:p>
    <w:p w14:paraId="60CE4279" w14:textId="0EBE1126" w:rsidR="00376423" w:rsidRPr="00376423" w:rsidRDefault="00376423">
      <w:pPr>
        <w:pStyle w:val="TDC3"/>
        <w:tabs>
          <w:tab w:val="left" w:pos="1100"/>
          <w:tab w:val="right" w:leader="dot" w:pos="9350"/>
        </w:tabs>
        <w:rPr>
          <w:rFonts w:ascii="Times New Roman" w:eastAsiaTheme="minorEastAsia" w:hAnsi="Times New Roman" w:cs="Times New Roman"/>
          <w:noProof/>
          <w:color w:val="4C4747"/>
          <w:sz w:val="24"/>
          <w:szCs w:val="24"/>
        </w:rPr>
      </w:pPr>
      <w:hyperlink w:anchor="_Toc122425244" w:history="1">
        <w:r w:rsidRPr="00376423">
          <w:rPr>
            <w:rStyle w:val="Hipervnculo"/>
            <w:rFonts w:ascii="Times New Roman" w:hAnsi="Times New Roman" w:cs="Times New Roman"/>
            <w:noProof/>
            <w:color w:val="4C4747"/>
            <w:sz w:val="24"/>
            <w:szCs w:val="24"/>
            <w:lang w:val="es-DO" w:eastAsia="es-DO"/>
          </w:rPr>
          <w:t>4.2</w:t>
        </w:r>
        <w:r>
          <w:rPr>
            <w:rFonts w:ascii="Times New Roman" w:eastAsiaTheme="minorEastAsia" w:hAnsi="Times New Roman" w:cs="Times New Roman"/>
            <w:noProof/>
            <w:color w:val="4C4747"/>
            <w:sz w:val="24"/>
            <w:szCs w:val="24"/>
          </w:rPr>
          <w:t xml:space="preserve"> </w:t>
        </w:r>
        <w:r w:rsidRPr="00376423">
          <w:rPr>
            <w:rStyle w:val="Hipervnculo"/>
            <w:rFonts w:ascii="Times New Roman" w:hAnsi="Times New Roman" w:cs="Times New Roman"/>
            <w:noProof/>
            <w:color w:val="4C4747"/>
            <w:sz w:val="24"/>
            <w:szCs w:val="24"/>
            <w:lang w:val="es-DO" w:eastAsia="es-DO"/>
          </w:rPr>
          <w:t>Desempeño de los Recursos Humanos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_Toc122425244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89</w:t>
        </w:r>
        <w:r w:rsidRPr="00376423">
          <w:rPr>
            <w:rFonts w:ascii="Times New Roman" w:hAnsi="Times New Roman" w:cs="Times New Roman"/>
            <w:noProof/>
            <w:webHidden/>
            <w:color w:val="4C4747"/>
            <w:sz w:val="24"/>
            <w:szCs w:val="24"/>
          </w:rPr>
          <w:fldChar w:fldCharType="end"/>
        </w:r>
      </w:hyperlink>
    </w:p>
    <w:p w14:paraId="63D8F917"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5" w:history="1">
        <w:r w:rsidRPr="00376423">
          <w:rPr>
            <w:rStyle w:val="Hipervnculo"/>
            <w:rFonts w:ascii="Times New Roman" w:eastAsia="Times New Roman" w:hAnsi="Times New Roman" w:cs="Times New Roman"/>
            <w:bCs/>
            <w:noProof/>
            <w:color w:val="4C4747"/>
            <w:sz w:val="24"/>
            <w:szCs w:val="24"/>
            <w:lang w:val="es-DO" w:eastAsia="es-DO"/>
          </w:rPr>
          <w:t>4.3 Desempeño de los Proceso</w:t>
        </w:r>
        <w:r w:rsidRPr="00376423">
          <w:rPr>
            <w:rStyle w:val="Hipervnculo"/>
            <w:rFonts w:ascii="Times New Roman" w:eastAsia="Times New Roman" w:hAnsi="Times New Roman" w:cs="Times New Roman"/>
            <w:bCs/>
            <w:noProof/>
            <w:color w:val="4C4747"/>
            <w:sz w:val="24"/>
            <w:szCs w:val="24"/>
            <w:lang w:val="es-DO" w:eastAsia="es-DO"/>
          </w:rPr>
          <w:t>s</w:t>
        </w:r>
        <w:r w:rsidRPr="00376423">
          <w:rPr>
            <w:rStyle w:val="Hipervnculo"/>
            <w:rFonts w:ascii="Times New Roman" w:eastAsia="Times New Roman" w:hAnsi="Times New Roman" w:cs="Times New Roman"/>
            <w:bCs/>
            <w:noProof/>
            <w:color w:val="4C4747"/>
            <w:sz w:val="24"/>
            <w:szCs w:val="24"/>
            <w:lang w:val="es-DO" w:eastAsia="es-DO"/>
          </w:rPr>
          <w:t xml:space="preserve"> Jurídicos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_Toc122425245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96</w:t>
        </w:r>
        <w:r w:rsidRPr="00376423">
          <w:rPr>
            <w:rFonts w:ascii="Times New Roman" w:hAnsi="Times New Roman" w:cs="Times New Roman"/>
            <w:noProof/>
            <w:webHidden/>
            <w:color w:val="4C4747"/>
            <w:sz w:val="24"/>
            <w:szCs w:val="24"/>
          </w:rPr>
          <w:fldChar w:fldCharType="end"/>
        </w:r>
      </w:hyperlink>
    </w:p>
    <w:p w14:paraId="15D8DF18"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6" w:history="1">
        <w:r w:rsidRPr="00376423">
          <w:rPr>
            <w:rStyle w:val="Hipervnculo"/>
            <w:rFonts w:ascii="Times New Roman" w:eastAsiaTheme="majorEastAsia" w:hAnsi="Times New Roman" w:cs="Times New Roman"/>
            <w:iCs/>
            <w:noProof/>
            <w:color w:val="4C4747"/>
            <w:sz w:val="24"/>
            <w:szCs w:val="24"/>
            <w:lang w:val="es-DO" w:eastAsia="es-DO"/>
          </w:rPr>
          <w:t>4.4</w:t>
        </w:r>
        <w:r w:rsidRPr="00376423">
          <w:rPr>
            <w:rStyle w:val="Hipervnculo"/>
            <w:rFonts w:ascii="Times New Roman" w:eastAsia="Times New Roman" w:hAnsi="Times New Roman" w:cs="Times New Roman"/>
            <w:bCs/>
            <w:noProof/>
            <w:color w:val="4C4747"/>
            <w:sz w:val="24"/>
            <w:szCs w:val="24"/>
            <w:lang w:val="es-DO" w:eastAsia="es-DO"/>
          </w:rPr>
          <w:t xml:space="preserve"> </w:t>
        </w:r>
        <w:r w:rsidRPr="00376423">
          <w:rPr>
            <w:rStyle w:val="Hipervnculo"/>
            <w:rFonts w:ascii="Times New Roman" w:eastAsiaTheme="majorEastAsia" w:hAnsi="Times New Roman" w:cs="Times New Roman"/>
            <w:iCs/>
            <w:noProof/>
            <w:color w:val="4C4747"/>
            <w:sz w:val="24"/>
            <w:szCs w:val="24"/>
            <w:lang w:val="es-DO" w:eastAsia="es-DO"/>
          </w:rPr>
          <w:t>Desempeño de la Tecnología</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_Toc122425246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103</w:t>
        </w:r>
        <w:r w:rsidRPr="00376423">
          <w:rPr>
            <w:rFonts w:ascii="Times New Roman" w:hAnsi="Times New Roman" w:cs="Times New Roman"/>
            <w:noProof/>
            <w:webHidden/>
            <w:color w:val="4C4747"/>
            <w:sz w:val="24"/>
            <w:szCs w:val="24"/>
          </w:rPr>
          <w:fldChar w:fldCharType="end"/>
        </w:r>
      </w:hyperlink>
    </w:p>
    <w:p w14:paraId="3BF3593C"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7" w:history="1">
        <w:r w:rsidRPr="00376423">
          <w:rPr>
            <w:rStyle w:val="Hipervnculo"/>
            <w:rFonts w:ascii="Times New Roman" w:eastAsia="Times New Roman" w:hAnsi="Times New Roman" w:cs="Times New Roman"/>
            <w:bCs/>
            <w:noProof/>
            <w:color w:val="4C4747"/>
            <w:sz w:val="24"/>
            <w:szCs w:val="24"/>
            <w:lang w:val="es-DO" w:eastAsia="es-DO"/>
          </w:rPr>
          <w:t>4.5 Desempeño del Sistema de Planificación y Desarrollo Institucional</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_Toc122425247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109</w:t>
        </w:r>
        <w:r w:rsidRPr="00376423">
          <w:rPr>
            <w:rFonts w:ascii="Times New Roman" w:hAnsi="Times New Roman" w:cs="Times New Roman"/>
            <w:noProof/>
            <w:webHidden/>
            <w:color w:val="4C4747"/>
            <w:sz w:val="24"/>
            <w:szCs w:val="24"/>
          </w:rPr>
          <w:fldChar w:fldCharType="end"/>
        </w:r>
      </w:hyperlink>
    </w:p>
    <w:p w14:paraId="01B33183"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8" w:history="1">
        <w:r w:rsidRPr="00376423">
          <w:rPr>
            <w:rStyle w:val="Hipervnculo"/>
            <w:rFonts w:ascii="Times New Roman" w:eastAsia="Times New Roman" w:hAnsi="Times New Roman" w:cs="Times New Roman"/>
            <w:bCs/>
            <w:noProof/>
            <w:color w:val="4C4747"/>
            <w:sz w:val="24"/>
            <w:szCs w:val="24"/>
            <w:lang w:val="es-DO" w:eastAsia="es-DO"/>
          </w:rPr>
          <w:t>4.6 Desempeño del Área de Comunicaciones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_Toc122425248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120</w:t>
        </w:r>
        <w:r w:rsidRPr="00376423">
          <w:rPr>
            <w:rFonts w:ascii="Times New Roman" w:hAnsi="Times New Roman" w:cs="Times New Roman"/>
            <w:noProof/>
            <w:webHidden/>
            <w:color w:val="4C4747"/>
            <w:sz w:val="24"/>
            <w:szCs w:val="24"/>
          </w:rPr>
          <w:fldChar w:fldCharType="end"/>
        </w:r>
      </w:hyperlink>
    </w:p>
    <w:p w14:paraId="527F127B"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49" w:history="1">
        <w:r w:rsidRPr="00376423">
          <w:rPr>
            <w:rStyle w:val="Hipervnculo"/>
            <w:rFonts w:ascii="Times New Roman" w:eastAsia="Times New Roman" w:hAnsi="Times New Roman" w:cs="Times New Roman"/>
            <w:bCs/>
            <w:noProof/>
            <w:color w:val="4C4747"/>
            <w:sz w:val="24"/>
            <w:szCs w:val="24"/>
            <w:lang w:val="es-DO" w:eastAsia="es-DO"/>
          </w:rPr>
          <w:t>4.7 Relaciones Institucionales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_Toc122425249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133</w:t>
        </w:r>
        <w:r w:rsidRPr="00376423">
          <w:rPr>
            <w:rFonts w:ascii="Times New Roman" w:hAnsi="Times New Roman" w:cs="Times New Roman"/>
            <w:noProof/>
            <w:webHidden/>
            <w:color w:val="4C4747"/>
            <w:sz w:val="24"/>
            <w:szCs w:val="24"/>
          </w:rPr>
          <w:fldChar w:fldCharType="end"/>
        </w:r>
      </w:hyperlink>
    </w:p>
    <w:p w14:paraId="6FF4D2BF"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50" w:history="1">
        <w:r w:rsidRPr="00376423">
          <w:rPr>
            <w:rStyle w:val="Hipervnculo"/>
            <w:rFonts w:ascii="Times New Roman" w:eastAsia="Times New Roman" w:hAnsi="Times New Roman" w:cs="Times New Roman"/>
            <w:bCs/>
            <w:noProof/>
            <w:color w:val="4C4747"/>
            <w:sz w:val="24"/>
            <w:szCs w:val="24"/>
            <w:lang w:val="es-DO" w:eastAsia="es-DO"/>
          </w:rPr>
          <w:t>4.8 Relaciones Internacionales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_Toc122425250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144</w:t>
        </w:r>
        <w:r w:rsidRPr="00376423">
          <w:rPr>
            <w:rFonts w:ascii="Times New Roman" w:hAnsi="Times New Roman" w:cs="Times New Roman"/>
            <w:noProof/>
            <w:webHidden/>
            <w:color w:val="4C4747"/>
            <w:sz w:val="24"/>
            <w:szCs w:val="24"/>
          </w:rPr>
          <w:fldChar w:fldCharType="end"/>
        </w:r>
      </w:hyperlink>
    </w:p>
    <w:p w14:paraId="1E45E6F8" w14:textId="77777777" w:rsidR="00376423" w:rsidRPr="00376423" w:rsidRDefault="00376423">
      <w:pPr>
        <w:pStyle w:val="TDC1"/>
        <w:tabs>
          <w:tab w:val="left" w:pos="440"/>
          <w:tab w:val="right" w:leader="dot" w:pos="9350"/>
        </w:tabs>
        <w:rPr>
          <w:rFonts w:ascii="Times New Roman" w:eastAsiaTheme="minorEastAsia" w:hAnsi="Times New Roman" w:cs="Times New Roman"/>
          <w:noProof/>
          <w:color w:val="4C4747"/>
          <w:sz w:val="24"/>
          <w:szCs w:val="24"/>
        </w:rPr>
      </w:pPr>
      <w:hyperlink w:anchor="_Toc122425251" w:history="1">
        <w:r w:rsidRPr="00376423">
          <w:rPr>
            <w:rStyle w:val="Hipervnculo"/>
            <w:rFonts w:ascii="Times New Roman" w:hAnsi="Times New Roman" w:cs="Times New Roman"/>
            <w:noProof/>
            <w:color w:val="4C4747"/>
            <w:sz w:val="24"/>
            <w:szCs w:val="24"/>
            <w:lang w:val="es-DO"/>
          </w:rPr>
          <w:t>V.</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SERVICIO AL CIUDADANO Y TRANSPARENCIA INSTITUCIONAL</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_Toc122425251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185</w:t>
        </w:r>
        <w:r w:rsidRPr="00376423">
          <w:rPr>
            <w:rFonts w:ascii="Times New Roman" w:hAnsi="Times New Roman" w:cs="Times New Roman"/>
            <w:noProof/>
            <w:webHidden/>
            <w:color w:val="4C4747"/>
            <w:sz w:val="24"/>
            <w:szCs w:val="24"/>
          </w:rPr>
          <w:fldChar w:fldCharType="end"/>
        </w:r>
      </w:hyperlink>
    </w:p>
    <w:p w14:paraId="7ABA7C0D"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52" w:history="1">
        <w:r w:rsidRPr="00376423">
          <w:rPr>
            <w:rStyle w:val="Hipervnculo"/>
            <w:rFonts w:ascii="Times New Roman" w:eastAsia="Calibri" w:hAnsi="Times New Roman" w:cs="Times New Roman"/>
            <w:noProof/>
            <w:color w:val="4C4747"/>
            <w:spacing w:val="20"/>
            <w:sz w:val="24"/>
            <w:szCs w:val="24"/>
            <w:lang w:val="es-DO"/>
          </w:rPr>
          <w:t xml:space="preserve">5.1 </w:t>
        </w:r>
        <w:r w:rsidRPr="00376423">
          <w:rPr>
            <w:rStyle w:val="Hipervnculo"/>
            <w:rFonts w:ascii="Times New Roman" w:eastAsia="Times New Roman" w:hAnsi="Times New Roman" w:cs="Times New Roman"/>
            <w:bCs/>
            <w:noProof/>
            <w:color w:val="4C4747"/>
            <w:sz w:val="24"/>
            <w:szCs w:val="24"/>
            <w:lang w:val="es-DO" w:eastAsia="es-DO"/>
          </w:rPr>
          <w:t>Nivel de la Satisfacción con el Servicio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_Toc122425252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185</w:t>
        </w:r>
        <w:r w:rsidRPr="00376423">
          <w:rPr>
            <w:rFonts w:ascii="Times New Roman" w:hAnsi="Times New Roman" w:cs="Times New Roman"/>
            <w:noProof/>
            <w:webHidden/>
            <w:color w:val="4C4747"/>
            <w:sz w:val="24"/>
            <w:szCs w:val="24"/>
          </w:rPr>
          <w:fldChar w:fldCharType="end"/>
        </w:r>
      </w:hyperlink>
    </w:p>
    <w:p w14:paraId="5F35F542"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53" w:history="1">
        <w:r w:rsidRPr="00376423">
          <w:rPr>
            <w:rStyle w:val="Hipervnculo"/>
            <w:rFonts w:ascii="Times New Roman" w:eastAsia="Calibri" w:hAnsi="Times New Roman" w:cs="Times New Roman"/>
            <w:noProof/>
            <w:color w:val="4C4747"/>
            <w:spacing w:val="20"/>
            <w:sz w:val="24"/>
            <w:szCs w:val="24"/>
            <w:lang w:val="es-DO"/>
          </w:rPr>
          <w:t xml:space="preserve">5.2 </w:t>
        </w:r>
        <w:r w:rsidRPr="00376423">
          <w:rPr>
            <w:rStyle w:val="Hipervnculo"/>
            <w:rFonts w:ascii="Times New Roman" w:eastAsia="Times New Roman" w:hAnsi="Times New Roman" w:cs="Times New Roman"/>
            <w:bCs/>
            <w:noProof/>
            <w:color w:val="4C4747"/>
            <w:sz w:val="24"/>
            <w:szCs w:val="24"/>
            <w:lang w:val="es-DO" w:eastAsia="es-DO"/>
          </w:rPr>
          <w:t>Nivel de Cumplimiento Acceso a la Información</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_Toc122425253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185</w:t>
        </w:r>
        <w:r w:rsidRPr="00376423">
          <w:rPr>
            <w:rFonts w:ascii="Times New Roman" w:hAnsi="Times New Roman" w:cs="Times New Roman"/>
            <w:noProof/>
            <w:webHidden/>
            <w:color w:val="4C4747"/>
            <w:sz w:val="24"/>
            <w:szCs w:val="24"/>
          </w:rPr>
          <w:fldChar w:fldCharType="end"/>
        </w:r>
      </w:hyperlink>
    </w:p>
    <w:p w14:paraId="340ECC9A"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54" w:history="1">
        <w:r w:rsidRPr="00376423">
          <w:rPr>
            <w:rStyle w:val="Hipervnculo"/>
            <w:rFonts w:ascii="Times New Roman" w:eastAsia="Calibri" w:hAnsi="Times New Roman" w:cs="Times New Roman"/>
            <w:noProof/>
            <w:color w:val="4C4747"/>
            <w:spacing w:val="20"/>
            <w:sz w:val="24"/>
            <w:szCs w:val="24"/>
            <w:lang w:val="es-DO"/>
          </w:rPr>
          <w:t xml:space="preserve">5.3 </w:t>
        </w:r>
        <w:r w:rsidRPr="00376423">
          <w:rPr>
            <w:rStyle w:val="Hipervnculo"/>
            <w:rFonts w:ascii="Times New Roman" w:eastAsia="Times New Roman" w:hAnsi="Times New Roman" w:cs="Times New Roman"/>
            <w:bCs/>
            <w:noProof/>
            <w:color w:val="4C4747"/>
            <w:sz w:val="24"/>
            <w:szCs w:val="24"/>
            <w:lang w:val="es-DO" w:eastAsia="es-DO"/>
          </w:rPr>
          <w:t>Resultado Sistema de Quejas, Reclamos y Sugerencias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_Toc122425254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186</w:t>
        </w:r>
        <w:r w:rsidRPr="00376423">
          <w:rPr>
            <w:rFonts w:ascii="Times New Roman" w:hAnsi="Times New Roman" w:cs="Times New Roman"/>
            <w:noProof/>
            <w:webHidden/>
            <w:color w:val="4C4747"/>
            <w:sz w:val="24"/>
            <w:szCs w:val="24"/>
          </w:rPr>
          <w:fldChar w:fldCharType="end"/>
        </w:r>
      </w:hyperlink>
    </w:p>
    <w:p w14:paraId="36CC11CD" w14:textId="77777777" w:rsidR="00376423" w:rsidRPr="00376423" w:rsidRDefault="00376423">
      <w:pPr>
        <w:pStyle w:val="TDC3"/>
        <w:tabs>
          <w:tab w:val="right" w:leader="dot" w:pos="9350"/>
        </w:tabs>
        <w:rPr>
          <w:rFonts w:ascii="Times New Roman" w:eastAsiaTheme="minorEastAsia" w:hAnsi="Times New Roman" w:cs="Times New Roman"/>
          <w:noProof/>
          <w:color w:val="4C4747"/>
          <w:sz w:val="24"/>
          <w:szCs w:val="24"/>
        </w:rPr>
      </w:pPr>
      <w:hyperlink w:anchor="_Toc122425255" w:history="1">
        <w:r w:rsidRPr="00376423">
          <w:rPr>
            <w:rStyle w:val="Hipervnculo"/>
            <w:rFonts w:ascii="Times New Roman" w:eastAsia="Times New Roman" w:hAnsi="Times New Roman" w:cs="Times New Roman"/>
            <w:bCs/>
            <w:noProof/>
            <w:color w:val="4C4747"/>
            <w:sz w:val="24"/>
            <w:szCs w:val="24"/>
            <w:lang w:val="es-DO" w:eastAsia="es-DO"/>
          </w:rPr>
          <w:t>5.4 Resultado Mediciones del Portal de Transparencia</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_Toc122425255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187</w:t>
        </w:r>
        <w:r w:rsidRPr="00376423">
          <w:rPr>
            <w:rFonts w:ascii="Times New Roman" w:hAnsi="Times New Roman" w:cs="Times New Roman"/>
            <w:noProof/>
            <w:webHidden/>
            <w:color w:val="4C4747"/>
            <w:sz w:val="24"/>
            <w:szCs w:val="24"/>
          </w:rPr>
          <w:fldChar w:fldCharType="end"/>
        </w:r>
      </w:hyperlink>
    </w:p>
    <w:p w14:paraId="4DD3C7DA" w14:textId="77777777" w:rsidR="00376423" w:rsidRPr="00376423" w:rsidRDefault="00376423">
      <w:pPr>
        <w:pStyle w:val="TDC1"/>
        <w:tabs>
          <w:tab w:val="left" w:pos="660"/>
          <w:tab w:val="right" w:leader="dot" w:pos="9350"/>
        </w:tabs>
        <w:rPr>
          <w:rFonts w:ascii="Times New Roman" w:eastAsiaTheme="minorEastAsia" w:hAnsi="Times New Roman" w:cs="Times New Roman"/>
          <w:noProof/>
          <w:color w:val="4C4747"/>
          <w:sz w:val="24"/>
          <w:szCs w:val="24"/>
        </w:rPr>
      </w:pPr>
      <w:hyperlink w:anchor="_Toc122425256" w:history="1">
        <w:r w:rsidRPr="00376423">
          <w:rPr>
            <w:rStyle w:val="Hipervnculo"/>
            <w:rFonts w:ascii="Times New Roman" w:hAnsi="Times New Roman" w:cs="Times New Roman"/>
            <w:noProof/>
            <w:color w:val="4C4747"/>
            <w:sz w:val="24"/>
            <w:szCs w:val="24"/>
            <w:lang w:val="es-DO"/>
          </w:rPr>
          <w:t>VI.</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PROYECCIONES AL PROXIMO AÑO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_Toc122425256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189</w:t>
        </w:r>
        <w:r w:rsidRPr="00376423">
          <w:rPr>
            <w:rFonts w:ascii="Times New Roman" w:hAnsi="Times New Roman" w:cs="Times New Roman"/>
            <w:noProof/>
            <w:webHidden/>
            <w:color w:val="4C4747"/>
            <w:sz w:val="24"/>
            <w:szCs w:val="24"/>
          </w:rPr>
          <w:fldChar w:fldCharType="end"/>
        </w:r>
      </w:hyperlink>
    </w:p>
    <w:p w14:paraId="50A6E2FE" w14:textId="77777777" w:rsidR="00376423" w:rsidRPr="00376423" w:rsidRDefault="00376423">
      <w:pPr>
        <w:pStyle w:val="TDC1"/>
        <w:tabs>
          <w:tab w:val="left" w:pos="660"/>
          <w:tab w:val="right" w:leader="dot" w:pos="9350"/>
        </w:tabs>
        <w:rPr>
          <w:rFonts w:ascii="Times New Roman" w:eastAsiaTheme="minorEastAsia" w:hAnsi="Times New Roman" w:cs="Times New Roman"/>
          <w:noProof/>
          <w:color w:val="4C4747"/>
          <w:sz w:val="24"/>
          <w:szCs w:val="24"/>
        </w:rPr>
      </w:pPr>
      <w:hyperlink w:anchor="_Toc122425257" w:history="1">
        <w:r w:rsidRPr="00376423">
          <w:rPr>
            <w:rStyle w:val="Hipervnculo"/>
            <w:rFonts w:ascii="Times New Roman" w:hAnsi="Times New Roman" w:cs="Times New Roman"/>
            <w:noProof/>
            <w:color w:val="4C4747"/>
            <w:sz w:val="24"/>
            <w:szCs w:val="24"/>
            <w:lang w:val="es-DO"/>
          </w:rPr>
          <w:t>VII.</w:t>
        </w:r>
        <w:r w:rsidRPr="00376423">
          <w:rPr>
            <w:rFonts w:ascii="Times New Roman" w:eastAsiaTheme="minorEastAsia" w:hAnsi="Times New Roman" w:cs="Times New Roman"/>
            <w:noProof/>
            <w:color w:val="4C4747"/>
            <w:sz w:val="24"/>
            <w:szCs w:val="24"/>
          </w:rPr>
          <w:tab/>
        </w:r>
        <w:r w:rsidRPr="00376423">
          <w:rPr>
            <w:rStyle w:val="Hipervnculo"/>
            <w:rFonts w:ascii="Times New Roman" w:hAnsi="Times New Roman" w:cs="Times New Roman"/>
            <w:noProof/>
            <w:color w:val="4C4747"/>
            <w:sz w:val="24"/>
            <w:szCs w:val="24"/>
            <w:lang w:val="es-DO"/>
          </w:rPr>
          <w:t>ANEXOS</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_Toc122425257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195</w:t>
        </w:r>
        <w:r w:rsidRPr="00376423">
          <w:rPr>
            <w:rFonts w:ascii="Times New Roman" w:hAnsi="Times New Roman" w:cs="Times New Roman"/>
            <w:noProof/>
            <w:webHidden/>
            <w:color w:val="4C4747"/>
            <w:sz w:val="24"/>
            <w:szCs w:val="24"/>
          </w:rPr>
          <w:fldChar w:fldCharType="end"/>
        </w:r>
      </w:hyperlink>
    </w:p>
    <w:p w14:paraId="2D5EFA39" w14:textId="77777777" w:rsidR="00376423" w:rsidRPr="00376423" w:rsidRDefault="00376423">
      <w:pPr>
        <w:pStyle w:val="TDC3"/>
        <w:tabs>
          <w:tab w:val="left" w:pos="880"/>
          <w:tab w:val="right" w:leader="dot" w:pos="9350"/>
        </w:tabs>
        <w:rPr>
          <w:rFonts w:ascii="Times New Roman" w:eastAsiaTheme="minorEastAsia" w:hAnsi="Times New Roman" w:cs="Times New Roman"/>
          <w:noProof/>
          <w:color w:val="4C4747"/>
          <w:sz w:val="24"/>
          <w:szCs w:val="24"/>
        </w:rPr>
      </w:pPr>
      <w:hyperlink w:anchor="_Toc122425258" w:history="1">
        <w:r w:rsidRPr="00376423">
          <w:rPr>
            <w:rStyle w:val="Hipervnculo"/>
            <w:rFonts w:ascii="Times New Roman" w:eastAsia="Times New Roman" w:hAnsi="Times New Roman" w:cs="Times New Roman"/>
            <w:bCs/>
            <w:noProof/>
            <w:color w:val="4C4747"/>
            <w:sz w:val="24"/>
            <w:szCs w:val="24"/>
            <w:lang w:val="es-DO" w:eastAsia="es-DO"/>
          </w:rPr>
          <w:t>a.</w:t>
        </w:r>
        <w:r w:rsidRPr="00376423">
          <w:rPr>
            <w:rFonts w:ascii="Times New Roman" w:eastAsiaTheme="minorEastAsia" w:hAnsi="Times New Roman" w:cs="Times New Roman"/>
            <w:noProof/>
            <w:color w:val="4C4747"/>
            <w:sz w:val="24"/>
            <w:szCs w:val="24"/>
          </w:rPr>
          <w:tab/>
        </w:r>
        <w:r w:rsidRPr="00376423">
          <w:rPr>
            <w:rStyle w:val="Hipervnculo"/>
            <w:rFonts w:ascii="Times New Roman" w:eastAsia="Times New Roman" w:hAnsi="Times New Roman" w:cs="Times New Roman"/>
            <w:bCs/>
            <w:noProof/>
            <w:color w:val="4C4747"/>
            <w:sz w:val="24"/>
            <w:szCs w:val="24"/>
            <w:lang w:val="es-DO" w:eastAsia="es-DO"/>
          </w:rPr>
          <w:t>Matriz de Principales Indicadores de Gestión por Proceso</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_Toc122425258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195</w:t>
        </w:r>
        <w:r w:rsidRPr="00376423">
          <w:rPr>
            <w:rFonts w:ascii="Times New Roman" w:hAnsi="Times New Roman" w:cs="Times New Roman"/>
            <w:noProof/>
            <w:webHidden/>
            <w:color w:val="4C4747"/>
            <w:sz w:val="24"/>
            <w:szCs w:val="24"/>
          </w:rPr>
          <w:fldChar w:fldCharType="end"/>
        </w:r>
      </w:hyperlink>
    </w:p>
    <w:p w14:paraId="2FB22F48" w14:textId="77777777" w:rsidR="00376423" w:rsidRPr="00376423" w:rsidRDefault="00376423">
      <w:pPr>
        <w:pStyle w:val="TDC3"/>
        <w:tabs>
          <w:tab w:val="left" w:pos="880"/>
          <w:tab w:val="right" w:leader="dot" w:pos="9350"/>
        </w:tabs>
        <w:rPr>
          <w:rFonts w:ascii="Times New Roman" w:eastAsiaTheme="minorEastAsia" w:hAnsi="Times New Roman" w:cs="Times New Roman"/>
          <w:noProof/>
          <w:color w:val="4C4747"/>
          <w:sz w:val="24"/>
          <w:szCs w:val="24"/>
        </w:rPr>
      </w:pPr>
      <w:hyperlink w:anchor="_Toc122425259" w:history="1">
        <w:r w:rsidRPr="00376423">
          <w:rPr>
            <w:rStyle w:val="Hipervnculo"/>
            <w:rFonts w:ascii="Times New Roman" w:eastAsia="Times New Roman" w:hAnsi="Times New Roman" w:cs="Times New Roman"/>
            <w:bCs/>
            <w:noProof/>
            <w:color w:val="4C4747"/>
            <w:sz w:val="24"/>
            <w:szCs w:val="24"/>
            <w:lang w:val="es-DO" w:eastAsia="es-DO"/>
          </w:rPr>
          <w:t>b.</w:t>
        </w:r>
        <w:r w:rsidRPr="00376423">
          <w:rPr>
            <w:rFonts w:ascii="Times New Roman" w:eastAsiaTheme="minorEastAsia" w:hAnsi="Times New Roman" w:cs="Times New Roman"/>
            <w:noProof/>
            <w:color w:val="4C4747"/>
            <w:sz w:val="24"/>
            <w:szCs w:val="24"/>
          </w:rPr>
          <w:tab/>
        </w:r>
        <w:r w:rsidRPr="00376423">
          <w:rPr>
            <w:rStyle w:val="Hipervnculo"/>
            <w:rFonts w:ascii="Times New Roman" w:eastAsia="Times New Roman" w:hAnsi="Times New Roman" w:cs="Times New Roman"/>
            <w:bCs/>
            <w:noProof/>
            <w:color w:val="4C4747"/>
            <w:sz w:val="24"/>
            <w:szCs w:val="24"/>
            <w:lang w:val="es-DO" w:eastAsia="es-DO"/>
          </w:rPr>
          <w:t>Matriz Índice de Gestión Presupuestaria Anual (IGP)</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_Toc122425259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203</w:t>
        </w:r>
        <w:r w:rsidRPr="00376423">
          <w:rPr>
            <w:rFonts w:ascii="Times New Roman" w:hAnsi="Times New Roman" w:cs="Times New Roman"/>
            <w:noProof/>
            <w:webHidden/>
            <w:color w:val="4C4747"/>
            <w:sz w:val="24"/>
            <w:szCs w:val="24"/>
          </w:rPr>
          <w:fldChar w:fldCharType="end"/>
        </w:r>
      </w:hyperlink>
    </w:p>
    <w:p w14:paraId="61CC9713" w14:textId="77777777" w:rsidR="00376423" w:rsidRPr="00376423" w:rsidRDefault="00376423">
      <w:pPr>
        <w:pStyle w:val="TDC3"/>
        <w:tabs>
          <w:tab w:val="left" w:pos="880"/>
          <w:tab w:val="right" w:leader="dot" w:pos="9350"/>
        </w:tabs>
        <w:rPr>
          <w:rFonts w:ascii="Times New Roman" w:eastAsiaTheme="minorEastAsia" w:hAnsi="Times New Roman" w:cs="Times New Roman"/>
          <w:noProof/>
          <w:color w:val="4C4747"/>
          <w:sz w:val="24"/>
          <w:szCs w:val="24"/>
        </w:rPr>
      </w:pPr>
      <w:hyperlink w:anchor="_Toc122425260" w:history="1">
        <w:r w:rsidRPr="00376423">
          <w:rPr>
            <w:rStyle w:val="Hipervnculo"/>
            <w:rFonts w:ascii="Times New Roman" w:eastAsia="Calibri" w:hAnsi="Times New Roman" w:cs="Times New Roman"/>
            <w:noProof/>
            <w:color w:val="4C4747"/>
            <w:spacing w:val="20"/>
            <w:sz w:val="24"/>
            <w:szCs w:val="24"/>
            <w:lang w:val="es-DO"/>
          </w:rPr>
          <w:t>c.</w:t>
        </w:r>
        <w:r w:rsidRPr="00376423">
          <w:rPr>
            <w:rFonts w:ascii="Times New Roman" w:eastAsiaTheme="minorEastAsia" w:hAnsi="Times New Roman" w:cs="Times New Roman"/>
            <w:noProof/>
            <w:color w:val="4C4747"/>
            <w:sz w:val="24"/>
            <w:szCs w:val="24"/>
          </w:rPr>
          <w:tab/>
        </w:r>
        <w:r w:rsidRPr="00376423">
          <w:rPr>
            <w:rStyle w:val="Hipervnculo"/>
            <w:rFonts w:ascii="Times New Roman" w:eastAsia="Calibri" w:hAnsi="Times New Roman" w:cs="Times New Roman"/>
            <w:noProof/>
            <w:color w:val="4C4747"/>
            <w:spacing w:val="20"/>
            <w:sz w:val="24"/>
            <w:szCs w:val="24"/>
            <w:lang w:val="es-DO"/>
          </w:rPr>
          <w:t xml:space="preserve">Plan Anual de </w:t>
        </w:r>
        <w:r w:rsidRPr="00376423">
          <w:rPr>
            <w:rStyle w:val="Hipervnculo"/>
            <w:rFonts w:ascii="Times New Roman" w:eastAsia="Calibri" w:hAnsi="Times New Roman" w:cs="Times New Roman"/>
            <w:noProof/>
            <w:color w:val="4C4747"/>
            <w:spacing w:val="20"/>
            <w:sz w:val="24"/>
            <w:szCs w:val="24"/>
            <w:lang w:val="es-DO"/>
          </w:rPr>
          <w:t>C</w:t>
        </w:r>
        <w:r w:rsidRPr="00376423">
          <w:rPr>
            <w:rStyle w:val="Hipervnculo"/>
            <w:rFonts w:ascii="Times New Roman" w:eastAsia="Calibri" w:hAnsi="Times New Roman" w:cs="Times New Roman"/>
            <w:noProof/>
            <w:color w:val="4C4747"/>
            <w:spacing w:val="20"/>
            <w:sz w:val="24"/>
            <w:szCs w:val="24"/>
            <w:lang w:val="es-DO"/>
          </w:rPr>
          <w:t>ompras y Contrataciones (PACC)</w:t>
        </w:r>
        <w:r w:rsidRPr="00376423">
          <w:rPr>
            <w:rFonts w:ascii="Times New Roman" w:hAnsi="Times New Roman" w:cs="Times New Roman"/>
            <w:noProof/>
            <w:webHidden/>
            <w:color w:val="4C4747"/>
            <w:sz w:val="24"/>
            <w:szCs w:val="24"/>
          </w:rPr>
          <w:tab/>
        </w:r>
        <w:r w:rsidRPr="00376423">
          <w:rPr>
            <w:rFonts w:ascii="Times New Roman" w:hAnsi="Times New Roman" w:cs="Times New Roman"/>
            <w:noProof/>
            <w:webHidden/>
            <w:color w:val="4C4747"/>
            <w:sz w:val="24"/>
            <w:szCs w:val="24"/>
          </w:rPr>
          <w:fldChar w:fldCharType="begin"/>
        </w:r>
        <w:r w:rsidRPr="00376423">
          <w:rPr>
            <w:rFonts w:ascii="Times New Roman" w:hAnsi="Times New Roman" w:cs="Times New Roman"/>
            <w:noProof/>
            <w:webHidden/>
            <w:color w:val="4C4747"/>
            <w:sz w:val="24"/>
            <w:szCs w:val="24"/>
          </w:rPr>
          <w:instrText xml:space="preserve"> PAGEREF _Toc122425260 \h </w:instrText>
        </w:r>
        <w:r w:rsidRPr="00376423">
          <w:rPr>
            <w:rFonts w:ascii="Times New Roman" w:hAnsi="Times New Roman" w:cs="Times New Roman"/>
            <w:noProof/>
            <w:webHidden/>
            <w:color w:val="4C4747"/>
            <w:sz w:val="24"/>
            <w:szCs w:val="24"/>
          </w:rPr>
        </w:r>
        <w:r w:rsidRPr="00376423">
          <w:rPr>
            <w:rFonts w:ascii="Times New Roman" w:hAnsi="Times New Roman" w:cs="Times New Roman"/>
            <w:noProof/>
            <w:webHidden/>
            <w:color w:val="4C4747"/>
            <w:sz w:val="24"/>
            <w:szCs w:val="24"/>
          </w:rPr>
          <w:fldChar w:fldCharType="separate"/>
        </w:r>
        <w:r w:rsidRPr="00376423">
          <w:rPr>
            <w:rFonts w:ascii="Times New Roman" w:hAnsi="Times New Roman" w:cs="Times New Roman"/>
            <w:noProof/>
            <w:webHidden/>
            <w:color w:val="4C4747"/>
            <w:sz w:val="24"/>
            <w:szCs w:val="24"/>
          </w:rPr>
          <w:t>205</w:t>
        </w:r>
        <w:r w:rsidRPr="00376423">
          <w:rPr>
            <w:rFonts w:ascii="Times New Roman" w:hAnsi="Times New Roman" w:cs="Times New Roman"/>
            <w:noProof/>
            <w:webHidden/>
            <w:color w:val="4C4747"/>
            <w:sz w:val="24"/>
            <w:szCs w:val="24"/>
          </w:rPr>
          <w:fldChar w:fldCharType="end"/>
        </w:r>
      </w:hyperlink>
    </w:p>
    <w:p w14:paraId="1D64459B" w14:textId="5323FC79" w:rsidR="00545797" w:rsidRPr="00376423" w:rsidRDefault="00545797" w:rsidP="00CE6891">
      <w:pPr>
        <w:tabs>
          <w:tab w:val="left" w:pos="1703"/>
        </w:tabs>
        <w:ind w:left="567"/>
        <w:rPr>
          <w:rFonts w:ascii="Times New Roman" w:eastAsia="Calibri" w:hAnsi="Times New Roman" w:cs="Times New Roman"/>
          <w:color w:val="4C4747"/>
          <w:spacing w:val="20"/>
          <w:sz w:val="24"/>
          <w:szCs w:val="24"/>
          <w:lang w:val="es-DO"/>
        </w:rPr>
      </w:pPr>
      <w:r w:rsidRPr="00376423">
        <w:rPr>
          <w:rFonts w:ascii="Times New Roman" w:eastAsia="Calibri" w:hAnsi="Times New Roman" w:cs="Times New Roman"/>
          <w:color w:val="4C4747"/>
          <w:spacing w:val="20"/>
          <w:sz w:val="24"/>
          <w:szCs w:val="24"/>
          <w:lang w:val="es-DO"/>
        </w:rPr>
        <w:fldChar w:fldCharType="end"/>
      </w:r>
      <w:r w:rsidR="00CE6891" w:rsidRPr="00376423">
        <w:rPr>
          <w:rFonts w:ascii="Times New Roman" w:eastAsia="Calibri" w:hAnsi="Times New Roman" w:cs="Times New Roman"/>
          <w:color w:val="4C4747"/>
          <w:spacing w:val="20"/>
          <w:sz w:val="24"/>
          <w:szCs w:val="24"/>
          <w:lang w:val="es-DO"/>
        </w:rPr>
        <w:tab/>
      </w:r>
    </w:p>
    <w:p w14:paraId="7A99AC0D" w14:textId="746A6DF3" w:rsidR="005805BA" w:rsidRPr="00D37BE8" w:rsidRDefault="005805BA" w:rsidP="00B45B38">
      <w:pPr>
        <w:ind w:left="567"/>
        <w:rPr>
          <w:rFonts w:ascii="Times New Roman" w:hAnsi="Times New Roman" w:cs="Times New Roman"/>
          <w:bCs/>
          <w:color w:val="4C4747"/>
          <w:sz w:val="24"/>
          <w:szCs w:val="24"/>
          <w:lang w:val="es-DO"/>
        </w:rPr>
      </w:pPr>
    </w:p>
    <w:p w14:paraId="3208ED9A" w14:textId="1B8FFD32" w:rsidR="005805BA" w:rsidRPr="00D37BE8" w:rsidRDefault="005805BA" w:rsidP="00B45B38">
      <w:pPr>
        <w:ind w:left="567"/>
        <w:rPr>
          <w:rFonts w:ascii="Times New Roman" w:hAnsi="Times New Roman" w:cs="Times New Roman"/>
          <w:bCs/>
          <w:color w:val="4C4747"/>
          <w:sz w:val="24"/>
          <w:szCs w:val="24"/>
          <w:lang w:val="es-DO"/>
        </w:rPr>
      </w:pPr>
    </w:p>
    <w:p w14:paraId="58F64A0F" w14:textId="77777777" w:rsidR="00B56CA4" w:rsidRPr="00D37BE8" w:rsidRDefault="00B56CA4" w:rsidP="00B45B38">
      <w:pPr>
        <w:ind w:left="567"/>
        <w:rPr>
          <w:rFonts w:ascii="Times New Roman" w:hAnsi="Times New Roman" w:cs="Times New Roman"/>
          <w:bCs/>
          <w:color w:val="4C4747"/>
          <w:sz w:val="24"/>
          <w:szCs w:val="24"/>
          <w:lang w:val="es-DO"/>
        </w:rPr>
      </w:pPr>
    </w:p>
    <w:p w14:paraId="431C0082" w14:textId="77777777" w:rsidR="001240D0" w:rsidRPr="00D37BE8" w:rsidRDefault="001240D0" w:rsidP="00B45B38">
      <w:pPr>
        <w:ind w:left="567"/>
        <w:rPr>
          <w:rFonts w:ascii="Times New Roman" w:hAnsi="Times New Roman" w:cs="Times New Roman"/>
          <w:bCs/>
          <w:color w:val="4C4747"/>
          <w:sz w:val="24"/>
          <w:szCs w:val="24"/>
          <w:lang w:val="es-DO"/>
        </w:rPr>
      </w:pPr>
    </w:p>
    <w:p w14:paraId="1D06DA44" w14:textId="77777777" w:rsidR="001240D0" w:rsidRPr="00D37BE8" w:rsidRDefault="001240D0" w:rsidP="00B45B38">
      <w:pPr>
        <w:ind w:left="567"/>
        <w:rPr>
          <w:rFonts w:ascii="Times New Roman" w:hAnsi="Times New Roman" w:cs="Times New Roman"/>
          <w:bCs/>
          <w:color w:val="4C4747"/>
          <w:sz w:val="24"/>
          <w:szCs w:val="24"/>
          <w:lang w:val="es-DO"/>
        </w:rPr>
      </w:pPr>
    </w:p>
    <w:p w14:paraId="5BF0C1F2" w14:textId="77777777" w:rsidR="001240D0" w:rsidRPr="00D37BE8" w:rsidRDefault="001240D0" w:rsidP="00B45B38">
      <w:pPr>
        <w:ind w:left="567"/>
        <w:rPr>
          <w:rFonts w:ascii="Times New Roman" w:hAnsi="Times New Roman" w:cs="Times New Roman"/>
          <w:bCs/>
          <w:color w:val="4C4747"/>
          <w:sz w:val="24"/>
          <w:szCs w:val="24"/>
          <w:lang w:val="es-DO"/>
        </w:rPr>
      </w:pPr>
    </w:p>
    <w:p w14:paraId="345DC994" w14:textId="77777777" w:rsidR="001240D0" w:rsidRPr="00D37BE8" w:rsidRDefault="001240D0" w:rsidP="00B45B38">
      <w:pPr>
        <w:ind w:left="567"/>
        <w:rPr>
          <w:rFonts w:ascii="Times New Roman" w:hAnsi="Times New Roman" w:cs="Times New Roman"/>
          <w:bCs/>
          <w:color w:val="4C4747"/>
          <w:sz w:val="24"/>
          <w:szCs w:val="24"/>
          <w:lang w:val="es-DO"/>
        </w:rPr>
      </w:pPr>
    </w:p>
    <w:p w14:paraId="7AF83319" w14:textId="77777777" w:rsidR="001240D0" w:rsidRPr="00D37BE8" w:rsidRDefault="001240D0" w:rsidP="00B45B38">
      <w:pPr>
        <w:ind w:left="567"/>
        <w:rPr>
          <w:rFonts w:ascii="Times New Roman" w:hAnsi="Times New Roman" w:cs="Times New Roman"/>
          <w:bCs/>
          <w:color w:val="4C4747"/>
          <w:sz w:val="24"/>
          <w:szCs w:val="24"/>
          <w:lang w:val="es-DO"/>
        </w:rPr>
      </w:pPr>
    </w:p>
    <w:p w14:paraId="455BA144" w14:textId="77777777" w:rsidR="001240D0" w:rsidRPr="00D37BE8" w:rsidRDefault="001240D0" w:rsidP="00B45B38">
      <w:pPr>
        <w:ind w:left="567"/>
        <w:rPr>
          <w:rFonts w:ascii="Times New Roman" w:hAnsi="Times New Roman" w:cs="Times New Roman"/>
          <w:bCs/>
          <w:color w:val="4C4747"/>
          <w:sz w:val="24"/>
          <w:szCs w:val="24"/>
          <w:lang w:val="es-DO"/>
        </w:rPr>
      </w:pPr>
    </w:p>
    <w:p w14:paraId="161E6471" w14:textId="77777777" w:rsidR="001240D0" w:rsidRPr="00D37BE8" w:rsidRDefault="001240D0" w:rsidP="00B45B38">
      <w:pPr>
        <w:ind w:left="567"/>
        <w:rPr>
          <w:rFonts w:ascii="Times New Roman" w:hAnsi="Times New Roman" w:cs="Times New Roman"/>
          <w:bCs/>
          <w:color w:val="4C4747"/>
          <w:sz w:val="24"/>
          <w:szCs w:val="24"/>
          <w:lang w:val="es-DO"/>
        </w:rPr>
      </w:pPr>
    </w:p>
    <w:p w14:paraId="4498CB1A" w14:textId="77777777" w:rsidR="001240D0" w:rsidRPr="00D37BE8" w:rsidRDefault="001240D0" w:rsidP="00B45B38">
      <w:pPr>
        <w:ind w:left="567"/>
        <w:rPr>
          <w:rFonts w:ascii="Times New Roman" w:hAnsi="Times New Roman" w:cs="Times New Roman"/>
          <w:bCs/>
          <w:color w:val="4C4747"/>
          <w:sz w:val="24"/>
          <w:szCs w:val="24"/>
          <w:lang w:val="es-DO"/>
        </w:rPr>
      </w:pPr>
    </w:p>
    <w:p w14:paraId="0D2693A2" w14:textId="77777777" w:rsidR="001240D0" w:rsidRPr="00943FA5" w:rsidRDefault="001240D0" w:rsidP="00B45B38">
      <w:pPr>
        <w:ind w:left="567"/>
        <w:rPr>
          <w:rFonts w:ascii="Times New Roman" w:hAnsi="Times New Roman"/>
          <w:b/>
          <w:bCs/>
          <w:color w:val="767171"/>
          <w:sz w:val="24"/>
          <w:szCs w:val="24"/>
          <w:lang w:val="es-DO"/>
        </w:rPr>
      </w:pPr>
    </w:p>
    <w:p w14:paraId="6EED8B43" w14:textId="77777777" w:rsidR="001240D0" w:rsidRPr="00943FA5" w:rsidRDefault="001240D0" w:rsidP="00B45B38">
      <w:pPr>
        <w:ind w:left="567"/>
        <w:rPr>
          <w:rFonts w:ascii="Times New Roman" w:hAnsi="Times New Roman"/>
          <w:b/>
          <w:bCs/>
          <w:color w:val="767171"/>
          <w:sz w:val="24"/>
          <w:szCs w:val="24"/>
          <w:lang w:val="es-DO"/>
        </w:rPr>
      </w:pPr>
    </w:p>
    <w:p w14:paraId="0B5408DD" w14:textId="77777777" w:rsidR="001240D0" w:rsidRPr="00943FA5" w:rsidRDefault="001240D0" w:rsidP="00B45B38">
      <w:pPr>
        <w:ind w:left="567"/>
        <w:rPr>
          <w:rFonts w:ascii="Times New Roman" w:hAnsi="Times New Roman"/>
          <w:b/>
          <w:bCs/>
          <w:color w:val="767171"/>
          <w:sz w:val="24"/>
          <w:szCs w:val="24"/>
          <w:lang w:val="es-DO"/>
        </w:rPr>
      </w:pPr>
    </w:p>
    <w:p w14:paraId="30804AF3" w14:textId="77777777" w:rsidR="001240D0" w:rsidRPr="00943FA5" w:rsidRDefault="001240D0" w:rsidP="00B45B38">
      <w:pPr>
        <w:ind w:left="567"/>
        <w:rPr>
          <w:rFonts w:ascii="Times New Roman" w:hAnsi="Times New Roman"/>
          <w:b/>
          <w:bCs/>
          <w:color w:val="767171"/>
          <w:sz w:val="24"/>
          <w:szCs w:val="24"/>
          <w:lang w:val="es-DO"/>
        </w:rPr>
      </w:pPr>
    </w:p>
    <w:p w14:paraId="1DBDA006" w14:textId="4D806799" w:rsidR="001240D0" w:rsidRPr="008E6046" w:rsidRDefault="001240D0">
      <w:pPr>
        <w:rPr>
          <w:lang w:val="es-DO"/>
        </w:rPr>
        <w:sectPr w:rsidR="001240D0" w:rsidRPr="008E6046" w:rsidSect="009904DB">
          <w:footerReference w:type="first" r:id="rId12"/>
          <w:pgSz w:w="12240" w:h="15840"/>
          <w:pgMar w:top="1440" w:right="1440" w:bottom="1440" w:left="1440" w:header="720" w:footer="720" w:gutter="0"/>
          <w:cols w:space="720"/>
          <w:docGrid w:linePitch="360"/>
        </w:sectPr>
      </w:pPr>
    </w:p>
    <w:p w14:paraId="649D29AD" w14:textId="4031535B" w:rsidR="001240D0" w:rsidRPr="00B17F70" w:rsidRDefault="001240D0" w:rsidP="00A02BDE">
      <w:pPr>
        <w:pStyle w:val="Ttulo1"/>
        <w:numPr>
          <w:ilvl w:val="0"/>
          <w:numId w:val="27"/>
        </w:numPr>
        <w:ind w:left="270"/>
        <w:jc w:val="center"/>
        <w:rPr>
          <w:b/>
          <w:color w:val="4C4747"/>
          <w:lang w:val="es-DO"/>
        </w:rPr>
      </w:pPr>
      <w:bookmarkStart w:id="1" w:name="_Hlk86403204"/>
      <w:bookmarkStart w:id="2" w:name="_Toc122425225"/>
      <w:r w:rsidRPr="00B17F70">
        <w:rPr>
          <w:b/>
          <w:color w:val="4C4747"/>
          <w:lang w:val="es-DO"/>
        </w:rPr>
        <w:lastRenderedPageBreak/>
        <w:t>RESUMEN EJECUTIVO</w:t>
      </w:r>
      <w:bookmarkEnd w:id="2"/>
    </w:p>
    <w:p w14:paraId="7C54AF21" w14:textId="26B7214D" w:rsidR="001240D0" w:rsidRPr="00B17F70" w:rsidRDefault="00125D46" w:rsidP="001240D0">
      <w:pPr>
        <w:jc w:val="both"/>
        <w:rPr>
          <w:rFonts w:ascii="Times New Roman" w:eastAsia="Calibri" w:hAnsi="Times New Roman" w:cs="Times New Roman"/>
          <w:color w:val="4C4747"/>
          <w:sz w:val="18"/>
          <w:lang w:val="es-DO"/>
        </w:rPr>
      </w:pPr>
      <w:r w:rsidRPr="00B17F70">
        <w:rPr>
          <w:rFonts w:ascii="Times New Roman" w:eastAsia="Calibri" w:hAnsi="Times New Roman" w:cs="Times New Roman"/>
          <w:noProof/>
          <w:color w:val="4C4747"/>
          <w:sz w:val="18"/>
        </w:rPr>
        <mc:AlternateContent>
          <mc:Choice Requires="wps">
            <w:drawing>
              <wp:anchor distT="0" distB="0" distL="114300" distR="114300" simplePos="0" relativeHeight="251677696" behindDoc="0" locked="0" layoutInCell="1" allowOverlap="1" wp14:anchorId="5383067F" wp14:editId="701F7652">
                <wp:simplePos x="0" y="0"/>
                <wp:positionH relativeFrom="margin">
                  <wp:posOffset>2254250</wp:posOffset>
                </wp:positionH>
                <wp:positionV relativeFrom="paragraph">
                  <wp:posOffset>36830</wp:posOffset>
                </wp:positionV>
                <wp:extent cx="463550" cy="0"/>
                <wp:effectExtent l="22860" t="15875" r="18415" b="22225"/>
                <wp:wrapNone/>
                <wp:docPr id="21"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CCF91" id="Straight Connector 21" o:spid="_x0000_s1026" style="position:absolute;z-index:2516776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" strokecolor="#ee2a24" strokeweight="2.25pt">
                <v:stroke joinstyle="miter"/>
                <w10:wrap anchorx="margin"/>
              </v:line>
            </w:pict>
          </mc:Fallback>
        </mc:AlternateContent>
      </w:r>
    </w:p>
    <w:p w14:paraId="57CF8AA9" w14:textId="051F26DE" w:rsidR="001240D0" w:rsidRPr="00B17F70" w:rsidRDefault="0053121F" w:rsidP="001240D0">
      <w:pPr>
        <w:jc w:val="center"/>
        <w:rPr>
          <w:rFonts w:ascii="Times New Roman" w:eastAsia="Calibri" w:hAnsi="Times New Roman" w:cs="Times New Roman"/>
          <w:color w:val="4C4747"/>
          <w:spacing w:val="20"/>
          <w:sz w:val="24"/>
          <w:szCs w:val="36"/>
          <w:lang w:val="es-DO"/>
        </w:rPr>
      </w:pPr>
      <w:r w:rsidRPr="00B17F70">
        <w:rPr>
          <w:rFonts w:ascii="Times New Roman" w:eastAsia="Calibri" w:hAnsi="Times New Roman" w:cs="Times New Roman"/>
          <w:color w:val="4C4747"/>
          <w:spacing w:val="20"/>
          <w:sz w:val="24"/>
          <w:szCs w:val="36"/>
          <w:lang w:val="es-DO"/>
        </w:rPr>
        <w:t>Memoria institucional</w:t>
      </w:r>
      <w:r w:rsidR="001240D0" w:rsidRPr="00B17F70">
        <w:rPr>
          <w:rFonts w:ascii="Times New Roman" w:eastAsia="Calibri" w:hAnsi="Times New Roman" w:cs="Times New Roman"/>
          <w:color w:val="4C4747"/>
          <w:spacing w:val="20"/>
          <w:sz w:val="24"/>
          <w:szCs w:val="36"/>
          <w:lang w:val="es-DO"/>
        </w:rPr>
        <w:t xml:space="preserve"> 202</w:t>
      </w:r>
      <w:r w:rsidR="00C64CEF" w:rsidRPr="00B17F70">
        <w:rPr>
          <w:rFonts w:ascii="Times New Roman" w:eastAsia="Calibri" w:hAnsi="Times New Roman" w:cs="Times New Roman"/>
          <w:color w:val="4C4747"/>
          <w:spacing w:val="20"/>
          <w:sz w:val="24"/>
          <w:szCs w:val="36"/>
          <w:lang w:val="es-DO"/>
        </w:rPr>
        <w:t>2</w:t>
      </w:r>
    </w:p>
    <w:p w14:paraId="50075108" w14:textId="77777777" w:rsidR="001240D0" w:rsidRPr="008E6046" w:rsidRDefault="001240D0" w:rsidP="001240D0">
      <w:pPr>
        <w:spacing w:line="360" w:lineRule="auto"/>
        <w:jc w:val="both"/>
        <w:rPr>
          <w:rFonts w:ascii="Times New Roman" w:eastAsia="Calibri" w:hAnsi="Times New Roman" w:cs="Times New Roman"/>
          <w:color w:val="767171"/>
          <w:spacing w:val="20"/>
          <w:sz w:val="24"/>
          <w:szCs w:val="24"/>
          <w:lang w:val="es-DO"/>
        </w:rPr>
      </w:pPr>
    </w:p>
    <w:p w14:paraId="5F05B765" w14:textId="37C9CFFC"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A374FD">
        <w:rPr>
          <w:rFonts w:ascii="Times New Roman" w:eastAsia="Calibri" w:hAnsi="Times New Roman" w:cs="Times New Roman"/>
          <w:color w:val="4C4747"/>
          <w:spacing w:val="20"/>
          <w:sz w:val="24"/>
          <w:szCs w:val="24"/>
          <w:lang w:val="es-DO"/>
        </w:rPr>
        <w:t>El Instituto Dominicano de las Telecomunicaciones (INDOTEL), órgano regulador de las telecomunicac</w:t>
      </w:r>
      <w:r w:rsidR="00740594" w:rsidRPr="00A374FD">
        <w:rPr>
          <w:rFonts w:ascii="Times New Roman" w:eastAsia="Calibri" w:hAnsi="Times New Roman" w:cs="Times New Roman"/>
          <w:color w:val="4C4747"/>
          <w:spacing w:val="20"/>
          <w:sz w:val="24"/>
          <w:szCs w:val="24"/>
          <w:lang w:val="es-DO"/>
        </w:rPr>
        <w:t>iones</w:t>
      </w:r>
      <w:r w:rsidRPr="00A374FD">
        <w:rPr>
          <w:rFonts w:ascii="Times New Roman" w:eastAsia="Calibri" w:hAnsi="Times New Roman" w:cs="Times New Roman"/>
          <w:color w:val="4C4747"/>
          <w:spacing w:val="20"/>
          <w:sz w:val="24"/>
          <w:szCs w:val="24"/>
          <w:lang w:val="es-DO"/>
        </w:rPr>
        <w:t xml:space="preserve"> en el ejercicio de las facultades que le confiere la Ley General de Telecomunicaciones, número 153-98, presenta un resumen ejecutivo de su </w:t>
      </w:r>
      <w:r w:rsidRPr="00855BE2">
        <w:rPr>
          <w:rFonts w:ascii="Times New Roman" w:eastAsia="Calibri" w:hAnsi="Times New Roman" w:cs="Times New Roman"/>
          <w:color w:val="4C4747"/>
          <w:spacing w:val="20"/>
          <w:sz w:val="24"/>
          <w:szCs w:val="24"/>
          <w:lang w:val="es-DO"/>
        </w:rPr>
        <w:t>accionar durante el año 2022, en el cual se plasman las principales actividades que se desarrollaron para el cumplimiento de los compromisos asumidos en los instrumentos de planificación y presupuesto, alineados a la Estrategia Nacional de Desarrollo (END) 2030, el Plan Nacional Plurianual del Sector Público (PNPSP), los Objetivos de Desarrollo Sostenible (ODS), el Plan Estratégico Institucional (PEI), el Plan Operativo Anual (POA) y co</w:t>
      </w:r>
      <w:r w:rsidR="00A27BA0" w:rsidRPr="00855BE2">
        <w:rPr>
          <w:rFonts w:ascii="Times New Roman" w:eastAsia="Calibri" w:hAnsi="Times New Roman" w:cs="Times New Roman"/>
          <w:color w:val="4C4747"/>
          <w:spacing w:val="20"/>
          <w:sz w:val="24"/>
          <w:szCs w:val="24"/>
          <w:lang w:val="es-DO"/>
        </w:rPr>
        <w:t xml:space="preserve">nforme a su misión. </w:t>
      </w:r>
    </w:p>
    <w:p w14:paraId="7D61937D" w14:textId="130A3E16" w:rsidR="0005304D" w:rsidRPr="00855BE2" w:rsidRDefault="007509F5"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 xml:space="preserve">A fin de </w:t>
      </w:r>
      <w:r w:rsidR="0005304D" w:rsidRPr="00855BE2">
        <w:rPr>
          <w:rFonts w:ascii="Times New Roman" w:eastAsia="Calibri" w:hAnsi="Times New Roman" w:cs="Times New Roman"/>
          <w:color w:val="4C4747"/>
          <w:spacing w:val="20"/>
          <w:sz w:val="24"/>
          <w:szCs w:val="24"/>
          <w:lang w:val="es-DO"/>
        </w:rPr>
        <w:t>promover las condiciones de prestación de los servicios en té</w:t>
      </w:r>
      <w:r w:rsidR="00F65C89">
        <w:rPr>
          <w:rFonts w:ascii="Times New Roman" w:eastAsia="Calibri" w:hAnsi="Times New Roman" w:cs="Times New Roman"/>
          <w:color w:val="4C4747"/>
          <w:spacing w:val="20"/>
          <w:sz w:val="24"/>
          <w:szCs w:val="24"/>
          <w:lang w:val="es-DO"/>
        </w:rPr>
        <w:t>rminos de calidad y precio y puedan contribuir</w:t>
      </w:r>
      <w:r w:rsidR="0005304D" w:rsidRPr="00855BE2">
        <w:rPr>
          <w:rFonts w:ascii="Times New Roman" w:eastAsia="Calibri" w:hAnsi="Times New Roman" w:cs="Times New Roman"/>
          <w:color w:val="4C4747"/>
          <w:spacing w:val="20"/>
          <w:sz w:val="24"/>
          <w:szCs w:val="24"/>
          <w:lang w:val="es-DO"/>
        </w:rPr>
        <w:t xml:space="preserve"> con el desarrollo productivo del país, el Consejo </w:t>
      </w:r>
      <w:r w:rsidR="009124FD" w:rsidRPr="00855BE2">
        <w:rPr>
          <w:rFonts w:ascii="Times New Roman" w:eastAsia="Calibri" w:hAnsi="Times New Roman" w:cs="Times New Roman"/>
          <w:color w:val="4C4747"/>
          <w:spacing w:val="20"/>
          <w:sz w:val="24"/>
          <w:szCs w:val="24"/>
          <w:lang w:val="es-DO"/>
        </w:rPr>
        <w:t>Directivo del INDOTEL emitió la Resolución</w:t>
      </w:r>
      <w:r w:rsidR="00F557D6">
        <w:rPr>
          <w:rFonts w:ascii="Times New Roman" w:eastAsia="Calibri" w:hAnsi="Times New Roman" w:cs="Times New Roman"/>
          <w:color w:val="4C4747"/>
          <w:spacing w:val="20"/>
          <w:sz w:val="24"/>
          <w:szCs w:val="24"/>
          <w:lang w:val="es-DO"/>
        </w:rPr>
        <w:t xml:space="preserve"> Núm.</w:t>
      </w:r>
      <w:r w:rsidR="009124FD" w:rsidRPr="00855BE2">
        <w:rPr>
          <w:rFonts w:ascii="Times New Roman" w:eastAsia="Calibri" w:hAnsi="Times New Roman" w:cs="Times New Roman"/>
          <w:color w:val="4C4747"/>
          <w:spacing w:val="20"/>
          <w:sz w:val="24"/>
          <w:szCs w:val="24"/>
          <w:lang w:val="es-DO"/>
        </w:rPr>
        <w:t xml:space="preserve"> </w:t>
      </w:r>
      <w:r w:rsidR="00F557D6">
        <w:rPr>
          <w:rFonts w:ascii="Times New Roman" w:eastAsia="Calibri" w:hAnsi="Times New Roman" w:cs="Times New Roman"/>
          <w:color w:val="4C4747"/>
          <w:spacing w:val="20"/>
          <w:sz w:val="24"/>
          <w:szCs w:val="24"/>
          <w:lang w:val="es-DO"/>
        </w:rPr>
        <w:t xml:space="preserve">022-2022 </w:t>
      </w:r>
      <w:r w:rsidR="009124FD" w:rsidRPr="00855BE2">
        <w:rPr>
          <w:rFonts w:ascii="Times New Roman" w:eastAsia="Calibri" w:hAnsi="Times New Roman" w:cs="Times New Roman"/>
          <w:color w:val="4C4747"/>
          <w:spacing w:val="20"/>
          <w:sz w:val="24"/>
          <w:szCs w:val="24"/>
          <w:lang w:val="es-DO"/>
        </w:rPr>
        <w:t>mediante la cual</w:t>
      </w:r>
      <w:r w:rsidR="0005304D" w:rsidRPr="00855BE2">
        <w:rPr>
          <w:rFonts w:ascii="Times New Roman" w:eastAsia="Calibri" w:hAnsi="Times New Roman" w:cs="Times New Roman"/>
          <w:color w:val="4C4747"/>
          <w:spacing w:val="20"/>
          <w:sz w:val="24"/>
          <w:szCs w:val="24"/>
          <w:lang w:val="es-DO"/>
        </w:rPr>
        <w:t xml:space="preserve"> </w:t>
      </w:r>
      <w:r w:rsidR="009124FD" w:rsidRPr="00855BE2">
        <w:rPr>
          <w:rFonts w:ascii="Times New Roman" w:eastAsia="Calibri" w:hAnsi="Times New Roman" w:cs="Times New Roman"/>
          <w:color w:val="4C4747"/>
          <w:spacing w:val="20"/>
          <w:sz w:val="24"/>
          <w:szCs w:val="24"/>
          <w:lang w:val="es-DO"/>
        </w:rPr>
        <w:t>aprobó</w:t>
      </w:r>
      <w:r w:rsidR="0005304D" w:rsidRPr="00855BE2">
        <w:rPr>
          <w:rFonts w:ascii="Times New Roman" w:eastAsia="Calibri" w:hAnsi="Times New Roman" w:cs="Times New Roman"/>
          <w:color w:val="4C4747"/>
          <w:spacing w:val="20"/>
          <w:sz w:val="24"/>
          <w:szCs w:val="24"/>
          <w:lang w:val="es-DO"/>
        </w:rPr>
        <w:t xml:space="preserve"> el nuevo Reglamento para la Celebración de Consultas y Audiencias Públicas para la Elaboración de Normas y Reglamentos del INDOTEL y </w:t>
      </w:r>
      <w:r w:rsidR="00BA3EE9">
        <w:rPr>
          <w:rFonts w:ascii="Times New Roman" w:eastAsia="Calibri" w:hAnsi="Times New Roman" w:cs="Times New Roman"/>
          <w:color w:val="4C4747"/>
          <w:spacing w:val="20"/>
          <w:sz w:val="24"/>
          <w:szCs w:val="24"/>
          <w:lang w:val="es-DO"/>
        </w:rPr>
        <w:t>la R</w:t>
      </w:r>
      <w:r w:rsidR="009124FD" w:rsidRPr="00855BE2">
        <w:rPr>
          <w:rFonts w:ascii="Times New Roman" w:eastAsia="Calibri" w:hAnsi="Times New Roman" w:cs="Times New Roman"/>
          <w:color w:val="4C4747"/>
          <w:spacing w:val="20"/>
          <w:sz w:val="24"/>
          <w:szCs w:val="24"/>
          <w:lang w:val="es-DO"/>
        </w:rPr>
        <w:t xml:space="preserve">esolución </w:t>
      </w:r>
      <w:r w:rsidR="00F557D6">
        <w:rPr>
          <w:rFonts w:ascii="Times New Roman" w:eastAsia="Calibri" w:hAnsi="Times New Roman" w:cs="Times New Roman"/>
          <w:color w:val="4C4747"/>
          <w:spacing w:val="20"/>
          <w:sz w:val="24"/>
          <w:szCs w:val="24"/>
          <w:lang w:val="es-DO"/>
        </w:rPr>
        <w:t>N</w:t>
      </w:r>
      <w:r w:rsidR="009124FD" w:rsidRPr="00855BE2">
        <w:rPr>
          <w:rFonts w:ascii="Times New Roman" w:eastAsia="Calibri" w:hAnsi="Times New Roman" w:cs="Times New Roman"/>
          <w:color w:val="4C4747"/>
          <w:spacing w:val="20"/>
          <w:sz w:val="24"/>
          <w:szCs w:val="24"/>
          <w:lang w:val="es-DO"/>
        </w:rPr>
        <w:t xml:space="preserve">úm. </w:t>
      </w:r>
      <w:r w:rsidR="00BA3EE9">
        <w:rPr>
          <w:rFonts w:ascii="Times New Roman" w:eastAsia="Calibri" w:hAnsi="Times New Roman" w:cs="Times New Roman"/>
          <w:color w:val="4C4747"/>
          <w:spacing w:val="20"/>
          <w:sz w:val="24"/>
          <w:szCs w:val="24"/>
          <w:lang w:val="es-DO"/>
        </w:rPr>
        <w:t>101-2022 mediante la cual aprobó</w:t>
      </w:r>
      <w:r w:rsidR="00855BE2">
        <w:rPr>
          <w:rFonts w:ascii="Times New Roman" w:eastAsia="Calibri" w:hAnsi="Times New Roman" w:cs="Times New Roman"/>
          <w:color w:val="4C4747"/>
          <w:spacing w:val="20"/>
          <w:sz w:val="24"/>
          <w:szCs w:val="24"/>
          <w:lang w:val="es-DO"/>
        </w:rPr>
        <w:t xml:space="preserve"> </w:t>
      </w:r>
      <w:r w:rsidR="0005304D" w:rsidRPr="00855BE2">
        <w:rPr>
          <w:rFonts w:ascii="Times New Roman" w:eastAsia="Calibri" w:hAnsi="Times New Roman" w:cs="Times New Roman"/>
          <w:color w:val="4C4747"/>
          <w:spacing w:val="20"/>
          <w:sz w:val="24"/>
          <w:szCs w:val="24"/>
          <w:lang w:val="es-DO"/>
        </w:rPr>
        <w:t>el Reglamento para la Prestación del Servicio de Difusión Televisiva por Suscripción</w:t>
      </w:r>
      <w:r w:rsidR="002F2429" w:rsidRPr="00855BE2">
        <w:rPr>
          <w:rFonts w:ascii="Times New Roman" w:eastAsia="Calibri" w:hAnsi="Times New Roman" w:cs="Times New Roman"/>
          <w:color w:val="4C4747"/>
          <w:spacing w:val="20"/>
          <w:sz w:val="24"/>
          <w:szCs w:val="24"/>
          <w:lang w:val="es-DO"/>
        </w:rPr>
        <w:t>.</w:t>
      </w:r>
      <w:r w:rsidR="0005304D" w:rsidRPr="00855BE2">
        <w:rPr>
          <w:rFonts w:ascii="Times New Roman" w:eastAsia="Calibri" w:hAnsi="Times New Roman" w:cs="Times New Roman"/>
          <w:color w:val="4C4747"/>
          <w:spacing w:val="20"/>
          <w:sz w:val="24"/>
          <w:szCs w:val="24"/>
          <w:lang w:val="es-DO"/>
        </w:rPr>
        <w:t xml:space="preserve"> </w:t>
      </w:r>
    </w:p>
    <w:p w14:paraId="555B4511" w14:textId="30B96F9F" w:rsidR="002A40D6" w:rsidRDefault="00BA3EE9" w:rsidP="0005304D">
      <w:pPr>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En adición e</w:t>
      </w:r>
      <w:r w:rsidR="0005304D" w:rsidRPr="00855BE2">
        <w:rPr>
          <w:rFonts w:ascii="Times New Roman" w:eastAsia="Calibri" w:hAnsi="Times New Roman" w:cs="Times New Roman"/>
          <w:color w:val="4C4747"/>
          <w:spacing w:val="20"/>
          <w:sz w:val="24"/>
          <w:szCs w:val="24"/>
          <w:lang w:val="es-DO"/>
        </w:rPr>
        <w:t>l Consejo Directivo de</w:t>
      </w:r>
      <w:r w:rsidR="00F557D6">
        <w:rPr>
          <w:rFonts w:ascii="Times New Roman" w:eastAsia="Calibri" w:hAnsi="Times New Roman" w:cs="Times New Roman"/>
          <w:color w:val="4C4747"/>
          <w:spacing w:val="20"/>
          <w:sz w:val="24"/>
          <w:szCs w:val="24"/>
          <w:lang w:val="es-DO"/>
        </w:rPr>
        <w:t>l INDOTEL emitió su Resolución Núm.</w:t>
      </w:r>
      <w:r w:rsidR="0005304D" w:rsidRPr="00855BE2">
        <w:rPr>
          <w:rFonts w:ascii="Times New Roman" w:eastAsia="Calibri" w:hAnsi="Times New Roman" w:cs="Times New Roman"/>
          <w:color w:val="4C4747"/>
          <w:spacing w:val="20"/>
          <w:sz w:val="24"/>
          <w:szCs w:val="24"/>
          <w:lang w:val="es-DO"/>
        </w:rPr>
        <w:t xml:space="preserve"> 097-2022 que aprobó el proyecto de modificación del Plan Nacional de Atribución d</w:t>
      </w:r>
      <w:r w:rsidR="009124FD" w:rsidRPr="00855BE2">
        <w:rPr>
          <w:rFonts w:ascii="Times New Roman" w:eastAsia="Calibri" w:hAnsi="Times New Roman" w:cs="Times New Roman"/>
          <w:color w:val="4C4747"/>
          <w:spacing w:val="20"/>
          <w:sz w:val="24"/>
          <w:szCs w:val="24"/>
          <w:lang w:val="es-DO"/>
        </w:rPr>
        <w:t xml:space="preserve">e Frecuencias (PNAF) </w:t>
      </w:r>
      <w:r w:rsidR="007509F5" w:rsidRPr="00855BE2">
        <w:rPr>
          <w:rFonts w:ascii="Times New Roman" w:eastAsia="Calibri" w:hAnsi="Times New Roman" w:cs="Times New Roman"/>
          <w:color w:val="4C4747"/>
          <w:spacing w:val="20"/>
          <w:sz w:val="24"/>
          <w:szCs w:val="24"/>
          <w:lang w:val="es-DO"/>
        </w:rPr>
        <w:t xml:space="preserve">que es un instrumento regulador, cuya finalidad es optimizar y racionalizar el uso del espectro radioeléctrico, para satisfacer oportuna y adecuadamente las </w:t>
      </w:r>
    </w:p>
    <w:p w14:paraId="23642F34" w14:textId="0AFC82ED" w:rsidR="0005304D" w:rsidRPr="00855BE2" w:rsidRDefault="007509F5"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lastRenderedPageBreak/>
        <w:t>necesidades de frecuencias que requieren los diferentes s</w:t>
      </w:r>
      <w:r w:rsidR="00BA3EE9">
        <w:rPr>
          <w:rFonts w:ascii="Times New Roman" w:eastAsia="Calibri" w:hAnsi="Times New Roman" w:cs="Times New Roman"/>
          <w:color w:val="4C4747"/>
          <w:spacing w:val="20"/>
          <w:sz w:val="24"/>
          <w:szCs w:val="24"/>
          <w:lang w:val="es-DO"/>
        </w:rPr>
        <w:t>ervicios de radiocomunicaciones</w:t>
      </w:r>
      <w:r w:rsidR="00F65C89">
        <w:rPr>
          <w:rFonts w:ascii="Times New Roman" w:eastAsia="Calibri" w:hAnsi="Times New Roman" w:cs="Times New Roman"/>
          <w:color w:val="4C4747"/>
          <w:spacing w:val="20"/>
          <w:sz w:val="24"/>
          <w:szCs w:val="24"/>
          <w:lang w:val="es-DO"/>
        </w:rPr>
        <w:t>,</w:t>
      </w:r>
      <w:r w:rsidRPr="00855BE2">
        <w:rPr>
          <w:rFonts w:ascii="Times New Roman" w:eastAsia="Calibri" w:hAnsi="Times New Roman" w:cs="Times New Roman"/>
          <w:color w:val="4C4747"/>
          <w:spacing w:val="20"/>
          <w:sz w:val="24"/>
          <w:szCs w:val="24"/>
          <w:lang w:val="es-DO"/>
        </w:rPr>
        <w:t xml:space="preserve"> </w:t>
      </w:r>
      <w:r w:rsidR="00BA3EE9">
        <w:rPr>
          <w:rFonts w:ascii="Times New Roman" w:eastAsia="Calibri" w:hAnsi="Times New Roman" w:cs="Times New Roman"/>
          <w:color w:val="4C4747"/>
          <w:spacing w:val="20"/>
          <w:sz w:val="24"/>
          <w:szCs w:val="24"/>
          <w:lang w:val="es-DO"/>
        </w:rPr>
        <w:t>m</w:t>
      </w:r>
      <w:r w:rsidR="002A40D6" w:rsidRPr="00855BE2">
        <w:rPr>
          <w:rFonts w:ascii="Times New Roman" w:eastAsia="Calibri" w:hAnsi="Times New Roman" w:cs="Times New Roman"/>
          <w:color w:val="4C4747"/>
          <w:spacing w:val="20"/>
          <w:sz w:val="24"/>
          <w:szCs w:val="24"/>
          <w:lang w:val="es-DO"/>
        </w:rPr>
        <w:t>ediante</w:t>
      </w:r>
      <w:r w:rsidR="009124FD" w:rsidRPr="00855BE2">
        <w:rPr>
          <w:rFonts w:ascii="Times New Roman" w:eastAsia="Calibri" w:hAnsi="Times New Roman" w:cs="Times New Roman"/>
          <w:color w:val="4C4747"/>
          <w:spacing w:val="20"/>
          <w:sz w:val="24"/>
          <w:szCs w:val="24"/>
          <w:lang w:val="es-DO"/>
        </w:rPr>
        <w:t xml:space="preserve"> la cual se identificaron</w:t>
      </w:r>
      <w:r w:rsidR="0005304D" w:rsidRPr="00855BE2">
        <w:rPr>
          <w:rFonts w:ascii="Times New Roman" w:eastAsia="Calibri" w:hAnsi="Times New Roman" w:cs="Times New Roman"/>
          <w:color w:val="4C4747"/>
          <w:spacing w:val="20"/>
          <w:sz w:val="24"/>
          <w:szCs w:val="24"/>
          <w:lang w:val="es-DO"/>
        </w:rPr>
        <w:t xml:space="preserve"> nuevas bandas de frecuencias para las telecomunicaciones móvile</w:t>
      </w:r>
      <w:r w:rsidR="00A27BA0" w:rsidRPr="00855BE2">
        <w:rPr>
          <w:rFonts w:ascii="Times New Roman" w:eastAsia="Calibri" w:hAnsi="Times New Roman" w:cs="Times New Roman"/>
          <w:color w:val="4C4747"/>
          <w:spacing w:val="20"/>
          <w:sz w:val="24"/>
          <w:szCs w:val="24"/>
          <w:lang w:val="es-DO"/>
        </w:rPr>
        <w:t>s internacionales (IMT)</w:t>
      </w:r>
      <w:r w:rsidR="009124FD" w:rsidRPr="00855BE2">
        <w:rPr>
          <w:rFonts w:ascii="Times New Roman" w:eastAsia="Calibri" w:hAnsi="Times New Roman" w:cs="Times New Roman"/>
          <w:color w:val="4C4747"/>
          <w:spacing w:val="20"/>
          <w:sz w:val="24"/>
          <w:szCs w:val="24"/>
          <w:lang w:val="es-DO"/>
        </w:rPr>
        <w:t xml:space="preserve"> que</w:t>
      </w:r>
      <w:r w:rsidR="0005304D" w:rsidRPr="00855BE2">
        <w:rPr>
          <w:rFonts w:ascii="Times New Roman" w:eastAsia="Calibri" w:hAnsi="Times New Roman" w:cs="Times New Roman"/>
          <w:color w:val="4C4747"/>
          <w:spacing w:val="20"/>
          <w:sz w:val="24"/>
          <w:szCs w:val="24"/>
          <w:lang w:val="es-DO"/>
        </w:rPr>
        <w:t xml:space="preserve"> servirán de base para el desarrollo de los servicios de 5G y la eventual llegada de servicios 6G. </w:t>
      </w:r>
    </w:p>
    <w:p w14:paraId="55739D0E" w14:textId="498722AC"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El INDOTEL se encuentr</w:t>
      </w:r>
      <w:r w:rsidR="00A27BA0" w:rsidRPr="00855BE2">
        <w:rPr>
          <w:rFonts w:ascii="Times New Roman" w:eastAsia="Calibri" w:hAnsi="Times New Roman" w:cs="Times New Roman"/>
          <w:color w:val="4C4747"/>
          <w:spacing w:val="20"/>
          <w:sz w:val="24"/>
          <w:szCs w:val="24"/>
          <w:lang w:val="es-DO"/>
        </w:rPr>
        <w:t xml:space="preserve">a ejecutando el proyecto para la </w:t>
      </w:r>
      <w:r w:rsidRPr="00855BE2">
        <w:rPr>
          <w:rFonts w:ascii="Times New Roman" w:eastAsia="Calibri" w:hAnsi="Times New Roman" w:cs="Times New Roman"/>
          <w:color w:val="4C4747"/>
          <w:spacing w:val="20"/>
          <w:sz w:val="24"/>
          <w:szCs w:val="24"/>
          <w:lang w:val="es-DO"/>
        </w:rPr>
        <w:t xml:space="preserve"> implementación de la Televisión Digital Terrestre (TDT), para lo cual el Consejo Directivo mediante la Resolución número 083-2022 dictó la actualización del Plan de Transición a la Televisión Terrestre Digital y las resoluciones de asignación de frecuencia de</w:t>
      </w:r>
      <w:r w:rsidR="009124FD" w:rsidRPr="00855BE2">
        <w:rPr>
          <w:rFonts w:ascii="Times New Roman" w:eastAsia="Calibri" w:hAnsi="Times New Roman" w:cs="Times New Roman"/>
          <w:color w:val="4C4747"/>
          <w:spacing w:val="20"/>
          <w:sz w:val="24"/>
          <w:szCs w:val="24"/>
          <w:lang w:val="es-DO"/>
        </w:rPr>
        <w:t>finitiva que se derivan de este</w:t>
      </w:r>
      <w:r w:rsidR="00BA3EE9">
        <w:rPr>
          <w:rFonts w:ascii="Times New Roman" w:eastAsia="Calibri" w:hAnsi="Times New Roman" w:cs="Times New Roman"/>
          <w:color w:val="4C4747"/>
          <w:spacing w:val="20"/>
          <w:sz w:val="24"/>
          <w:szCs w:val="24"/>
          <w:lang w:val="es-DO"/>
        </w:rPr>
        <w:t>, así como</w:t>
      </w:r>
      <w:r w:rsidR="009124FD" w:rsidRPr="00855BE2">
        <w:rPr>
          <w:rFonts w:ascii="Times New Roman" w:eastAsia="Calibri" w:hAnsi="Times New Roman" w:cs="Times New Roman"/>
          <w:color w:val="4C4747"/>
          <w:spacing w:val="20"/>
          <w:sz w:val="24"/>
          <w:szCs w:val="24"/>
          <w:lang w:val="es-DO"/>
        </w:rPr>
        <w:t xml:space="preserve"> t</w:t>
      </w:r>
      <w:r w:rsidRPr="00855BE2">
        <w:rPr>
          <w:rFonts w:ascii="Times New Roman" w:eastAsia="Calibri" w:hAnsi="Times New Roman" w:cs="Times New Roman"/>
          <w:color w:val="4C4747"/>
          <w:spacing w:val="20"/>
          <w:sz w:val="24"/>
          <w:szCs w:val="24"/>
          <w:lang w:val="es-DO"/>
        </w:rPr>
        <w:t>ambién asignó las frecuencias definitivas y número de canal virtual a favor de diecisiete (17) concesionarias de radiodif</w:t>
      </w:r>
      <w:r w:rsidR="00A27BA0" w:rsidRPr="00855BE2">
        <w:rPr>
          <w:rFonts w:ascii="Times New Roman" w:eastAsia="Calibri" w:hAnsi="Times New Roman" w:cs="Times New Roman"/>
          <w:color w:val="4C4747"/>
          <w:spacing w:val="20"/>
          <w:sz w:val="24"/>
          <w:szCs w:val="24"/>
          <w:lang w:val="es-DO"/>
        </w:rPr>
        <w:t>usión televisiva</w:t>
      </w:r>
      <w:r w:rsidRPr="00855BE2">
        <w:rPr>
          <w:rFonts w:ascii="Times New Roman" w:eastAsia="Calibri" w:hAnsi="Times New Roman" w:cs="Times New Roman"/>
          <w:color w:val="4C4747"/>
          <w:spacing w:val="20"/>
          <w:sz w:val="24"/>
          <w:szCs w:val="24"/>
          <w:lang w:val="es-DO"/>
        </w:rPr>
        <w:t xml:space="preserve">. </w:t>
      </w:r>
    </w:p>
    <w:p w14:paraId="05FB6212" w14:textId="01966A63" w:rsidR="0005304D" w:rsidRPr="00855BE2" w:rsidRDefault="00F65C89" w:rsidP="0005304D">
      <w:pPr>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Durante el año 2022 e</w:t>
      </w:r>
      <w:r w:rsidR="0005304D" w:rsidRPr="00855BE2">
        <w:rPr>
          <w:rFonts w:ascii="Times New Roman" w:eastAsia="Calibri" w:hAnsi="Times New Roman" w:cs="Times New Roman"/>
          <w:color w:val="4C4747"/>
          <w:spacing w:val="20"/>
          <w:sz w:val="24"/>
          <w:szCs w:val="24"/>
          <w:lang w:val="es-DO"/>
        </w:rPr>
        <w:t>l INDOTEL</w:t>
      </w:r>
      <w:r>
        <w:rPr>
          <w:rFonts w:ascii="Times New Roman" w:eastAsia="Calibri" w:hAnsi="Times New Roman" w:cs="Times New Roman"/>
          <w:color w:val="4C4747"/>
          <w:spacing w:val="20"/>
          <w:sz w:val="24"/>
          <w:szCs w:val="24"/>
          <w:lang w:val="es-DO"/>
        </w:rPr>
        <w:t xml:space="preserve"> </w:t>
      </w:r>
      <w:r w:rsidR="0005304D" w:rsidRPr="00855BE2">
        <w:rPr>
          <w:rFonts w:ascii="Times New Roman" w:eastAsia="Calibri" w:hAnsi="Times New Roman" w:cs="Times New Roman"/>
          <w:color w:val="4C4747"/>
          <w:spacing w:val="20"/>
          <w:sz w:val="24"/>
          <w:szCs w:val="24"/>
          <w:lang w:val="es-DO"/>
        </w:rPr>
        <w:t>desarrolló una efectiva labor de fiscalización</w:t>
      </w:r>
      <w:r w:rsidR="00A27BA0" w:rsidRPr="00855BE2">
        <w:rPr>
          <w:rFonts w:ascii="Times New Roman" w:eastAsia="Calibri" w:hAnsi="Times New Roman" w:cs="Times New Roman"/>
          <w:color w:val="4C4747"/>
          <w:spacing w:val="20"/>
          <w:sz w:val="24"/>
          <w:szCs w:val="24"/>
          <w:lang w:val="es-DO"/>
        </w:rPr>
        <w:t xml:space="preserve"> </w:t>
      </w:r>
      <w:r w:rsidR="0005304D" w:rsidRPr="00855BE2">
        <w:rPr>
          <w:rFonts w:ascii="Times New Roman" w:eastAsia="Calibri" w:hAnsi="Times New Roman" w:cs="Times New Roman"/>
          <w:color w:val="4C4747"/>
          <w:spacing w:val="20"/>
          <w:sz w:val="24"/>
          <w:szCs w:val="24"/>
          <w:lang w:val="es-DO"/>
        </w:rPr>
        <w:t>de las operaciones de estaciones de Radiodifusión Sonora y Televisiv</w:t>
      </w:r>
      <w:r>
        <w:rPr>
          <w:rFonts w:ascii="Times New Roman" w:eastAsia="Calibri" w:hAnsi="Times New Roman" w:cs="Times New Roman"/>
          <w:color w:val="4C4747"/>
          <w:spacing w:val="20"/>
          <w:sz w:val="24"/>
          <w:szCs w:val="24"/>
          <w:lang w:val="es-DO"/>
        </w:rPr>
        <w:t>a en sus respectivas bandas de f</w:t>
      </w:r>
      <w:r w:rsidR="0005304D" w:rsidRPr="00855BE2">
        <w:rPr>
          <w:rFonts w:ascii="Times New Roman" w:eastAsia="Calibri" w:hAnsi="Times New Roman" w:cs="Times New Roman"/>
          <w:color w:val="4C4747"/>
          <w:spacing w:val="20"/>
          <w:sz w:val="24"/>
          <w:szCs w:val="24"/>
          <w:lang w:val="es-DO"/>
        </w:rPr>
        <w:t>recuencias, del Servicio de Difusión por Cable y el de los revendedores del servicio de internet, con el objetivo de evitar la prestación sin autorización de los servicios de telecomunicaciones, así como el uso sin autorización de frecuenc</w:t>
      </w:r>
      <w:r>
        <w:rPr>
          <w:rFonts w:ascii="Times New Roman" w:eastAsia="Calibri" w:hAnsi="Times New Roman" w:cs="Times New Roman"/>
          <w:color w:val="4C4747"/>
          <w:spacing w:val="20"/>
          <w:sz w:val="24"/>
          <w:szCs w:val="24"/>
          <w:lang w:val="es-DO"/>
        </w:rPr>
        <w:t xml:space="preserve">ias del espectro radioeléctrico, como resultado de la fiscalización </w:t>
      </w:r>
      <w:r w:rsidR="0005304D" w:rsidRPr="00855BE2">
        <w:rPr>
          <w:rFonts w:ascii="Times New Roman" w:eastAsia="Calibri" w:hAnsi="Times New Roman" w:cs="Times New Roman"/>
          <w:color w:val="4C4747"/>
          <w:spacing w:val="20"/>
          <w:sz w:val="24"/>
          <w:szCs w:val="24"/>
          <w:lang w:val="es-DO"/>
        </w:rPr>
        <w:t xml:space="preserve">se procedió a la clausura e incautación de 15 estaciones de radiodifusión sonora y una estación de radiodifusión televisiva las cuales </w:t>
      </w:r>
      <w:r>
        <w:rPr>
          <w:rFonts w:ascii="Times New Roman" w:eastAsia="Calibri" w:hAnsi="Times New Roman" w:cs="Times New Roman"/>
          <w:color w:val="4C4747"/>
          <w:spacing w:val="20"/>
          <w:sz w:val="24"/>
          <w:szCs w:val="24"/>
          <w:lang w:val="es-DO"/>
        </w:rPr>
        <w:t>se verific</w:t>
      </w:r>
      <w:r w:rsidRPr="00F65C89">
        <w:rPr>
          <w:rFonts w:ascii="Times New Roman" w:eastAsia="Calibri" w:hAnsi="Times New Roman" w:cs="Times New Roman"/>
          <w:color w:val="4C4747"/>
          <w:spacing w:val="20"/>
          <w:sz w:val="24"/>
          <w:szCs w:val="24"/>
          <w:lang w:val="es-DO"/>
        </w:rPr>
        <w:t>ó</w:t>
      </w:r>
      <w:r>
        <w:rPr>
          <w:rFonts w:ascii="Times New Roman" w:eastAsia="Calibri" w:hAnsi="Times New Roman" w:cs="Times New Roman"/>
          <w:color w:val="4C4747"/>
          <w:spacing w:val="20"/>
          <w:sz w:val="24"/>
          <w:szCs w:val="24"/>
          <w:lang w:val="es-DO"/>
        </w:rPr>
        <w:t xml:space="preserve"> que </w:t>
      </w:r>
      <w:r w:rsidR="0005304D" w:rsidRPr="00855BE2">
        <w:rPr>
          <w:rFonts w:ascii="Times New Roman" w:eastAsia="Calibri" w:hAnsi="Times New Roman" w:cs="Times New Roman"/>
          <w:color w:val="4C4747"/>
          <w:spacing w:val="20"/>
          <w:sz w:val="24"/>
          <w:szCs w:val="24"/>
          <w:lang w:val="es-DO"/>
        </w:rPr>
        <w:t>operaban sin la autorización correspondiente.</w:t>
      </w:r>
    </w:p>
    <w:p w14:paraId="17EE0C02" w14:textId="597E0252"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En materia de calidad del servici</w:t>
      </w:r>
      <w:r w:rsidR="00AE3521" w:rsidRPr="00855BE2">
        <w:rPr>
          <w:rFonts w:ascii="Times New Roman" w:eastAsia="Calibri" w:hAnsi="Times New Roman" w:cs="Times New Roman"/>
          <w:color w:val="4C4747"/>
          <w:spacing w:val="20"/>
          <w:sz w:val="24"/>
          <w:szCs w:val="24"/>
          <w:lang w:val="es-DO"/>
        </w:rPr>
        <w:t xml:space="preserve">o, </w:t>
      </w:r>
      <w:r w:rsidR="00F65C89">
        <w:rPr>
          <w:rFonts w:ascii="Times New Roman" w:eastAsia="Calibri" w:hAnsi="Times New Roman" w:cs="Times New Roman"/>
          <w:color w:val="4C4747"/>
          <w:spacing w:val="20"/>
          <w:sz w:val="24"/>
          <w:szCs w:val="24"/>
          <w:lang w:val="es-DO"/>
        </w:rPr>
        <w:t>fueron medidos</w:t>
      </w:r>
      <w:r w:rsidR="00AE3521" w:rsidRPr="00855BE2">
        <w:rPr>
          <w:rFonts w:ascii="Times New Roman" w:eastAsia="Calibri" w:hAnsi="Times New Roman" w:cs="Times New Roman"/>
          <w:color w:val="4C4747"/>
          <w:spacing w:val="20"/>
          <w:sz w:val="24"/>
          <w:szCs w:val="24"/>
          <w:lang w:val="es-DO"/>
        </w:rPr>
        <w:t xml:space="preserve"> 9 indicadores </w:t>
      </w:r>
      <w:r w:rsidRPr="00855BE2">
        <w:rPr>
          <w:rFonts w:ascii="Times New Roman" w:eastAsia="Calibri" w:hAnsi="Times New Roman" w:cs="Times New Roman"/>
          <w:color w:val="4C4747"/>
          <w:spacing w:val="20"/>
          <w:sz w:val="24"/>
          <w:szCs w:val="24"/>
          <w:lang w:val="es-DO"/>
        </w:rPr>
        <w:t xml:space="preserve">cuyos resultados se dieron a conocer por primera vez a la ciudadanía, para que </w:t>
      </w:r>
      <w:r w:rsidR="00C61C10" w:rsidRPr="00855BE2">
        <w:rPr>
          <w:rFonts w:ascii="Times New Roman" w:eastAsia="Calibri" w:hAnsi="Times New Roman" w:cs="Times New Roman"/>
          <w:color w:val="4C4747"/>
          <w:spacing w:val="20"/>
          <w:sz w:val="24"/>
          <w:szCs w:val="24"/>
          <w:lang w:val="es-DO"/>
        </w:rPr>
        <w:t xml:space="preserve">la misma </w:t>
      </w:r>
      <w:r w:rsidRPr="00855BE2">
        <w:rPr>
          <w:rFonts w:ascii="Times New Roman" w:eastAsia="Calibri" w:hAnsi="Times New Roman" w:cs="Times New Roman"/>
          <w:color w:val="4C4747"/>
          <w:spacing w:val="20"/>
          <w:sz w:val="24"/>
          <w:szCs w:val="24"/>
          <w:lang w:val="es-DO"/>
        </w:rPr>
        <w:t>disponga de las informaciones sobre la calidad del servicio que ofrecen las prestadoras telefóni</w:t>
      </w:r>
      <w:r w:rsidR="002F2429" w:rsidRPr="00855BE2">
        <w:rPr>
          <w:rFonts w:ascii="Times New Roman" w:eastAsia="Calibri" w:hAnsi="Times New Roman" w:cs="Times New Roman"/>
          <w:color w:val="4C4747"/>
          <w:spacing w:val="20"/>
          <w:sz w:val="24"/>
          <w:szCs w:val="24"/>
          <w:lang w:val="es-DO"/>
        </w:rPr>
        <w:t>cas.</w:t>
      </w:r>
      <w:r w:rsidRPr="00855BE2">
        <w:rPr>
          <w:rFonts w:ascii="Times New Roman" w:eastAsia="Calibri" w:hAnsi="Times New Roman" w:cs="Times New Roman"/>
          <w:color w:val="4C4747"/>
          <w:spacing w:val="20"/>
          <w:sz w:val="24"/>
          <w:szCs w:val="24"/>
          <w:lang w:val="es-DO"/>
        </w:rPr>
        <w:t xml:space="preserve">  </w:t>
      </w:r>
    </w:p>
    <w:p w14:paraId="00D47C20" w14:textId="263153A1"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lastRenderedPageBreak/>
        <w:t xml:space="preserve">En cuanto al otorgamiento de concesiones para prestar servicios públicos de telecomunicaciones, es importante resaltar que el Consejo Directivo mediante su Resolución </w:t>
      </w:r>
      <w:r w:rsidR="00B94808" w:rsidRPr="00855BE2">
        <w:rPr>
          <w:rFonts w:ascii="Times New Roman" w:eastAsia="Calibri" w:hAnsi="Times New Roman" w:cs="Times New Roman"/>
          <w:color w:val="4C4747"/>
          <w:spacing w:val="20"/>
          <w:sz w:val="24"/>
          <w:szCs w:val="24"/>
          <w:lang w:val="es-DO"/>
        </w:rPr>
        <w:t xml:space="preserve">número </w:t>
      </w:r>
      <w:r w:rsidRPr="00855BE2">
        <w:rPr>
          <w:rFonts w:ascii="Times New Roman" w:eastAsia="Calibri" w:hAnsi="Times New Roman" w:cs="Times New Roman"/>
          <w:color w:val="4C4747"/>
          <w:spacing w:val="20"/>
          <w:sz w:val="24"/>
          <w:szCs w:val="24"/>
          <w:lang w:val="es-DO"/>
        </w:rPr>
        <w:t>072-2</w:t>
      </w:r>
      <w:r w:rsidR="002F2429" w:rsidRPr="00855BE2">
        <w:rPr>
          <w:rFonts w:ascii="Times New Roman" w:eastAsia="Calibri" w:hAnsi="Times New Roman" w:cs="Times New Roman"/>
          <w:color w:val="4C4747"/>
          <w:spacing w:val="20"/>
          <w:sz w:val="24"/>
          <w:szCs w:val="24"/>
          <w:lang w:val="es-DO"/>
        </w:rPr>
        <w:t>022,</w:t>
      </w:r>
      <w:r w:rsidR="009124FD" w:rsidRPr="00855BE2">
        <w:rPr>
          <w:rFonts w:ascii="Times New Roman" w:eastAsia="Calibri" w:hAnsi="Times New Roman" w:cs="Times New Roman"/>
          <w:color w:val="4C4747"/>
          <w:spacing w:val="20"/>
          <w:sz w:val="24"/>
          <w:szCs w:val="24"/>
          <w:lang w:val="es-DO"/>
        </w:rPr>
        <w:t xml:space="preserve"> aprobó</w:t>
      </w:r>
      <w:r w:rsidRPr="00855BE2">
        <w:rPr>
          <w:rFonts w:ascii="Times New Roman" w:eastAsia="Calibri" w:hAnsi="Times New Roman" w:cs="Times New Roman"/>
          <w:color w:val="4C4747"/>
          <w:spacing w:val="20"/>
          <w:sz w:val="24"/>
          <w:szCs w:val="24"/>
          <w:lang w:val="es-DO"/>
        </w:rPr>
        <w:t xml:space="preserve"> la solicitud de concesión y licencia de la empresa Starlink Dominican Republic, para prestar el servicio público de telecomunicaciones de acceso a internet e</w:t>
      </w:r>
      <w:r w:rsidR="00AE3521" w:rsidRPr="00855BE2">
        <w:rPr>
          <w:rFonts w:ascii="Times New Roman" w:eastAsia="Calibri" w:hAnsi="Times New Roman" w:cs="Times New Roman"/>
          <w:color w:val="4C4747"/>
          <w:spacing w:val="20"/>
          <w:sz w:val="24"/>
          <w:szCs w:val="24"/>
          <w:lang w:val="es-DO"/>
        </w:rPr>
        <w:t xml:space="preserve">n todo el territorio nacional. </w:t>
      </w:r>
      <w:r w:rsidR="002F2429" w:rsidRPr="00855BE2">
        <w:rPr>
          <w:rFonts w:ascii="Times New Roman" w:eastAsia="Calibri" w:hAnsi="Times New Roman" w:cs="Times New Roman"/>
          <w:color w:val="4C4747"/>
          <w:spacing w:val="20"/>
          <w:sz w:val="24"/>
          <w:szCs w:val="24"/>
          <w:lang w:val="es-DO"/>
        </w:rPr>
        <w:t xml:space="preserve">La importancia de esta concesión </w:t>
      </w:r>
      <w:r w:rsidR="009124FD" w:rsidRPr="00855BE2">
        <w:rPr>
          <w:rFonts w:ascii="Times New Roman" w:eastAsia="Calibri" w:hAnsi="Times New Roman" w:cs="Times New Roman"/>
          <w:color w:val="4C4747"/>
          <w:spacing w:val="20"/>
          <w:sz w:val="24"/>
          <w:szCs w:val="24"/>
          <w:lang w:val="es-DO"/>
        </w:rPr>
        <w:t>radica en</w:t>
      </w:r>
      <w:r w:rsidR="002F2429" w:rsidRPr="00855BE2">
        <w:rPr>
          <w:rFonts w:ascii="Times New Roman" w:eastAsia="Calibri" w:hAnsi="Times New Roman" w:cs="Times New Roman"/>
          <w:color w:val="4C4747"/>
          <w:spacing w:val="20"/>
          <w:sz w:val="24"/>
          <w:szCs w:val="24"/>
          <w:lang w:val="es-DO"/>
        </w:rPr>
        <w:t xml:space="preserve"> que la empresa </w:t>
      </w:r>
      <w:r w:rsidRPr="00855BE2">
        <w:rPr>
          <w:rFonts w:ascii="Times New Roman" w:eastAsia="Calibri" w:hAnsi="Times New Roman" w:cs="Times New Roman"/>
          <w:color w:val="4C4747"/>
          <w:spacing w:val="20"/>
          <w:sz w:val="24"/>
          <w:szCs w:val="24"/>
          <w:lang w:val="es-DO"/>
        </w:rPr>
        <w:t>podrá servir a comunidades rurales y de difícil acceso que actualmente no son servidas por las redes alámbricas ni por las celulares, lo que redunda en una reducción expedita de la brecha digital que actualmente existe en nuestro país.</w:t>
      </w:r>
    </w:p>
    <w:p w14:paraId="1356B9BE" w14:textId="47CDAB30"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El Gobierno Dominicano se embarcó en un préstamo con el Banco Interamericano de Desarrollo (BID), para la ejecución del “Programa para Mejorar la Conectividad para la Transformación Digital en la República Dominicana” (DR-L1147), su objetivo general es transformar digitalmente a la República Dominicana</w:t>
      </w:r>
      <w:r w:rsidR="00AE3521" w:rsidRPr="00855BE2">
        <w:rPr>
          <w:rFonts w:ascii="Times New Roman" w:eastAsia="Calibri" w:hAnsi="Times New Roman" w:cs="Times New Roman"/>
          <w:color w:val="4C4747"/>
          <w:spacing w:val="20"/>
          <w:sz w:val="24"/>
          <w:szCs w:val="24"/>
          <w:lang w:val="es-DO"/>
        </w:rPr>
        <w:t xml:space="preserve">. </w:t>
      </w:r>
      <w:r w:rsidRPr="00855BE2">
        <w:rPr>
          <w:rFonts w:ascii="Times New Roman" w:eastAsia="Calibri" w:hAnsi="Times New Roman" w:cs="Times New Roman"/>
          <w:color w:val="4C4747"/>
          <w:spacing w:val="20"/>
          <w:sz w:val="24"/>
          <w:szCs w:val="24"/>
          <w:lang w:val="es-DO"/>
        </w:rPr>
        <w:t xml:space="preserve">Se planificaron </w:t>
      </w:r>
      <w:r w:rsidR="00AE3521" w:rsidRPr="00855BE2">
        <w:rPr>
          <w:rFonts w:ascii="Times New Roman" w:eastAsia="Calibri" w:hAnsi="Times New Roman" w:cs="Times New Roman"/>
          <w:color w:val="4C4747"/>
          <w:spacing w:val="20"/>
          <w:sz w:val="24"/>
          <w:szCs w:val="24"/>
          <w:lang w:val="es-DO"/>
        </w:rPr>
        <w:t xml:space="preserve">las siguientes </w:t>
      </w:r>
      <w:r w:rsidRPr="00855BE2">
        <w:rPr>
          <w:rFonts w:ascii="Times New Roman" w:eastAsia="Calibri" w:hAnsi="Times New Roman" w:cs="Times New Roman"/>
          <w:color w:val="4C4747"/>
          <w:spacing w:val="20"/>
          <w:sz w:val="24"/>
          <w:szCs w:val="24"/>
          <w:lang w:val="es-DO"/>
        </w:rPr>
        <w:t>tres áreas d</w:t>
      </w:r>
      <w:r w:rsidR="00AE3521" w:rsidRPr="00855BE2">
        <w:rPr>
          <w:rFonts w:ascii="Times New Roman" w:eastAsia="Calibri" w:hAnsi="Times New Roman" w:cs="Times New Roman"/>
          <w:color w:val="4C4747"/>
          <w:spacing w:val="20"/>
          <w:sz w:val="24"/>
          <w:szCs w:val="24"/>
          <w:lang w:val="es-DO"/>
        </w:rPr>
        <w:t xml:space="preserve">e ejecución: </w:t>
      </w:r>
    </w:p>
    <w:p w14:paraId="588B79C1" w14:textId="1D6A9128"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Componente 1. Garantizar que la transición de la televisión análoga a digital tenga un caráct</w:t>
      </w:r>
      <w:r w:rsidR="007509F5" w:rsidRPr="00855BE2">
        <w:rPr>
          <w:rFonts w:ascii="Times New Roman" w:eastAsia="Calibri" w:hAnsi="Times New Roman" w:cs="Times New Roman"/>
          <w:color w:val="4C4747"/>
          <w:spacing w:val="20"/>
          <w:sz w:val="24"/>
          <w:szCs w:val="24"/>
          <w:lang w:val="es-DO"/>
        </w:rPr>
        <w:t xml:space="preserve">er socialmente incluyente, </w:t>
      </w:r>
      <w:r w:rsidRPr="00855BE2">
        <w:rPr>
          <w:rFonts w:ascii="Times New Roman" w:eastAsia="Calibri" w:hAnsi="Times New Roman" w:cs="Times New Roman"/>
          <w:color w:val="4C4747"/>
          <w:spacing w:val="20"/>
          <w:sz w:val="24"/>
          <w:szCs w:val="24"/>
          <w:lang w:val="es-DO"/>
        </w:rPr>
        <w:t>Componente 2. Ampliar las redes alámbricas de acceso a internet, expandir la Red Nacional de Fibra Óptica (RNFO) y garantizar la disponibilidad</w:t>
      </w:r>
      <w:r w:rsidR="007509F5" w:rsidRPr="00855BE2">
        <w:rPr>
          <w:rFonts w:ascii="Times New Roman" w:eastAsia="Calibri" w:hAnsi="Times New Roman" w:cs="Times New Roman"/>
          <w:color w:val="4C4747"/>
          <w:spacing w:val="20"/>
          <w:sz w:val="24"/>
          <w:szCs w:val="24"/>
          <w:lang w:val="es-DO"/>
        </w:rPr>
        <w:t xml:space="preserve"> de conectividad internacional y </w:t>
      </w:r>
      <w:r w:rsidRPr="00855BE2">
        <w:rPr>
          <w:rFonts w:ascii="Times New Roman" w:eastAsia="Calibri" w:hAnsi="Times New Roman" w:cs="Times New Roman"/>
          <w:color w:val="4C4747"/>
          <w:spacing w:val="20"/>
          <w:sz w:val="24"/>
          <w:szCs w:val="24"/>
          <w:lang w:val="es-DO"/>
        </w:rPr>
        <w:t>Componente 3. Capacitar a la ciudadanía en el uso productivo de las TIC.</w:t>
      </w:r>
    </w:p>
    <w:p w14:paraId="01E4C48E" w14:textId="234A7BC9" w:rsidR="00F65C89" w:rsidRDefault="00F65C89" w:rsidP="0005304D">
      <w:pPr>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 xml:space="preserve">Para cumplir con el Componente 1 </w:t>
      </w:r>
      <w:r w:rsidRPr="00F65C89">
        <w:rPr>
          <w:rFonts w:ascii="Times New Roman" w:eastAsia="Calibri" w:hAnsi="Times New Roman" w:cs="Times New Roman"/>
          <w:color w:val="4C4747"/>
          <w:spacing w:val="20"/>
          <w:sz w:val="24"/>
          <w:szCs w:val="24"/>
          <w:lang w:val="es-DO"/>
        </w:rPr>
        <w:t>se llevó a cabo el proceso de licitación pública internacional para la adquisición y distribución de 450,000.00 unidades de dispositivos decodificadores de la señal ATSC 1.0, con las cuales el Estado dominicano garantizará el acceso a la televisión digital de las personas que pertenecen a los sectores más vulnerables de nuestro país.</w:t>
      </w:r>
    </w:p>
    <w:p w14:paraId="40552CF7" w14:textId="77777777" w:rsidR="00F65C89" w:rsidRDefault="00F65C89" w:rsidP="0005304D">
      <w:pPr>
        <w:spacing w:line="360" w:lineRule="auto"/>
        <w:jc w:val="both"/>
        <w:rPr>
          <w:rFonts w:ascii="Times New Roman" w:eastAsia="Calibri" w:hAnsi="Times New Roman" w:cs="Times New Roman"/>
          <w:color w:val="4C4747"/>
          <w:spacing w:val="20"/>
          <w:sz w:val="24"/>
          <w:szCs w:val="24"/>
          <w:lang w:val="es-DO"/>
        </w:rPr>
      </w:pPr>
    </w:p>
    <w:p w14:paraId="372307C1" w14:textId="77777777" w:rsidR="00AE3521"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lastRenderedPageBreak/>
        <w:t>El INDOTEL, acogiéndose a la iniciativa del Ministerio de la Mujer de transversalizar el enfoque de gén</w:t>
      </w:r>
      <w:r w:rsidR="00AE3521" w:rsidRPr="00855BE2">
        <w:rPr>
          <w:rFonts w:ascii="Times New Roman" w:eastAsia="Calibri" w:hAnsi="Times New Roman" w:cs="Times New Roman"/>
          <w:color w:val="4C4747"/>
          <w:spacing w:val="20"/>
          <w:sz w:val="24"/>
          <w:szCs w:val="24"/>
          <w:lang w:val="es-DO"/>
        </w:rPr>
        <w:t>ero</w:t>
      </w:r>
      <w:r w:rsidRPr="00855BE2">
        <w:rPr>
          <w:rFonts w:ascii="Times New Roman" w:eastAsia="Calibri" w:hAnsi="Times New Roman" w:cs="Times New Roman"/>
          <w:color w:val="4C4747"/>
          <w:spacing w:val="20"/>
          <w:sz w:val="24"/>
          <w:szCs w:val="24"/>
          <w:lang w:val="es-DO"/>
        </w:rPr>
        <w:t xml:space="preserve">, se encuentra implementando el </w:t>
      </w:r>
      <w:r w:rsidR="00AE3521" w:rsidRPr="00855BE2">
        <w:rPr>
          <w:rFonts w:ascii="Times New Roman" w:eastAsia="Calibri" w:hAnsi="Times New Roman" w:cs="Times New Roman"/>
          <w:color w:val="4C4747"/>
          <w:spacing w:val="20"/>
          <w:sz w:val="24"/>
          <w:szCs w:val="24"/>
          <w:lang w:val="es-DO"/>
        </w:rPr>
        <w:t xml:space="preserve">Sello de Igualdad de Género en </w:t>
      </w:r>
      <w:r w:rsidRPr="00855BE2">
        <w:rPr>
          <w:rFonts w:ascii="Times New Roman" w:eastAsia="Calibri" w:hAnsi="Times New Roman" w:cs="Times New Roman"/>
          <w:color w:val="4C4747"/>
          <w:spacing w:val="20"/>
          <w:sz w:val="24"/>
          <w:szCs w:val="24"/>
          <w:lang w:val="es-DO"/>
        </w:rPr>
        <w:t>el sector público, el cual es un acelerador para el l</w:t>
      </w:r>
      <w:r w:rsidR="00AE3521" w:rsidRPr="00855BE2">
        <w:rPr>
          <w:rFonts w:ascii="Times New Roman" w:eastAsia="Calibri" w:hAnsi="Times New Roman" w:cs="Times New Roman"/>
          <w:color w:val="4C4747"/>
          <w:spacing w:val="20"/>
          <w:sz w:val="24"/>
          <w:szCs w:val="24"/>
          <w:lang w:val="es-DO"/>
        </w:rPr>
        <w:t xml:space="preserve">ogro </w:t>
      </w:r>
      <w:r w:rsidRPr="00855BE2">
        <w:rPr>
          <w:rFonts w:ascii="Times New Roman" w:eastAsia="Calibri" w:hAnsi="Times New Roman" w:cs="Times New Roman"/>
          <w:color w:val="4C4747"/>
          <w:spacing w:val="20"/>
          <w:sz w:val="24"/>
          <w:szCs w:val="24"/>
          <w:lang w:val="es-DO"/>
        </w:rPr>
        <w:t>de la Agenda 2030</w:t>
      </w:r>
      <w:r w:rsidR="00AE3521" w:rsidRPr="00855BE2">
        <w:rPr>
          <w:rFonts w:ascii="Times New Roman" w:eastAsia="Calibri" w:hAnsi="Times New Roman" w:cs="Times New Roman"/>
          <w:color w:val="4C4747"/>
          <w:spacing w:val="20"/>
          <w:sz w:val="24"/>
          <w:szCs w:val="24"/>
          <w:lang w:val="es-DO"/>
        </w:rPr>
        <w:t xml:space="preserve">. </w:t>
      </w:r>
    </w:p>
    <w:p w14:paraId="79CACD62" w14:textId="09EEC459" w:rsidR="0005304D" w:rsidRPr="00855BE2" w:rsidRDefault="00AE3521"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T</w:t>
      </w:r>
      <w:r w:rsidR="0005304D" w:rsidRPr="00855BE2">
        <w:rPr>
          <w:rFonts w:ascii="Times New Roman" w:eastAsia="Calibri" w:hAnsi="Times New Roman" w:cs="Times New Roman"/>
          <w:color w:val="4C4747"/>
          <w:spacing w:val="20"/>
          <w:sz w:val="24"/>
          <w:szCs w:val="24"/>
          <w:lang w:val="es-DO"/>
        </w:rPr>
        <w:t xml:space="preserve">ambién </w:t>
      </w:r>
      <w:r w:rsidRPr="00855BE2">
        <w:rPr>
          <w:rFonts w:ascii="Times New Roman" w:eastAsia="Calibri" w:hAnsi="Times New Roman" w:cs="Times New Roman"/>
          <w:color w:val="4C4747"/>
          <w:spacing w:val="20"/>
          <w:sz w:val="24"/>
          <w:szCs w:val="24"/>
          <w:lang w:val="es-DO"/>
        </w:rPr>
        <w:t xml:space="preserve">se </w:t>
      </w:r>
      <w:r w:rsidR="0005304D" w:rsidRPr="00855BE2">
        <w:rPr>
          <w:rFonts w:ascii="Times New Roman" w:eastAsia="Calibri" w:hAnsi="Times New Roman" w:cs="Times New Roman"/>
          <w:color w:val="4C4747"/>
          <w:spacing w:val="20"/>
          <w:sz w:val="24"/>
          <w:szCs w:val="24"/>
          <w:lang w:val="es-DO"/>
        </w:rPr>
        <w:t>realizó el lanzamiento del proyecto INDOTEL TE INCLUYE, que permite a los usuarios, usuarias y a las prestadoras tener acceso al servicio e información en igualdad de condiciones, incluyendo a los usuarios y usuarias con discapacidad visual y auditiva.</w:t>
      </w:r>
    </w:p>
    <w:p w14:paraId="7436147F" w14:textId="717B1E87"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En otro sentido, el INDOTEL se encuentra implementando el Plan Bianual de Proyectos d</w:t>
      </w:r>
      <w:r w:rsidR="00AE3521" w:rsidRPr="00855BE2">
        <w:rPr>
          <w:rFonts w:ascii="Times New Roman" w:eastAsia="Calibri" w:hAnsi="Times New Roman" w:cs="Times New Roman"/>
          <w:color w:val="4C4747"/>
          <w:spacing w:val="20"/>
          <w:sz w:val="24"/>
          <w:szCs w:val="24"/>
          <w:lang w:val="es-DO"/>
        </w:rPr>
        <w:t>e Desarrollo 2021-2022 cuyo objetivo es</w:t>
      </w:r>
      <w:r w:rsidRPr="00855BE2">
        <w:rPr>
          <w:rFonts w:ascii="Times New Roman" w:eastAsia="Calibri" w:hAnsi="Times New Roman" w:cs="Times New Roman"/>
          <w:color w:val="4C4747"/>
          <w:spacing w:val="20"/>
          <w:sz w:val="24"/>
          <w:szCs w:val="24"/>
          <w:lang w:val="es-DO"/>
        </w:rPr>
        <w:t xml:space="preserve"> “Conectar a los n</w:t>
      </w:r>
      <w:r w:rsidR="00AE3521" w:rsidRPr="00855BE2">
        <w:rPr>
          <w:rFonts w:ascii="Times New Roman" w:eastAsia="Calibri" w:hAnsi="Times New Roman" w:cs="Times New Roman"/>
          <w:color w:val="4C4747"/>
          <w:spacing w:val="20"/>
          <w:sz w:val="24"/>
          <w:szCs w:val="24"/>
          <w:lang w:val="es-DO"/>
        </w:rPr>
        <w:t xml:space="preserve">o Conectados” </w:t>
      </w:r>
      <w:r w:rsidR="00596D44">
        <w:rPr>
          <w:rFonts w:ascii="Times New Roman" w:eastAsia="Calibri" w:hAnsi="Times New Roman" w:cs="Times New Roman"/>
          <w:color w:val="4C4747"/>
          <w:spacing w:val="20"/>
          <w:sz w:val="24"/>
          <w:szCs w:val="24"/>
          <w:lang w:val="es-DO"/>
        </w:rPr>
        <w:t xml:space="preserve">para </w:t>
      </w:r>
      <w:r w:rsidRPr="00855BE2">
        <w:rPr>
          <w:rFonts w:ascii="Times New Roman" w:eastAsia="Calibri" w:hAnsi="Times New Roman" w:cs="Times New Roman"/>
          <w:color w:val="4C4747"/>
          <w:spacing w:val="20"/>
          <w:sz w:val="24"/>
          <w:szCs w:val="24"/>
          <w:lang w:val="es-DO"/>
        </w:rPr>
        <w:t>dota</w:t>
      </w:r>
      <w:r w:rsidR="007509F5" w:rsidRPr="00855BE2">
        <w:rPr>
          <w:rFonts w:ascii="Times New Roman" w:eastAsia="Calibri" w:hAnsi="Times New Roman" w:cs="Times New Roman"/>
          <w:color w:val="4C4747"/>
          <w:spacing w:val="20"/>
          <w:sz w:val="24"/>
          <w:szCs w:val="24"/>
          <w:lang w:val="es-DO"/>
        </w:rPr>
        <w:t>r</w:t>
      </w:r>
      <w:r w:rsidRPr="00855BE2">
        <w:rPr>
          <w:rFonts w:ascii="Times New Roman" w:eastAsia="Calibri" w:hAnsi="Times New Roman" w:cs="Times New Roman"/>
          <w:color w:val="4C4747"/>
          <w:spacing w:val="20"/>
          <w:sz w:val="24"/>
          <w:szCs w:val="24"/>
          <w:lang w:val="es-DO"/>
        </w:rPr>
        <w:t xml:space="preserve"> del acceso y conectividad a la banda ancha de calidad a comunidades rurales no servidas y a mujere</w:t>
      </w:r>
      <w:r w:rsidR="00AE3521" w:rsidRPr="00855BE2">
        <w:rPr>
          <w:rFonts w:ascii="Times New Roman" w:eastAsia="Calibri" w:hAnsi="Times New Roman" w:cs="Times New Roman"/>
          <w:color w:val="4C4747"/>
          <w:spacing w:val="20"/>
          <w:sz w:val="24"/>
          <w:szCs w:val="24"/>
          <w:lang w:val="es-DO"/>
        </w:rPr>
        <w:t xml:space="preserve">s jefas de hogar </w:t>
      </w:r>
      <w:r w:rsidRPr="00855BE2">
        <w:rPr>
          <w:rFonts w:ascii="Times New Roman" w:eastAsia="Calibri" w:hAnsi="Times New Roman" w:cs="Times New Roman"/>
          <w:color w:val="4C4747"/>
          <w:spacing w:val="20"/>
          <w:sz w:val="24"/>
          <w:szCs w:val="24"/>
          <w:lang w:val="es-DO"/>
        </w:rPr>
        <w:t>que viven bajo líne</w:t>
      </w:r>
      <w:r w:rsidR="00596D44">
        <w:rPr>
          <w:rFonts w:ascii="Times New Roman" w:eastAsia="Calibri" w:hAnsi="Times New Roman" w:cs="Times New Roman"/>
          <w:color w:val="4C4747"/>
          <w:spacing w:val="20"/>
          <w:sz w:val="24"/>
          <w:szCs w:val="24"/>
          <w:lang w:val="es-DO"/>
        </w:rPr>
        <w:t xml:space="preserve">a de pobreza y de esa manera </w:t>
      </w:r>
      <w:r w:rsidRPr="00855BE2">
        <w:rPr>
          <w:rFonts w:ascii="Times New Roman" w:eastAsia="Calibri" w:hAnsi="Times New Roman" w:cs="Times New Roman"/>
          <w:color w:val="4C4747"/>
          <w:spacing w:val="20"/>
          <w:sz w:val="24"/>
          <w:szCs w:val="24"/>
          <w:lang w:val="es-DO"/>
        </w:rPr>
        <w:t xml:space="preserve">reducir la brecha digital de la República Dominicana.  </w:t>
      </w:r>
    </w:p>
    <w:p w14:paraId="59BD3B8E" w14:textId="1B4F255E"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El proyecto está conformado por tres componentes</w:t>
      </w:r>
      <w:r w:rsidR="00596D44">
        <w:rPr>
          <w:rFonts w:ascii="Times New Roman" w:eastAsia="Calibri" w:hAnsi="Times New Roman" w:cs="Times New Roman"/>
          <w:color w:val="4C4747"/>
          <w:spacing w:val="20"/>
          <w:sz w:val="24"/>
          <w:szCs w:val="24"/>
          <w:lang w:val="es-DO"/>
        </w:rPr>
        <w:t>, que son</w:t>
      </w:r>
      <w:r w:rsidRPr="00855BE2">
        <w:rPr>
          <w:rFonts w:ascii="Times New Roman" w:eastAsia="Calibri" w:hAnsi="Times New Roman" w:cs="Times New Roman"/>
          <w:color w:val="4C4747"/>
          <w:spacing w:val="20"/>
          <w:sz w:val="24"/>
          <w:szCs w:val="24"/>
          <w:lang w:val="es-DO"/>
        </w:rPr>
        <w:t>: Componente de Acceso e Infraestructura, Componente de Subsidio a la Demanda y Componente de Apropiación Social y Desarrollo de Habilidades.</w:t>
      </w:r>
    </w:p>
    <w:p w14:paraId="05B8EDC6" w14:textId="57C30A35" w:rsidR="0005304D" w:rsidRPr="00855BE2" w:rsidRDefault="0005304D" w:rsidP="00AE3521">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 xml:space="preserve">El Componente Subsidio a la Demanda </w:t>
      </w:r>
      <w:r w:rsidR="00B94808" w:rsidRPr="00855BE2">
        <w:rPr>
          <w:rFonts w:ascii="Times New Roman" w:eastAsia="Calibri" w:hAnsi="Times New Roman" w:cs="Times New Roman"/>
          <w:color w:val="4C4747"/>
          <w:spacing w:val="20"/>
          <w:sz w:val="24"/>
          <w:szCs w:val="24"/>
          <w:lang w:val="es-DO"/>
        </w:rPr>
        <w:t>cons</w:t>
      </w:r>
      <w:r w:rsidR="00AE3521" w:rsidRPr="00855BE2">
        <w:rPr>
          <w:rFonts w:ascii="Times New Roman" w:eastAsia="Calibri" w:hAnsi="Times New Roman" w:cs="Times New Roman"/>
          <w:color w:val="4C4747"/>
          <w:spacing w:val="20"/>
          <w:sz w:val="24"/>
          <w:szCs w:val="24"/>
          <w:lang w:val="es-DO"/>
        </w:rPr>
        <w:t>iste</w:t>
      </w:r>
      <w:r w:rsidRPr="00855BE2">
        <w:rPr>
          <w:rFonts w:ascii="Times New Roman" w:eastAsia="Calibri" w:hAnsi="Times New Roman" w:cs="Times New Roman"/>
          <w:color w:val="4C4747"/>
          <w:spacing w:val="20"/>
          <w:sz w:val="24"/>
          <w:szCs w:val="24"/>
          <w:lang w:val="es-DO"/>
        </w:rPr>
        <w:t xml:space="preserve"> en dotar de una “Canasta Digital Social”, compuesta de un </w:t>
      </w:r>
      <w:r w:rsidR="00596D44">
        <w:rPr>
          <w:rFonts w:ascii="Times New Roman" w:eastAsia="Calibri" w:hAnsi="Times New Roman" w:cs="Times New Roman"/>
          <w:color w:val="4C4747"/>
          <w:spacing w:val="20"/>
          <w:sz w:val="24"/>
          <w:szCs w:val="24"/>
          <w:lang w:val="es-DO"/>
        </w:rPr>
        <w:t xml:space="preserve">dispositivo de acceso y un </w:t>
      </w:r>
      <w:r w:rsidRPr="00855BE2">
        <w:rPr>
          <w:rFonts w:ascii="Times New Roman" w:eastAsia="Calibri" w:hAnsi="Times New Roman" w:cs="Times New Roman"/>
          <w:color w:val="4C4747"/>
          <w:spacing w:val="20"/>
          <w:sz w:val="24"/>
          <w:szCs w:val="24"/>
          <w:lang w:val="es-DO"/>
        </w:rPr>
        <w:t>subsidio parcial al servicio de internet de banda anc</w:t>
      </w:r>
      <w:r w:rsidR="00596D44">
        <w:rPr>
          <w:rFonts w:ascii="Times New Roman" w:eastAsia="Calibri" w:hAnsi="Times New Roman" w:cs="Times New Roman"/>
          <w:color w:val="4C4747"/>
          <w:spacing w:val="20"/>
          <w:sz w:val="24"/>
          <w:szCs w:val="24"/>
          <w:lang w:val="es-DO"/>
        </w:rPr>
        <w:t>ha por un periodo de 24 meses,</w:t>
      </w:r>
      <w:r w:rsidRPr="00855BE2">
        <w:rPr>
          <w:rFonts w:ascii="Times New Roman" w:eastAsia="Calibri" w:hAnsi="Times New Roman" w:cs="Times New Roman"/>
          <w:color w:val="4C4747"/>
          <w:spacing w:val="20"/>
          <w:sz w:val="24"/>
          <w:szCs w:val="24"/>
          <w:lang w:val="es-DO"/>
        </w:rPr>
        <w:t xml:space="preserve"> a 2,000 mujeres jefas de hogares con Índices de Calidad de Vida </w:t>
      </w:r>
      <w:r w:rsidR="00B94808" w:rsidRPr="00855BE2">
        <w:rPr>
          <w:rFonts w:ascii="Times New Roman" w:eastAsia="Calibri" w:hAnsi="Times New Roman" w:cs="Times New Roman"/>
          <w:color w:val="4C4747"/>
          <w:spacing w:val="20"/>
          <w:sz w:val="24"/>
          <w:szCs w:val="24"/>
          <w:lang w:val="es-DO"/>
        </w:rPr>
        <w:t xml:space="preserve">ICV1, </w:t>
      </w:r>
      <w:r w:rsidRPr="00855BE2">
        <w:rPr>
          <w:rFonts w:ascii="Times New Roman" w:eastAsia="Calibri" w:hAnsi="Times New Roman" w:cs="Times New Roman"/>
          <w:color w:val="4C4747"/>
          <w:spacing w:val="20"/>
          <w:sz w:val="24"/>
          <w:szCs w:val="24"/>
          <w:lang w:val="es-DO"/>
        </w:rPr>
        <w:t xml:space="preserve">ICV2 e ICV3, en 16 municipios de 11 provincias, con una penetración de internet fijo por debajo al 6%. </w:t>
      </w:r>
      <w:r w:rsidR="00AE3521" w:rsidRPr="00855BE2">
        <w:rPr>
          <w:rFonts w:ascii="Times New Roman" w:eastAsia="Calibri" w:hAnsi="Times New Roman" w:cs="Times New Roman"/>
          <w:color w:val="4C4747"/>
          <w:spacing w:val="20"/>
          <w:sz w:val="24"/>
          <w:szCs w:val="24"/>
          <w:lang w:val="es-DO"/>
        </w:rPr>
        <w:t>En el</w:t>
      </w:r>
      <w:r w:rsidR="00B94808" w:rsidRPr="00855BE2">
        <w:rPr>
          <w:rFonts w:ascii="Times New Roman" w:eastAsia="Calibri" w:hAnsi="Times New Roman" w:cs="Times New Roman"/>
          <w:color w:val="4C4747"/>
          <w:spacing w:val="20"/>
          <w:sz w:val="24"/>
          <w:szCs w:val="24"/>
          <w:lang w:val="es-DO"/>
        </w:rPr>
        <w:t xml:space="preserve"> mes de octubre </w:t>
      </w:r>
      <w:r w:rsidRPr="00855BE2">
        <w:rPr>
          <w:rFonts w:ascii="Times New Roman" w:eastAsia="Calibri" w:hAnsi="Times New Roman" w:cs="Times New Roman"/>
          <w:color w:val="4C4747"/>
          <w:spacing w:val="20"/>
          <w:sz w:val="24"/>
          <w:szCs w:val="24"/>
          <w:lang w:val="es-DO"/>
        </w:rPr>
        <w:t xml:space="preserve">se realizó la entrega de la Canasta Digital a </w:t>
      </w:r>
      <w:r w:rsidR="00596D44">
        <w:rPr>
          <w:rFonts w:ascii="Times New Roman" w:eastAsia="Calibri" w:hAnsi="Times New Roman" w:cs="Times New Roman"/>
          <w:color w:val="4C4747"/>
          <w:spacing w:val="20"/>
          <w:sz w:val="24"/>
          <w:szCs w:val="24"/>
          <w:lang w:val="es-DO"/>
        </w:rPr>
        <w:t xml:space="preserve">las </w:t>
      </w:r>
      <w:r w:rsidR="00B94808" w:rsidRPr="00855BE2">
        <w:rPr>
          <w:rFonts w:ascii="Times New Roman" w:eastAsia="Calibri" w:hAnsi="Times New Roman" w:cs="Times New Roman"/>
          <w:color w:val="4C4747"/>
          <w:spacing w:val="20"/>
          <w:sz w:val="24"/>
          <w:szCs w:val="24"/>
          <w:lang w:val="es-DO"/>
        </w:rPr>
        <w:t>2,000 beneficiarias en 16</w:t>
      </w:r>
      <w:r w:rsidRPr="00855BE2">
        <w:rPr>
          <w:rFonts w:ascii="Times New Roman" w:eastAsia="Calibri" w:hAnsi="Times New Roman" w:cs="Times New Roman"/>
          <w:color w:val="4C4747"/>
          <w:spacing w:val="20"/>
          <w:sz w:val="24"/>
          <w:szCs w:val="24"/>
          <w:lang w:val="es-DO"/>
        </w:rPr>
        <w:t xml:space="preserve"> munici</w:t>
      </w:r>
      <w:r w:rsidR="00B94808" w:rsidRPr="00855BE2">
        <w:rPr>
          <w:rFonts w:ascii="Times New Roman" w:eastAsia="Calibri" w:hAnsi="Times New Roman" w:cs="Times New Roman"/>
          <w:color w:val="4C4747"/>
          <w:spacing w:val="20"/>
          <w:sz w:val="24"/>
          <w:szCs w:val="24"/>
          <w:lang w:val="es-DO"/>
        </w:rPr>
        <w:t>pios de la República Dominicana.</w:t>
      </w:r>
    </w:p>
    <w:p w14:paraId="50C74D0D" w14:textId="7C07808A"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 xml:space="preserve">El Componente de Apropiación Social y Desarrollo de Habilidades Digitales va dirigido a las beneficiarias del componente de Subsidio </w:t>
      </w:r>
      <w:r w:rsidRPr="00855BE2">
        <w:rPr>
          <w:rFonts w:ascii="Times New Roman" w:eastAsia="Calibri" w:hAnsi="Times New Roman" w:cs="Times New Roman"/>
          <w:color w:val="4C4747"/>
          <w:spacing w:val="20"/>
          <w:sz w:val="24"/>
          <w:szCs w:val="24"/>
          <w:lang w:val="es-DO"/>
        </w:rPr>
        <w:lastRenderedPageBreak/>
        <w:t>a la Demanda para dotarlas de las habilidades y competencias tecnológicas básic</w:t>
      </w:r>
      <w:r w:rsidR="007509F5" w:rsidRPr="00855BE2">
        <w:rPr>
          <w:rFonts w:ascii="Times New Roman" w:eastAsia="Calibri" w:hAnsi="Times New Roman" w:cs="Times New Roman"/>
          <w:color w:val="4C4747"/>
          <w:spacing w:val="20"/>
          <w:sz w:val="24"/>
          <w:szCs w:val="24"/>
          <w:lang w:val="es-DO"/>
        </w:rPr>
        <w:t xml:space="preserve">as, </w:t>
      </w:r>
      <w:r w:rsidRPr="00855BE2">
        <w:rPr>
          <w:rFonts w:ascii="Times New Roman" w:eastAsia="Calibri" w:hAnsi="Times New Roman" w:cs="Times New Roman"/>
          <w:color w:val="4C4747"/>
          <w:spacing w:val="20"/>
          <w:sz w:val="24"/>
          <w:szCs w:val="24"/>
          <w:lang w:val="es-DO"/>
        </w:rPr>
        <w:t>que las prepare para hacer un uso más productivo de las tecnologías digitales y del internet.</w:t>
      </w:r>
      <w:r w:rsidR="007509F5" w:rsidRPr="00855BE2">
        <w:rPr>
          <w:rFonts w:ascii="Times New Roman" w:eastAsia="Calibri" w:hAnsi="Times New Roman" w:cs="Times New Roman"/>
          <w:color w:val="4C4747"/>
          <w:spacing w:val="20"/>
          <w:sz w:val="24"/>
          <w:szCs w:val="24"/>
          <w:lang w:val="es-DO"/>
        </w:rPr>
        <w:t xml:space="preserve"> </w:t>
      </w:r>
      <w:r w:rsidRPr="00855BE2">
        <w:rPr>
          <w:rFonts w:ascii="Times New Roman" w:eastAsia="Calibri" w:hAnsi="Times New Roman" w:cs="Times New Roman"/>
          <w:color w:val="4C4747"/>
          <w:spacing w:val="20"/>
          <w:sz w:val="24"/>
          <w:szCs w:val="24"/>
          <w:lang w:val="es-DO"/>
        </w:rPr>
        <w:t xml:space="preserve">Al cierre del año, se </w:t>
      </w:r>
      <w:r w:rsidR="00A45868">
        <w:rPr>
          <w:rFonts w:ascii="Times New Roman" w:eastAsia="Calibri" w:hAnsi="Times New Roman" w:cs="Times New Roman"/>
          <w:color w:val="4C4747"/>
          <w:spacing w:val="20"/>
          <w:sz w:val="24"/>
          <w:szCs w:val="24"/>
          <w:lang w:val="es-DO"/>
        </w:rPr>
        <w:t>habían conformados</w:t>
      </w:r>
      <w:r w:rsidRPr="00855BE2">
        <w:rPr>
          <w:rFonts w:ascii="Times New Roman" w:eastAsia="Calibri" w:hAnsi="Times New Roman" w:cs="Times New Roman"/>
          <w:color w:val="4C4747"/>
          <w:spacing w:val="20"/>
          <w:sz w:val="24"/>
          <w:szCs w:val="24"/>
          <w:lang w:val="es-DO"/>
        </w:rPr>
        <w:t xml:space="preserve"> 46 grupos que representan un 49.9% del total de beneficiarias para un total de 997 beneficiarias capacitadas.</w:t>
      </w:r>
    </w:p>
    <w:p w14:paraId="08E3BAED" w14:textId="1B5750B7"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 xml:space="preserve">El </w:t>
      </w:r>
      <w:r w:rsidR="00A45868" w:rsidRPr="00A45868">
        <w:rPr>
          <w:rFonts w:ascii="Times New Roman" w:eastAsia="Calibri" w:hAnsi="Times New Roman" w:cs="Times New Roman"/>
          <w:color w:val="4C4747"/>
          <w:spacing w:val="20"/>
          <w:sz w:val="24"/>
          <w:szCs w:val="24"/>
          <w:lang w:val="es-DO"/>
        </w:rPr>
        <w:t xml:space="preserve">Componente de Apropiación Social y Desarrollo de Habilidades Digitales </w:t>
      </w:r>
      <w:r w:rsidR="00A45868">
        <w:rPr>
          <w:rFonts w:ascii="Times New Roman" w:eastAsia="Calibri" w:hAnsi="Times New Roman" w:cs="Times New Roman"/>
          <w:color w:val="4C4747"/>
          <w:spacing w:val="20"/>
          <w:sz w:val="24"/>
          <w:szCs w:val="24"/>
          <w:lang w:val="es-DO"/>
        </w:rPr>
        <w:t xml:space="preserve">tiene un </w:t>
      </w:r>
      <w:r w:rsidRPr="00855BE2">
        <w:rPr>
          <w:rFonts w:ascii="Times New Roman" w:eastAsia="Calibri" w:hAnsi="Times New Roman" w:cs="Times New Roman"/>
          <w:color w:val="4C4747"/>
          <w:spacing w:val="20"/>
          <w:sz w:val="24"/>
          <w:szCs w:val="24"/>
          <w:lang w:val="es-DO"/>
        </w:rPr>
        <w:t>subcompone</w:t>
      </w:r>
      <w:r w:rsidR="007509F5" w:rsidRPr="00855BE2">
        <w:rPr>
          <w:rFonts w:ascii="Times New Roman" w:eastAsia="Calibri" w:hAnsi="Times New Roman" w:cs="Times New Roman"/>
          <w:color w:val="4C4747"/>
          <w:spacing w:val="20"/>
          <w:sz w:val="24"/>
          <w:szCs w:val="24"/>
          <w:lang w:val="es-DO"/>
        </w:rPr>
        <w:t xml:space="preserve">nte </w:t>
      </w:r>
      <w:r w:rsidR="00A45868">
        <w:rPr>
          <w:rFonts w:ascii="Times New Roman" w:eastAsia="Calibri" w:hAnsi="Times New Roman" w:cs="Times New Roman"/>
          <w:color w:val="4C4747"/>
          <w:spacing w:val="20"/>
          <w:sz w:val="24"/>
          <w:szCs w:val="24"/>
          <w:lang w:val="es-DO"/>
        </w:rPr>
        <w:t xml:space="preserve">que </w:t>
      </w:r>
      <w:r w:rsidRPr="00855BE2">
        <w:rPr>
          <w:rFonts w:ascii="Times New Roman" w:eastAsia="Calibri" w:hAnsi="Times New Roman" w:cs="Times New Roman"/>
          <w:color w:val="4C4747"/>
          <w:spacing w:val="20"/>
          <w:sz w:val="24"/>
          <w:szCs w:val="24"/>
          <w:lang w:val="es-DO"/>
        </w:rPr>
        <w:t xml:space="preserve">consiste en </w:t>
      </w:r>
      <w:r w:rsidR="00A45868">
        <w:rPr>
          <w:rFonts w:ascii="Times New Roman" w:eastAsia="Calibri" w:hAnsi="Times New Roman" w:cs="Times New Roman"/>
          <w:color w:val="4C4747"/>
          <w:spacing w:val="20"/>
          <w:sz w:val="24"/>
          <w:szCs w:val="24"/>
          <w:lang w:val="es-DO"/>
        </w:rPr>
        <w:t xml:space="preserve">implementar </w:t>
      </w:r>
      <w:r w:rsidRPr="00855BE2">
        <w:rPr>
          <w:rFonts w:ascii="Times New Roman" w:eastAsia="Calibri" w:hAnsi="Times New Roman" w:cs="Times New Roman"/>
          <w:color w:val="4C4747"/>
          <w:spacing w:val="20"/>
          <w:sz w:val="24"/>
          <w:szCs w:val="24"/>
          <w:lang w:val="es-DO"/>
        </w:rPr>
        <w:t>un programa de becas dirigidas a jóvenes para fortalecer sus conocimientos y habilidades técnicas en materia digital, fueron otorgadas un total de 976 becas a lo largo de 4 trimestres o períodos de estudios.</w:t>
      </w:r>
    </w:p>
    <w:p w14:paraId="04E73E77" w14:textId="780A0863"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 xml:space="preserve">En adición, el </w:t>
      </w:r>
      <w:r w:rsidR="00B94808" w:rsidRPr="00855BE2">
        <w:rPr>
          <w:rFonts w:ascii="Times New Roman" w:eastAsia="Calibri" w:hAnsi="Times New Roman" w:cs="Times New Roman"/>
          <w:color w:val="4C4747"/>
          <w:spacing w:val="20"/>
          <w:sz w:val="24"/>
          <w:szCs w:val="24"/>
          <w:lang w:val="es-DO"/>
        </w:rPr>
        <w:t>INDOTEL</w:t>
      </w:r>
      <w:r w:rsidRPr="00855BE2">
        <w:rPr>
          <w:rFonts w:ascii="Times New Roman" w:eastAsia="Calibri" w:hAnsi="Times New Roman" w:cs="Times New Roman"/>
          <w:color w:val="4C4747"/>
          <w:spacing w:val="20"/>
          <w:sz w:val="24"/>
          <w:szCs w:val="24"/>
          <w:lang w:val="es-DO"/>
        </w:rPr>
        <w:t xml:space="preserve"> </w:t>
      </w:r>
      <w:r w:rsidR="007D5EC0" w:rsidRPr="00855BE2">
        <w:rPr>
          <w:rFonts w:ascii="Times New Roman" w:eastAsia="Calibri" w:hAnsi="Times New Roman" w:cs="Times New Roman"/>
          <w:color w:val="4C4747"/>
          <w:spacing w:val="20"/>
          <w:sz w:val="24"/>
          <w:szCs w:val="24"/>
          <w:lang w:val="es-DO"/>
        </w:rPr>
        <w:t>es responsable de mantener 1,121</w:t>
      </w:r>
      <w:r w:rsidR="00B94808" w:rsidRPr="00855BE2">
        <w:rPr>
          <w:rFonts w:ascii="Times New Roman" w:eastAsia="Calibri" w:hAnsi="Times New Roman" w:cs="Times New Roman"/>
          <w:color w:val="4C4747"/>
          <w:spacing w:val="20"/>
          <w:sz w:val="24"/>
          <w:szCs w:val="24"/>
          <w:lang w:val="es-DO"/>
        </w:rPr>
        <w:t xml:space="preserve"> puntos Wi-Fi de a</w:t>
      </w:r>
      <w:r w:rsidRPr="00855BE2">
        <w:rPr>
          <w:rFonts w:ascii="Times New Roman" w:eastAsia="Calibri" w:hAnsi="Times New Roman" w:cs="Times New Roman"/>
          <w:color w:val="4C4747"/>
          <w:spacing w:val="20"/>
          <w:sz w:val="24"/>
          <w:szCs w:val="24"/>
          <w:lang w:val="es-DO"/>
        </w:rPr>
        <w:t>cceso en lugares públicos, cuyo objetivo es proveer a la población de las localidades beneficiadas de cobertura inalámbrica para acceder al servicio de internet de banda ancha, cumpliendo con el mandato de la Estrategia Nacional de Desarrollo de "lograr acceso universal y uso productivo de las Tecnologías de la Info</w:t>
      </w:r>
      <w:r w:rsidR="00C61C10" w:rsidRPr="00855BE2">
        <w:rPr>
          <w:rFonts w:ascii="Times New Roman" w:eastAsia="Calibri" w:hAnsi="Times New Roman" w:cs="Times New Roman"/>
          <w:color w:val="4C4747"/>
          <w:spacing w:val="20"/>
          <w:sz w:val="24"/>
          <w:szCs w:val="24"/>
          <w:lang w:val="es-DO"/>
        </w:rPr>
        <w:t xml:space="preserve">rmación y Comunicación (TIC)". </w:t>
      </w:r>
    </w:p>
    <w:p w14:paraId="0C767E9B" w14:textId="18F24D52" w:rsidR="0005304D" w:rsidRPr="00855BE2" w:rsidRDefault="001B6676" w:rsidP="0005304D">
      <w:pPr>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F</w:t>
      </w:r>
      <w:r w:rsidR="00D863B5">
        <w:rPr>
          <w:rFonts w:ascii="Times New Roman" w:eastAsia="Calibri" w:hAnsi="Times New Roman" w:cs="Times New Roman"/>
          <w:color w:val="4C4747"/>
          <w:spacing w:val="20"/>
          <w:sz w:val="24"/>
          <w:szCs w:val="24"/>
          <w:lang w:val="es-DO"/>
        </w:rPr>
        <w:t xml:space="preserve">ue desarrollada una plataforma </w:t>
      </w:r>
      <w:r>
        <w:rPr>
          <w:rFonts w:ascii="Times New Roman" w:eastAsia="Calibri" w:hAnsi="Times New Roman" w:cs="Times New Roman"/>
          <w:color w:val="4C4747"/>
          <w:spacing w:val="20"/>
          <w:sz w:val="24"/>
          <w:szCs w:val="24"/>
          <w:lang w:val="es-DO"/>
        </w:rPr>
        <w:t>web</w:t>
      </w:r>
      <w:r w:rsidR="00D863B5">
        <w:rPr>
          <w:rFonts w:ascii="Times New Roman" w:eastAsia="Calibri" w:hAnsi="Times New Roman" w:cs="Times New Roman"/>
          <w:color w:val="4C4747"/>
          <w:spacing w:val="20"/>
          <w:sz w:val="24"/>
          <w:szCs w:val="24"/>
          <w:lang w:val="es-DO"/>
        </w:rPr>
        <w:t xml:space="preserve"> para la gestión del </w:t>
      </w:r>
      <w:r w:rsidR="0005304D" w:rsidRPr="00855BE2">
        <w:rPr>
          <w:rFonts w:ascii="Times New Roman" w:eastAsia="Calibri" w:hAnsi="Times New Roman" w:cs="Times New Roman"/>
          <w:color w:val="4C4747"/>
          <w:spacing w:val="20"/>
          <w:sz w:val="24"/>
          <w:szCs w:val="24"/>
          <w:lang w:val="es-DO"/>
        </w:rPr>
        <w:t>Sello de Confianza de Comercio Electrónico de la Rep</w:t>
      </w:r>
      <w:r w:rsidR="00BA3EE9">
        <w:rPr>
          <w:rFonts w:ascii="Times New Roman" w:eastAsia="Calibri" w:hAnsi="Times New Roman" w:cs="Times New Roman"/>
          <w:color w:val="4C4747"/>
          <w:spacing w:val="20"/>
          <w:sz w:val="24"/>
          <w:szCs w:val="24"/>
          <w:lang w:val="es-DO"/>
        </w:rPr>
        <w:t xml:space="preserve">ública Dominicana el cual tiene como finalidad </w:t>
      </w:r>
      <w:r w:rsidR="0005304D" w:rsidRPr="00855BE2">
        <w:rPr>
          <w:rFonts w:ascii="Times New Roman" w:eastAsia="Calibri" w:hAnsi="Times New Roman" w:cs="Times New Roman"/>
          <w:color w:val="4C4747"/>
          <w:spacing w:val="20"/>
          <w:sz w:val="24"/>
          <w:szCs w:val="24"/>
          <w:lang w:val="es-DO"/>
        </w:rPr>
        <w:t xml:space="preserve">crear la normalización, reglamentación técnica y acreditación que garantice el cumplimiento de los requisitos de los mercados globales y un compromiso con la excelencia; según lo establece el EJE 3 (3.5.2) de la Estrategia Nacional de Desarrollo 2030 (END), para lo cual se implementará un portal web </w:t>
      </w:r>
    </w:p>
    <w:p w14:paraId="38E3BD60" w14:textId="4C20D6F0" w:rsidR="0005304D" w:rsidRPr="00855BE2" w:rsidRDefault="0005304D" w:rsidP="0005304D">
      <w:pPr>
        <w:spacing w:line="360" w:lineRule="auto"/>
        <w:jc w:val="both"/>
        <w:rPr>
          <w:rFonts w:ascii="Times New Roman" w:eastAsia="Calibri" w:hAnsi="Times New Roman" w:cs="Times New Roman"/>
          <w:color w:val="4C4747"/>
          <w:spacing w:val="20"/>
          <w:sz w:val="24"/>
          <w:szCs w:val="24"/>
          <w:lang w:val="es-DO"/>
        </w:rPr>
      </w:pPr>
      <w:r w:rsidRPr="00855BE2">
        <w:rPr>
          <w:rFonts w:ascii="Times New Roman" w:eastAsia="Calibri" w:hAnsi="Times New Roman" w:cs="Times New Roman"/>
          <w:color w:val="4C4747"/>
          <w:spacing w:val="20"/>
          <w:sz w:val="24"/>
          <w:szCs w:val="24"/>
          <w:lang w:val="es-DO"/>
        </w:rPr>
        <w:t xml:space="preserve">Como parte del Programa Burocracia Cero, el </w:t>
      </w:r>
      <w:r w:rsidR="00B94808" w:rsidRPr="00855BE2">
        <w:rPr>
          <w:rFonts w:ascii="Times New Roman" w:eastAsia="Calibri" w:hAnsi="Times New Roman" w:cs="Times New Roman"/>
          <w:color w:val="4C4747"/>
          <w:spacing w:val="20"/>
          <w:sz w:val="24"/>
          <w:szCs w:val="24"/>
          <w:lang w:val="es-DO"/>
        </w:rPr>
        <w:t xml:space="preserve">INDOTEL </w:t>
      </w:r>
      <w:r w:rsidR="00D863B5">
        <w:rPr>
          <w:rFonts w:ascii="Times New Roman" w:eastAsia="Calibri" w:hAnsi="Times New Roman" w:cs="Times New Roman"/>
          <w:color w:val="4C4747"/>
          <w:spacing w:val="20"/>
          <w:sz w:val="24"/>
          <w:szCs w:val="24"/>
          <w:lang w:val="es-DO"/>
        </w:rPr>
        <w:t xml:space="preserve">tiene disponibles 7 trámites </w:t>
      </w:r>
      <w:r w:rsidR="001B6676">
        <w:rPr>
          <w:rFonts w:ascii="Times New Roman" w:eastAsia="Calibri" w:hAnsi="Times New Roman" w:cs="Times New Roman"/>
          <w:color w:val="4C4747"/>
          <w:spacing w:val="20"/>
          <w:sz w:val="24"/>
          <w:szCs w:val="24"/>
          <w:lang w:val="es-DO"/>
        </w:rPr>
        <w:t>en el Portal Único del Estado D</w:t>
      </w:r>
      <w:r w:rsidR="00D863B5">
        <w:rPr>
          <w:rFonts w:ascii="Times New Roman" w:eastAsia="Calibri" w:hAnsi="Times New Roman" w:cs="Times New Roman"/>
          <w:color w:val="4C4747"/>
          <w:spacing w:val="20"/>
          <w:sz w:val="24"/>
          <w:szCs w:val="24"/>
          <w:lang w:val="es-DO"/>
        </w:rPr>
        <w:t xml:space="preserve">ominicano y tres en la Ventanilla Única de Inversión del sector de las telecomunicaciones. </w:t>
      </w:r>
    </w:p>
    <w:p w14:paraId="3392E7C5" w14:textId="4C08FCCF" w:rsidR="00FA019C" w:rsidRPr="00A374FD" w:rsidRDefault="001F33D9" w:rsidP="00A02BDE">
      <w:pPr>
        <w:pStyle w:val="Ttulo1"/>
        <w:numPr>
          <w:ilvl w:val="0"/>
          <w:numId w:val="27"/>
        </w:numPr>
        <w:spacing w:line="360" w:lineRule="auto"/>
        <w:jc w:val="center"/>
        <w:rPr>
          <w:color w:val="4C4747"/>
          <w:spacing w:val="20"/>
          <w:lang w:val="es-DO"/>
        </w:rPr>
      </w:pPr>
      <w:bookmarkStart w:id="3" w:name="_Toc122425226"/>
      <w:bookmarkEnd w:id="1"/>
      <w:r w:rsidRPr="00A374FD">
        <w:rPr>
          <w:color w:val="4C4747"/>
          <w:spacing w:val="20"/>
          <w:lang w:val="es-DO"/>
        </w:rPr>
        <w:lastRenderedPageBreak/>
        <w:t>I</w:t>
      </w:r>
      <w:r w:rsidR="00566BEC" w:rsidRPr="00A374FD">
        <w:rPr>
          <w:color w:val="4C4747"/>
          <w:spacing w:val="20"/>
          <w:lang w:val="es-DO"/>
        </w:rPr>
        <w:t>NFORMACIÓ</w:t>
      </w:r>
      <w:r w:rsidRPr="00A374FD">
        <w:rPr>
          <w:color w:val="4C4747"/>
          <w:spacing w:val="20"/>
          <w:lang w:val="es-DO"/>
        </w:rPr>
        <w:t>N INSTITUCIONAL</w:t>
      </w:r>
      <w:bookmarkEnd w:id="3"/>
      <w:r w:rsidRPr="00A374FD">
        <w:rPr>
          <w:color w:val="4C4747"/>
          <w:spacing w:val="20"/>
          <w:lang w:val="es-DO"/>
        </w:rPr>
        <w:t xml:space="preserve"> </w:t>
      </w:r>
    </w:p>
    <w:p w14:paraId="25D250ED" w14:textId="77777777" w:rsidR="00FA019C" w:rsidRPr="00A374FD" w:rsidRDefault="00FA019C" w:rsidP="00FA019C">
      <w:pPr>
        <w:jc w:val="both"/>
        <w:rPr>
          <w:rFonts w:ascii="Times New Roman" w:eastAsia="Calibri" w:hAnsi="Times New Roman" w:cs="Times New Roman"/>
          <w:color w:val="4C4747"/>
          <w:sz w:val="18"/>
          <w:lang w:val="es-DO"/>
        </w:rPr>
      </w:pPr>
      <w:r w:rsidRPr="00A374FD">
        <w:rPr>
          <w:rFonts w:ascii="Times New Roman" w:eastAsia="Calibri" w:hAnsi="Times New Roman" w:cs="Times New Roman"/>
          <w:noProof/>
          <w:color w:val="4C4747"/>
          <w:sz w:val="18"/>
        </w:rPr>
        <mc:AlternateContent>
          <mc:Choice Requires="wps">
            <w:drawing>
              <wp:anchor distT="0" distB="0" distL="114300" distR="114300" simplePos="0" relativeHeight="251713536" behindDoc="0" locked="0" layoutInCell="1" allowOverlap="1" wp14:anchorId="377A243F" wp14:editId="63CD683D">
                <wp:simplePos x="0" y="0"/>
                <wp:positionH relativeFrom="margin">
                  <wp:posOffset>2254250</wp:posOffset>
                </wp:positionH>
                <wp:positionV relativeFrom="paragraph">
                  <wp:posOffset>36830</wp:posOffset>
                </wp:positionV>
                <wp:extent cx="463550" cy="0"/>
                <wp:effectExtent l="22860" t="15875" r="18415" b="22225"/>
                <wp:wrapNone/>
                <wp:docPr id="7"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705F54C" id="Straight Connector 21" o:spid="_x0000_s1026" style="position:absolute;z-index:25171353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2rUBNAIAAE8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" strokecolor="#ee2a24" strokeweight="2.25pt">
                <v:stroke joinstyle="miter"/>
                <w10:wrap anchorx="margin"/>
              </v:line>
            </w:pict>
          </mc:Fallback>
        </mc:AlternateContent>
      </w:r>
    </w:p>
    <w:p w14:paraId="10775E34" w14:textId="4D7AA817" w:rsidR="00FA019C" w:rsidRPr="00A374FD" w:rsidRDefault="00591C1B" w:rsidP="00FA019C">
      <w:pPr>
        <w:jc w:val="center"/>
        <w:rPr>
          <w:rFonts w:ascii="Times New Roman" w:eastAsia="Calibri" w:hAnsi="Times New Roman" w:cs="Times New Roman"/>
          <w:color w:val="4C4747"/>
          <w:spacing w:val="20"/>
          <w:sz w:val="24"/>
          <w:szCs w:val="36"/>
          <w:lang w:val="es-DO"/>
        </w:rPr>
      </w:pPr>
      <w:r w:rsidRPr="00A374FD">
        <w:rPr>
          <w:rFonts w:ascii="Times New Roman" w:eastAsia="Calibri" w:hAnsi="Times New Roman" w:cs="Times New Roman"/>
          <w:color w:val="4C4747"/>
          <w:spacing w:val="20"/>
          <w:sz w:val="24"/>
          <w:szCs w:val="36"/>
          <w:lang w:val="es-DO"/>
        </w:rPr>
        <w:t>Memoria I</w:t>
      </w:r>
      <w:r w:rsidR="0053121F" w:rsidRPr="00A374FD">
        <w:rPr>
          <w:rFonts w:ascii="Times New Roman" w:eastAsia="Calibri" w:hAnsi="Times New Roman" w:cs="Times New Roman"/>
          <w:color w:val="4C4747"/>
          <w:spacing w:val="20"/>
          <w:sz w:val="24"/>
          <w:szCs w:val="36"/>
          <w:lang w:val="es-DO"/>
        </w:rPr>
        <w:t>nstitucional</w:t>
      </w:r>
      <w:r w:rsidR="00FA019C" w:rsidRPr="00A374FD">
        <w:rPr>
          <w:rFonts w:ascii="Times New Roman" w:eastAsia="Calibri" w:hAnsi="Times New Roman" w:cs="Times New Roman"/>
          <w:color w:val="4C4747"/>
          <w:spacing w:val="20"/>
          <w:sz w:val="24"/>
          <w:szCs w:val="36"/>
          <w:lang w:val="es-DO"/>
        </w:rPr>
        <w:t xml:space="preserve"> 2022</w:t>
      </w:r>
    </w:p>
    <w:p w14:paraId="4E65BD04" w14:textId="77777777" w:rsidR="00FA019C" w:rsidRPr="000E66D4" w:rsidRDefault="00FA019C" w:rsidP="00FA019C">
      <w:pPr>
        <w:spacing w:line="360" w:lineRule="auto"/>
        <w:jc w:val="both"/>
        <w:rPr>
          <w:rFonts w:ascii="Times New Roman" w:eastAsia="Calibri" w:hAnsi="Times New Roman" w:cs="Times New Roman"/>
          <w:color w:val="4C4747"/>
          <w:spacing w:val="20"/>
          <w:sz w:val="24"/>
          <w:szCs w:val="24"/>
          <w:lang w:val="es-DO"/>
        </w:rPr>
      </w:pPr>
    </w:p>
    <w:p w14:paraId="12654EAB" w14:textId="633E55E7" w:rsidR="00566BEC" w:rsidRPr="00A065A5" w:rsidRDefault="001C151B" w:rsidP="00A02BDE">
      <w:pPr>
        <w:pStyle w:val="Ttulo2"/>
        <w:numPr>
          <w:ilvl w:val="1"/>
          <w:numId w:val="27"/>
        </w:numPr>
        <w:rPr>
          <w:rFonts w:ascii="Times New Roman" w:hAnsi="Times New Roman" w:cs="Times New Roman"/>
          <w:b/>
          <w:color w:val="4C4747"/>
          <w:sz w:val="24"/>
          <w:szCs w:val="24"/>
          <w:lang w:val="es-DO"/>
        </w:rPr>
      </w:pPr>
      <w:bookmarkStart w:id="4" w:name="_Toc122425227"/>
      <w:r w:rsidRPr="00A065A5">
        <w:rPr>
          <w:rFonts w:ascii="Times New Roman" w:hAnsi="Times New Roman" w:cs="Times New Roman"/>
          <w:b/>
          <w:color w:val="4C4747"/>
          <w:sz w:val="24"/>
          <w:szCs w:val="24"/>
          <w:lang w:val="es-DO"/>
        </w:rPr>
        <w:t>Marco Filosófico Institucional</w:t>
      </w:r>
      <w:bookmarkEnd w:id="4"/>
    </w:p>
    <w:p w14:paraId="2B0E6B7D" w14:textId="77777777" w:rsidR="00A712DA" w:rsidRPr="00A065A5" w:rsidRDefault="00A712DA" w:rsidP="00A712DA">
      <w:pPr>
        <w:pStyle w:val="Prrafodelista"/>
        <w:rPr>
          <w:rFonts w:ascii="Times New Roman" w:hAnsi="Times New Roman" w:cs="Times New Roman"/>
          <w:color w:val="4C4747"/>
          <w:lang w:val="es-DO"/>
        </w:rPr>
      </w:pPr>
    </w:p>
    <w:p w14:paraId="7BFCFA04" w14:textId="015C00CD" w:rsidR="001C151B" w:rsidRPr="00A065A5" w:rsidRDefault="001C151B" w:rsidP="007C16C5">
      <w:pPr>
        <w:pStyle w:val="Ttulo3"/>
        <w:rPr>
          <w:rFonts w:ascii="Times New Roman" w:hAnsi="Times New Roman" w:cs="Times New Roman"/>
          <w:b/>
          <w:color w:val="4C4747"/>
          <w:lang w:val="es-DO"/>
        </w:rPr>
      </w:pPr>
      <w:bookmarkStart w:id="5" w:name="_Toc122425228"/>
      <w:r w:rsidRPr="00A065A5">
        <w:rPr>
          <w:rFonts w:ascii="Times New Roman" w:hAnsi="Times New Roman" w:cs="Times New Roman"/>
          <w:b/>
          <w:color w:val="4C4747"/>
          <w:lang w:val="es-DO"/>
        </w:rPr>
        <w:t>Misión</w:t>
      </w:r>
      <w:bookmarkEnd w:id="5"/>
    </w:p>
    <w:p w14:paraId="20360278" w14:textId="77777777" w:rsidR="007C16C5" w:rsidRPr="007C16C5" w:rsidRDefault="007C16C5" w:rsidP="007C16C5">
      <w:pPr>
        <w:spacing w:line="360" w:lineRule="auto"/>
        <w:jc w:val="both"/>
        <w:rPr>
          <w:rFonts w:ascii="Times New Roman" w:eastAsia="Calibri" w:hAnsi="Times New Roman" w:cs="Times New Roman"/>
          <w:color w:val="4C4747"/>
          <w:spacing w:val="20"/>
          <w:sz w:val="8"/>
          <w:szCs w:val="8"/>
          <w:lang w:val="es-DO"/>
        </w:rPr>
      </w:pPr>
    </w:p>
    <w:p w14:paraId="191B710D" w14:textId="77777777" w:rsidR="001C151B" w:rsidRPr="007C16C5" w:rsidRDefault="001C151B" w:rsidP="007C16C5">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Garantizar la oferta y acceso universal a los servicios de telecomunicaciones y certificación digital.</w:t>
      </w:r>
    </w:p>
    <w:p w14:paraId="4CCCCEB2" w14:textId="1F358CAD" w:rsidR="001C151B" w:rsidRPr="00A065A5" w:rsidRDefault="001C151B" w:rsidP="007C16C5">
      <w:pPr>
        <w:pStyle w:val="Ttulo3"/>
        <w:rPr>
          <w:rFonts w:ascii="Times New Roman" w:hAnsi="Times New Roman" w:cs="Times New Roman"/>
          <w:b/>
          <w:color w:val="4C4747"/>
          <w:lang w:val="es-DO"/>
        </w:rPr>
      </w:pPr>
      <w:bookmarkStart w:id="6" w:name="_Toc122425229"/>
      <w:r w:rsidRPr="00A065A5">
        <w:rPr>
          <w:rFonts w:ascii="Times New Roman" w:hAnsi="Times New Roman" w:cs="Times New Roman"/>
          <w:b/>
          <w:color w:val="4C4747"/>
          <w:lang w:val="es-DO"/>
        </w:rPr>
        <w:t>Visión</w:t>
      </w:r>
      <w:bookmarkEnd w:id="6"/>
    </w:p>
    <w:p w14:paraId="283B22F9" w14:textId="77777777" w:rsidR="007C16C5" w:rsidRPr="007C16C5" w:rsidRDefault="007C16C5" w:rsidP="007C16C5">
      <w:pPr>
        <w:spacing w:line="360" w:lineRule="auto"/>
        <w:jc w:val="both"/>
        <w:rPr>
          <w:rFonts w:ascii="Times New Roman" w:eastAsia="Calibri" w:hAnsi="Times New Roman" w:cs="Times New Roman"/>
          <w:color w:val="4C4747"/>
          <w:spacing w:val="20"/>
          <w:sz w:val="8"/>
          <w:szCs w:val="8"/>
          <w:lang w:val="es-DO"/>
        </w:rPr>
      </w:pPr>
    </w:p>
    <w:p w14:paraId="0BD8B4CB" w14:textId="77777777" w:rsidR="001C151B" w:rsidRPr="007C16C5" w:rsidRDefault="001C151B" w:rsidP="007C16C5">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Ser un regulador eficaz, que garantiza la inclusión digital, la calidad de los servicios de telecomunicaciones y certificación digital, siendo modelo de innovación.</w:t>
      </w:r>
    </w:p>
    <w:p w14:paraId="7800E0C1" w14:textId="7FB96E30" w:rsidR="001C151B" w:rsidRPr="00A065A5" w:rsidRDefault="001C151B" w:rsidP="007C16C5">
      <w:pPr>
        <w:pStyle w:val="Ttulo3"/>
        <w:rPr>
          <w:rFonts w:ascii="Times New Roman" w:hAnsi="Times New Roman" w:cs="Times New Roman"/>
          <w:b/>
          <w:color w:val="4C4747"/>
          <w:lang w:val="es-DO"/>
        </w:rPr>
      </w:pPr>
      <w:bookmarkStart w:id="7" w:name="_Toc122425230"/>
      <w:r w:rsidRPr="00A065A5">
        <w:rPr>
          <w:rFonts w:ascii="Times New Roman" w:hAnsi="Times New Roman" w:cs="Times New Roman"/>
          <w:b/>
          <w:color w:val="4C4747"/>
          <w:lang w:val="es-DO"/>
        </w:rPr>
        <w:t>Valores</w:t>
      </w:r>
      <w:r w:rsidR="007C16C5">
        <w:rPr>
          <w:rFonts w:ascii="Times New Roman" w:hAnsi="Times New Roman" w:cs="Times New Roman"/>
          <w:b/>
          <w:color w:val="4C4747"/>
          <w:lang w:val="es-DO"/>
        </w:rPr>
        <w:t>:</w:t>
      </w:r>
      <w:bookmarkEnd w:id="7"/>
    </w:p>
    <w:p w14:paraId="165CB8B7" w14:textId="77777777" w:rsidR="007D4866" w:rsidRPr="007C16C5" w:rsidRDefault="007D4866" w:rsidP="007D4866">
      <w:pPr>
        <w:rPr>
          <w:rFonts w:ascii="Times New Roman" w:hAnsi="Times New Roman" w:cs="Times New Roman"/>
          <w:sz w:val="8"/>
          <w:szCs w:val="8"/>
          <w:lang w:val="es-DO"/>
        </w:rPr>
      </w:pPr>
    </w:p>
    <w:p w14:paraId="0A934FDE" w14:textId="77777777" w:rsidR="00FA2624" w:rsidRPr="007C16C5" w:rsidRDefault="001C151B" w:rsidP="00A02BDE">
      <w:pPr>
        <w:pStyle w:val="Prrafodelista"/>
        <w:numPr>
          <w:ilvl w:val="0"/>
          <w:numId w:val="3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Transparencia:</w:t>
      </w:r>
      <w:r w:rsidR="00566BEC" w:rsidRPr="007C16C5">
        <w:rPr>
          <w:rFonts w:ascii="Times New Roman" w:eastAsia="Calibri" w:hAnsi="Times New Roman" w:cs="Times New Roman"/>
          <w:color w:val="4C4747"/>
          <w:spacing w:val="20"/>
          <w:sz w:val="24"/>
          <w:szCs w:val="24"/>
          <w:lang w:val="es-DO"/>
        </w:rPr>
        <w:t xml:space="preserve"> </w:t>
      </w:r>
      <w:r w:rsidRPr="007C16C5">
        <w:rPr>
          <w:rFonts w:ascii="Times New Roman" w:eastAsia="Calibri" w:hAnsi="Times New Roman" w:cs="Times New Roman"/>
          <w:color w:val="4C4747"/>
          <w:spacing w:val="20"/>
          <w:sz w:val="24"/>
          <w:szCs w:val="24"/>
          <w:lang w:val="es-DO"/>
        </w:rPr>
        <w:t xml:space="preserve">Trabajamos con honestidad, en consonancia con las mejores prácticas, abiertos al escrutinio público. </w:t>
      </w:r>
    </w:p>
    <w:p w14:paraId="47295931" w14:textId="506BB89C" w:rsidR="001C151B" w:rsidRPr="007C16C5" w:rsidRDefault="001C151B" w:rsidP="00A02BDE">
      <w:pPr>
        <w:pStyle w:val="Prrafodelista"/>
        <w:numPr>
          <w:ilvl w:val="0"/>
          <w:numId w:val="3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Compromiso:</w:t>
      </w:r>
      <w:r w:rsidR="00566BEC" w:rsidRPr="007C16C5">
        <w:rPr>
          <w:rFonts w:ascii="Times New Roman" w:eastAsia="Calibri" w:hAnsi="Times New Roman" w:cs="Times New Roman"/>
          <w:color w:val="4C4747"/>
          <w:spacing w:val="20"/>
          <w:sz w:val="24"/>
          <w:szCs w:val="24"/>
          <w:lang w:val="es-DO"/>
        </w:rPr>
        <w:t xml:space="preserve"> </w:t>
      </w:r>
      <w:r w:rsidRPr="007C16C5">
        <w:rPr>
          <w:rFonts w:ascii="Times New Roman" w:eastAsia="Calibri" w:hAnsi="Times New Roman" w:cs="Times New Roman"/>
          <w:color w:val="4C4747"/>
          <w:spacing w:val="20"/>
          <w:sz w:val="24"/>
          <w:szCs w:val="24"/>
          <w:lang w:val="es-DO"/>
        </w:rPr>
        <w:t>Garantizamos el complimiento de nuestras obligaciones con puntualidad, proactividad y calidad con apego a los objetivos de la institución.</w:t>
      </w:r>
    </w:p>
    <w:p w14:paraId="3F37A461" w14:textId="77777777" w:rsidR="001C151B" w:rsidRPr="007C16C5" w:rsidRDefault="001C151B" w:rsidP="00A02BDE">
      <w:pPr>
        <w:pStyle w:val="Prrafodelista"/>
        <w:numPr>
          <w:ilvl w:val="0"/>
          <w:numId w:val="3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Equidad:</w:t>
      </w:r>
      <w:r w:rsidRPr="007C16C5">
        <w:rPr>
          <w:rFonts w:ascii="Times New Roman" w:eastAsia="Calibri" w:hAnsi="Times New Roman" w:cs="Times New Roman"/>
          <w:color w:val="4C4747"/>
          <w:spacing w:val="20"/>
          <w:sz w:val="24"/>
          <w:szCs w:val="24"/>
          <w:lang w:val="es-DO"/>
        </w:rPr>
        <w:t xml:space="preserve"> Actuamos con justicia, dando igualdad de oportunidades a quienes servimos. </w:t>
      </w:r>
    </w:p>
    <w:p w14:paraId="155F0420" w14:textId="77777777" w:rsidR="001C151B" w:rsidRPr="007C16C5" w:rsidRDefault="001C151B" w:rsidP="00A02BDE">
      <w:pPr>
        <w:pStyle w:val="Prrafodelista"/>
        <w:numPr>
          <w:ilvl w:val="0"/>
          <w:numId w:val="3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Integridad:</w:t>
      </w:r>
      <w:r w:rsidRPr="007C16C5">
        <w:rPr>
          <w:rFonts w:ascii="Times New Roman" w:eastAsia="Calibri" w:hAnsi="Times New Roman" w:cs="Times New Roman"/>
          <w:color w:val="4C4747"/>
          <w:spacing w:val="20"/>
          <w:sz w:val="24"/>
          <w:szCs w:val="24"/>
          <w:lang w:val="es-DO"/>
        </w:rPr>
        <w:t xml:space="preserve"> Actuamos con el cumplimiento del deber conforme a las normas éticas y morales.</w:t>
      </w:r>
    </w:p>
    <w:p w14:paraId="792DF605" w14:textId="77777777" w:rsidR="001C151B" w:rsidRPr="007C11E2" w:rsidRDefault="001C151B" w:rsidP="001C151B">
      <w:pPr>
        <w:spacing w:line="360" w:lineRule="auto"/>
        <w:jc w:val="both"/>
        <w:rPr>
          <w:rFonts w:ascii="Times New Roman" w:eastAsia="Calibri" w:hAnsi="Times New Roman" w:cs="Times New Roman"/>
          <w:color w:val="4C4747"/>
          <w:spacing w:val="20"/>
          <w:sz w:val="24"/>
          <w:szCs w:val="24"/>
          <w:lang w:val="es-DO"/>
        </w:rPr>
      </w:pPr>
    </w:p>
    <w:p w14:paraId="6300F7B9" w14:textId="77777777" w:rsidR="00FA2624" w:rsidRPr="007C11E2" w:rsidRDefault="00FA2624" w:rsidP="001C151B">
      <w:pPr>
        <w:spacing w:line="360" w:lineRule="auto"/>
        <w:jc w:val="both"/>
        <w:rPr>
          <w:rFonts w:ascii="Times New Roman" w:eastAsia="Calibri" w:hAnsi="Times New Roman" w:cs="Times New Roman"/>
          <w:color w:val="4C4747"/>
          <w:spacing w:val="20"/>
          <w:sz w:val="24"/>
          <w:szCs w:val="24"/>
          <w:lang w:val="es-DO"/>
        </w:rPr>
      </w:pPr>
    </w:p>
    <w:p w14:paraId="6CFEB569" w14:textId="77777777" w:rsidR="00A712DA" w:rsidRPr="007C11E2" w:rsidRDefault="00A712DA" w:rsidP="001C151B">
      <w:pPr>
        <w:spacing w:line="360" w:lineRule="auto"/>
        <w:jc w:val="both"/>
        <w:rPr>
          <w:rFonts w:ascii="Times New Roman" w:eastAsia="Calibri" w:hAnsi="Times New Roman" w:cs="Times New Roman"/>
          <w:color w:val="4C4747"/>
          <w:spacing w:val="20"/>
          <w:sz w:val="24"/>
          <w:szCs w:val="24"/>
          <w:lang w:val="es-DO"/>
        </w:rPr>
      </w:pPr>
    </w:p>
    <w:p w14:paraId="60916DCA" w14:textId="242F77F1" w:rsidR="00A712DA" w:rsidRPr="007C11E2" w:rsidRDefault="00A712DA" w:rsidP="001C151B">
      <w:pPr>
        <w:spacing w:line="360" w:lineRule="auto"/>
        <w:jc w:val="both"/>
        <w:rPr>
          <w:rFonts w:ascii="Times New Roman" w:eastAsia="Calibri" w:hAnsi="Times New Roman" w:cs="Times New Roman"/>
          <w:color w:val="4C4747"/>
          <w:spacing w:val="20"/>
          <w:sz w:val="24"/>
          <w:szCs w:val="24"/>
          <w:lang w:val="es-DO"/>
        </w:rPr>
      </w:pPr>
    </w:p>
    <w:p w14:paraId="73441912" w14:textId="453DBE17" w:rsidR="001C151B" w:rsidRPr="007C11E2" w:rsidRDefault="00A712DA" w:rsidP="00A02BDE">
      <w:pPr>
        <w:pStyle w:val="Ttulo2"/>
        <w:numPr>
          <w:ilvl w:val="1"/>
          <w:numId w:val="27"/>
        </w:numPr>
        <w:rPr>
          <w:rFonts w:ascii="Times New Roman" w:hAnsi="Times New Roman" w:cs="Times New Roman"/>
          <w:b/>
          <w:color w:val="4C4747"/>
          <w:sz w:val="24"/>
          <w:szCs w:val="24"/>
          <w:lang w:val="es-DO"/>
        </w:rPr>
      </w:pPr>
      <w:r w:rsidRPr="007C11E2">
        <w:rPr>
          <w:rFonts w:ascii="Times New Roman" w:hAnsi="Times New Roman" w:cs="Times New Roman"/>
          <w:b/>
          <w:color w:val="4C4747"/>
          <w:sz w:val="24"/>
          <w:szCs w:val="24"/>
          <w:lang w:val="es-DO"/>
        </w:rPr>
        <w:lastRenderedPageBreak/>
        <w:t xml:space="preserve"> </w:t>
      </w:r>
      <w:bookmarkStart w:id="8" w:name="_Toc122425231"/>
      <w:r w:rsidR="001C151B" w:rsidRPr="007C11E2">
        <w:rPr>
          <w:rFonts w:ascii="Times New Roman" w:hAnsi="Times New Roman" w:cs="Times New Roman"/>
          <w:b/>
          <w:color w:val="4C4747"/>
          <w:sz w:val="24"/>
          <w:szCs w:val="24"/>
          <w:lang w:val="es-DO"/>
        </w:rPr>
        <w:t>Base Legal</w:t>
      </w:r>
      <w:bookmarkEnd w:id="8"/>
    </w:p>
    <w:p w14:paraId="6CB24395" w14:textId="77777777" w:rsidR="00A712DA" w:rsidRPr="007C11E2" w:rsidRDefault="00A712DA" w:rsidP="00A712DA">
      <w:pPr>
        <w:rPr>
          <w:rFonts w:ascii="Times New Roman" w:hAnsi="Times New Roman" w:cs="Times New Roman"/>
          <w:color w:val="4C4747"/>
          <w:lang w:val="es-DO"/>
        </w:rPr>
      </w:pPr>
    </w:p>
    <w:p w14:paraId="50A8E101" w14:textId="49C58FE2" w:rsidR="00792C87" w:rsidRPr="007C16C5" w:rsidRDefault="001C151B" w:rsidP="001C151B">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El Instituto Dominicano de las Telecomunicaciones (INDOTEL)</w:t>
      </w:r>
      <w:r w:rsidR="00436449" w:rsidRPr="007C16C5">
        <w:rPr>
          <w:rFonts w:ascii="Times New Roman" w:eastAsia="Calibri" w:hAnsi="Times New Roman" w:cs="Times New Roman"/>
          <w:color w:val="4C4747"/>
          <w:spacing w:val="20"/>
          <w:sz w:val="24"/>
          <w:szCs w:val="24"/>
          <w:lang w:val="es-DO"/>
        </w:rPr>
        <w:t>,</w:t>
      </w:r>
      <w:r w:rsidRPr="007C16C5">
        <w:rPr>
          <w:rFonts w:ascii="Times New Roman" w:eastAsia="Calibri" w:hAnsi="Times New Roman" w:cs="Times New Roman"/>
          <w:color w:val="4C4747"/>
          <w:spacing w:val="20"/>
          <w:sz w:val="24"/>
          <w:szCs w:val="24"/>
          <w:lang w:val="es-DO"/>
        </w:rPr>
        <w:t xml:space="preserve"> es el órgano regulador de las telecomunicaciones, creado en virtud de la Ley Gen</w:t>
      </w:r>
      <w:r w:rsidR="00436449" w:rsidRPr="007C16C5">
        <w:rPr>
          <w:rFonts w:ascii="Times New Roman" w:eastAsia="Calibri" w:hAnsi="Times New Roman" w:cs="Times New Roman"/>
          <w:color w:val="4C4747"/>
          <w:spacing w:val="20"/>
          <w:sz w:val="24"/>
          <w:szCs w:val="24"/>
          <w:lang w:val="es-DO"/>
        </w:rPr>
        <w:t>eral de Telecomunicaciones, número</w:t>
      </w:r>
      <w:r w:rsidRPr="007C16C5">
        <w:rPr>
          <w:rFonts w:ascii="Times New Roman" w:eastAsia="Calibri" w:hAnsi="Times New Roman" w:cs="Times New Roman"/>
          <w:color w:val="4C4747"/>
          <w:spacing w:val="20"/>
          <w:sz w:val="24"/>
          <w:szCs w:val="24"/>
          <w:lang w:val="es-DO"/>
        </w:rPr>
        <w:t xml:space="preserve"> 153-98. Entidad estatal descentralizada, con autonomía funcional, jurisdiccional y financiera, patrimonio propio, personalidad jurídica y con capacidad legal para adquirir derechos y contraer obligaciones. Realiza los actos y ejerce lo</w:t>
      </w:r>
      <w:r w:rsidR="00436449" w:rsidRPr="007C16C5">
        <w:rPr>
          <w:rFonts w:ascii="Times New Roman" w:eastAsia="Calibri" w:hAnsi="Times New Roman" w:cs="Times New Roman"/>
          <w:color w:val="4C4747"/>
          <w:spacing w:val="20"/>
          <w:sz w:val="24"/>
          <w:szCs w:val="24"/>
          <w:lang w:val="es-DO"/>
        </w:rPr>
        <w:t>s mandatos previstos en la Ley número</w:t>
      </w:r>
      <w:r w:rsidRPr="007C16C5">
        <w:rPr>
          <w:rFonts w:ascii="Times New Roman" w:eastAsia="Calibri" w:hAnsi="Times New Roman" w:cs="Times New Roman"/>
          <w:color w:val="4C4747"/>
          <w:spacing w:val="20"/>
          <w:sz w:val="24"/>
          <w:szCs w:val="24"/>
          <w:lang w:val="es-DO"/>
        </w:rPr>
        <w:t xml:space="preserve"> 153-98 y sus reglamentos. Tiene domicilio en la capital de la República y jurisdicción en materia de regulación y control de telecomunicaciones en todo el territorio nacional.</w:t>
      </w:r>
      <w:r w:rsidR="00FA2624" w:rsidRPr="007C16C5">
        <w:rPr>
          <w:rFonts w:ascii="Times New Roman" w:eastAsia="Calibri" w:hAnsi="Times New Roman" w:cs="Times New Roman"/>
          <w:color w:val="4C4747"/>
          <w:spacing w:val="20"/>
          <w:sz w:val="24"/>
          <w:szCs w:val="24"/>
          <w:lang w:val="es-DO"/>
        </w:rPr>
        <w:t xml:space="preserve"> </w:t>
      </w:r>
      <w:r w:rsidR="005E1C92" w:rsidRPr="007C16C5">
        <w:rPr>
          <w:rFonts w:ascii="Times New Roman" w:eastAsia="Calibri" w:hAnsi="Times New Roman" w:cs="Times New Roman"/>
          <w:color w:val="4C4747"/>
          <w:spacing w:val="20"/>
          <w:sz w:val="24"/>
          <w:szCs w:val="24"/>
          <w:lang w:val="es-DO"/>
        </w:rPr>
        <w:t xml:space="preserve"> </w:t>
      </w:r>
    </w:p>
    <w:p w14:paraId="40B0EC79" w14:textId="77777777" w:rsidR="00792C87" w:rsidRPr="007C16C5" w:rsidRDefault="00792C87" w:rsidP="00B4789A">
      <w:pPr>
        <w:spacing w:after="0" w:line="360" w:lineRule="auto"/>
        <w:jc w:val="both"/>
        <w:rPr>
          <w:rFonts w:ascii="Times New Roman" w:eastAsia="Calibri" w:hAnsi="Times New Roman" w:cs="Times New Roman"/>
          <w:color w:val="4C4747"/>
          <w:spacing w:val="20"/>
          <w:sz w:val="24"/>
          <w:szCs w:val="24"/>
          <w:lang w:val="es-DO"/>
        </w:rPr>
      </w:pPr>
    </w:p>
    <w:p w14:paraId="1A400786" w14:textId="05150C8F" w:rsidR="001C151B" w:rsidRPr="007C16C5" w:rsidRDefault="001C151B" w:rsidP="001C151B">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En adición, el IN</w:t>
      </w:r>
      <w:r w:rsidR="00436449" w:rsidRPr="007C16C5">
        <w:rPr>
          <w:rFonts w:ascii="Times New Roman" w:eastAsia="Calibri" w:hAnsi="Times New Roman" w:cs="Times New Roman"/>
          <w:color w:val="4C4747"/>
          <w:spacing w:val="20"/>
          <w:sz w:val="24"/>
          <w:szCs w:val="24"/>
          <w:lang w:val="es-DO"/>
        </w:rPr>
        <w:t>DOTEL por atribución de la Ley número</w:t>
      </w:r>
      <w:r w:rsidRPr="007C16C5">
        <w:rPr>
          <w:rFonts w:ascii="Times New Roman" w:eastAsia="Calibri" w:hAnsi="Times New Roman" w:cs="Times New Roman"/>
          <w:color w:val="4C4747"/>
          <w:spacing w:val="20"/>
          <w:sz w:val="24"/>
          <w:szCs w:val="24"/>
          <w:lang w:val="es-DO"/>
        </w:rPr>
        <w:t xml:space="preserve"> 126-02 sobre Comercio Electrónico, Documentos y Firmas Digitales ejerce la función de vigilancia y control de las actividades desarrolladas por las entidades de certificación. Tiene la facultad de inspeccionar los proveedores de servicios de firma electrónica y velar por el cumplimiento de las disposiciones legales y reglamentarias por parte de los mismos.  </w:t>
      </w:r>
    </w:p>
    <w:p w14:paraId="6E2496D0" w14:textId="77777777" w:rsidR="001C151B" w:rsidRPr="007C16C5" w:rsidRDefault="001C151B" w:rsidP="001C151B">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Las normativas legales que rigen el accionar del INDOTEL, son las siguientes: </w:t>
      </w:r>
    </w:p>
    <w:p w14:paraId="6E240BFD" w14:textId="0B5D3B03" w:rsidR="001C151B" w:rsidRPr="007C16C5" w:rsidRDefault="001C151B" w:rsidP="00A02BDE">
      <w:pPr>
        <w:pStyle w:val="Sinespaciado"/>
        <w:numPr>
          <w:ilvl w:val="0"/>
          <w:numId w:val="28"/>
        </w:numPr>
        <w:spacing w:line="360" w:lineRule="auto"/>
        <w:rPr>
          <w:color w:val="4C4747"/>
          <w:spacing w:val="20"/>
          <w:szCs w:val="24"/>
          <w:lang w:val="es-DO"/>
        </w:rPr>
      </w:pPr>
      <w:r w:rsidRPr="007C16C5">
        <w:rPr>
          <w:color w:val="4C4747"/>
          <w:spacing w:val="20"/>
          <w:szCs w:val="24"/>
          <w:lang w:val="es-DO"/>
        </w:rPr>
        <w:t>Ley General de Te</w:t>
      </w:r>
      <w:r w:rsidR="00436449" w:rsidRPr="007C16C5">
        <w:rPr>
          <w:color w:val="4C4747"/>
          <w:spacing w:val="20"/>
          <w:szCs w:val="24"/>
          <w:lang w:val="es-DO"/>
        </w:rPr>
        <w:t>lecomunicaciones número 153-98</w:t>
      </w:r>
    </w:p>
    <w:p w14:paraId="77ECD075" w14:textId="6BFC1EA4" w:rsidR="001C151B" w:rsidRPr="007C16C5" w:rsidRDefault="00436449" w:rsidP="00A02BDE">
      <w:pPr>
        <w:pStyle w:val="Sinespaciado"/>
        <w:numPr>
          <w:ilvl w:val="0"/>
          <w:numId w:val="28"/>
        </w:numPr>
        <w:spacing w:line="360" w:lineRule="auto"/>
        <w:rPr>
          <w:color w:val="4C4747"/>
          <w:spacing w:val="20"/>
          <w:szCs w:val="24"/>
          <w:lang w:val="es-DO"/>
        </w:rPr>
      </w:pPr>
      <w:r w:rsidRPr="007C16C5">
        <w:rPr>
          <w:color w:val="4C4747"/>
          <w:spacing w:val="20"/>
          <w:szCs w:val="24"/>
          <w:lang w:val="es-DO"/>
        </w:rPr>
        <w:t>Ley número</w:t>
      </w:r>
      <w:r w:rsidR="001C151B" w:rsidRPr="007C16C5">
        <w:rPr>
          <w:color w:val="4C4747"/>
          <w:spacing w:val="20"/>
          <w:szCs w:val="24"/>
          <w:lang w:val="es-DO"/>
        </w:rPr>
        <w:t xml:space="preserve"> 126-02 sobre Comercio Electrónico, Documentos y Firmas Digitales</w:t>
      </w:r>
    </w:p>
    <w:p w14:paraId="530619E7" w14:textId="423075F6" w:rsidR="001C151B" w:rsidRPr="007C16C5" w:rsidRDefault="001C151B" w:rsidP="00A02BDE">
      <w:pPr>
        <w:pStyle w:val="Sinespaciado"/>
        <w:numPr>
          <w:ilvl w:val="0"/>
          <w:numId w:val="28"/>
        </w:numPr>
        <w:spacing w:line="360" w:lineRule="auto"/>
        <w:rPr>
          <w:color w:val="4C4747"/>
          <w:spacing w:val="20"/>
          <w:szCs w:val="24"/>
          <w:lang w:val="es-DO"/>
        </w:rPr>
      </w:pPr>
      <w:r w:rsidRPr="007C16C5">
        <w:rPr>
          <w:color w:val="4C4747"/>
          <w:spacing w:val="20"/>
          <w:szCs w:val="24"/>
          <w:lang w:val="es-DO"/>
        </w:rPr>
        <w:t xml:space="preserve">Ley General de Libre </w:t>
      </w:r>
      <w:r w:rsidR="00436449" w:rsidRPr="007C16C5">
        <w:rPr>
          <w:color w:val="4C4747"/>
          <w:spacing w:val="20"/>
          <w:szCs w:val="24"/>
          <w:lang w:val="es-DO"/>
        </w:rPr>
        <w:t>Acceso a la Información Pública</w:t>
      </w:r>
      <w:r w:rsidRPr="007C16C5">
        <w:rPr>
          <w:color w:val="4C4747"/>
          <w:spacing w:val="20"/>
          <w:szCs w:val="24"/>
          <w:lang w:val="es-DO"/>
        </w:rPr>
        <w:t xml:space="preserve"> </w:t>
      </w:r>
      <w:r w:rsidR="00436449" w:rsidRPr="007C16C5">
        <w:rPr>
          <w:color w:val="4C4747"/>
          <w:spacing w:val="20"/>
          <w:szCs w:val="24"/>
          <w:lang w:val="es-DO"/>
        </w:rPr>
        <w:t>número</w:t>
      </w:r>
      <w:r w:rsidRPr="007C16C5">
        <w:rPr>
          <w:color w:val="4C4747"/>
          <w:spacing w:val="20"/>
          <w:szCs w:val="24"/>
          <w:lang w:val="es-DO"/>
        </w:rPr>
        <w:t xml:space="preserve"> 200-04  </w:t>
      </w:r>
    </w:p>
    <w:p w14:paraId="2FD1087F" w14:textId="2AA24EB3" w:rsidR="00A712DA" w:rsidRPr="007C16C5" w:rsidRDefault="001C151B" w:rsidP="00A02BDE">
      <w:pPr>
        <w:pStyle w:val="Sinespaciado"/>
        <w:numPr>
          <w:ilvl w:val="0"/>
          <w:numId w:val="28"/>
        </w:numPr>
        <w:spacing w:line="360" w:lineRule="auto"/>
        <w:rPr>
          <w:color w:val="4C4747"/>
          <w:spacing w:val="20"/>
          <w:szCs w:val="24"/>
          <w:lang w:val="es-DO"/>
        </w:rPr>
      </w:pPr>
      <w:r w:rsidRPr="007C16C5">
        <w:rPr>
          <w:color w:val="4C4747"/>
          <w:spacing w:val="20"/>
          <w:szCs w:val="24"/>
          <w:lang w:val="es-DO"/>
        </w:rPr>
        <w:t>Regl</w:t>
      </w:r>
      <w:r w:rsidR="00436449" w:rsidRPr="007C16C5">
        <w:rPr>
          <w:color w:val="4C4747"/>
          <w:spacing w:val="20"/>
          <w:szCs w:val="24"/>
          <w:lang w:val="es-DO"/>
        </w:rPr>
        <w:t>amento de Aplicación de la Ley número</w:t>
      </w:r>
      <w:r w:rsidRPr="007C16C5">
        <w:rPr>
          <w:color w:val="4C4747"/>
          <w:spacing w:val="20"/>
          <w:szCs w:val="24"/>
          <w:lang w:val="es-DO"/>
        </w:rPr>
        <w:t xml:space="preserve"> 126-02 sobre Comercio Electrónico, Do</w:t>
      </w:r>
      <w:r w:rsidR="00436449" w:rsidRPr="007C16C5">
        <w:rPr>
          <w:color w:val="4C4747"/>
          <w:spacing w:val="20"/>
          <w:szCs w:val="24"/>
          <w:lang w:val="es-DO"/>
        </w:rPr>
        <w:t>cumentos y Firmas Digitales</w:t>
      </w:r>
    </w:p>
    <w:p w14:paraId="6250121B" w14:textId="6B5F0FDF" w:rsidR="001C151B" w:rsidRPr="007C11E2" w:rsidRDefault="001C151B" w:rsidP="00A02BDE">
      <w:pPr>
        <w:pStyle w:val="Ttulo2"/>
        <w:numPr>
          <w:ilvl w:val="1"/>
          <w:numId w:val="27"/>
        </w:numPr>
        <w:rPr>
          <w:rFonts w:ascii="Times New Roman" w:hAnsi="Times New Roman" w:cs="Times New Roman"/>
          <w:b/>
          <w:color w:val="4C4747"/>
          <w:sz w:val="24"/>
          <w:szCs w:val="24"/>
          <w:lang w:val="es-DO"/>
        </w:rPr>
      </w:pPr>
      <w:r w:rsidRPr="007C11E2">
        <w:rPr>
          <w:rFonts w:ascii="Times New Roman" w:hAnsi="Times New Roman" w:cs="Times New Roman"/>
          <w:b/>
          <w:color w:val="4C4747"/>
          <w:sz w:val="24"/>
          <w:szCs w:val="24"/>
          <w:lang w:val="es-DO"/>
        </w:rPr>
        <w:lastRenderedPageBreak/>
        <w:t xml:space="preserve"> </w:t>
      </w:r>
      <w:bookmarkStart w:id="9" w:name="_Toc122425232"/>
      <w:r w:rsidRPr="007C11E2">
        <w:rPr>
          <w:rFonts w:ascii="Times New Roman" w:hAnsi="Times New Roman" w:cs="Times New Roman"/>
          <w:b/>
          <w:color w:val="4C4747"/>
          <w:sz w:val="24"/>
          <w:szCs w:val="24"/>
          <w:lang w:val="es-DO"/>
        </w:rPr>
        <w:t>Estructura Organizativa</w:t>
      </w:r>
      <w:bookmarkEnd w:id="9"/>
    </w:p>
    <w:p w14:paraId="63273C54" w14:textId="06F23078" w:rsidR="001C151B" w:rsidRPr="007C11E2" w:rsidRDefault="00A712DA" w:rsidP="00FA019C">
      <w:pPr>
        <w:spacing w:line="360" w:lineRule="auto"/>
        <w:jc w:val="both"/>
        <w:rPr>
          <w:rFonts w:ascii="Times New Roman" w:eastAsia="Calibri" w:hAnsi="Times New Roman" w:cs="Times New Roman"/>
          <w:color w:val="4C4747"/>
          <w:spacing w:val="20"/>
          <w:sz w:val="24"/>
          <w:szCs w:val="24"/>
          <w:lang w:val="es-DO"/>
        </w:rPr>
      </w:pPr>
      <w:r w:rsidRPr="007C11E2">
        <w:rPr>
          <w:rFonts w:ascii="Times New Roman" w:eastAsia="Calibri" w:hAnsi="Times New Roman" w:cs="Times New Roman"/>
          <w:noProof/>
          <w:color w:val="4C4747"/>
          <w:spacing w:val="20"/>
          <w:sz w:val="24"/>
          <w:szCs w:val="24"/>
        </w:rPr>
        <w:drawing>
          <wp:inline distT="0" distB="0" distL="0" distR="0" wp14:anchorId="143A30AF" wp14:editId="716FB544">
            <wp:extent cx="5029200" cy="6508115"/>
            <wp:effectExtent l="0" t="0" r="0" b="6985"/>
            <wp:docPr id="17" name="Imagen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structura Organizacional indotel-01 (1).jpg"/>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029200" cy="6508115"/>
                    </a:xfrm>
                    <a:prstGeom prst="rect">
                      <a:avLst/>
                    </a:prstGeom>
                  </pic:spPr>
                </pic:pic>
              </a:graphicData>
            </a:graphic>
          </wp:inline>
        </w:drawing>
      </w:r>
    </w:p>
    <w:p w14:paraId="0DC2B335" w14:textId="77777777" w:rsidR="001C151B" w:rsidRPr="007C11E2" w:rsidRDefault="001C151B" w:rsidP="00FA019C">
      <w:pPr>
        <w:spacing w:line="360" w:lineRule="auto"/>
        <w:jc w:val="both"/>
        <w:rPr>
          <w:rFonts w:ascii="Times New Roman" w:eastAsia="Calibri" w:hAnsi="Times New Roman" w:cs="Times New Roman"/>
          <w:color w:val="4C4747"/>
          <w:spacing w:val="20"/>
          <w:sz w:val="24"/>
          <w:szCs w:val="24"/>
          <w:lang w:val="es-DO"/>
        </w:rPr>
      </w:pPr>
    </w:p>
    <w:p w14:paraId="6A2D993C" w14:textId="77777777" w:rsidR="001C151B" w:rsidRPr="007C11E2" w:rsidRDefault="001C151B" w:rsidP="00FA019C">
      <w:pPr>
        <w:spacing w:line="360" w:lineRule="auto"/>
        <w:jc w:val="both"/>
        <w:rPr>
          <w:rFonts w:ascii="Times New Roman" w:eastAsia="Calibri" w:hAnsi="Times New Roman" w:cs="Times New Roman"/>
          <w:color w:val="4C4747"/>
          <w:spacing w:val="20"/>
          <w:sz w:val="24"/>
          <w:szCs w:val="24"/>
          <w:lang w:val="es-DO"/>
        </w:rPr>
      </w:pPr>
    </w:p>
    <w:p w14:paraId="77996875" w14:textId="77777777" w:rsidR="00A712DA" w:rsidRPr="007C11E2" w:rsidRDefault="00A712DA" w:rsidP="00FA019C">
      <w:pPr>
        <w:spacing w:line="360" w:lineRule="auto"/>
        <w:jc w:val="both"/>
        <w:rPr>
          <w:rFonts w:ascii="Times New Roman" w:eastAsia="Calibri" w:hAnsi="Times New Roman" w:cs="Times New Roman"/>
          <w:color w:val="4C4747"/>
          <w:spacing w:val="20"/>
          <w:sz w:val="24"/>
          <w:szCs w:val="24"/>
          <w:lang w:val="es-DO"/>
        </w:rPr>
      </w:pPr>
    </w:p>
    <w:p w14:paraId="39D0E063" w14:textId="77777777" w:rsidR="001C151B" w:rsidRPr="007C11E2" w:rsidRDefault="001C151B" w:rsidP="001C151B">
      <w:pPr>
        <w:spacing w:line="360" w:lineRule="auto"/>
        <w:jc w:val="both"/>
        <w:rPr>
          <w:rFonts w:ascii="Times New Roman" w:eastAsia="Calibri" w:hAnsi="Times New Roman" w:cs="Times New Roman"/>
          <w:b/>
          <w:color w:val="4C4747"/>
          <w:spacing w:val="20"/>
          <w:sz w:val="24"/>
          <w:szCs w:val="24"/>
          <w:lang w:val="es-DO"/>
        </w:rPr>
      </w:pPr>
      <w:r w:rsidRPr="007C11E2">
        <w:rPr>
          <w:rFonts w:ascii="Times New Roman" w:eastAsia="Calibri" w:hAnsi="Times New Roman" w:cs="Times New Roman"/>
          <w:b/>
          <w:color w:val="4C4747"/>
          <w:spacing w:val="20"/>
          <w:sz w:val="24"/>
          <w:szCs w:val="24"/>
          <w:lang w:val="es-DO"/>
        </w:rPr>
        <w:lastRenderedPageBreak/>
        <w:t>2.4 Planificación Estratégica Institucional</w:t>
      </w:r>
    </w:p>
    <w:p w14:paraId="7EE51D7E" w14:textId="3DAA44FE" w:rsidR="00B4789A" w:rsidRPr="007C11E2" w:rsidRDefault="001C151B" w:rsidP="001C151B">
      <w:pPr>
        <w:spacing w:line="360" w:lineRule="auto"/>
        <w:jc w:val="both"/>
        <w:rPr>
          <w:rFonts w:ascii="Times New Roman" w:eastAsia="Calibri" w:hAnsi="Times New Roman" w:cs="Times New Roman"/>
          <w:color w:val="4C4747"/>
          <w:spacing w:val="20"/>
          <w:sz w:val="24"/>
          <w:szCs w:val="24"/>
          <w:lang w:val="es-DO"/>
        </w:rPr>
      </w:pPr>
      <w:r w:rsidRPr="007C11E2">
        <w:rPr>
          <w:rFonts w:ascii="Times New Roman" w:eastAsia="Calibri" w:hAnsi="Times New Roman" w:cs="Times New Roman"/>
          <w:color w:val="4C4747"/>
          <w:spacing w:val="20"/>
          <w:sz w:val="24"/>
          <w:szCs w:val="24"/>
          <w:lang w:val="es-DO"/>
        </w:rPr>
        <w:t>El Plan Estratégico del Instituto Dominicano de las Telecomunicaciones (INDOTEL) 2021-2024, se enmarca en una construcción reflexiva que pretende maximizar el impacto de los esfuerzos a través de una imprescindible sinergia y armonía con la Estrategia Nacional de Desarrollo (END) y las políticas pautadas para el periodo por el gobierno dominicano, que parten de una realidad histórica sin precedentes para la democracia del país. La realidad somete a una atención especial del sector como un medio vital para las posibilidades de recuperación y competitividad en el actual estado de las cosas.</w:t>
      </w:r>
      <w:r w:rsidR="00B4789A" w:rsidRPr="007C11E2">
        <w:rPr>
          <w:rFonts w:ascii="Times New Roman" w:eastAsia="Calibri" w:hAnsi="Times New Roman" w:cs="Times New Roman"/>
          <w:color w:val="4C4747"/>
          <w:spacing w:val="20"/>
          <w:sz w:val="24"/>
          <w:szCs w:val="24"/>
          <w:lang w:val="es-DO"/>
        </w:rPr>
        <w:t xml:space="preserve"> </w:t>
      </w:r>
    </w:p>
    <w:p w14:paraId="140D4CD8" w14:textId="77777777" w:rsidR="00B4789A" w:rsidRPr="007C11E2" w:rsidRDefault="00B4789A" w:rsidP="00B4789A">
      <w:pPr>
        <w:spacing w:after="0" w:line="360" w:lineRule="auto"/>
        <w:jc w:val="both"/>
        <w:rPr>
          <w:rFonts w:ascii="Times New Roman" w:eastAsia="Calibri" w:hAnsi="Times New Roman" w:cs="Times New Roman"/>
          <w:color w:val="4C4747"/>
          <w:spacing w:val="20"/>
          <w:sz w:val="24"/>
          <w:szCs w:val="24"/>
          <w:lang w:val="es-DO"/>
        </w:rPr>
      </w:pPr>
    </w:p>
    <w:p w14:paraId="32B5DA25" w14:textId="0DCB568C" w:rsidR="001C151B" w:rsidRPr="00156419" w:rsidRDefault="001C151B" w:rsidP="001C151B">
      <w:pPr>
        <w:spacing w:line="360" w:lineRule="auto"/>
        <w:jc w:val="both"/>
        <w:rPr>
          <w:rFonts w:ascii="Times New Roman" w:eastAsia="Calibri" w:hAnsi="Times New Roman" w:cs="Times New Roman"/>
          <w:color w:val="4C4747"/>
          <w:spacing w:val="20"/>
          <w:sz w:val="24"/>
          <w:szCs w:val="24"/>
          <w:lang w:val="es-DO"/>
        </w:rPr>
      </w:pPr>
      <w:r w:rsidRPr="007C11E2">
        <w:rPr>
          <w:rFonts w:ascii="Times New Roman" w:eastAsia="Calibri" w:hAnsi="Times New Roman" w:cs="Times New Roman"/>
          <w:color w:val="4C4747"/>
          <w:spacing w:val="20"/>
          <w:sz w:val="24"/>
          <w:szCs w:val="24"/>
          <w:lang w:val="es-DO"/>
        </w:rPr>
        <w:t>El avance que necesita el sector de las telecomunicaciones en el periodo 2021-2024 requiere de la puesta al día del marco normativo en sus</w:t>
      </w:r>
      <w:r w:rsidRPr="00156419">
        <w:rPr>
          <w:rFonts w:ascii="Times New Roman" w:eastAsia="Calibri" w:hAnsi="Times New Roman" w:cs="Times New Roman"/>
          <w:color w:val="4C4747"/>
          <w:spacing w:val="20"/>
          <w:sz w:val="24"/>
          <w:szCs w:val="24"/>
          <w:lang w:val="es-DO"/>
        </w:rPr>
        <w:t xml:space="preserve"> principales instrumentos, de dar vida a una gestión oportuna, firme y transparente del espectro, pero aún más importante, el contundente compromiso con la</w:t>
      </w:r>
      <w:r w:rsidR="00855BE2" w:rsidRPr="00156419">
        <w:rPr>
          <w:rFonts w:ascii="Times New Roman" w:eastAsia="Calibri" w:hAnsi="Times New Roman" w:cs="Times New Roman"/>
          <w:color w:val="4C4747"/>
          <w:spacing w:val="20"/>
          <w:sz w:val="24"/>
          <w:szCs w:val="24"/>
          <w:lang w:val="es-DO"/>
        </w:rPr>
        <w:t xml:space="preserve"> transformación digital.</w:t>
      </w:r>
    </w:p>
    <w:p w14:paraId="355AA1EB" w14:textId="77777777" w:rsidR="00B4789A" w:rsidRPr="00156419" w:rsidRDefault="00B4789A" w:rsidP="00B4789A">
      <w:pPr>
        <w:spacing w:after="0" w:line="360" w:lineRule="auto"/>
        <w:jc w:val="both"/>
        <w:rPr>
          <w:rFonts w:ascii="Times New Roman" w:eastAsia="Calibri" w:hAnsi="Times New Roman" w:cs="Times New Roman"/>
          <w:color w:val="4C4747"/>
          <w:spacing w:val="20"/>
          <w:sz w:val="24"/>
          <w:szCs w:val="24"/>
          <w:lang w:val="es-DO"/>
        </w:rPr>
      </w:pPr>
    </w:p>
    <w:p w14:paraId="637BC277" w14:textId="77777777" w:rsidR="001C151B" w:rsidRPr="00156419" w:rsidRDefault="001C151B" w:rsidP="00B4789A">
      <w:pPr>
        <w:spacing w:after="0" w:line="360" w:lineRule="auto"/>
        <w:jc w:val="both"/>
        <w:rPr>
          <w:rFonts w:ascii="Times New Roman" w:eastAsia="Calibri" w:hAnsi="Times New Roman" w:cs="Times New Roman"/>
          <w:color w:val="4C4747"/>
          <w:spacing w:val="20"/>
          <w:sz w:val="24"/>
          <w:szCs w:val="24"/>
          <w:lang w:val="es-DO"/>
        </w:rPr>
      </w:pPr>
      <w:r w:rsidRPr="00156419">
        <w:rPr>
          <w:rFonts w:ascii="Times New Roman" w:eastAsia="Calibri" w:hAnsi="Times New Roman" w:cs="Times New Roman"/>
          <w:color w:val="4C4747"/>
          <w:spacing w:val="20"/>
          <w:sz w:val="24"/>
          <w:szCs w:val="24"/>
          <w:lang w:val="es-DO"/>
        </w:rPr>
        <w:t>El Plan Estratégico Institucional (PEI) 2021-2024 fue elaborado siguiendo los lineamientos del Ministerio de Economía, Planificación y Desarrollo (MEPyD) y posteriormente aprobado y validado por dicho Ministerio mediante comunicación MEPyD-INT-2021-06888, de fecha 13 de agosto de 2021.</w:t>
      </w:r>
    </w:p>
    <w:p w14:paraId="3A1356E1" w14:textId="77777777" w:rsidR="00B4789A" w:rsidRPr="00156419" w:rsidRDefault="00B4789A" w:rsidP="00B4789A">
      <w:pPr>
        <w:spacing w:after="0" w:line="360" w:lineRule="auto"/>
        <w:jc w:val="both"/>
        <w:rPr>
          <w:rFonts w:ascii="Times New Roman" w:eastAsia="Calibri" w:hAnsi="Times New Roman" w:cs="Times New Roman"/>
          <w:color w:val="4C4747"/>
          <w:spacing w:val="20"/>
          <w:sz w:val="24"/>
          <w:szCs w:val="24"/>
          <w:lang w:val="es-DO"/>
        </w:rPr>
      </w:pPr>
    </w:p>
    <w:p w14:paraId="3F5A3DC2" w14:textId="02B60555" w:rsidR="001C151B" w:rsidRPr="00156419" w:rsidRDefault="001C151B" w:rsidP="001C151B">
      <w:pPr>
        <w:spacing w:line="360" w:lineRule="auto"/>
        <w:jc w:val="both"/>
        <w:rPr>
          <w:rFonts w:ascii="Times New Roman" w:eastAsia="Calibri" w:hAnsi="Times New Roman" w:cs="Times New Roman"/>
          <w:color w:val="4C4747"/>
          <w:spacing w:val="20"/>
          <w:sz w:val="24"/>
          <w:szCs w:val="24"/>
          <w:lang w:val="es-DO"/>
        </w:rPr>
      </w:pPr>
      <w:r w:rsidRPr="00156419">
        <w:rPr>
          <w:rFonts w:ascii="Times New Roman" w:eastAsia="Calibri" w:hAnsi="Times New Roman" w:cs="Times New Roman"/>
          <w:color w:val="4C4747"/>
          <w:spacing w:val="20"/>
          <w:sz w:val="24"/>
          <w:szCs w:val="24"/>
          <w:lang w:val="es-DO"/>
        </w:rPr>
        <w:t>El Plan Estratégico Institucional (PEI) 2021-2024 del IN</w:t>
      </w:r>
      <w:r w:rsidR="00436449" w:rsidRPr="00156419">
        <w:rPr>
          <w:rFonts w:ascii="Times New Roman" w:eastAsia="Calibri" w:hAnsi="Times New Roman" w:cs="Times New Roman"/>
          <w:color w:val="4C4747"/>
          <w:spacing w:val="20"/>
          <w:sz w:val="24"/>
          <w:szCs w:val="24"/>
          <w:lang w:val="es-DO"/>
        </w:rPr>
        <w:t>DOTEL, está estructurado por 4 ejes e</w:t>
      </w:r>
      <w:r w:rsidRPr="00156419">
        <w:rPr>
          <w:rFonts w:ascii="Times New Roman" w:eastAsia="Calibri" w:hAnsi="Times New Roman" w:cs="Times New Roman"/>
          <w:color w:val="4C4747"/>
          <w:spacing w:val="20"/>
          <w:sz w:val="24"/>
          <w:szCs w:val="24"/>
          <w:lang w:val="es-DO"/>
        </w:rPr>
        <w:t xml:space="preserve">stratégicos, los cuales son: Regulación Efectiva, Protección y Servicios a los Usuarios, Acceso e Infraestructura y Fortalecimiento Institucional. Los productos </w:t>
      </w:r>
      <w:r w:rsidR="00436449" w:rsidRPr="00156419">
        <w:rPr>
          <w:rFonts w:ascii="Times New Roman" w:eastAsia="Calibri" w:hAnsi="Times New Roman" w:cs="Times New Roman"/>
          <w:color w:val="4C4747"/>
          <w:spacing w:val="20"/>
          <w:sz w:val="24"/>
          <w:szCs w:val="24"/>
          <w:lang w:val="es-DO"/>
        </w:rPr>
        <w:t>establecidos en estos e</w:t>
      </w:r>
      <w:r w:rsidRPr="00156419">
        <w:rPr>
          <w:rFonts w:ascii="Times New Roman" w:eastAsia="Calibri" w:hAnsi="Times New Roman" w:cs="Times New Roman"/>
          <w:color w:val="4C4747"/>
          <w:spacing w:val="20"/>
          <w:sz w:val="24"/>
          <w:szCs w:val="24"/>
          <w:lang w:val="es-DO"/>
        </w:rPr>
        <w:t>jes, son incluidos en el Plan Operativo Anual (POA).</w:t>
      </w:r>
    </w:p>
    <w:p w14:paraId="11A35D16" w14:textId="77777777" w:rsidR="001C151B" w:rsidRPr="00156419" w:rsidRDefault="001C151B" w:rsidP="001C151B">
      <w:pPr>
        <w:spacing w:line="360" w:lineRule="auto"/>
        <w:jc w:val="both"/>
        <w:rPr>
          <w:rFonts w:ascii="Times New Roman" w:eastAsia="Calibri" w:hAnsi="Times New Roman" w:cs="Times New Roman"/>
          <w:color w:val="4C4747"/>
          <w:spacing w:val="20"/>
          <w:sz w:val="24"/>
          <w:szCs w:val="24"/>
          <w:lang w:val="es-DO"/>
        </w:rPr>
      </w:pPr>
      <w:r w:rsidRPr="00156419">
        <w:rPr>
          <w:rFonts w:ascii="Times New Roman" w:eastAsia="Calibri" w:hAnsi="Times New Roman" w:cs="Times New Roman"/>
          <w:color w:val="4C4747"/>
          <w:spacing w:val="20"/>
          <w:sz w:val="24"/>
          <w:szCs w:val="24"/>
          <w:lang w:val="es-DO"/>
        </w:rPr>
        <w:lastRenderedPageBreak/>
        <w:t>Los principales componentes del Plan Estratégico Institucional (PEI) 2021-2024 del INDOTEL son:</w:t>
      </w:r>
    </w:p>
    <w:p w14:paraId="40D2C7D3" w14:textId="77777777" w:rsidR="00436449" w:rsidRPr="00156419" w:rsidRDefault="00436449" w:rsidP="001C151B">
      <w:pPr>
        <w:spacing w:line="360" w:lineRule="auto"/>
        <w:jc w:val="both"/>
        <w:rPr>
          <w:rFonts w:ascii="Times New Roman" w:eastAsia="Calibri" w:hAnsi="Times New Roman" w:cs="Times New Roman"/>
          <w:color w:val="4C4747"/>
          <w:spacing w:val="20"/>
          <w:sz w:val="24"/>
          <w:szCs w:val="24"/>
          <w:lang w:val="es-DO"/>
        </w:rPr>
      </w:pPr>
    </w:p>
    <w:p w14:paraId="2F09F842" w14:textId="1BF74C39" w:rsidR="00B4789A" w:rsidRPr="00156419" w:rsidRDefault="001C151B" w:rsidP="00436449">
      <w:pPr>
        <w:spacing w:before="240" w:line="360" w:lineRule="auto"/>
        <w:jc w:val="both"/>
        <w:rPr>
          <w:rFonts w:ascii="Times New Roman" w:eastAsia="Calibri" w:hAnsi="Times New Roman" w:cs="Times New Roman"/>
          <w:b/>
          <w:color w:val="4C4747"/>
          <w:spacing w:val="20"/>
          <w:sz w:val="24"/>
          <w:szCs w:val="24"/>
          <w:lang w:val="es-DO"/>
        </w:rPr>
      </w:pPr>
      <w:r w:rsidRPr="00156419">
        <w:rPr>
          <w:rFonts w:ascii="Times New Roman" w:eastAsia="Calibri" w:hAnsi="Times New Roman" w:cs="Times New Roman"/>
          <w:b/>
          <w:color w:val="4C4747"/>
          <w:spacing w:val="20"/>
          <w:sz w:val="24"/>
          <w:szCs w:val="24"/>
          <w:lang w:val="es-DO"/>
        </w:rPr>
        <w:t>Eje Estratégico 1: Regulación Efectiva</w:t>
      </w:r>
    </w:p>
    <w:p w14:paraId="21F1EBED" w14:textId="6993100B" w:rsidR="001C151B" w:rsidRPr="00156419" w:rsidRDefault="001C151B" w:rsidP="001C151B">
      <w:pPr>
        <w:spacing w:line="360" w:lineRule="auto"/>
        <w:jc w:val="both"/>
        <w:rPr>
          <w:rFonts w:ascii="Times New Roman" w:eastAsia="Calibri" w:hAnsi="Times New Roman" w:cs="Times New Roman"/>
          <w:color w:val="4C4747"/>
          <w:spacing w:val="20"/>
          <w:sz w:val="24"/>
          <w:szCs w:val="24"/>
          <w:lang w:val="es-DO"/>
        </w:rPr>
      </w:pPr>
      <w:r w:rsidRPr="00156419">
        <w:rPr>
          <w:rFonts w:ascii="Times New Roman" w:eastAsia="Calibri" w:hAnsi="Times New Roman" w:cs="Times New Roman"/>
          <w:b/>
          <w:color w:val="4C4747"/>
          <w:spacing w:val="20"/>
          <w:sz w:val="24"/>
          <w:szCs w:val="24"/>
          <w:lang w:val="es-DO"/>
        </w:rPr>
        <w:t>Objetivo Estratégico</w:t>
      </w:r>
      <w:r w:rsidRPr="00156419">
        <w:rPr>
          <w:rFonts w:ascii="Times New Roman" w:eastAsia="Calibri" w:hAnsi="Times New Roman" w:cs="Times New Roman"/>
          <w:color w:val="4C4747"/>
          <w:spacing w:val="20"/>
          <w:sz w:val="24"/>
          <w:szCs w:val="24"/>
          <w:lang w:val="es-DO"/>
        </w:rPr>
        <w:t>: Regular y supervisar de manera eficaz y pertinente el mercado de telecomunicaciones, fomentando la innovación y la libre competencia.</w:t>
      </w:r>
    </w:p>
    <w:tbl>
      <w:tblPr>
        <w:tblStyle w:val="Tablaconcuadrcula9"/>
        <w:tblW w:w="7938" w:type="dxa"/>
        <w:tblInd w:w="-5" w:type="dxa"/>
        <w:tblLook w:val="04A0" w:firstRow="1" w:lastRow="0" w:firstColumn="1" w:lastColumn="0" w:noHBand="0" w:noVBand="1"/>
      </w:tblPr>
      <w:tblGrid>
        <w:gridCol w:w="2205"/>
        <w:gridCol w:w="2126"/>
        <w:gridCol w:w="1906"/>
        <w:gridCol w:w="1701"/>
      </w:tblGrid>
      <w:tr w:rsidR="001C151B" w:rsidRPr="001C151B" w14:paraId="18DB89F2" w14:textId="77777777" w:rsidTr="00F676AC">
        <w:trPr>
          <w:trHeight w:val="958"/>
        </w:trPr>
        <w:tc>
          <w:tcPr>
            <w:tcW w:w="2205" w:type="dxa"/>
            <w:shd w:val="clear" w:color="auto" w:fill="003876"/>
            <w:vAlign w:val="center"/>
          </w:tcPr>
          <w:p w14:paraId="274B23EE" w14:textId="77777777" w:rsidR="001C151B" w:rsidRPr="001C151B" w:rsidRDefault="001C151B" w:rsidP="001C151B">
            <w:pPr>
              <w:spacing w:line="360" w:lineRule="auto"/>
              <w:jc w:val="center"/>
              <w:rPr>
                <w:rFonts w:ascii="Times New Roman" w:eastAsia="Calibri" w:hAnsi="Times New Roman" w:cs="Times New Roman"/>
                <w:b/>
                <w:color w:val="FFFFFF"/>
                <w:lang w:val="es-DO" w:eastAsia="es-DO"/>
              </w:rPr>
            </w:pPr>
            <w:r w:rsidRPr="001C151B">
              <w:rPr>
                <w:rFonts w:ascii="Times New Roman" w:eastAsia="Calibri" w:hAnsi="Times New Roman" w:cs="Times New Roman"/>
                <w:b/>
                <w:color w:val="FFFFFF"/>
                <w:lang w:val="es-DO" w:eastAsia="es-DO"/>
              </w:rPr>
              <w:t>Resultado Institucional</w:t>
            </w:r>
          </w:p>
        </w:tc>
        <w:tc>
          <w:tcPr>
            <w:tcW w:w="2126" w:type="dxa"/>
            <w:shd w:val="clear" w:color="auto" w:fill="003876"/>
            <w:vAlign w:val="center"/>
          </w:tcPr>
          <w:p w14:paraId="08AE287F" w14:textId="77777777" w:rsidR="001C151B" w:rsidRPr="001C151B" w:rsidRDefault="001C151B" w:rsidP="001C151B">
            <w:pPr>
              <w:spacing w:line="360" w:lineRule="auto"/>
              <w:jc w:val="center"/>
              <w:rPr>
                <w:rFonts w:ascii="Times New Roman" w:eastAsia="Calibri" w:hAnsi="Times New Roman" w:cs="Times New Roman"/>
                <w:b/>
                <w:color w:val="FFFFFF"/>
                <w:lang w:val="es-DO" w:eastAsia="es-DO"/>
              </w:rPr>
            </w:pPr>
            <w:r w:rsidRPr="001C151B">
              <w:rPr>
                <w:rFonts w:ascii="Times New Roman" w:eastAsia="Calibri" w:hAnsi="Times New Roman" w:cs="Times New Roman"/>
                <w:b/>
                <w:color w:val="FFFFFF"/>
                <w:lang w:val="es-DO" w:eastAsia="es-DO"/>
              </w:rPr>
              <w:t xml:space="preserve">Objetivo </w:t>
            </w:r>
          </w:p>
          <w:p w14:paraId="1C544B1C" w14:textId="77777777" w:rsidR="001C151B" w:rsidRPr="001C151B" w:rsidRDefault="001C151B" w:rsidP="001C151B">
            <w:pPr>
              <w:spacing w:line="360" w:lineRule="auto"/>
              <w:jc w:val="center"/>
              <w:rPr>
                <w:rFonts w:ascii="Times New Roman" w:eastAsia="Calibri" w:hAnsi="Times New Roman" w:cs="Times New Roman"/>
                <w:b/>
                <w:color w:val="FFFFFF"/>
                <w:lang w:val="es-DO" w:eastAsia="es-DO"/>
              </w:rPr>
            </w:pPr>
            <w:r w:rsidRPr="001C151B">
              <w:rPr>
                <w:rFonts w:ascii="Times New Roman" w:eastAsia="Calibri" w:hAnsi="Times New Roman" w:cs="Times New Roman"/>
                <w:b/>
                <w:color w:val="FFFFFF"/>
                <w:lang w:val="es-DO" w:eastAsia="es-DO"/>
              </w:rPr>
              <w:t>General END</w:t>
            </w:r>
          </w:p>
        </w:tc>
        <w:tc>
          <w:tcPr>
            <w:tcW w:w="1906" w:type="dxa"/>
            <w:shd w:val="clear" w:color="auto" w:fill="003876"/>
            <w:vAlign w:val="center"/>
          </w:tcPr>
          <w:p w14:paraId="68D222C6" w14:textId="77777777" w:rsidR="001C151B" w:rsidRPr="001C151B" w:rsidRDefault="001C151B" w:rsidP="001C151B">
            <w:pPr>
              <w:spacing w:line="360" w:lineRule="auto"/>
              <w:jc w:val="center"/>
              <w:rPr>
                <w:rFonts w:ascii="Times New Roman" w:eastAsia="Calibri" w:hAnsi="Times New Roman" w:cs="Times New Roman"/>
                <w:b/>
                <w:color w:val="FFFFFF"/>
                <w:lang w:val="es-DO" w:eastAsia="es-DO"/>
              </w:rPr>
            </w:pPr>
            <w:r w:rsidRPr="001C151B">
              <w:rPr>
                <w:rFonts w:ascii="Times New Roman" w:eastAsia="Calibri" w:hAnsi="Times New Roman" w:cs="Times New Roman"/>
                <w:b/>
                <w:color w:val="FFFFFF"/>
                <w:lang w:val="es-DO" w:eastAsia="es-DO"/>
              </w:rPr>
              <w:t>Objetivo Específico END</w:t>
            </w:r>
          </w:p>
        </w:tc>
        <w:tc>
          <w:tcPr>
            <w:tcW w:w="1701" w:type="dxa"/>
            <w:shd w:val="clear" w:color="auto" w:fill="003876"/>
            <w:vAlign w:val="center"/>
          </w:tcPr>
          <w:p w14:paraId="608CE935" w14:textId="77777777" w:rsidR="001C151B" w:rsidRPr="001C151B" w:rsidRDefault="001C151B" w:rsidP="001C151B">
            <w:pPr>
              <w:spacing w:line="360" w:lineRule="auto"/>
              <w:jc w:val="center"/>
              <w:rPr>
                <w:rFonts w:ascii="Times New Roman" w:eastAsia="Calibri" w:hAnsi="Times New Roman" w:cs="Times New Roman"/>
                <w:b/>
                <w:color w:val="FFFFFF"/>
                <w:lang w:val="es-DO" w:eastAsia="es-DO"/>
              </w:rPr>
            </w:pPr>
            <w:r w:rsidRPr="001C151B">
              <w:rPr>
                <w:rFonts w:ascii="Times New Roman" w:eastAsia="Calibri" w:hAnsi="Times New Roman" w:cs="Times New Roman"/>
                <w:b/>
                <w:color w:val="FFFFFF"/>
                <w:lang w:val="es-DO" w:eastAsia="es-DO"/>
              </w:rPr>
              <w:t>Líneas de Acción END</w:t>
            </w:r>
          </w:p>
        </w:tc>
      </w:tr>
      <w:tr w:rsidR="00156419" w:rsidRPr="00156419" w14:paraId="5A709DA9" w14:textId="77777777" w:rsidTr="00F676AC">
        <w:trPr>
          <w:trHeight w:val="732"/>
        </w:trPr>
        <w:tc>
          <w:tcPr>
            <w:tcW w:w="2205" w:type="dxa"/>
          </w:tcPr>
          <w:p w14:paraId="3947CDC6"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 xml:space="preserve">Aumentada la </w:t>
            </w:r>
          </w:p>
          <w:p w14:paraId="12ADFC00"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 xml:space="preserve">seguridad y confianza </w:t>
            </w:r>
          </w:p>
          <w:p w14:paraId="37A94206"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 xml:space="preserve">en los servicios de </w:t>
            </w:r>
          </w:p>
          <w:p w14:paraId="7356B898"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certificación digital</w:t>
            </w:r>
          </w:p>
        </w:tc>
        <w:tc>
          <w:tcPr>
            <w:tcW w:w="2126" w:type="dxa"/>
          </w:tcPr>
          <w:p w14:paraId="60F485F2" w14:textId="77777777" w:rsidR="001C151B" w:rsidRPr="00156419" w:rsidRDefault="001C151B" w:rsidP="000E66D4">
            <w:pPr>
              <w:spacing w:line="360" w:lineRule="auto"/>
              <w:jc w:val="center"/>
              <w:rPr>
                <w:rFonts w:ascii="Times New Roman" w:eastAsia="Calibri" w:hAnsi="Times New Roman" w:cs="Times New Roman"/>
                <w:bCs/>
                <w:color w:val="4C4747"/>
                <w:lang w:val="es-DO" w:eastAsia="es-DO"/>
              </w:rPr>
            </w:pPr>
            <w:r w:rsidRPr="00156419">
              <w:rPr>
                <w:rFonts w:ascii="Times New Roman" w:eastAsia="Calibri" w:hAnsi="Times New Roman" w:cs="Times New Roman"/>
                <w:bCs/>
                <w:color w:val="4C4747"/>
                <w:lang w:val="es-DO" w:eastAsia="es-DO"/>
              </w:rPr>
              <w:t xml:space="preserve">3.1 y 3.3 </w:t>
            </w:r>
          </w:p>
        </w:tc>
        <w:tc>
          <w:tcPr>
            <w:tcW w:w="1906" w:type="dxa"/>
          </w:tcPr>
          <w:p w14:paraId="1FC36FF4" w14:textId="77777777" w:rsidR="001C151B" w:rsidRPr="00156419" w:rsidRDefault="001C151B" w:rsidP="000E66D4">
            <w:pPr>
              <w:spacing w:line="360" w:lineRule="auto"/>
              <w:jc w:val="center"/>
              <w:rPr>
                <w:rFonts w:ascii="Times New Roman" w:eastAsia="Calibri" w:hAnsi="Times New Roman" w:cs="Times New Roman"/>
                <w:bCs/>
                <w:color w:val="4C4747"/>
                <w:lang w:val="es-DO" w:eastAsia="es-DO"/>
              </w:rPr>
            </w:pPr>
            <w:r w:rsidRPr="00156419">
              <w:rPr>
                <w:rFonts w:ascii="Times New Roman" w:eastAsia="Calibri" w:hAnsi="Times New Roman" w:cs="Times New Roman"/>
                <w:bCs/>
                <w:color w:val="4C4747"/>
                <w:lang w:val="es-DO" w:eastAsia="es-DO"/>
              </w:rPr>
              <w:t>3.3.5</w:t>
            </w:r>
          </w:p>
        </w:tc>
        <w:tc>
          <w:tcPr>
            <w:tcW w:w="1701" w:type="dxa"/>
          </w:tcPr>
          <w:p w14:paraId="27AAB1B8" w14:textId="43FDAA54" w:rsidR="001C151B" w:rsidRPr="00156419" w:rsidRDefault="001C151B" w:rsidP="000E66D4">
            <w:pPr>
              <w:spacing w:line="360" w:lineRule="auto"/>
              <w:jc w:val="center"/>
              <w:rPr>
                <w:rFonts w:ascii="Times New Roman" w:eastAsia="Calibri" w:hAnsi="Times New Roman" w:cs="Times New Roman"/>
                <w:bCs/>
                <w:color w:val="4C4747"/>
                <w:lang w:val="es-DO" w:eastAsia="es-DO"/>
              </w:rPr>
            </w:pPr>
            <w:r w:rsidRPr="00156419">
              <w:rPr>
                <w:rFonts w:ascii="Times New Roman" w:eastAsia="Calibri" w:hAnsi="Times New Roman" w:cs="Times New Roman"/>
                <w:bCs/>
                <w:color w:val="4C4747"/>
                <w:lang w:val="es-DO" w:eastAsia="es-DO"/>
              </w:rPr>
              <w:t>3.3.5.2 y 3.3.5.5</w:t>
            </w:r>
          </w:p>
        </w:tc>
      </w:tr>
      <w:tr w:rsidR="00156419" w:rsidRPr="00376423" w14:paraId="1FFC29D6" w14:textId="77777777" w:rsidTr="00F676AC">
        <w:trPr>
          <w:trHeight w:val="778"/>
        </w:trPr>
        <w:tc>
          <w:tcPr>
            <w:tcW w:w="2205" w:type="dxa"/>
          </w:tcPr>
          <w:p w14:paraId="2D5D309E"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 xml:space="preserve">Asegurado el </w:t>
            </w:r>
          </w:p>
          <w:p w14:paraId="6B1ED72A"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 xml:space="preserve">cumplimiento de las </w:t>
            </w:r>
          </w:p>
          <w:p w14:paraId="19316830"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 xml:space="preserve">reglamentaciones y </w:t>
            </w:r>
          </w:p>
          <w:p w14:paraId="1776ABB8" w14:textId="77777777" w:rsidR="001C151B" w:rsidRPr="00156419" w:rsidRDefault="001C151B" w:rsidP="000E66D4">
            <w:pPr>
              <w:spacing w:line="360" w:lineRule="auto"/>
              <w:rPr>
                <w:rFonts w:ascii="Times New Roman" w:eastAsia="Calibri" w:hAnsi="Times New Roman" w:cs="Times New Roman"/>
                <w:color w:val="4C4747"/>
                <w:lang w:val="es-DO" w:eastAsia="es-DO"/>
              </w:rPr>
            </w:pPr>
            <w:r w:rsidRPr="00156419">
              <w:rPr>
                <w:rFonts w:ascii="Times New Roman" w:eastAsia="Calibri" w:hAnsi="Times New Roman" w:cs="Times New Roman"/>
                <w:color w:val="4C4747"/>
                <w:lang w:val="es-DO" w:eastAsia="es-DO"/>
              </w:rPr>
              <w:t>normativas del sector de las telecomunicaciones</w:t>
            </w:r>
          </w:p>
        </w:tc>
        <w:tc>
          <w:tcPr>
            <w:tcW w:w="2126" w:type="dxa"/>
          </w:tcPr>
          <w:p w14:paraId="3EA660C0" w14:textId="77777777" w:rsidR="001C151B" w:rsidRPr="00156419" w:rsidRDefault="001C151B" w:rsidP="000E66D4">
            <w:pPr>
              <w:spacing w:line="360" w:lineRule="auto"/>
              <w:rPr>
                <w:rFonts w:ascii="Times New Roman" w:eastAsia="Calibri" w:hAnsi="Times New Roman" w:cs="Times New Roman"/>
                <w:bCs/>
                <w:color w:val="4C4747"/>
                <w:lang w:val="es-DO" w:eastAsia="es-DO"/>
              </w:rPr>
            </w:pPr>
          </w:p>
        </w:tc>
        <w:tc>
          <w:tcPr>
            <w:tcW w:w="1906" w:type="dxa"/>
          </w:tcPr>
          <w:p w14:paraId="0FDA745A" w14:textId="77777777" w:rsidR="001C151B" w:rsidRPr="00156419" w:rsidRDefault="001C151B" w:rsidP="000E66D4">
            <w:pPr>
              <w:spacing w:line="360" w:lineRule="auto"/>
              <w:rPr>
                <w:rFonts w:ascii="Times New Roman" w:eastAsia="Calibri" w:hAnsi="Times New Roman" w:cs="Times New Roman"/>
                <w:bCs/>
                <w:color w:val="4C4747"/>
                <w:lang w:val="es-DO" w:eastAsia="es-DO"/>
              </w:rPr>
            </w:pPr>
          </w:p>
        </w:tc>
        <w:tc>
          <w:tcPr>
            <w:tcW w:w="1701" w:type="dxa"/>
          </w:tcPr>
          <w:p w14:paraId="4AAE68ED" w14:textId="77777777" w:rsidR="001C151B" w:rsidRPr="00156419" w:rsidRDefault="001C151B" w:rsidP="000E66D4">
            <w:pPr>
              <w:spacing w:line="360" w:lineRule="auto"/>
              <w:rPr>
                <w:rFonts w:ascii="Times New Roman" w:eastAsia="Calibri" w:hAnsi="Times New Roman" w:cs="Times New Roman"/>
                <w:bCs/>
                <w:color w:val="4C4747"/>
                <w:lang w:val="es-DO" w:eastAsia="es-DO"/>
              </w:rPr>
            </w:pPr>
          </w:p>
        </w:tc>
      </w:tr>
    </w:tbl>
    <w:p w14:paraId="00B77235" w14:textId="0A98B5D9" w:rsidR="001C151B" w:rsidRPr="00156419" w:rsidRDefault="002A73D7" w:rsidP="001C151B">
      <w:pPr>
        <w:spacing w:line="360" w:lineRule="auto"/>
        <w:jc w:val="both"/>
        <w:rPr>
          <w:rFonts w:ascii="Times New Roman" w:eastAsia="Calibri" w:hAnsi="Times New Roman" w:cs="Times New Roman"/>
          <w:color w:val="4C4747"/>
          <w:spacing w:val="20"/>
          <w:sz w:val="18"/>
          <w:szCs w:val="18"/>
          <w:lang w:val="es-DO"/>
        </w:rPr>
      </w:pPr>
      <w:r w:rsidRPr="00156419">
        <w:rPr>
          <w:rFonts w:ascii="Times New Roman" w:eastAsia="Calibri" w:hAnsi="Times New Roman" w:cs="Times New Roman"/>
          <w:color w:val="4C4747"/>
          <w:spacing w:val="20"/>
          <w:sz w:val="18"/>
          <w:szCs w:val="18"/>
          <w:lang w:val="es-DO"/>
        </w:rPr>
        <w:t>Fuente: Plan Estratégico Institucional (PEI) 2021-2024</w:t>
      </w:r>
    </w:p>
    <w:p w14:paraId="50342E3A" w14:textId="77777777" w:rsidR="00B4789A" w:rsidRPr="00156419" w:rsidRDefault="00B4789A" w:rsidP="00FA019C">
      <w:pPr>
        <w:spacing w:line="360" w:lineRule="auto"/>
        <w:jc w:val="both"/>
        <w:rPr>
          <w:rFonts w:ascii="Times New Roman" w:eastAsia="Calibri" w:hAnsi="Times New Roman" w:cs="Times New Roman"/>
          <w:b/>
          <w:color w:val="4C4747"/>
          <w:spacing w:val="20"/>
          <w:sz w:val="24"/>
          <w:szCs w:val="24"/>
          <w:lang w:val="es-DO"/>
        </w:rPr>
      </w:pPr>
    </w:p>
    <w:p w14:paraId="2DFC1586" w14:textId="77777777" w:rsidR="00DE4567" w:rsidRPr="00156419" w:rsidRDefault="00DE4567" w:rsidP="00FA019C">
      <w:pPr>
        <w:spacing w:line="360" w:lineRule="auto"/>
        <w:jc w:val="both"/>
        <w:rPr>
          <w:rFonts w:ascii="Times New Roman" w:eastAsia="Calibri" w:hAnsi="Times New Roman" w:cs="Times New Roman"/>
          <w:b/>
          <w:color w:val="4C4747"/>
          <w:spacing w:val="20"/>
          <w:sz w:val="24"/>
          <w:szCs w:val="24"/>
          <w:lang w:val="es-DO"/>
        </w:rPr>
      </w:pPr>
    </w:p>
    <w:p w14:paraId="3AD28CBF" w14:textId="77777777" w:rsidR="00DE4567" w:rsidRPr="00156419" w:rsidRDefault="00DE4567" w:rsidP="00FA019C">
      <w:pPr>
        <w:spacing w:line="360" w:lineRule="auto"/>
        <w:jc w:val="both"/>
        <w:rPr>
          <w:rFonts w:ascii="Times New Roman" w:eastAsia="Calibri" w:hAnsi="Times New Roman" w:cs="Times New Roman"/>
          <w:b/>
          <w:color w:val="4C4747"/>
          <w:spacing w:val="20"/>
          <w:sz w:val="24"/>
          <w:szCs w:val="24"/>
          <w:lang w:val="es-DO"/>
        </w:rPr>
      </w:pPr>
    </w:p>
    <w:p w14:paraId="3A6E57C6" w14:textId="77777777" w:rsidR="00DE4567" w:rsidRPr="00156419" w:rsidRDefault="00DE4567" w:rsidP="00FA019C">
      <w:pPr>
        <w:spacing w:line="360" w:lineRule="auto"/>
        <w:jc w:val="both"/>
        <w:rPr>
          <w:rFonts w:ascii="Times New Roman" w:eastAsia="Calibri" w:hAnsi="Times New Roman" w:cs="Times New Roman"/>
          <w:b/>
          <w:color w:val="4C4747"/>
          <w:spacing w:val="20"/>
          <w:sz w:val="24"/>
          <w:szCs w:val="24"/>
          <w:lang w:val="es-DO"/>
        </w:rPr>
      </w:pPr>
    </w:p>
    <w:p w14:paraId="4CC4012A" w14:textId="77777777" w:rsidR="00855BE2" w:rsidRPr="000E66D4" w:rsidRDefault="00855BE2" w:rsidP="00FA019C">
      <w:pPr>
        <w:spacing w:line="360" w:lineRule="auto"/>
        <w:jc w:val="both"/>
        <w:rPr>
          <w:rFonts w:ascii="Times New Roman" w:eastAsia="Calibri" w:hAnsi="Times New Roman" w:cs="Times New Roman"/>
          <w:b/>
          <w:color w:val="4C4747"/>
          <w:spacing w:val="20"/>
          <w:sz w:val="24"/>
          <w:szCs w:val="24"/>
          <w:lang w:val="es-DO"/>
        </w:rPr>
      </w:pPr>
    </w:p>
    <w:p w14:paraId="58F497C5" w14:textId="4C6571E3" w:rsidR="001C151B" w:rsidRPr="00156419" w:rsidRDefault="001C151B" w:rsidP="00FA019C">
      <w:pPr>
        <w:spacing w:line="360" w:lineRule="auto"/>
        <w:jc w:val="both"/>
        <w:rPr>
          <w:rFonts w:ascii="Times New Roman" w:eastAsia="Calibri" w:hAnsi="Times New Roman" w:cs="Times New Roman"/>
          <w:b/>
          <w:color w:val="4C4747"/>
          <w:spacing w:val="20"/>
          <w:sz w:val="24"/>
          <w:szCs w:val="24"/>
          <w:lang w:val="es-DO"/>
        </w:rPr>
      </w:pPr>
      <w:r w:rsidRPr="00156419">
        <w:rPr>
          <w:rFonts w:ascii="Times New Roman" w:eastAsia="Calibri" w:hAnsi="Times New Roman" w:cs="Times New Roman"/>
          <w:b/>
          <w:color w:val="4C4747"/>
          <w:spacing w:val="20"/>
          <w:sz w:val="24"/>
          <w:szCs w:val="24"/>
          <w:lang w:val="es-DO"/>
        </w:rPr>
        <w:lastRenderedPageBreak/>
        <w:t>Eje Estratégico 2: Protección y Servicios a los Usuarios</w:t>
      </w:r>
    </w:p>
    <w:p w14:paraId="7CDE3A3D" w14:textId="7148C703" w:rsidR="00B4789A" w:rsidRPr="00156419" w:rsidRDefault="001C151B" w:rsidP="00FA019C">
      <w:pPr>
        <w:spacing w:line="360" w:lineRule="auto"/>
        <w:jc w:val="both"/>
        <w:rPr>
          <w:rFonts w:ascii="Times New Roman" w:eastAsia="Calibri" w:hAnsi="Times New Roman" w:cs="Times New Roman"/>
          <w:color w:val="4C4747"/>
          <w:spacing w:val="20"/>
          <w:sz w:val="24"/>
          <w:szCs w:val="24"/>
          <w:lang w:val="es-DO"/>
        </w:rPr>
      </w:pPr>
      <w:r w:rsidRPr="00156419">
        <w:rPr>
          <w:rFonts w:ascii="Times New Roman" w:eastAsia="Calibri" w:hAnsi="Times New Roman" w:cs="Times New Roman"/>
          <w:b/>
          <w:color w:val="4C4747"/>
          <w:spacing w:val="20"/>
          <w:sz w:val="24"/>
          <w:szCs w:val="24"/>
          <w:lang w:val="es-DO"/>
        </w:rPr>
        <w:t>Objetivo Estratégico</w:t>
      </w:r>
      <w:r w:rsidRPr="00156419">
        <w:rPr>
          <w:rFonts w:ascii="Times New Roman" w:eastAsia="Calibri" w:hAnsi="Times New Roman" w:cs="Times New Roman"/>
          <w:color w:val="4C4747"/>
          <w:spacing w:val="20"/>
          <w:sz w:val="24"/>
          <w:szCs w:val="24"/>
          <w:lang w:val="es-DO"/>
        </w:rPr>
        <w:t>: Orientar, educar y garantizar servicios de calidad a los usuarios.</w:t>
      </w:r>
    </w:p>
    <w:p w14:paraId="746D27D3" w14:textId="77777777" w:rsidR="00B4789A" w:rsidRPr="000E66D4" w:rsidRDefault="00B4789A" w:rsidP="00FA019C">
      <w:pPr>
        <w:spacing w:line="360" w:lineRule="auto"/>
        <w:jc w:val="both"/>
        <w:rPr>
          <w:rFonts w:ascii="Times New Roman" w:eastAsia="Calibri" w:hAnsi="Times New Roman" w:cs="Times New Roman"/>
          <w:color w:val="4C4747"/>
          <w:spacing w:val="20"/>
          <w:sz w:val="24"/>
          <w:szCs w:val="24"/>
          <w:lang w:val="es-DO"/>
        </w:rPr>
      </w:pPr>
    </w:p>
    <w:tbl>
      <w:tblPr>
        <w:tblStyle w:val="Tablaconcuadrcula9"/>
        <w:tblW w:w="7938" w:type="dxa"/>
        <w:tblInd w:w="-5" w:type="dxa"/>
        <w:tblLook w:val="04A0" w:firstRow="1" w:lastRow="0" w:firstColumn="1" w:lastColumn="0" w:noHBand="0" w:noVBand="1"/>
      </w:tblPr>
      <w:tblGrid>
        <w:gridCol w:w="2206"/>
        <w:gridCol w:w="2153"/>
        <w:gridCol w:w="1878"/>
        <w:gridCol w:w="1701"/>
      </w:tblGrid>
      <w:tr w:rsidR="00907DDB" w:rsidRPr="00907DDB" w14:paraId="692111CE" w14:textId="77777777" w:rsidTr="00F676AC">
        <w:trPr>
          <w:trHeight w:val="958"/>
        </w:trPr>
        <w:tc>
          <w:tcPr>
            <w:tcW w:w="2206" w:type="dxa"/>
            <w:shd w:val="clear" w:color="auto" w:fill="003876"/>
            <w:vAlign w:val="center"/>
          </w:tcPr>
          <w:p w14:paraId="5E117E1C" w14:textId="77777777" w:rsidR="00907DDB" w:rsidRPr="00907DDB" w:rsidRDefault="00907DDB" w:rsidP="00907DDB">
            <w:pPr>
              <w:spacing w:line="360" w:lineRule="auto"/>
              <w:jc w:val="center"/>
              <w:rPr>
                <w:rFonts w:ascii="Times New Roman" w:eastAsia="Calibri" w:hAnsi="Times New Roman" w:cs="Times New Roman"/>
                <w:b/>
                <w:color w:val="FFFFFF"/>
                <w:lang w:val="es-DO" w:eastAsia="es-DO"/>
              </w:rPr>
            </w:pPr>
            <w:r w:rsidRPr="00907DDB">
              <w:rPr>
                <w:rFonts w:ascii="Times New Roman" w:eastAsia="Calibri" w:hAnsi="Times New Roman" w:cs="Times New Roman"/>
                <w:b/>
                <w:color w:val="FFFFFF"/>
                <w:lang w:val="es-DO" w:eastAsia="es-DO"/>
              </w:rPr>
              <w:t>Resultado Institucional</w:t>
            </w:r>
          </w:p>
        </w:tc>
        <w:tc>
          <w:tcPr>
            <w:tcW w:w="2153" w:type="dxa"/>
            <w:shd w:val="clear" w:color="auto" w:fill="003876"/>
            <w:vAlign w:val="center"/>
          </w:tcPr>
          <w:p w14:paraId="601FEA83" w14:textId="77777777" w:rsidR="00907DDB" w:rsidRPr="00907DDB" w:rsidRDefault="00907DDB" w:rsidP="00907DDB">
            <w:pPr>
              <w:spacing w:line="360" w:lineRule="auto"/>
              <w:jc w:val="center"/>
              <w:rPr>
                <w:rFonts w:ascii="Times New Roman" w:eastAsia="Calibri" w:hAnsi="Times New Roman" w:cs="Times New Roman"/>
                <w:b/>
                <w:color w:val="FFFFFF"/>
                <w:lang w:val="es-DO" w:eastAsia="es-DO"/>
              </w:rPr>
            </w:pPr>
            <w:r w:rsidRPr="00907DDB">
              <w:rPr>
                <w:rFonts w:ascii="Times New Roman" w:eastAsia="Calibri" w:hAnsi="Times New Roman" w:cs="Times New Roman"/>
                <w:b/>
                <w:color w:val="FFFFFF"/>
                <w:lang w:val="es-DO" w:eastAsia="es-DO"/>
              </w:rPr>
              <w:t xml:space="preserve">Objetivo </w:t>
            </w:r>
          </w:p>
          <w:p w14:paraId="43748479" w14:textId="77777777" w:rsidR="00907DDB" w:rsidRPr="00907DDB" w:rsidRDefault="00907DDB" w:rsidP="00907DDB">
            <w:pPr>
              <w:spacing w:line="360" w:lineRule="auto"/>
              <w:jc w:val="center"/>
              <w:rPr>
                <w:rFonts w:ascii="Times New Roman" w:eastAsia="Calibri" w:hAnsi="Times New Roman" w:cs="Times New Roman"/>
                <w:b/>
                <w:color w:val="FFFFFF"/>
                <w:lang w:val="es-DO" w:eastAsia="es-DO"/>
              </w:rPr>
            </w:pPr>
            <w:r w:rsidRPr="00907DDB">
              <w:rPr>
                <w:rFonts w:ascii="Times New Roman" w:eastAsia="Calibri" w:hAnsi="Times New Roman" w:cs="Times New Roman"/>
                <w:b/>
                <w:color w:val="FFFFFF"/>
                <w:lang w:val="es-DO" w:eastAsia="es-DO"/>
              </w:rPr>
              <w:t>General END</w:t>
            </w:r>
          </w:p>
        </w:tc>
        <w:tc>
          <w:tcPr>
            <w:tcW w:w="1878" w:type="dxa"/>
            <w:shd w:val="clear" w:color="auto" w:fill="003876"/>
            <w:vAlign w:val="center"/>
          </w:tcPr>
          <w:p w14:paraId="680AEA79" w14:textId="77777777" w:rsidR="00907DDB" w:rsidRPr="00907DDB" w:rsidRDefault="00907DDB" w:rsidP="00907DDB">
            <w:pPr>
              <w:spacing w:line="360" w:lineRule="auto"/>
              <w:jc w:val="center"/>
              <w:rPr>
                <w:rFonts w:ascii="Times New Roman" w:eastAsia="Calibri" w:hAnsi="Times New Roman" w:cs="Times New Roman"/>
                <w:b/>
                <w:color w:val="FFFFFF"/>
                <w:lang w:val="es-DO" w:eastAsia="es-DO"/>
              </w:rPr>
            </w:pPr>
            <w:r w:rsidRPr="00907DDB">
              <w:rPr>
                <w:rFonts w:ascii="Times New Roman" w:eastAsia="Calibri" w:hAnsi="Times New Roman" w:cs="Times New Roman"/>
                <w:b/>
                <w:color w:val="FFFFFF"/>
                <w:lang w:val="es-DO" w:eastAsia="es-DO"/>
              </w:rPr>
              <w:t>Objetivo Específico END</w:t>
            </w:r>
          </w:p>
        </w:tc>
        <w:tc>
          <w:tcPr>
            <w:tcW w:w="1701" w:type="dxa"/>
            <w:shd w:val="clear" w:color="auto" w:fill="003876"/>
            <w:vAlign w:val="center"/>
          </w:tcPr>
          <w:p w14:paraId="05D21FF8" w14:textId="77777777" w:rsidR="00907DDB" w:rsidRPr="00907DDB" w:rsidRDefault="00907DDB" w:rsidP="00907DDB">
            <w:pPr>
              <w:spacing w:line="360" w:lineRule="auto"/>
              <w:jc w:val="center"/>
              <w:rPr>
                <w:rFonts w:ascii="Times New Roman" w:eastAsia="Calibri" w:hAnsi="Times New Roman" w:cs="Times New Roman"/>
                <w:b/>
                <w:color w:val="FFFFFF"/>
                <w:lang w:val="es-DO" w:eastAsia="es-DO"/>
              </w:rPr>
            </w:pPr>
            <w:r w:rsidRPr="00907DDB">
              <w:rPr>
                <w:rFonts w:ascii="Times New Roman" w:eastAsia="Calibri" w:hAnsi="Times New Roman" w:cs="Times New Roman"/>
                <w:b/>
                <w:color w:val="FFFFFF"/>
                <w:lang w:val="es-DO" w:eastAsia="es-DO"/>
              </w:rPr>
              <w:t>Líneas de Acción END</w:t>
            </w:r>
          </w:p>
        </w:tc>
      </w:tr>
      <w:tr w:rsidR="00907DDB" w:rsidRPr="00907DDB" w14:paraId="47393A7A" w14:textId="77777777" w:rsidTr="00F676AC">
        <w:trPr>
          <w:trHeight w:val="732"/>
        </w:trPr>
        <w:tc>
          <w:tcPr>
            <w:tcW w:w="2206" w:type="dxa"/>
          </w:tcPr>
          <w:p w14:paraId="34B50C30"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Garantizadas las</w:t>
            </w:r>
          </w:p>
          <w:p w14:paraId="20A16D0C"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operaciones de las</w:t>
            </w:r>
          </w:p>
          <w:p w14:paraId="6BE13681"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concesionarias</w:t>
            </w:r>
          </w:p>
          <w:p w14:paraId="39F4E834" w14:textId="77777777" w:rsidR="00907DDB" w:rsidRPr="000E66D4" w:rsidRDefault="00907DDB" w:rsidP="000E66D4">
            <w:pPr>
              <w:spacing w:line="360" w:lineRule="auto"/>
              <w:rPr>
                <w:rFonts w:ascii="Times New Roman" w:eastAsia="Calibri" w:hAnsi="Times New Roman" w:cs="Times New Roman"/>
                <w:color w:val="4C4747"/>
                <w:lang w:val="es-DO" w:eastAsia="es-DO"/>
              </w:rPr>
            </w:pPr>
          </w:p>
        </w:tc>
        <w:tc>
          <w:tcPr>
            <w:tcW w:w="2153" w:type="dxa"/>
          </w:tcPr>
          <w:p w14:paraId="037CD7C1" w14:textId="77777777" w:rsidR="00907DDB" w:rsidRPr="000E66D4" w:rsidRDefault="00907DDB" w:rsidP="000E66D4">
            <w:pPr>
              <w:spacing w:line="360" w:lineRule="auto"/>
              <w:jc w:val="center"/>
              <w:rPr>
                <w:rFonts w:ascii="Times New Roman" w:eastAsia="Calibri" w:hAnsi="Times New Roman" w:cs="Times New Roman"/>
                <w:bCs/>
                <w:color w:val="4C4747"/>
                <w:lang w:val="es-DO" w:eastAsia="es-DO"/>
              </w:rPr>
            </w:pPr>
            <w:r w:rsidRPr="000E66D4">
              <w:rPr>
                <w:rFonts w:ascii="Times New Roman" w:eastAsia="Calibri" w:hAnsi="Times New Roman" w:cs="Times New Roman"/>
                <w:bCs/>
                <w:color w:val="4C4747"/>
                <w:lang w:val="es-DO" w:eastAsia="es-DO"/>
              </w:rPr>
              <w:t xml:space="preserve">3.3 </w:t>
            </w:r>
          </w:p>
        </w:tc>
        <w:tc>
          <w:tcPr>
            <w:tcW w:w="1878" w:type="dxa"/>
          </w:tcPr>
          <w:p w14:paraId="676DB7D1" w14:textId="77777777" w:rsidR="00907DDB" w:rsidRPr="000E66D4" w:rsidRDefault="00907DDB" w:rsidP="000E66D4">
            <w:pPr>
              <w:spacing w:line="360" w:lineRule="auto"/>
              <w:jc w:val="center"/>
              <w:rPr>
                <w:rFonts w:ascii="Times New Roman" w:eastAsia="Calibri" w:hAnsi="Times New Roman" w:cs="Times New Roman"/>
                <w:bCs/>
                <w:color w:val="4C4747"/>
                <w:lang w:val="es-DO" w:eastAsia="es-DO"/>
              </w:rPr>
            </w:pPr>
            <w:r w:rsidRPr="000E66D4">
              <w:rPr>
                <w:rFonts w:ascii="Times New Roman" w:eastAsia="Calibri" w:hAnsi="Times New Roman" w:cs="Times New Roman"/>
                <w:bCs/>
                <w:color w:val="4C4747"/>
                <w:lang w:val="es-DO" w:eastAsia="es-DO"/>
              </w:rPr>
              <w:t>3.3.1 y 3.3.5</w:t>
            </w:r>
          </w:p>
        </w:tc>
        <w:tc>
          <w:tcPr>
            <w:tcW w:w="1701" w:type="dxa"/>
          </w:tcPr>
          <w:p w14:paraId="7731A94F" w14:textId="77777777" w:rsidR="00907DDB" w:rsidRPr="000E66D4" w:rsidRDefault="00907DDB" w:rsidP="000E66D4">
            <w:pPr>
              <w:spacing w:line="360" w:lineRule="auto"/>
              <w:jc w:val="center"/>
              <w:rPr>
                <w:rFonts w:ascii="Times New Roman" w:eastAsia="Calibri" w:hAnsi="Times New Roman" w:cs="Times New Roman"/>
                <w:bCs/>
                <w:color w:val="4C4747"/>
                <w:lang w:val="es-DO" w:eastAsia="es-DO"/>
              </w:rPr>
            </w:pPr>
            <w:r w:rsidRPr="000E66D4">
              <w:rPr>
                <w:rFonts w:ascii="Times New Roman" w:eastAsia="Calibri" w:hAnsi="Times New Roman" w:cs="Times New Roman"/>
                <w:bCs/>
                <w:color w:val="4C4747"/>
                <w:lang w:val="es-DO" w:eastAsia="es-DO"/>
              </w:rPr>
              <w:t>3.3.1.1, 3.3.1.2, 3.3.1.4 y 3.3.5.4</w:t>
            </w:r>
          </w:p>
        </w:tc>
      </w:tr>
      <w:tr w:rsidR="000E66D4" w:rsidRPr="00376423" w14:paraId="666F13CC" w14:textId="77777777" w:rsidTr="00F676AC">
        <w:trPr>
          <w:trHeight w:val="778"/>
        </w:trPr>
        <w:tc>
          <w:tcPr>
            <w:tcW w:w="2206" w:type="dxa"/>
          </w:tcPr>
          <w:p w14:paraId="48B6398E"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 xml:space="preserve">Satisfechos los </w:t>
            </w:r>
          </w:p>
          <w:p w14:paraId="11CAD05C"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requerimientos de los usuarios con respecto a los servicios prestados</w:t>
            </w:r>
          </w:p>
        </w:tc>
        <w:tc>
          <w:tcPr>
            <w:tcW w:w="2153" w:type="dxa"/>
          </w:tcPr>
          <w:p w14:paraId="2CA80FBF"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c>
          <w:tcPr>
            <w:tcW w:w="1878" w:type="dxa"/>
          </w:tcPr>
          <w:p w14:paraId="4670E050"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c>
          <w:tcPr>
            <w:tcW w:w="1701" w:type="dxa"/>
          </w:tcPr>
          <w:p w14:paraId="735A334D"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r>
      <w:tr w:rsidR="000E66D4" w:rsidRPr="000E66D4" w14:paraId="0C279DB8" w14:textId="77777777" w:rsidTr="00F676AC">
        <w:trPr>
          <w:trHeight w:val="260"/>
        </w:trPr>
        <w:tc>
          <w:tcPr>
            <w:tcW w:w="2206" w:type="dxa"/>
          </w:tcPr>
          <w:p w14:paraId="4E5758A4"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 xml:space="preserve">Usuarios empoderados </w:t>
            </w:r>
          </w:p>
          <w:p w14:paraId="07F07C20"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 xml:space="preserve">y orientados en sus </w:t>
            </w:r>
          </w:p>
          <w:p w14:paraId="2FD6845C"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derechos</w:t>
            </w:r>
          </w:p>
        </w:tc>
        <w:tc>
          <w:tcPr>
            <w:tcW w:w="2153" w:type="dxa"/>
          </w:tcPr>
          <w:p w14:paraId="53A081C1"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c>
          <w:tcPr>
            <w:tcW w:w="1878" w:type="dxa"/>
          </w:tcPr>
          <w:p w14:paraId="4F9EBC21"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c>
          <w:tcPr>
            <w:tcW w:w="1701" w:type="dxa"/>
          </w:tcPr>
          <w:p w14:paraId="17A410DD"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r>
      <w:tr w:rsidR="000E66D4" w:rsidRPr="000E66D4" w14:paraId="5B4D258E" w14:textId="77777777" w:rsidTr="00F676AC">
        <w:trPr>
          <w:trHeight w:val="778"/>
        </w:trPr>
        <w:tc>
          <w:tcPr>
            <w:tcW w:w="2206" w:type="dxa"/>
          </w:tcPr>
          <w:p w14:paraId="66DA4E7E"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 xml:space="preserve">Realizada la transición </w:t>
            </w:r>
          </w:p>
          <w:p w14:paraId="60022FE2"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 xml:space="preserve">de la Televisión </w:t>
            </w:r>
          </w:p>
          <w:p w14:paraId="4EF3D175" w14:textId="77777777" w:rsidR="00907DDB" w:rsidRPr="000E66D4" w:rsidRDefault="00907DDB" w:rsidP="000E66D4">
            <w:pPr>
              <w:spacing w:line="360" w:lineRule="auto"/>
              <w:rPr>
                <w:rFonts w:ascii="Times New Roman" w:eastAsia="Calibri" w:hAnsi="Times New Roman" w:cs="Times New Roman"/>
                <w:color w:val="4C4747"/>
                <w:lang w:val="es-DO" w:eastAsia="es-DO"/>
              </w:rPr>
            </w:pPr>
            <w:r w:rsidRPr="000E66D4">
              <w:rPr>
                <w:rFonts w:ascii="Times New Roman" w:eastAsia="Calibri" w:hAnsi="Times New Roman" w:cs="Times New Roman"/>
                <w:color w:val="4C4747"/>
                <w:lang w:val="es-DO" w:eastAsia="es-DO"/>
              </w:rPr>
              <w:t>Análoga a Digital</w:t>
            </w:r>
          </w:p>
        </w:tc>
        <w:tc>
          <w:tcPr>
            <w:tcW w:w="2153" w:type="dxa"/>
          </w:tcPr>
          <w:p w14:paraId="7AB765F8"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c>
          <w:tcPr>
            <w:tcW w:w="1878" w:type="dxa"/>
          </w:tcPr>
          <w:p w14:paraId="68CFCD95"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c>
          <w:tcPr>
            <w:tcW w:w="1701" w:type="dxa"/>
          </w:tcPr>
          <w:p w14:paraId="070EBBF4" w14:textId="77777777" w:rsidR="00907DDB" w:rsidRPr="000E66D4" w:rsidRDefault="00907DDB" w:rsidP="000E66D4">
            <w:pPr>
              <w:spacing w:line="360" w:lineRule="auto"/>
              <w:rPr>
                <w:rFonts w:ascii="Times New Roman" w:eastAsia="Calibri" w:hAnsi="Times New Roman" w:cs="Times New Roman"/>
                <w:bCs/>
                <w:color w:val="4C4747"/>
                <w:lang w:val="es-DO" w:eastAsia="es-DO"/>
              </w:rPr>
            </w:pPr>
          </w:p>
        </w:tc>
      </w:tr>
    </w:tbl>
    <w:p w14:paraId="1037F52C" w14:textId="5334856C" w:rsidR="001C151B" w:rsidRPr="000E66D4" w:rsidRDefault="002A73D7" w:rsidP="00FA019C">
      <w:pPr>
        <w:spacing w:line="360" w:lineRule="auto"/>
        <w:jc w:val="both"/>
        <w:rPr>
          <w:rFonts w:ascii="Times New Roman" w:eastAsia="Calibri" w:hAnsi="Times New Roman" w:cs="Times New Roman"/>
          <w:color w:val="4C4747"/>
          <w:spacing w:val="20"/>
          <w:sz w:val="18"/>
          <w:szCs w:val="18"/>
          <w:lang w:val="es-DO"/>
        </w:rPr>
      </w:pPr>
      <w:r w:rsidRPr="000E66D4">
        <w:rPr>
          <w:rFonts w:ascii="Times New Roman" w:eastAsia="Calibri" w:hAnsi="Times New Roman" w:cs="Times New Roman"/>
          <w:color w:val="4C4747"/>
          <w:spacing w:val="20"/>
          <w:sz w:val="18"/>
          <w:szCs w:val="18"/>
          <w:lang w:val="es-DO"/>
        </w:rPr>
        <w:t>Fuente: Plan Estratégico Institucional (PEI) 2021-2024</w:t>
      </w:r>
    </w:p>
    <w:p w14:paraId="7B3E8411" w14:textId="77777777" w:rsidR="00907DDB" w:rsidRDefault="00907DDB" w:rsidP="00907DDB">
      <w:pPr>
        <w:spacing w:line="360" w:lineRule="auto"/>
        <w:jc w:val="both"/>
        <w:rPr>
          <w:rFonts w:ascii="Times New Roman" w:eastAsia="Calibri" w:hAnsi="Times New Roman" w:cs="Times New Roman"/>
          <w:b/>
          <w:color w:val="4C4747"/>
          <w:spacing w:val="20"/>
          <w:sz w:val="24"/>
          <w:szCs w:val="24"/>
          <w:lang w:val="es-DO"/>
        </w:rPr>
      </w:pPr>
    </w:p>
    <w:p w14:paraId="4E4ED398" w14:textId="77777777" w:rsidR="00DE4567" w:rsidRDefault="00DE4567" w:rsidP="00907DDB">
      <w:pPr>
        <w:spacing w:line="360" w:lineRule="auto"/>
        <w:jc w:val="both"/>
        <w:rPr>
          <w:rFonts w:ascii="Times New Roman" w:eastAsia="Calibri" w:hAnsi="Times New Roman" w:cs="Times New Roman"/>
          <w:b/>
          <w:color w:val="4C4747"/>
          <w:spacing w:val="20"/>
          <w:sz w:val="24"/>
          <w:szCs w:val="24"/>
          <w:lang w:val="es-DO"/>
        </w:rPr>
      </w:pPr>
    </w:p>
    <w:p w14:paraId="41185685" w14:textId="77777777" w:rsidR="00DE4567" w:rsidRDefault="00DE4567" w:rsidP="00907DDB">
      <w:pPr>
        <w:spacing w:line="360" w:lineRule="auto"/>
        <w:jc w:val="both"/>
        <w:rPr>
          <w:rFonts w:ascii="Times New Roman" w:eastAsia="Calibri" w:hAnsi="Times New Roman" w:cs="Times New Roman"/>
          <w:b/>
          <w:color w:val="4C4747"/>
          <w:spacing w:val="20"/>
          <w:sz w:val="24"/>
          <w:szCs w:val="24"/>
          <w:lang w:val="es-DO"/>
        </w:rPr>
      </w:pPr>
    </w:p>
    <w:p w14:paraId="362A1F59" w14:textId="77777777" w:rsidR="00DE4567" w:rsidRPr="000E66D4" w:rsidRDefault="00DE4567" w:rsidP="00907DDB">
      <w:pPr>
        <w:spacing w:line="360" w:lineRule="auto"/>
        <w:jc w:val="both"/>
        <w:rPr>
          <w:rFonts w:ascii="Times New Roman" w:eastAsia="Calibri" w:hAnsi="Times New Roman" w:cs="Times New Roman"/>
          <w:b/>
          <w:color w:val="4C4747"/>
          <w:spacing w:val="20"/>
          <w:sz w:val="24"/>
          <w:szCs w:val="24"/>
          <w:lang w:val="es-DO"/>
        </w:rPr>
      </w:pPr>
    </w:p>
    <w:p w14:paraId="285D86F9" w14:textId="77777777" w:rsidR="00907DDB" w:rsidRDefault="00907DDB" w:rsidP="00907DDB">
      <w:pPr>
        <w:spacing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lastRenderedPageBreak/>
        <w:t>Eje Estratégico 3: Acceso e Infraestructura</w:t>
      </w:r>
    </w:p>
    <w:p w14:paraId="4DC5542D" w14:textId="249C3C49" w:rsidR="001C151B" w:rsidRDefault="00907DDB" w:rsidP="00907DDB">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Objetivo Estratégico:</w:t>
      </w:r>
      <w:r w:rsidRPr="000E66D4">
        <w:rPr>
          <w:rFonts w:ascii="Times New Roman" w:eastAsia="Calibri" w:hAnsi="Times New Roman" w:cs="Times New Roman"/>
          <w:color w:val="4C4747"/>
          <w:spacing w:val="20"/>
          <w:sz w:val="24"/>
          <w:szCs w:val="24"/>
          <w:lang w:val="es-DO"/>
        </w:rPr>
        <w:t xml:space="preserve"> Aumentar el número de personas en la República Dominicana conectadas a internet de banda ancha de calidad, contribuyendo al cierre de la brecha digital.</w:t>
      </w:r>
    </w:p>
    <w:p w14:paraId="02260928" w14:textId="77777777" w:rsidR="00F557D6" w:rsidRPr="000E66D4" w:rsidRDefault="00F557D6" w:rsidP="00907DDB">
      <w:pPr>
        <w:spacing w:line="360" w:lineRule="auto"/>
        <w:jc w:val="both"/>
        <w:rPr>
          <w:rFonts w:ascii="Times New Roman" w:eastAsia="Calibri" w:hAnsi="Times New Roman" w:cs="Times New Roman"/>
          <w:color w:val="4C4747"/>
          <w:spacing w:val="20"/>
          <w:sz w:val="24"/>
          <w:szCs w:val="24"/>
          <w:lang w:val="es-DO"/>
        </w:rPr>
      </w:pPr>
    </w:p>
    <w:tbl>
      <w:tblPr>
        <w:tblStyle w:val="Tablaconcuadrcula9"/>
        <w:tblW w:w="7938" w:type="dxa"/>
        <w:tblInd w:w="-5" w:type="dxa"/>
        <w:tblLook w:val="04A0" w:firstRow="1" w:lastRow="0" w:firstColumn="1" w:lastColumn="0" w:noHBand="0" w:noVBand="1"/>
      </w:tblPr>
      <w:tblGrid>
        <w:gridCol w:w="2268"/>
        <w:gridCol w:w="2084"/>
        <w:gridCol w:w="1885"/>
        <w:gridCol w:w="1701"/>
      </w:tblGrid>
      <w:tr w:rsidR="00907DDB" w:rsidRPr="00163F19" w14:paraId="331AF882" w14:textId="77777777" w:rsidTr="00F676AC">
        <w:trPr>
          <w:trHeight w:val="958"/>
        </w:trPr>
        <w:tc>
          <w:tcPr>
            <w:tcW w:w="2268" w:type="dxa"/>
            <w:shd w:val="clear" w:color="auto" w:fill="003876"/>
            <w:vAlign w:val="center"/>
          </w:tcPr>
          <w:p w14:paraId="2F2F7280"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Resultado Institucional</w:t>
            </w:r>
          </w:p>
        </w:tc>
        <w:tc>
          <w:tcPr>
            <w:tcW w:w="2084" w:type="dxa"/>
            <w:shd w:val="clear" w:color="auto" w:fill="003876"/>
            <w:vAlign w:val="center"/>
          </w:tcPr>
          <w:p w14:paraId="4A4855DE"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 xml:space="preserve">Objetivo </w:t>
            </w:r>
          </w:p>
          <w:p w14:paraId="5412F66C"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General END</w:t>
            </w:r>
          </w:p>
        </w:tc>
        <w:tc>
          <w:tcPr>
            <w:tcW w:w="1885" w:type="dxa"/>
            <w:shd w:val="clear" w:color="auto" w:fill="003876"/>
            <w:vAlign w:val="center"/>
          </w:tcPr>
          <w:p w14:paraId="76845FBA"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Objetivo Específico END</w:t>
            </w:r>
          </w:p>
        </w:tc>
        <w:tc>
          <w:tcPr>
            <w:tcW w:w="1701" w:type="dxa"/>
            <w:shd w:val="clear" w:color="auto" w:fill="003876"/>
            <w:vAlign w:val="center"/>
          </w:tcPr>
          <w:p w14:paraId="4F59623F"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Líneas de Acción END</w:t>
            </w:r>
          </w:p>
        </w:tc>
      </w:tr>
      <w:tr w:rsidR="000E66D4" w:rsidRPr="000E66D4" w14:paraId="471B4C93" w14:textId="77777777" w:rsidTr="00F676AC">
        <w:trPr>
          <w:trHeight w:val="732"/>
        </w:trPr>
        <w:tc>
          <w:tcPr>
            <w:tcW w:w="2268" w:type="dxa"/>
          </w:tcPr>
          <w:p w14:paraId="2CBC631A" w14:textId="77777777" w:rsidR="00907DDB" w:rsidRPr="000E66D4" w:rsidRDefault="00907DDB" w:rsidP="000E66D4">
            <w:pPr>
              <w:spacing w:line="360" w:lineRule="auto"/>
              <w:rPr>
                <w:rFonts w:ascii="Times New Roman" w:hAnsi="Times New Roman" w:cs="Times New Roman"/>
                <w:color w:val="4C4747"/>
              </w:rPr>
            </w:pPr>
            <w:r w:rsidRPr="009A25BD">
              <w:rPr>
                <w:rFonts w:ascii="Times New Roman" w:hAnsi="Times New Roman" w:cs="Times New Roman"/>
                <w:color w:val="4C4747"/>
              </w:rPr>
              <w:t xml:space="preserve">Aumentado el nivel de acceso y uso de la población al internet de banda ancha </w:t>
            </w:r>
          </w:p>
        </w:tc>
        <w:tc>
          <w:tcPr>
            <w:tcW w:w="2084" w:type="dxa"/>
          </w:tcPr>
          <w:p w14:paraId="5232A80C" w14:textId="77777777" w:rsidR="00907DDB" w:rsidRPr="000E66D4" w:rsidRDefault="00907DDB" w:rsidP="000E66D4">
            <w:pPr>
              <w:spacing w:line="360" w:lineRule="auto"/>
              <w:jc w:val="center"/>
              <w:rPr>
                <w:rFonts w:ascii="Times New Roman" w:hAnsi="Times New Roman" w:cs="Times New Roman"/>
                <w:bCs/>
                <w:color w:val="4C4747"/>
              </w:rPr>
            </w:pPr>
            <w:r w:rsidRPr="000E66D4">
              <w:rPr>
                <w:rFonts w:ascii="Times New Roman" w:hAnsi="Times New Roman" w:cs="Times New Roman"/>
                <w:bCs/>
                <w:color w:val="4C4747"/>
              </w:rPr>
              <w:t xml:space="preserve">3.3 </w:t>
            </w:r>
          </w:p>
        </w:tc>
        <w:tc>
          <w:tcPr>
            <w:tcW w:w="1885" w:type="dxa"/>
          </w:tcPr>
          <w:p w14:paraId="7C65B8C3" w14:textId="77777777" w:rsidR="00907DDB" w:rsidRPr="000E66D4" w:rsidRDefault="00907DDB" w:rsidP="000E66D4">
            <w:pPr>
              <w:spacing w:line="360" w:lineRule="auto"/>
              <w:jc w:val="center"/>
              <w:rPr>
                <w:rFonts w:ascii="Times New Roman" w:hAnsi="Times New Roman" w:cs="Times New Roman"/>
                <w:bCs/>
                <w:color w:val="4C4747"/>
              </w:rPr>
            </w:pPr>
            <w:r w:rsidRPr="000E66D4">
              <w:rPr>
                <w:rFonts w:ascii="Times New Roman" w:hAnsi="Times New Roman" w:cs="Times New Roman"/>
                <w:bCs/>
                <w:color w:val="4C4747"/>
              </w:rPr>
              <w:t>3.3.5</w:t>
            </w:r>
          </w:p>
        </w:tc>
        <w:tc>
          <w:tcPr>
            <w:tcW w:w="1701" w:type="dxa"/>
          </w:tcPr>
          <w:p w14:paraId="656DF9F6" w14:textId="77777777" w:rsidR="00907DDB" w:rsidRPr="000E66D4" w:rsidRDefault="00907DDB" w:rsidP="000E66D4">
            <w:pPr>
              <w:spacing w:line="360" w:lineRule="auto"/>
              <w:jc w:val="center"/>
              <w:rPr>
                <w:rFonts w:ascii="Times New Roman" w:hAnsi="Times New Roman" w:cs="Times New Roman"/>
                <w:bCs/>
                <w:color w:val="4C4747"/>
              </w:rPr>
            </w:pPr>
            <w:r w:rsidRPr="000E66D4">
              <w:rPr>
                <w:rFonts w:ascii="Times New Roman" w:hAnsi="Times New Roman" w:cs="Times New Roman"/>
                <w:bCs/>
                <w:color w:val="4C4747"/>
              </w:rPr>
              <w:t>3.3.5.3, 3.3.5.4 y 3.3.5.5</w:t>
            </w:r>
          </w:p>
        </w:tc>
      </w:tr>
    </w:tbl>
    <w:p w14:paraId="263B2F38" w14:textId="61A73016" w:rsidR="001C151B" w:rsidRPr="009A25BD" w:rsidRDefault="00907DDB" w:rsidP="000E66D4">
      <w:pPr>
        <w:spacing w:line="360" w:lineRule="auto"/>
        <w:jc w:val="both"/>
        <w:rPr>
          <w:rFonts w:ascii="Times New Roman" w:eastAsia="Calibri" w:hAnsi="Times New Roman" w:cs="Times New Roman"/>
          <w:color w:val="4C4747"/>
          <w:spacing w:val="20"/>
          <w:sz w:val="18"/>
          <w:szCs w:val="18"/>
          <w:lang w:val="es-DO"/>
        </w:rPr>
      </w:pPr>
      <w:r w:rsidRPr="009A25BD">
        <w:rPr>
          <w:rFonts w:ascii="Times New Roman" w:eastAsia="Calibri" w:hAnsi="Times New Roman" w:cs="Times New Roman"/>
          <w:b/>
          <w:color w:val="4C4747"/>
          <w:spacing w:val="20"/>
          <w:sz w:val="18"/>
          <w:szCs w:val="18"/>
          <w:lang w:val="es-DO"/>
        </w:rPr>
        <w:t>Fuente:</w:t>
      </w:r>
      <w:r w:rsidRPr="009A25BD">
        <w:rPr>
          <w:rFonts w:ascii="Times New Roman" w:eastAsia="Calibri" w:hAnsi="Times New Roman" w:cs="Times New Roman"/>
          <w:color w:val="4C4747"/>
          <w:spacing w:val="20"/>
          <w:sz w:val="18"/>
          <w:szCs w:val="18"/>
          <w:lang w:val="es-DO"/>
        </w:rPr>
        <w:t xml:space="preserve"> Plan Estratégico Institucional (PEI) 2021-2024</w:t>
      </w:r>
    </w:p>
    <w:p w14:paraId="757C3127" w14:textId="77777777" w:rsidR="002A73D7" w:rsidRPr="000E66D4" w:rsidRDefault="002A73D7" w:rsidP="000E66D4">
      <w:pPr>
        <w:spacing w:line="360" w:lineRule="auto"/>
        <w:jc w:val="both"/>
        <w:rPr>
          <w:rFonts w:ascii="Times New Roman" w:eastAsia="Calibri" w:hAnsi="Times New Roman" w:cs="Times New Roman"/>
          <w:color w:val="4C4747"/>
          <w:spacing w:val="20"/>
          <w:sz w:val="24"/>
          <w:szCs w:val="24"/>
          <w:lang w:val="es-DO"/>
        </w:rPr>
      </w:pPr>
    </w:p>
    <w:p w14:paraId="060899A3" w14:textId="09331677" w:rsidR="00907DDB" w:rsidRPr="000E66D4" w:rsidRDefault="00907DDB" w:rsidP="000E66D4">
      <w:pPr>
        <w:spacing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Eje Estratégico 4: Fortalecimiento Institucional</w:t>
      </w:r>
    </w:p>
    <w:p w14:paraId="30BC0D5C" w14:textId="07F18ECD" w:rsidR="001C151B" w:rsidRDefault="00907DDB" w:rsidP="00FA019C">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Objetivo Estratégico:</w:t>
      </w:r>
      <w:r w:rsidRPr="000E66D4">
        <w:rPr>
          <w:rFonts w:ascii="Times New Roman" w:eastAsia="Calibri" w:hAnsi="Times New Roman" w:cs="Times New Roman"/>
          <w:color w:val="4C4747"/>
          <w:spacing w:val="20"/>
          <w:sz w:val="24"/>
          <w:szCs w:val="24"/>
          <w:lang w:val="es-DO"/>
        </w:rPr>
        <w:t xml:space="preserve"> Transformar la institución en un ente eficiente, imparcial, transparente y con mejores prácticas de gestión.</w:t>
      </w:r>
    </w:p>
    <w:tbl>
      <w:tblPr>
        <w:tblStyle w:val="Tablaconcuadrcula9"/>
        <w:tblW w:w="7938" w:type="dxa"/>
        <w:tblInd w:w="-5" w:type="dxa"/>
        <w:tblLook w:val="04A0" w:firstRow="1" w:lastRow="0" w:firstColumn="1" w:lastColumn="0" w:noHBand="0" w:noVBand="1"/>
      </w:tblPr>
      <w:tblGrid>
        <w:gridCol w:w="2268"/>
        <w:gridCol w:w="2093"/>
        <w:gridCol w:w="1876"/>
        <w:gridCol w:w="1701"/>
      </w:tblGrid>
      <w:tr w:rsidR="00907DDB" w:rsidRPr="00163F19" w14:paraId="38443EF9" w14:textId="77777777" w:rsidTr="00F676AC">
        <w:trPr>
          <w:trHeight w:val="958"/>
        </w:trPr>
        <w:tc>
          <w:tcPr>
            <w:tcW w:w="2268" w:type="dxa"/>
            <w:shd w:val="clear" w:color="auto" w:fill="003876"/>
            <w:vAlign w:val="center"/>
          </w:tcPr>
          <w:p w14:paraId="598223B4"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Resultado Institucional</w:t>
            </w:r>
          </w:p>
        </w:tc>
        <w:tc>
          <w:tcPr>
            <w:tcW w:w="2093" w:type="dxa"/>
            <w:shd w:val="clear" w:color="auto" w:fill="003876"/>
            <w:vAlign w:val="center"/>
          </w:tcPr>
          <w:p w14:paraId="70A09923"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 xml:space="preserve">Objetivo </w:t>
            </w:r>
            <w:r w:rsidRPr="00ED5FF0">
              <w:rPr>
                <w:rFonts w:ascii="Times New Roman" w:hAnsi="Times New Roman" w:cs="Times New Roman"/>
                <w:b/>
                <w:color w:val="FFFFFF" w:themeColor="background1"/>
              </w:rPr>
              <w:br/>
              <w:t>General END</w:t>
            </w:r>
          </w:p>
        </w:tc>
        <w:tc>
          <w:tcPr>
            <w:tcW w:w="1876" w:type="dxa"/>
            <w:shd w:val="clear" w:color="auto" w:fill="003876"/>
            <w:vAlign w:val="center"/>
          </w:tcPr>
          <w:p w14:paraId="5C1FD15E"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Objetivo Específico END</w:t>
            </w:r>
          </w:p>
        </w:tc>
        <w:tc>
          <w:tcPr>
            <w:tcW w:w="1701" w:type="dxa"/>
            <w:shd w:val="clear" w:color="auto" w:fill="003876"/>
            <w:vAlign w:val="center"/>
          </w:tcPr>
          <w:p w14:paraId="4BAFF484" w14:textId="77777777" w:rsidR="00907DDB" w:rsidRPr="00ED5FF0" w:rsidRDefault="00907DDB" w:rsidP="00F676AC">
            <w:pPr>
              <w:spacing w:line="360" w:lineRule="auto"/>
              <w:jc w:val="center"/>
              <w:rPr>
                <w:rFonts w:ascii="Times New Roman" w:hAnsi="Times New Roman" w:cs="Times New Roman"/>
                <w:b/>
                <w:color w:val="FFFFFF" w:themeColor="background1"/>
              </w:rPr>
            </w:pPr>
            <w:r w:rsidRPr="00ED5FF0">
              <w:rPr>
                <w:rFonts w:ascii="Times New Roman" w:hAnsi="Times New Roman" w:cs="Times New Roman"/>
                <w:b/>
                <w:color w:val="FFFFFF" w:themeColor="background1"/>
              </w:rPr>
              <w:t>Líneas de Acción END</w:t>
            </w:r>
          </w:p>
        </w:tc>
      </w:tr>
      <w:tr w:rsidR="00907DDB" w:rsidRPr="00163F19" w14:paraId="5671DD73" w14:textId="77777777" w:rsidTr="00F676AC">
        <w:trPr>
          <w:trHeight w:val="1577"/>
        </w:trPr>
        <w:tc>
          <w:tcPr>
            <w:tcW w:w="2268" w:type="dxa"/>
          </w:tcPr>
          <w:p w14:paraId="2D30BA30" w14:textId="77777777" w:rsidR="00907DDB" w:rsidRPr="009A25BD" w:rsidRDefault="00907DDB" w:rsidP="000E66D4">
            <w:pPr>
              <w:spacing w:line="360" w:lineRule="auto"/>
              <w:rPr>
                <w:rFonts w:ascii="Times New Roman" w:hAnsi="Times New Roman" w:cs="Times New Roman"/>
                <w:bCs/>
                <w:color w:val="4C4747"/>
              </w:rPr>
            </w:pPr>
            <w:r w:rsidRPr="009A25BD">
              <w:rPr>
                <w:rFonts w:ascii="Times New Roman" w:eastAsia="Calibri" w:hAnsi="Times New Roman" w:cs="Times New Roman"/>
                <w:color w:val="4C4747"/>
                <w:spacing w:val="20"/>
                <w:lang w:val="es-DO"/>
              </w:rPr>
              <w:t>Mejorado el desempeño, la productividad laboral y preservada la equidad de género en la institución</w:t>
            </w:r>
          </w:p>
        </w:tc>
        <w:tc>
          <w:tcPr>
            <w:tcW w:w="2093" w:type="dxa"/>
          </w:tcPr>
          <w:p w14:paraId="41639436" w14:textId="77777777" w:rsidR="00907DDB" w:rsidRPr="009A25BD" w:rsidRDefault="00907DDB" w:rsidP="000E66D4">
            <w:pPr>
              <w:spacing w:line="360" w:lineRule="auto"/>
              <w:jc w:val="center"/>
              <w:rPr>
                <w:rFonts w:ascii="Times New Roman" w:hAnsi="Times New Roman" w:cs="Times New Roman"/>
                <w:bCs/>
                <w:color w:val="4C4747"/>
              </w:rPr>
            </w:pPr>
            <w:r w:rsidRPr="009A25BD">
              <w:rPr>
                <w:rFonts w:ascii="Times New Roman" w:hAnsi="Times New Roman" w:cs="Times New Roman"/>
                <w:bCs/>
                <w:color w:val="4C4747"/>
              </w:rPr>
              <w:t>1.1</w:t>
            </w:r>
          </w:p>
        </w:tc>
        <w:tc>
          <w:tcPr>
            <w:tcW w:w="1876" w:type="dxa"/>
          </w:tcPr>
          <w:p w14:paraId="2439AE1E" w14:textId="77777777" w:rsidR="00907DDB" w:rsidRPr="009A25BD" w:rsidRDefault="00907DDB" w:rsidP="000E66D4">
            <w:pPr>
              <w:spacing w:line="360" w:lineRule="auto"/>
              <w:jc w:val="center"/>
              <w:rPr>
                <w:rFonts w:ascii="Times New Roman" w:hAnsi="Times New Roman" w:cs="Times New Roman"/>
                <w:bCs/>
                <w:color w:val="4C4747"/>
              </w:rPr>
            </w:pPr>
            <w:r w:rsidRPr="009A25BD">
              <w:rPr>
                <w:rFonts w:ascii="Times New Roman" w:hAnsi="Times New Roman" w:cs="Times New Roman"/>
                <w:bCs/>
                <w:color w:val="4C4747"/>
              </w:rPr>
              <w:t>1.1.1</w:t>
            </w:r>
          </w:p>
        </w:tc>
        <w:tc>
          <w:tcPr>
            <w:tcW w:w="1701" w:type="dxa"/>
          </w:tcPr>
          <w:p w14:paraId="53D967D9" w14:textId="77777777" w:rsidR="00907DDB" w:rsidRPr="009A25BD" w:rsidRDefault="00907DDB" w:rsidP="000E66D4">
            <w:pPr>
              <w:spacing w:line="360" w:lineRule="auto"/>
              <w:jc w:val="center"/>
              <w:rPr>
                <w:rFonts w:ascii="Times New Roman" w:hAnsi="Times New Roman" w:cs="Times New Roman"/>
                <w:bCs/>
                <w:color w:val="4C4747"/>
              </w:rPr>
            </w:pPr>
            <w:r w:rsidRPr="009A25BD">
              <w:rPr>
                <w:rFonts w:ascii="Times New Roman" w:hAnsi="Times New Roman" w:cs="Times New Roman"/>
                <w:bCs/>
                <w:color w:val="4C4747"/>
              </w:rPr>
              <w:t>1.1.1.4</w:t>
            </w:r>
          </w:p>
        </w:tc>
      </w:tr>
      <w:tr w:rsidR="00DE4567" w:rsidRPr="00740594" w14:paraId="68AEA3B2" w14:textId="77777777" w:rsidTr="00855BE2">
        <w:trPr>
          <w:trHeight w:val="980"/>
        </w:trPr>
        <w:tc>
          <w:tcPr>
            <w:tcW w:w="2268" w:type="dxa"/>
            <w:shd w:val="clear" w:color="auto" w:fill="002060"/>
          </w:tcPr>
          <w:p w14:paraId="540C1FD5" w14:textId="0E78A348" w:rsidR="00DE4567" w:rsidRPr="00DE4567" w:rsidRDefault="00DE4567" w:rsidP="00DE4567">
            <w:pPr>
              <w:spacing w:line="360" w:lineRule="auto"/>
              <w:jc w:val="center"/>
              <w:rPr>
                <w:rFonts w:ascii="Times New Roman" w:eastAsia="Calibri" w:hAnsi="Times New Roman" w:cs="Times New Roman"/>
                <w:b/>
                <w:color w:val="FFFFFF" w:themeColor="background1"/>
                <w:spacing w:val="20"/>
                <w:lang w:val="es-DO"/>
              </w:rPr>
            </w:pPr>
            <w:r w:rsidRPr="00DE4567">
              <w:rPr>
                <w:rFonts w:ascii="Times New Roman" w:hAnsi="Times New Roman" w:cs="Times New Roman"/>
                <w:b/>
                <w:color w:val="FFFFFF" w:themeColor="background1"/>
              </w:rPr>
              <w:lastRenderedPageBreak/>
              <w:t>Resultado Institucional</w:t>
            </w:r>
          </w:p>
        </w:tc>
        <w:tc>
          <w:tcPr>
            <w:tcW w:w="2093" w:type="dxa"/>
            <w:shd w:val="clear" w:color="auto" w:fill="002060"/>
          </w:tcPr>
          <w:p w14:paraId="5B077C71" w14:textId="77777777" w:rsidR="00DE4567" w:rsidRDefault="00DE4567" w:rsidP="00DE4567">
            <w:pPr>
              <w:spacing w:line="360" w:lineRule="auto"/>
              <w:jc w:val="center"/>
              <w:rPr>
                <w:rFonts w:ascii="Times New Roman" w:hAnsi="Times New Roman" w:cs="Times New Roman"/>
                <w:b/>
                <w:color w:val="FFFFFF" w:themeColor="background1"/>
              </w:rPr>
            </w:pPr>
            <w:r w:rsidRPr="00DE4567">
              <w:rPr>
                <w:rFonts w:ascii="Times New Roman" w:hAnsi="Times New Roman" w:cs="Times New Roman"/>
                <w:b/>
                <w:color w:val="FFFFFF" w:themeColor="background1"/>
              </w:rPr>
              <w:t>Objetivo</w:t>
            </w:r>
          </w:p>
          <w:p w14:paraId="702E1F98" w14:textId="0C20B702" w:rsidR="00DE4567" w:rsidRPr="00DE4567" w:rsidRDefault="00DE4567" w:rsidP="00DE4567">
            <w:pPr>
              <w:spacing w:line="360" w:lineRule="auto"/>
              <w:jc w:val="center"/>
              <w:rPr>
                <w:rFonts w:ascii="Times New Roman" w:hAnsi="Times New Roman" w:cs="Times New Roman"/>
                <w:b/>
                <w:bCs/>
                <w:color w:val="FFFFFF" w:themeColor="background1"/>
              </w:rPr>
            </w:pPr>
            <w:r>
              <w:rPr>
                <w:rFonts w:ascii="Times New Roman" w:hAnsi="Times New Roman" w:cs="Times New Roman"/>
                <w:b/>
                <w:color w:val="FFFFFF" w:themeColor="background1"/>
              </w:rPr>
              <w:t>General END</w:t>
            </w:r>
          </w:p>
        </w:tc>
        <w:tc>
          <w:tcPr>
            <w:tcW w:w="1876" w:type="dxa"/>
            <w:shd w:val="clear" w:color="auto" w:fill="002060"/>
          </w:tcPr>
          <w:p w14:paraId="347EF5AB" w14:textId="02253BE1" w:rsidR="00DE4567" w:rsidRPr="00DE4567" w:rsidRDefault="00DE4567" w:rsidP="00DE4567">
            <w:pPr>
              <w:spacing w:line="360" w:lineRule="auto"/>
              <w:jc w:val="center"/>
              <w:rPr>
                <w:rFonts w:ascii="Times New Roman" w:hAnsi="Times New Roman" w:cs="Times New Roman"/>
                <w:b/>
                <w:bCs/>
                <w:color w:val="FFFFFF" w:themeColor="background1"/>
              </w:rPr>
            </w:pPr>
            <w:r w:rsidRPr="00DE4567">
              <w:rPr>
                <w:rFonts w:ascii="Times New Roman" w:hAnsi="Times New Roman" w:cs="Times New Roman"/>
                <w:b/>
                <w:bCs/>
                <w:color w:val="FFFFFF" w:themeColor="background1"/>
              </w:rPr>
              <w:t>Objetivo Específico END</w:t>
            </w:r>
          </w:p>
        </w:tc>
        <w:tc>
          <w:tcPr>
            <w:tcW w:w="1701" w:type="dxa"/>
            <w:shd w:val="clear" w:color="auto" w:fill="002060"/>
          </w:tcPr>
          <w:p w14:paraId="05A366E2" w14:textId="280D63C9" w:rsidR="00DE4567" w:rsidRPr="00DE4567" w:rsidRDefault="00DE4567" w:rsidP="00DE4567">
            <w:pPr>
              <w:spacing w:line="360" w:lineRule="auto"/>
              <w:jc w:val="center"/>
              <w:rPr>
                <w:rFonts w:ascii="Times New Roman" w:hAnsi="Times New Roman" w:cs="Times New Roman"/>
                <w:b/>
                <w:bCs/>
                <w:color w:val="FFFFFF" w:themeColor="background1"/>
              </w:rPr>
            </w:pPr>
            <w:r>
              <w:rPr>
                <w:rFonts w:ascii="Times New Roman" w:hAnsi="Times New Roman" w:cs="Times New Roman"/>
                <w:b/>
                <w:color w:val="FFFFFF" w:themeColor="background1"/>
              </w:rPr>
              <w:t>Línea de Acción END</w:t>
            </w:r>
          </w:p>
        </w:tc>
      </w:tr>
      <w:tr w:rsidR="00907DDB" w:rsidRPr="00376423" w14:paraId="548DA2F8" w14:textId="77777777" w:rsidTr="00F676AC">
        <w:trPr>
          <w:trHeight w:val="350"/>
        </w:trPr>
        <w:tc>
          <w:tcPr>
            <w:tcW w:w="2268" w:type="dxa"/>
          </w:tcPr>
          <w:p w14:paraId="69497B03" w14:textId="77777777" w:rsidR="00907DDB" w:rsidRPr="009A25BD" w:rsidRDefault="00907DDB" w:rsidP="00DE4567">
            <w:pPr>
              <w:pStyle w:val="Sinespaciado"/>
              <w:spacing w:line="360" w:lineRule="auto"/>
              <w:rPr>
                <w:color w:val="4C4747"/>
                <w:lang w:val="es-DO"/>
              </w:rPr>
            </w:pPr>
            <w:r w:rsidRPr="009A25BD">
              <w:rPr>
                <w:color w:val="4C4747"/>
                <w:lang w:val="es-DO"/>
              </w:rPr>
              <w:t xml:space="preserve">Identificados los </w:t>
            </w:r>
          </w:p>
          <w:p w14:paraId="4301140E" w14:textId="77777777" w:rsidR="00907DDB" w:rsidRPr="009A25BD" w:rsidRDefault="00907DDB" w:rsidP="00DE4567">
            <w:pPr>
              <w:pStyle w:val="Sinespaciado"/>
              <w:spacing w:line="360" w:lineRule="auto"/>
              <w:rPr>
                <w:color w:val="4C4747"/>
                <w:lang w:val="es-DO"/>
              </w:rPr>
            </w:pPr>
            <w:r w:rsidRPr="009A25BD">
              <w:rPr>
                <w:color w:val="4C4747"/>
                <w:lang w:val="es-DO"/>
              </w:rPr>
              <w:t>colaboradores con los elementos de la cultura Institucional</w:t>
            </w:r>
          </w:p>
        </w:tc>
        <w:tc>
          <w:tcPr>
            <w:tcW w:w="2093" w:type="dxa"/>
          </w:tcPr>
          <w:p w14:paraId="1B6B417E"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7CBC4188"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5D2AF88A" w14:textId="77777777" w:rsidR="00907DDB" w:rsidRPr="009A25BD" w:rsidRDefault="00907DDB" w:rsidP="000E66D4">
            <w:pPr>
              <w:spacing w:line="360" w:lineRule="auto"/>
              <w:rPr>
                <w:rFonts w:ascii="Times New Roman" w:hAnsi="Times New Roman" w:cs="Times New Roman"/>
                <w:bCs/>
                <w:color w:val="4C4747"/>
              </w:rPr>
            </w:pPr>
          </w:p>
        </w:tc>
      </w:tr>
      <w:tr w:rsidR="00907DDB" w:rsidRPr="00376423" w14:paraId="15DF3665" w14:textId="77777777" w:rsidTr="00F676AC">
        <w:trPr>
          <w:trHeight w:val="778"/>
        </w:trPr>
        <w:tc>
          <w:tcPr>
            <w:tcW w:w="2268" w:type="dxa"/>
          </w:tcPr>
          <w:p w14:paraId="58B1DFF4" w14:textId="77777777" w:rsidR="00907DDB" w:rsidRPr="009A25BD" w:rsidRDefault="00907DDB" w:rsidP="00DE4567">
            <w:pPr>
              <w:pStyle w:val="Sinespaciado"/>
              <w:spacing w:line="360" w:lineRule="auto"/>
              <w:rPr>
                <w:color w:val="4C4747"/>
                <w:lang w:val="es-DO"/>
              </w:rPr>
            </w:pPr>
            <w:r w:rsidRPr="009A25BD">
              <w:rPr>
                <w:color w:val="4C4747"/>
                <w:lang w:val="es-DO"/>
              </w:rPr>
              <w:t xml:space="preserve">Elevados los </w:t>
            </w:r>
          </w:p>
          <w:p w14:paraId="3AE98801" w14:textId="77777777" w:rsidR="00907DDB" w:rsidRPr="009A25BD" w:rsidRDefault="00907DDB" w:rsidP="00DE4567">
            <w:pPr>
              <w:pStyle w:val="Sinespaciado"/>
              <w:spacing w:line="360" w:lineRule="auto"/>
              <w:rPr>
                <w:color w:val="4C4747"/>
                <w:lang w:val="es-DO"/>
              </w:rPr>
            </w:pPr>
            <w:r w:rsidRPr="009A25BD">
              <w:rPr>
                <w:color w:val="4C4747"/>
                <w:lang w:val="es-DO"/>
              </w:rPr>
              <w:t xml:space="preserve">estándares de gestión </w:t>
            </w:r>
          </w:p>
          <w:p w14:paraId="2C136B93" w14:textId="77777777" w:rsidR="00907DDB" w:rsidRPr="009A25BD" w:rsidRDefault="00907DDB" w:rsidP="00DE4567">
            <w:pPr>
              <w:pStyle w:val="Sinespaciado"/>
              <w:spacing w:line="360" w:lineRule="auto"/>
              <w:rPr>
                <w:color w:val="4C4747"/>
                <w:lang w:val="es-DO"/>
              </w:rPr>
            </w:pPr>
            <w:r w:rsidRPr="009A25BD">
              <w:rPr>
                <w:color w:val="4C4747"/>
                <w:lang w:val="es-DO"/>
              </w:rPr>
              <w:t>institucional</w:t>
            </w:r>
          </w:p>
        </w:tc>
        <w:tc>
          <w:tcPr>
            <w:tcW w:w="2093" w:type="dxa"/>
          </w:tcPr>
          <w:p w14:paraId="0012BEBF"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6A2C5EC8"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433CFDBE" w14:textId="77777777" w:rsidR="00907DDB" w:rsidRPr="009A25BD" w:rsidRDefault="00907DDB" w:rsidP="000E66D4">
            <w:pPr>
              <w:spacing w:line="360" w:lineRule="auto"/>
              <w:rPr>
                <w:rFonts w:ascii="Times New Roman" w:hAnsi="Times New Roman" w:cs="Times New Roman"/>
                <w:bCs/>
                <w:color w:val="4C4747"/>
              </w:rPr>
            </w:pPr>
          </w:p>
        </w:tc>
      </w:tr>
      <w:tr w:rsidR="00907DDB" w:rsidRPr="00376423" w14:paraId="35099895" w14:textId="77777777" w:rsidTr="00F676AC">
        <w:trPr>
          <w:trHeight w:val="778"/>
        </w:trPr>
        <w:tc>
          <w:tcPr>
            <w:tcW w:w="2268" w:type="dxa"/>
          </w:tcPr>
          <w:p w14:paraId="2F368866" w14:textId="77777777" w:rsidR="00907DDB" w:rsidRPr="009A25BD" w:rsidRDefault="00907DDB" w:rsidP="00DE4567">
            <w:pPr>
              <w:pStyle w:val="Sinespaciado"/>
              <w:spacing w:line="360" w:lineRule="auto"/>
              <w:rPr>
                <w:color w:val="4C4747"/>
                <w:lang w:val="es-DO"/>
              </w:rPr>
            </w:pPr>
            <w:r w:rsidRPr="009A25BD">
              <w:rPr>
                <w:color w:val="4C4747"/>
                <w:lang w:val="es-DO"/>
              </w:rPr>
              <w:t>Mejorado el desempeño y la gestión de la calidad</w:t>
            </w:r>
          </w:p>
        </w:tc>
        <w:tc>
          <w:tcPr>
            <w:tcW w:w="2093" w:type="dxa"/>
          </w:tcPr>
          <w:p w14:paraId="5A1B8460"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6CB2301D"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0AECAF31" w14:textId="77777777" w:rsidR="00907DDB" w:rsidRPr="009A25BD" w:rsidRDefault="00907DDB" w:rsidP="000E66D4">
            <w:pPr>
              <w:spacing w:line="360" w:lineRule="auto"/>
              <w:rPr>
                <w:rFonts w:ascii="Times New Roman" w:hAnsi="Times New Roman" w:cs="Times New Roman"/>
                <w:bCs/>
                <w:color w:val="4C4747"/>
              </w:rPr>
            </w:pPr>
          </w:p>
        </w:tc>
      </w:tr>
      <w:tr w:rsidR="00907DDB" w:rsidRPr="00376423" w14:paraId="6F172170" w14:textId="77777777" w:rsidTr="00F676AC">
        <w:trPr>
          <w:trHeight w:val="778"/>
        </w:trPr>
        <w:tc>
          <w:tcPr>
            <w:tcW w:w="2268" w:type="dxa"/>
          </w:tcPr>
          <w:p w14:paraId="4C2F654B" w14:textId="77777777" w:rsidR="00907DDB" w:rsidRPr="009A25BD" w:rsidRDefault="00907DDB" w:rsidP="00DE4567">
            <w:pPr>
              <w:pStyle w:val="Sinespaciado"/>
              <w:spacing w:line="360" w:lineRule="auto"/>
              <w:rPr>
                <w:color w:val="4C4747"/>
                <w:lang w:val="es-DO"/>
              </w:rPr>
            </w:pPr>
            <w:r w:rsidRPr="009A25BD">
              <w:rPr>
                <w:color w:val="4C4747"/>
                <w:lang w:val="es-DO"/>
              </w:rPr>
              <w:t xml:space="preserve">Asegurada la continuidad de los </w:t>
            </w:r>
          </w:p>
          <w:p w14:paraId="514DCDEE" w14:textId="77777777" w:rsidR="00907DDB" w:rsidRPr="009A25BD" w:rsidRDefault="00907DDB" w:rsidP="00DE4567">
            <w:pPr>
              <w:pStyle w:val="Sinespaciado"/>
              <w:spacing w:line="360" w:lineRule="auto"/>
              <w:rPr>
                <w:color w:val="4C4747"/>
                <w:lang w:val="es-DO"/>
              </w:rPr>
            </w:pPr>
            <w:r w:rsidRPr="009A25BD">
              <w:rPr>
                <w:color w:val="4C4747"/>
                <w:lang w:val="es-DO"/>
              </w:rPr>
              <w:t>sistemas y la plataforma tecnológica</w:t>
            </w:r>
          </w:p>
        </w:tc>
        <w:tc>
          <w:tcPr>
            <w:tcW w:w="2093" w:type="dxa"/>
          </w:tcPr>
          <w:p w14:paraId="30E1FB94"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687D279E"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2465C3D9" w14:textId="77777777" w:rsidR="00907DDB" w:rsidRPr="009A25BD" w:rsidRDefault="00907DDB" w:rsidP="000E66D4">
            <w:pPr>
              <w:spacing w:line="360" w:lineRule="auto"/>
              <w:rPr>
                <w:rFonts w:ascii="Times New Roman" w:hAnsi="Times New Roman" w:cs="Times New Roman"/>
                <w:bCs/>
                <w:color w:val="4C4747"/>
              </w:rPr>
            </w:pPr>
          </w:p>
        </w:tc>
      </w:tr>
      <w:tr w:rsidR="00907DDB" w:rsidRPr="00163F19" w14:paraId="032F3C37" w14:textId="77777777" w:rsidTr="00F676AC">
        <w:trPr>
          <w:trHeight w:val="558"/>
        </w:trPr>
        <w:tc>
          <w:tcPr>
            <w:tcW w:w="2268" w:type="dxa"/>
          </w:tcPr>
          <w:p w14:paraId="656ABC12" w14:textId="77777777" w:rsidR="00907DDB" w:rsidRPr="009A25BD" w:rsidRDefault="00907DDB" w:rsidP="00DE4567">
            <w:pPr>
              <w:pStyle w:val="Sinespaciado"/>
              <w:spacing w:line="360" w:lineRule="auto"/>
              <w:rPr>
                <w:color w:val="4C4747"/>
                <w:lang w:val="es-DO"/>
              </w:rPr>
            </w:pPr>
            <w:r w:rsidRPr="009A25BD">
              <w:rPr>
                <w:color w:val="4C4747"/>
                <w:lang w:val="es-DO"/>
              </w:rPr>
              <w:t>Optimizados e incorporados sistemas tecnológicos acorde a los requerimientos</w:t>
            </w:r>
          </w:p>
          <w:p w14:paraId="4ABDFE71" w14:textId="77777777" w:rsidR="00907DDB" w:rsidRPr="009A25BD" w:rsidRDefault="00907DDB" w:rsidP="00DE4567">
            <w:pPr>
              <w:pStyle w:val="Sinespaciado"/>
              <w:spacing w:line="360" w:lineRule="auto"/>
              <w:rPr>
                <w:color w:val="4C4747"/>
                <w:lang w:val="es-DO"/>
              </w:rPr>
            </w:pPr>
            <w:r w:rsidRPr="009A25BD">
              <w:rPr>
                <w:color w:val="4C4747"/>
                <w:lang w:val="es-DO"/>
              </w:rPr>
              <w:t>institucionales</w:t>
            </w:r>
          </w:p>
        </w:tc>
        <w:tc>
          <w:tcPr>
            <w:tcW w:w="2093" w:type="dxa"/>
          </w:tcPr>
          <w:p w14:paraId="75D71136"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56BC2E7D"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0C506494" w14:textId="77777777" w:rsidR="00907DDB" w:rsidRPr="009A25BD" w:rsidRDefault="00907DDB" w:rsidP="000E66D4">
            <w:pPr>
              <w:spacing w:line="360" w:lineRule="auto"/>
              <w:rPr>
                <w:rFonts w:ascii="Times New Roman" w:hAnsi="Times New Roman" w:cs="Times New Roman"/>
                <w:bCs/>
                <w:color w:val="4C4747"/>
              </w:rPr>
            </w:pPr>
          </w:p>
        </w:tc>
      </w:tr>
      <w:tr w:rsidR="00907DDB" w:rsidRPr="00740594" w14:paraId="74E51222" w14:textId="77777777" w:rsidTr="00F676AC">
        <w:trPr>
          <w:trHeight w:val="620"/>
        </w:trPr>
        <w:tc>
          <w:tcPr>
            <w:tcW w:w="2268" w:type="dxa"/>
          </w:tcPr>
          <w:p w14:paraId="24B9D5C9" w14:textId="77777777" w:rsidR="00907DDB" w:rsidRPr="009A25BD" w:rsidRDefault="00907DDB" w:rsidP="00DE4567">
            <w:pPr>
              <w:pStyle w:val="Sinespaciado"/>
              <w:spacing w:line="360" w:lineRule="auto"/>
              <w:rPr>
                <w:color w:val="4C4747"/>
                <w:lang w:val="es-DO"/>
              </w:rPr>
            </w:pPr>
            <w:r w:rsidRPr="009A25BD">
              <w:rPr>
                <w:color w:val="4C4747"/>
                <w:lang w:val="es-DO"/>
              </w:rPr>
              <w:t>Valorada positivamente la imagen institucional</w:t>
            </w:r>
          </w:p>
          <w:p w14:paraId="084B499A" w14:textId="77777777" w:rsidR="00DE4567" w:rsidRPr="009A25BD" w:rsidRDefault="00DE4567" w:rsidP="00DE4567">
            <w:pPr>
              <w:pStyle w:val="Sinespaciado"/>
              <w:spacing w:line="360" w:lineRule="auto"/>
              <w:rPr>
                <w:color w:val="4C4747"/>
                <w:lang w:val="es-DO"/>
              </w:rPr>
            </w:pPr>
          </w:p>
          <w:p w14:paraId="4B535AA8" w14:textId="77777777" w:rsidR="00DE4567" w:rsidRPr="009A25BD" w:rsidRDefault="00DE4567" w:rsidP="00DE4567">
            <w:pPr>
              <w:pStyle w:val="Sinespaciado"/>
              <w:spacing w:line="360" w:lineRule="auto"/>
              <w:rPr>
                <w:color w:val="4C4747"/>
                <w:lang w:val="es-DO"/>
              </w:rPr>
            </w:pPr>
          </w:p>
          <w:p w14:paraId="4625B12B" w14:textId="77777777" w:rsidR="00DE4567" w:rsidRPr="009A25BD" w:rsidRDefault="00DE4567" w:rsidP="00DE4567">
            <w:pPr>
              <w:pStyle w:val="Sinespaciado"/>
              <w:spacing w:line="360" w:lineRule="auto"/>
              <w:rPr>
                <w:color w:val="4C4747"/>
                <w:lang w:val="es-DO"/>
              </w:rPr>
            </w:pPr>
          </w:p>
        </w:tc>
        <w:tc>
          <w:tcPr>
            <w:tcW w:w="2093" w:type="dxa"/>
          </w:tcPr>
          <w:p w14:paraId="2F0A9864"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4484EFAC"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3AEB6DEE" w14:textId="77777777" w:rsidR="00907DDB" w:rsidRPr="009A25BD" w:rsidRDefault="00907DDB" w:rsidP="000E66D4">
            <w:pPr>
              <w:spacing w:line="360" w:lineRule="auto"/>
              <w:rPr>
                <w:rFonts w:ascii="Times New Roman" w:hAnsi="Times New Roman" w:cs="Times New Roman"/>
                <w:bCs/>
                <w:color w:val="4C4747"/>
              </w:rPr>
            </w:pPr>
          </w:p>
        </w:tc>
      </w:tr>
      <w:tr w:rsidR="00907DDB" w:rsidRPr="00163F19" w14:paraId="2E1A0082" w14:textId="77777777" w:rsidTr="00F676AC">
        <w:trPr>
          <w:trHeight w:val="958"/>
        </w:trPr>
        <w:tc>
          <w:tcPr>
            <w:tcW w:w="2268" w:type="dxa"/>
            <w:shd w:val="clear" w:color="auto" w:fill="003876"/>
            <w:vAlign w:val="center"/>
          </w:tcPr>
          <w:p w14:paraId="12F597EB" w14:textId="77777777" w:rsidR="00907DDB" w:rsidRPr="00ED5FF0" w:rsidRDefault="00907DDB" w:rsidP="00F676AC">
            <w:pPr>
              <w:jc w:val="center"/>
              <w:rPr>
                <w:rFonts w:ascii="Times New Roman" w:hAnsi="Times New Roman" w:cs="Times New Roman"/>
                <w:b/>
                <w:bCs/>
                <w:color w:val="FFFFFF" w:themeColor="background1"/>
              </w:rPr>
            </w:pPr>
            <w:r w:rsidRPr="00ED5FF0">
              <w:rPr>
                <w:rFonts w:ascii="Times New Roman" w:hAnsi="Times New Roman" w:cs="Times New Roman"/>
                <w:b/>
                <w:bCs/>
                <w:color w:val="FFFFFF" w:themeColor="background1"/>
              </w:rPr>
              <w:lastRenderedPageBreak/>
              <w:t>Resultado Institucional</w:t>
            </w:r>
          </w:p>
        </w:tc>
        <w:tc>
          <w:tcPr>
            <w:tcW w:w="2093" w:type="dxa"/>
            <w:shd w:val="clear" w:color="auto" w:fill="003876"/>
            <w:vAlign w:val="center"/>
          </w:tcPr>
          <w:p w14:paraId="72D1C5B2" w14:textId="77777777" w:rsidR="00907DDB" w:rsidRPr="00ED5FF0" w:rsidRDefault="00907DDB" w:rsidP="00F676AC">
            <w:pPr>
              <w:spacing w:line="360" w:lineRule="auto"/>
              <w:jc w:val="center"/>
              <w:rPr>
                <w:rFonts w:ascii="Times New Roman" w:hAnsi="Times New Roman" w:cs="Times New Roman"/>
                <w:b/>
                <w:bCs/>
                <w:color w:val="FFFFFF" w:themeColor="background1"/>
              </w:rPr>
            </w:pPr>
            <w:r w:rsidRPr="00ED5FF0">
              <w:rPr>
                <w:rFonts w:ascii="Times New Roman" w:hAnsi="Times New Roman" w:cs="Times New Roman"/>
                <w:b/>
                <w:color w:val="FFFFFF" w:themeColor="background1"/>
              </w:rPr>
              <w:t xml:space="preserve">Objetivo </w:t>
            </w:r>
            <w:r w:rsidRPr="00ED5FF0">
              <w:rPr>
                <w:rFonts w:ascii="Times New Roman" w:hAnsi="Times New Roman" w:cs="Times New Roman"/>
                <w:b/>
                <w:color w:val="FFFFFF" w:themeColor="background1"/>
              </w:rPr>
              <w:br/>
              <w:t>General END</w:t>
            </w:r>
          </w:p>
        </w:tc>
        <w:tc>
          <w:tcPr>
            <w:tcW w:w="1876" w:type="dxa"/>
            <w:shd w:val="clear" w:color="auto" w:fill="003876"/>
            <w:vAlign w:val="center"/>
          </w:tcPr>
          <w:p w14:paraId="749A27C2" w14:textId="77777777" w:rsidR="00907DDB" w:rsidRPr="00ED5FF0" w:rsidRDefault="00907DDB" w:rsidP="00F676AC">
            <w:pPr>
              <w:spacing w:line="360" w:lineRule="auto"/>
              <w:jc w:val="center"/>
              <w:rPr>
                <w:rFonts w:ascii="Times New Roman" w:hAnsi="Times New Roman" w:cs="Times New Roman"/>
                <w:b/>
                <w:bCs/>
                <w:color w:val="FFFFFF" w:themeColor="background1"/>
              </w:rPr>
            </w:pPr>
            <w:r w:rsidRPr="00ED5FF0">
              <w:rPr>
                <w:rFonts w:ascii="Times New Roman" w:hAnsi="Times New Roman" w:cs="Times New Roman"/>
                <w:b/>
                <w:color w:val="FFFFFF" w:themeColor="background1"/>
              </w:rPr>
              <w:t>Objetivo Específico END</w:t>
            </w:r>
          </w:p>
        </w:tc>
        <w:tc>
          <w:tcPr>
            <w:tcW w:w="1701" w:type="dxa"/>
            <w:shd w:val="clear" w:color="auto" w:fill="003876"/>
            <w:vAlign w:val="center"/>
          </w:tcPr>
          <w:p w14:paraId="58F44578" w14:textId="77777777" w:rsidR="00907DDB" w:rsidRPr="00ED5FF0" w:rsidRDefault="00907DDB" w:rsidP="00F676AC">
            <w:pPr>
              <w:spacing w:line="360" w:lineRule="auto"/>
              <w:jc w:val="center"/>
              <w:rPr>
                <w:rFonts w:ascii="Times New Roman" w:hAnsi="Times New Roman" w:cs="Times New Roman"/>
                <w:b/>
                <w:bCs/>
                <w:color w:val="FFFFFF" w:themeColor="background1"/>
              </w:rPr>
            </w:pPr>
            <w:r w:rsidRPr="00ED5FF0">
              <w:rPr>
                <w:rFonts w:ascii="Times New Roman" w:hAnsi="Times New Roman" w:cs="Times New Roman"/>
                <w:b/>
                <w:color w:val="FFFFFF" w:themeColor="background1"/>
              </w:rPr>
              <w:t>Líneas de Acción END</w:t>
            </w:r>
          </w:p>
        </w:tc>
      </w:tr>
      <w:tr w:rsidR="000E66D4" w:rsidRPr="009A25BD" w14:paraId="27FB66C1" w14:textId="77777777" w:rsidTr="00F676AC">
        <w:trPr>
          <w:trHeight w:val="778"/>
        </w:trPr>
        <w:tc>
          <w:tcPr>
            <w:tcW w:w="2268" w:type="dxa"/>
          </w:tcPr>
          <w:p w14:paraId="369254FE" w14:textId="77777777" w:rsidR="00907DDB" w:rsidRPr="009A25BD" w:rsidRDefault="00907DDB" w:rsidP="000E66D4">
            <w:pPr>
              <w:spacing w:line="360" w:lineRule="auto"/>
              <w:rPr>
                <w:rFonts w:ascii="Times New Roman" w:eastAsia="Calibri" w:hAnsi="Times New Roman" w:cs="Times New Roman"/>
                <w:color w:val="4C4747"/>
                <w:spacing w:val="20"/>
                <w:lang w:val="es-DO"/>
              </w:rPr>
            </w:pPr>
            <w:r w:rsidRPr="009A25BD">
              <w:rPr>
                <w:rFonts w:ascii="Times New Roman" w:eastAsia="Calibri" w:hAnsi="Times New Roman" w:cs="Times New Roman"/>
                <w:color w:val="4C4747"/>
                <w:spacing w:val="20"/>
                <w:lang w:val="es-DO"/>
              </w:rPr>
              <w:t xml:space="preserve">Asegurada la </w:t>
            </w:r>
          </w:p>
          <w:p w14:paraId="26D35EFB" w14:textId="77777777" w:rsidR="00907DDB" w:rsidRPr="009A25BD" w:rsidRDefault="00907DDB" w:rsidP="000E66D4">
            <w:pPr>
              <w:spacing w:line="360" w:lineRule="auto"/>
              <w:rPr>
                <w:rFonts w:ascii="Times New Roman" w:eastAsia="Calibri" w:hAnsi="Times New Roman" w:cs="Times New Roman"/>
                <w:color w:val="4C4747"/>
                <w:spacing w:val="20"/>
                <w:lang w:val="es-DO"/>
              </w:rPr>
            </w:pPr>
            <w:r w:rsidRPr="009A25BD">
              <w:rPr>
                <w:rFonts w:ascii="Times New Roman" w:eastAsia="Calibri" w:hAnsi="Times New Roman" w:cs="Times New Roman"/>
                <w:color w:val="4C4747"/>
                <w:spacing w:val="20"/>
                <w:lang w:val="es-DO"/>
              </w:rPr>
              <w:t xml:space="preserve">continuidad y eficacia de las operaciones de la </w:t>
            </w:r>
          </w:p>
          <w:p w14:paraId="15EF7A55" w14:textId="77777777" w:rsidR="00907DDB" w:rsidRPr="009A25BD" w:rsidRDefault="00907DDB" w:rsidP="000E66D4">
            <w:pPr>
              <w:spacing w:line="360" w:lineRule="auto"/>
              <w:rPr>
                <w:rFonts w:ascii="Times New Roman" w:eastAsia="Calibri" w:hAnsi="Times New Roman" w:cs="Times New Roman"/>
                <w:color w:val="4C4747"/>
                <w:spacing w:val="20"/>
                <w:lang w:val="es-DO"/>
              </w:rPr>
            </w:pPr>
            <w:r w:rsidRPr="009A25BD">
              <w:rPr>
                <w:rFonts w:ascii="Times New Roman" w:eastAsia="Calibri" w:hAnsi="Times New Roman" w:cs="Times New Roman"/>
                <w:color w:val="4C4747"/>
                <w:spacing w:val="20"/>
                <w:lang w:val="es-DO"/>
              </w:rPr>
              <w:t>institución</w:t>
            </w:r>
          </w:p>
        </w:tc>
        <w:tc>
          <w:tcPr>
            <w:tcW w:w="2093" w:type="dxa"/>
          </w:tcPr>
          <w:p w14:paraId="1F34DCBB"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4A04C135"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3374EED6" w14:textId="77777777" w:rsidR="00907DDB" w:rsidRPr="009A25BD" w:rsidRDefault="00907DDB" w:rsidP="000E66D4">
            <w:pPr>
              <w:spacing w:line="360" w:lineRule="auto"/>
              <w:rPr>
                <w:rFonts w:ascii="Times New Roman" w:hAnsi="Times New Roman" w:cs="Times New Roman"/>
                <w:bCs/>
                <w:color w:val="4C4747"/>
              </w:rPr>
            </w:pPr>
          </w:p>
        </w:tc>
      </w:tr>
      <w:tr w:rsidR="000E66D4" w:rsidRPr="009A25BD" w14:paraId="05219447" w14:textId="77777777" w:rsidTr="00F676AC">
        <w:trPr>
          <w:trHeight w:val="512"/>
        </w:trPr>
        <w:tc>
          <w:tcPr>
            <w:tcW w:w="2268" w:type="dxa"/>
          </w:tcPr>
          <w:p w14:paraId="72A1B9E0" w14:textId="77777777" w:rsidR="00907DDB" w:rsidRPr="009A25BD" w:rsidRDefault="00907DDB" w:rsidP="000E66D4">
            <w:pPr>
              <w:spacing w:line="360" w:lineRule="auto"/>
              <w:rPr>
                <w:rFonts w:ascii="Times New Roman" w:eastAsia="Calibri" w:hAnsi="Times New Roman" w:cs="Times New Roman"/>
                <w:color w:val="4C4747"/>
                <w:spacing w:val="20"/>
                <w:lang w:val="es-DO"/>
              </w:rPr>
            </w:pPr>
            <w:r w:rsidRPr="009A25BD">
              <w:rPr>
                <w:rFonts w:ascii="Times New Roman" w:eastAsia="Calibri" w:hAnsi="Times New Roman" w:cs="Times New Roman"/>
                <w:color w:val="4C4747"/>
                <w:spacing w:val="20"/>
                <w:lang w:val="es-DO"/>
              </w:rPr>
              <w:t>Optimizada la gestión financiera</w:t>
            </w:r>
          </w:p>
        </w:tc>
        <w:tc>
          <w:tcPr>
            <w:tcW w:w="2093" w:type="dxa"/>
          </w:tcPr>
          <w:p w14:paraId="4164B651" w14:textId="77777777" w:rsidR="00907DDB" w:rsidRPr="009A25BD" w:rsidRDefault="00907DDB" w:rsidP="000E66D4">
            <w:pPr>
              <w:spacing w:line="360" w:lineRule="auto"/>
              <w:rPr>
                <w:rFonts w:ascii="Times New Roman" w:hAnsi="Times New Roman" w:cs="Times New Roman"/>
                <w:bCs/>
                <w:color w:val="4C4747"/>
              </w:rPr>
            </w:pPr>
          </w:p>
        </w:tc>
        <w:tc>
          <w:tcPr>
            <w:tcW w:w="1876" w:type="dxa"/>
          </w:tcPr>
          <w:p w14:paraId="4FB329A7" w14:textId="77777777" w:rsidR="00907DDB" w:rsidRPr="009A25BD" w:rsidRDefault="00907DDB" w:rsidP="000E66D4">
            <w:pPr>
              <w:spacing w:line="360" w:lineRule="auto"/>
              <w:rPr>
                <w:rFonts w:ascii="Times New Roman" w:hAnsi="Times New Roman" w:cs="Times New Roman"/>
                <w:bCs/>
                <w:color w:val="4C4747"/>
              </w:rPr>
            </w:pPr>
          </w:p>
        </w:tc>
        <w:tc>
          <w:tcPr>
            <w:tcW w:w="1701" w:type="dxa"/>
          </w:tcPr>
          <w:p w14:paraId="2751B88C" w14:textId="77777777" w:rsidR="00907DDB" w:rsidRPr="009A25BD" w:rsidRDefault="00907DDB" w:rsidP="000E66D4">
            <w:pPr>
              <w:spacing w:line="360" w:lineRule="auto"/>
              <w:rPr>
                <w:rFonts w:ascii="Times New Roman" w:hAnsi="Times New Roman" w:cs="Times New Roman"/>
                <w:bCs/>
                <w:color w:val="4C4747"/>
              </w:rPr>
            </w:pPr>
          </w:p>
        </w:tc>
      </w:tr>
    </w:tbl>
    <w:p w14:paraId="39595884" w14:textId="37228EE4" w:rsidR="001C151B" w:rsidRPr="009A25BD" w:rsidRDefault="00BD79E2" w:rsidP="00FA019C">
      <w:pPr>
        <w:spacing w:line="360" w:lineRule="auto"/>
        <w:jc w:val="both"/>
        <w:rPr>
          <w:rFonts w:ascii="Times New Roman" w:eastAsia="Calibri" w:hAnsi="Times New Roman" w:cs="Times New Roman"/>
          <w:color w:val="4C4747"/>
          <w:spacing w:val="20"/>
          <w:sz w:val="18"/>
          <w:szCs w:val="18"/>
          <w:lang w:val="es-DO"/>
        </w:rPr>
      </w:pPr>
      <w:r w:rsidRPr="009A25BD">
        <w:rPr>
          <w:rFonts w:ascii="Times New Roman" w:eastAsia="Calibri" w:hAnsi="Times New Roman" w:cs="Times New Roman"/>
          <w:b/>
          <w:color w:val="4C4747"/>
          <w:spacing w:val="20"/>
          <w:sz w:val="18"/>
          <w:szCs w:val="18"/>
          <w:lang w:val="es-DO"/>
        </w:rPr>
        <w:t>Fuente:</w:t>
      </w:r>
      <w:r w:rsidRPr="009A25BD">
        <w:rPr>
          <w:rFonts w:ascii="Times New Roman" w:eastAsia="Calibri" w:hAnsi="Times New Roman" w:cs="Times New Roman"/>
          <w:color w:val="4C4747"/>
          <w:spacing w:val="20"/>
          <w:sz w:val="18"/>
          <w:szCs w:val="18"/>
          <w:lang w:val="es-DO"/>
        </w:rPr>
        <w:t xml:space="preserve"> Plan Estratégico Institucional (PEI) 2021-2024</w:t>
      </w:r>
    </w:p>
    <w:p w14:paraId="3D3453CE"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638AA406"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58C365DA"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5B2736B5"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0A6AA7C8"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38B357F5"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5342239A"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2B5C9D5E"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1B0DF17F"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00F66085"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06E17775"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12B06C45"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15364ADA"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5EE25CBB"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2D0C57BA"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4D8E3803" w14:textId="77777777" w:rsidR="00BD79E2" w:rsidRDefault="00BD79E2" w:rsidP="00FA019C">
      <w:pPr>
        <w:spacing w:line="360" w:lineRule="auto"/>
        <w:jc w:val="both"/>
        <w:rPr>
          <w:rFonts w:ascii="Times New Roman" w:eastAsia="Calibri" w:hAnsi="Times New Roman" w:cs="Times New Roman"/>
          <w:color w:val="767171"/>
          <w:spacing w:val="20"/>
          <w:sz w:val="18"/>
          <w:szCs w:val="18"/>
          <w:lang w:val="es-DO"/>
        </w:rPr>
      </w:pPr>
    </w:p>
    <w:p w14:paraId="5F326886" w14:textId="77777777" w:rsidR="001F33D9" w:rsidRDefault="001F33D9" w:rsidP="00FA019C">
      <w:pPr>
        <w:spacing w:line="360" w:lineRule="auto"/>
        <w:jc w:val="both"/>
        <w:rPr>
          <w:rFonts w:ascii="Times New Roman" w:eastAsia="Calibri" w:hAnsi="Times New Roman" w:cs="Times New Roman"/>
          <w:color w:val="767171"/>
          <w:spacing w:val="20"/>
          <w:sz w:val="24"/>
          <w:szCs w:val="24"/>
          <w:lang w:val="es-DO"/>
        </w:rPr>
      </w:pPr>
    </w:p>
    <w:bookmarkStart w:id="10" w:name="_Toc122425233"/>
    <w:p w14:paraId="33A5A57B" w14:textId="3EFFC4D9" w:rsidR="001C151B" w:rsidRPr="000E66D4" w:rsidRDefault="00BD79E2" w:rsidP="00A02BDE">
      <w:pPr>
        <w:pStyle w:val="Ttulo1"/>
        <w:numPr>
          <w:ilvl w:val="0"/>
          <w:numId w:val="27"/>
        </w:numPr>
        <w:spacing w:line="360" w:lineRule="auto"/>
        <w:jc w:val="center"/>
        <w:rPr>
          <w:color w:val="4C4747"/>
          <w:spacing w:val="20"/>
          <w:lang w:val="es-DO"/>
        </w:rPr>
      </w:pPr>
      <w:r w:rsidRPr="000E66D4">
        <w:rPr>
          <w:noProof/>
          <w:color w:val="4C4747"/>
          <w:spacing w:val="20"/>
        </w:rPr>
        <w:lastRenderedPageBreak/>
        <mc:AlternateContent>
          <mc:Choice Requires="wps">
            <w:drawing>
              <wp:anchor distT="0" distB="0" distL="114300" distR="114300" simplePos="0" relativeHeight="251725824" behindDoc="0" locked="0" layoutInCell="1" allowOverlap="1" wp14:anchorId="31AE9903" wp14:editId="1CB74330">
                <wp:simplePos x="0" y="0"/>
                <wp:positionH relativeFrom="margin">
                  <wp:posOffset>2406650</wp:posOffset>
                </wp:positionH>
                <wp:positionV relativeFrom="paragraph">
                  <wp:posOffset>273354</wp:posOffset>
                </wp:positionV>
                <wp:extent cx="463550" cy="0"/>
                <wp:effectExtent l="0" t="19050" r="31750" b="19050"/>
                <wp:wrapNone/>
                <wp:docPr id="14"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BC7558B" id="Straight Connector 21" o:spid="_x0000_s1026" style="position:absolute;z-index:251725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9.5pt,21.5pt" to="226pt,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VkH0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" strokecolor="#ee2a24" strokeweight="2.25pt">
                <v:stroke joinstyle="miter"/>
                <w10:wrap anchorx="margin"/>
              </v:line>
            </w:pict>
          </mc:Fallback>
        </mc:AlternateContent>
      </w:r>
      <w:r w:rsidR="001F33D9" w:rsidRPr="000E66D4">
        <w:rPr>
          <w:color w:val="4C4747"/>
          <w:spacing w:val="20"/>
          <w:lang w:val="es-DO"/>
        </w:rPr>
        <w:t>RESULTADOS MISIONALES</w:t>
      </w:r>
      <w:bookmarkEnd w:id="10"/>
    </w:p>
    <w:p w14:paraId="3D994D39" w14:textId="77777777" w:rsidR="00BD79E2" w:rsidRPr="000E66D4" w:rsidRDefault="00BD79E2" w:rsidP="00BD79E2">
      <w:pPr>
        <w:pStyle w:val="Prrafodelista"/>
        <w:spacing w:line="360" w:lineRule="auto"/>
        <w:ind w:left="1080"/>
        <w:jc w:val="center"/>
        <w:rPr>
          <w:rFonts w:ascii="Times New Roman" w:eastAsia="Calibri" w:hAnsi="Times New Roman" w:cs="Times New Roman"/>
          <w:color w:val="4C4747"/>
          <w:spacing w:val="20"/>
          <w:sz w:val="24"/>
          <w:szCs w:val="24"/>
          <w:lang w:val="es-DO"/>
        </w:rPr>
      </w:pPr>
    </w:p>
    <w:p w14:paraId="3F6A6857" w14:textId="7FD48462" w:rsidR="001F33D9" w:rsidRPr="000E66D4" w:rsidRDefault="00591C1B" w:rsidP="00BD79E2">
      <w:pPr>
        <w:pStyle w:val="Prrafodelista"/>
        <w:spacing w:line="360" w:lineRule="auto"/>
        <w:ind w:left="1080"/>
        <w:jc w:val="center"/>
        <w:rPr>
          <w:rFonts w:ascii="Times New Roman" w:eastAsia="Calibri" w:hAnsi="Times New Roman" w:cs="Times New Roman"/>
          <w:b/>
          <w:color w:val="4C4747"/>
          <w:spacing w:val="20"/>
          <w:sz w:val="28"/>
          <w:szCs w:val="28"/>
          <w:lang w:val="es-DO"/>
        </w:rPr>
      </w:pPr>
      <w:r w:rsidRPr="000E66D4">
        <w:rPr>
          <w:rFonts w:ascii="Times New Roman" w:eastAsia="Calibri" w:hAnsi="Times New Roman" w:cs="Times New Roman"/>
          <w:color w:val="4C4747"/>
          <w:spacing w:val="20"/>
          <w:sz w:val="24"/>
          <w:szCs w:val="24"/>
          <w:lang w:val="es-DO"/>
        </w:rPr>
        <w:t>Memoria I</w:t>
      </w:r>
      <w:r w:rsidR="00566BEC" w:rsidRPr="000E66D4">
        <w:rPr>
          <w:rFonts w:ascii="Times New Roman" w:eastAsia="Calibri" w:hAnsi="Times New Roman" w:cs="Times New Roman"/>
          <w:color w:val="4C4747"/>
          <w:spacing w:val="20"/>
          <w:sz w:val="24"/>
          <w:szCs w:val="24"/>
          <w:lang w:val="es-DO"/>
        </w:rPr>
        <w:t>nstitucional 2022</w:t>
      </w:r>
    </w:p>
    <w:p w14:paraId="7031A8AB" w14:textId="77777777" w:rsidR="001F33D9" w:rsidRDefault="001F33D9" w:rsidP="00FA019C">
      <w:pPr>
        <w:spacing w:line="360" w:lineRule="auto"/>
        <w:jc w:val="both"/>
        <w:rPr>
          <w:rFonts w:ascii="Times New Roman" w:eastAsia="Calibri" w:hAnsi="Times New Roman" w:cs="Times New Roman"/>
          <w:color w:val="767171"/>
          <w:spacing w:val="20"/>
          <w:sz w:val="24"/>
          <w:szCs w:val="24"/>
          <w:lang w:val="es-DO"/>
        </w:rPr>
      </w:pPr>
    </w:p>
    <w:p w14:paraId="74CA3E3D" w14:textId="336C6130" w:rsidR="001C151B" w:rsidRPr="000E66D4" w:rsidRDefault="00907DDB" w:rsidP="00BD79E2">
      <w:pPr>
        <w:spacing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3.1 Información Cuantitativa, Cualitativa e Indicad</w:t>
      </w:r>
      <w:r w:rsidR="00BD79E2" w:rsidRPr="000E66D4">
        <w:rPr>
          <w:rFonts w:ascii="Times New Roman" w:eastAsia="Calibri" w:hAnsi="Times New Roman" w:cs="Times New Roman"/>
          <w:b/>
          <w:color w:val="4C4747"/>
          <w:spacing w:val="20"/>
          <w:sz w:val="24"/>
          <w:szCs w:val="24"/>
          <w:lang w:val="es-DO"/>
        </w:rPr>
        <w:t>ores de los Procesos Misionales</w:t>
      </w:r>
    </w:p>
    <w:p w14:paraId="393B2123" w14:textId="10E3C438" w:rsidR="00650DCD" w:rsidRPr="000E66D4" w:rsidRDefault="006D62FE" w:rsidP="00650DCD">
      <w:pPr>
        <w:keepNext/>
        <w:spacing w:before="240" w:after="60"/>
        <w:jc w:val="both"/>
        <w:outlineLvl w:val="2"/>
        <w:rPr>
          <w:rFonts w:ascii="Times New Roman" w:eastAsia="Calibri" w:hAnsi="Times New Roman" w:cs="Times New Roman"/>
          <w:b/>
          <w:noProof/>
          <w:color w:val="4C4747"/>
          <w:spacing w:val="20"/>
          <w:sz w:val="24"/>
          <w:szCs w:val="24"/>
          <w:lang w:val="es-DO"/>
        </w:rPr>
      </w:pPr>
      <w:bookmarkStart w:id="11" w:name="_Toc79678412"/>
      <w:bookmarkStart w:id="12" w:name="_Toc122425234"/>
      <w:r w:rsidRPr="000E66D4">
        <w:rPr>
          <w:rFonts w:ascii="Times New Roman" w:eastAsia="Calibri" w:hAnsi="Times New Roman" w:cs="Times New Roman"/>
          <w:b/>
          <w:noProof/>
          <w:color w:val="4C4747"/>
          <w:spacing w:val="20"/>
          <w:sz w:val="24"/>
          <w:szCs w:val="24"/>
          <w:lang w:val="es-DO"/>
        </w:rPr>
        <w:t xml:space="preserve">3.1 </w:t>
      </w:r>
      <w:r w:rsidR="00650DCD" w:rsidRPr="000E66D4">
        <w:rPr>
          <w:rFonts w:ascii="Times New Roman" w:eastAsia="Calibri" w:hAnsi="Times New Roman" w:cs="Times New Roman"/>
          <w:b/>
          <w:noProof/>
          <w:color w:val="4C4747"/>
          <w:spacing w:val="20"/>
          <w:sz w:val="24"/>
          <w:szCs w:val="24"/>
          <w:lang w:val="es-DO"/>
        </w:rPr>
        <w:t>Regulación y Defensa de la Competencia</w:t>
      </w:r>
      <w:bookmarkEnd w:id="11"/>
      <w:r w:rsidR="00936D8F" w:rsidRPr="000E66D4">
        <w:rPr>
          <w:rFonts w:ascii="Times New Roman" w:eastAsia="Calibri" w:hAnsi="Times New Roman" w:cs="Times New Roman"/>
          <w:b/>
          <w:noProof/>
          <w:color w:val="4C4747"/>
          <w:spacing w:val="20"/>
          <w:sz w:val="24"/>
          <w:szCs w:val="24"/>
          <w:lang w:val="es-DO"/>
        </w:rPr>
        <w:t xml:space="preserve"> del Sector de las Telecomunicaciones</w:t>
      </w:r>
      <w:bookmarkEnd w:id="12"/>
      <w:r w:rsidR="00936D8F" w:rsidRPr="000E66D4">
        <w:rPr>
          <w:rFonts w:ascii="Times New Roman" w:eastAsia="Calibri" w:hAnsi="Times New Roman" w:cs="Times New Roman"/>
          <w:b/>
          <w:noProof/>
          <w:color w:val="4C4747"/>
          <w:spacing w:val="20"/>
          <w:sz w:val="24"/>
          <w:szCs w:val="24"/>
          <w:lang w:val="es-DO"/>
        </w:rPr>
        <w:t xml:space="preserve">  </w:t>
      </w:r>
    </w:p>
    <w:p w14:paraId="24CAD96B" w14:textId="77777777" w:rsidR="00650DCD" w:rsidRPr="000E66D4" w:rsidRDefault="00650DCD" w:rsidP="00A71A82">
      <w:pPr>
        <w:pStyle w:val="Sinespaciado"/>
        <w:rPr>
          <w:color w:val="4C4747"/>
          <w:lang w:val="es-DO" w:eastAsia="es-DO"/>
        </w:rPr>
      </w:pPr>
    </w:p>
    <w:p w14:paraId="062F8429" w14:textId="77777777" w:rsidR="00611381" w:rsidRPr="000E66D4" w:rsidRDefault="00611381" w:rsidP="00611381">
      <w:pPr>
        <w:spacing w:after="0" w:line="360" w:lineRule="auto"/>
        <w:jc w:val="both"/>
        <w:rPr>
          <w:color w:val="4C4747"/>
          <w:spacing w:val="20"/>
          <w:szCs w:val="24"/>
          <w:lang w:val="es-DO"/>
        </w:rPr>
      </w:pPr>
      <w:r w:rsidRPr="000E66D4">
        <w:rPr>
          <w:rFonts w:ascii="Times New Roman" w:eastAsia="Calibri" w:hAnsi="Times New Roman" w:cs="Times New Roman"/>
          <w:color w:val="4C4747"/>
          <w:spacing w:val="20"/>
          <w:sz w:val="24"/>
          <w:szCs w:val="24"/>
          <w:lang w:val="es-DO"/>
        </w:rPr>
        <w:t>A fin de garantizar el funcionamiento competitivo del mercado de servicios de telecomunicaciones, que se traduzcan en mejoras en términos de calidad, precio e innovación que contribuyan con el desarrollo productivo del país; así como para proteger los derechos de los usuarios y los sujetos regulados; y dar seguimiento a las tendencias regulatorias internacionales y realidades nacionales, el Consejo Directivo del INDOTEL ha emitido las siguientes actuaciones:</w:t>
      </w:r>
    </w:p>
    <w:p w14:paraId="506B65CF" w14:textId="77777777" w:rsidR="002F4988" w:rsidRPr="000E66D4" w:rsidRDefault="002F4988" w:rsidP="00943FA5">
      <w:pPr>
        <w:spacing w:after="0" w:line="360" w:lineRule="auto"/>
        <w:jc w:val="both"/>
        <w:rPr>
          <w:rFonts w:eastAsia="Calibri"/>
          <w:color w:val="4C4747"/>
          <w:spacing w:val="20"/>
          <w:szCs w:val="24"/>
          <w:lang w:val="es-DO"/>
        </w:rPr>
      </w:pPr>
    </w:p>
    <w:p w14:paraId="7B589B81" w14:textId="77777777" w:rsidR="002F4988" w:rsidRPr="000E66D4" w:rsidRDefault="002F4988" w:rsidP="00943FA5">
      <w:pPr>
        <w:spacing w:after="0" w:line="360" w:lineRule="auto"/>
        <w:jc w:val="both"/>
        <w:rPr>
          <w:rFonts w:eastAsia="Calibri"/>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Asignación de frecuencias y canal digital para prestación del servicio de Televisión Terrestre Digital (TTD)</w:t>
      </w:r>
    </w:p>
    <w:p w14:paraId="11529DDA" w14:textId="083BF50E" w:rsidR="002F4988" w:rsidRPr="000E66D4" w:rsidRDefault="002F4988" w:rsidP="00943FA5">
      <w:pPr>
        <w:spacing w:before="240"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Consejo Directivo del INDOTE</w:t>
      </w:r>
      <w:r w:rsidR="000B498D" w:rsidRPr="000E66D4">
        <w:rPr>
          <w:rFonts w:ascii="Times New Roman" w:eastAsia="Calibri" w:hAnsi="Times New Roman" w:cs="Times New Roman"/>
          <w:color w:val="4C4747"/>
          <w:spacing w:val="20"/>
          <w:sz w:val="24"/>
          <w:szCs w:val="24"/>
          <w:lang w:val="es-DO"/>
        </w:rPr>
        <w:t>L mediante resoluciones números</w:t>
      </w:r>
      <w:r w:rsidRPr="000E66D4">
        <w:rPr>
          <w:rFonts w:ascii="Times New Roman" w:eastAsia="Calibri" w:hAnsi="Times New Roman" w:cs="Times New Roman"/>
          <w:color w:val="4C4747"/>
          <w:spacing w:val="20"/>
          <w:sz w:val="24"/>
          <w:szCs w:val="24"/>
          <w:lang w:val="es-DO"/>
        </w:rPr>
        <w:t xml:space="preserve"> 001-2022, 002-2022, 003-2022, 004-2022, 005-2022, 006-2022, 007-2022, 017-2022, 018-2022, 019-2022, 020-2022, 043-2022</w:t>
      </w:r>
      <w:r w:rsidR="00F148FB" w:rsidRPr="000E66D4">
        <w:rPr>
          <w:rFonts w:ascii="Times New Roman" w:eastAsia="Calibri" w:hAnsi="Times New Roman" w:cs="Times New Roman"/>
          <w:color w:val="4C4747"/>
          <w:spacing w:val="20"/>
          <w:sz w:val="24"/>
          <w:szCs w:val="24"/>
          <w:lang w:val="es-DO"/>
        </w:rPr>
        <w:t>,</w:t>
      </w:r>
      <w:r w:rsidRPr="000E66D4">
        <w:rPr>
          <w:rFonts w:ascii="Times New Roman" w:eastAsia="Calibri" w:hAnsi="Times New Roman" w:cs="Times New Roman"/>
          <w:color w:val="4C4747"/>
          <w:spacing w:val="20"/>
          <w:sz w:val="24"/>
          <w:szCs w:val="24"/>
          <w:lang w:val="es-DO"/>
        </w:rPr>
        <w:t xml:space="preserve"> y 049-2022, 054-2022, 055-2022, 056-2022 y 087-2022 continúa con el proceso de asignación de frecuencias definitivas y número de canal virtual a favor de diecisiete (17) concesionarias de radiodifusión televisiva para el encendido y prestación del servicio de Televisión Terrestre Digital de conformidad con lo establecido en el Plan de Transición a la Televisión Digital. </w:t>
      </w:r>
    </w:p>
    <w:p w14:paraId="49D2B513" w14:textId="77777777" w:rsidR="002F4988" w:rsidRPr="000E66D4" w:rsidRDefault="002F4988" w:rsidP="00943FA5">
      <w:pPr>
        <w:spacing w:after="0" w:line="360" w:lineRule="auto"/>
        <w:jc w:val="both"/>
        <w:rPr>
          <w:rFonts w:eastAsia="Calibri"/>
          <w:color w:val="4C4747"/>
          <w:spacing w:val="20"/>
          <w:szCs w:val="24"/>
          <w:lang w:val="es-DO"/>
        </w:rPr>
      </w:pPr>
    </w:p>
    <w:p w14:paraId="6FB2964B" w14:textId="77777777" w:rsidR="002F4988" w:rsidRPr="000E66D4" w:rsidRDefault="002F4988" w:rsidP="00943FA5">
      <w:pPr>
        <w:spacing w:after="0" w:line="360" w:lineRule="auto"/>
        <w:jc w:val="both"/>
        <w:rPr>
          <w:rFonts w:eastAsia="Calibri"/>
          <w:b/>
          <w:color w:val="4C4747"/>
          <w:spacing w:val="20"/>
          <w:szCs w:val="24"/>
          <w:lang w:val="es-DO"/>
        </w:rPr>
      </w:pPr>
      <w:r w:rsidRPr="000E66D4">
        <w:rPr>
          <w:rFonts w:ascii="Times New Roman" w:eastAsia="Calibri" w:hAnsi="Times New Roman" w:cs="Times New Roman"/>
          <w:b/>
          <w:color w:val="4C4747"/>
          <w:spacing w:val="20"/>
          <w:sz w:val="24"/>
          <w:szCs w:val="24"/>
          <w:lang w:val="es-DO"/>
        </w:rPr>
        <w:lastRenderedPageBreak/>
        <w:t xml:space="preserve">Plan de Transición a la Televisión Terrestre Digital en la República Dominicana </w:t>
      </w:r>
    </w:p>
    <w:p w14:paraId="3AD69F84" w14:textId="66477209" w:rsidR="00611381" w:rsidRPr="000E66D4" w:rsidRDefault="00611381" w:rsidP="00943FA5">
      <w:pPr>
        <w:spacing w:before="240" w:after="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Igualmente, el 1° de septiembre de 2022, el Consejo Directivo mediante la Resolución número 083-2022 dictó </w:t>
      </w:r>
      <w:r w:rsidR="00DD1D67" w:rsidRPr="000E66D4">
        <w:rPr>
          <w:rFonts w:ascii="Times New Roman" w:eastAsia="Calibri" w:hAnsi="Times New Roman" w:cs="Times New Roman"/>
          <w:color w:val="4C4747"/>
          <w:spacing w:val="20"/>
          <w:sz w:val="24"/>
          <w:szCs w:val="24"/>
          <w:lang w:val="es-DO"/>
        </w:rPr>
        <w:t xml:space="preserve">la </w:t>
      </w:r>
      <w:r w:rsidRPr="000E66D4">
        <w:rPr>
          <w:rFonts w:ascii="Times New Roman" w:eastAsia="Calibri" w:hAnsi="Times New Roman" w:cs="Times New Roman"/>
          <w:color w:val="4C4747"/>
          <w:spacing w:val="20"/>
          <w:sz w:val="24"/>
          <w:szCs w:val="24"/>
          <w:lang w:val="es-DO"/>
        </w:rPr>
        <w:t xml:space="preserve">actualización del Plan de Transición a la Televisión Terrestre Digital y las resoluciones de asignación de frecuencia definitiva que se derivan de este, conforme al Decreto Presidencial número 437-22 que modificó las fechas para el encendido digital y del apagón de la </w:t>
      </w:r>
      <w:r w:rsidR="00FC249B" w:rsidRPr="000E66D4">
        <w:rPr>
          <w:rFonts w:ascii="Times New Roman" w:eastAsia="Calibri" w:hAnsi="Times New Roman" w:cs="Times New Roman"/>
          <w:color w:val="4C4747"/>
          <w:spacing w:val="20"/>
          <w:sz w:val="24"/>
          <w:szCs w:val="24"/>
          <w:lang w:val="es-DO"/>
        </w:rPr>
        <w:t>t</w:t>
      </w:r>
      <w:r w:rsidRPr="000E66D4">
        <w:rPr>
          <w:rFonts w:ascii="Times New Roman" w:eastAsia="Calibri" w:hAnsi="Times New Roman" w:cs="Times New Roman"/>
          <w:color w:val="4C4747"/>
          <w:spacing w:val="20"/>
          <w:sz w:val="24"/>
          <w:szCs w:val="24"/>
          <w:lang w:val="es-DO"/>
        </w:rPr>
        <w:t xml:space="preserve">elevisión analógica. </w:t>
      </w:r>
    </w:p>
    <w:p w14:paraId="72C38360" w14:textId="77777777" w:rsidR="002F4988" w:rsidRPr="000E66D4" w:rsidRDefault="002F4988" w:rsidP="002F4988">
      <w:pPr>
        <w:spacing w:after="0" w:line="360" w:lineRule="auto"/>
        <w:jc w:val="both"/>
        <w:rPr>
          <w:rFonts w:ascii="Times New Roman" w:eastAsia="Calibri" w:hAnsi="Times New Roman" w:cs="Times New Roman"/>
          <w:color w:val="4C4747"/>
          <w:spacing w:val="20"/>
          <w:sz w:val="24"/>
          <w:szCs w:val="24"/>
          <w:lang w:val="es-DO"/>
        </w:rPr>
      </w:pPr>
    </w:p>
    <w:p w14:paraId="5193FAFA" w14:textId="77777777" w:rsidR="002F4988" w:rsidRPr="000E66D4" w:rsidRDefault="002F4988" w:rsidP="002F4988">
      <w:pPr>
        <w:spacing w:after="0"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Reglamento para la Celebración de Consultas y Audiencias Públicas para la elaboración de Normas y Reglamentos del Instituto Dominicano de las Telecomunicaciones (INDOTEL)</w:t>
      </w:r>
    </w:p>
    <w:p w14:paraId="0BBC6B1A" w14:textId="77777777" w:rsidR="00611381" w:rsidRPr="000E66D4" w:rsidRDefault="00611381" w:rsidP="00943FA5">
      <w:pPr>
        <w:spacing w:before="240"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14 de febrero de 2022, el Consejo Directivo del INDOTEL emitió la Resolución número 022-2022, que dictó el nuevo Reglamento para la Celebración de Consultas y Audiencias Públicas para la elaboración de Normas y Reglamentos del Instituto Dominicano de las Telecomunicaciones (INDOTEL).</w:t>
      </w:r>
    </w:p>
    <w:p w14:paraId="56657D9D" w14:textId="77777777" w:rsidR="00611381" w:rsidRPr="000E66D4" w:rsidRDefault="00611381" w:rsidP="00611381">
      <w:pPr>
        <w:spacing w:after="0" w:line="360" w:lineRule="auto"/>
        <w:jc w:val="both"/>
        <w:rPr>
          <w:rFonts w:eastAsia="Calibri"/>
          <w:color w:val="4C4747"/>
          <w:spacing w:val="20"/>
          <w:szCs w:val="24"/>
          <w:lang w:val="es-DO"/>
        </w:rPr>
      </w:pPr>
    </w:p>
    <w:p w14:paraId="0E90E095" w14:textId="294BA422" w:rsidR="00611381" w:rsidRPr="000E66D4" w:rsidRDefault="00611381" w:rsidP="00611381">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objeto de este reglamento es crear un mecanismo justo, transparente, eficaz, eficiente, no discriminatorio y abierto a la participación de las partes en el proceso de consulta y audiencia pública para la elaboración de normas de alcance general que emita el INDOTEL, a través de</w:t>
      </w:r>
      <w:r w:rsidR="00C02FE4" w:rsidRPr="000E66D4">
        <w:rPr>
          <w:rFonts w:ascii="Times New Roman" w:eastAsia="Calibri" w:hAnsi="Times New Roman" w:cs="Times New Roman"/>
          <w:color w:val="4C4747"/>
          <w:spacing w:val="20"/>
          <w:sz w:val="24"/>
          <w:szCs w:val="24"/>
          <w:lang w:val="es-DO"/>
        </w:rPr>
        <w:t>l</w:t>
      </w:r>
      <w:r w:rsidRPr="000E66D4">
        <w:rPr>
          <w:rFonts w:ascii="Times New Roman" w:eastAsia="Calibri" w:hAnsi="Times New Roman" w:cs="Times New Roman"/>
          <w:color w:val="4C4747"/>
          <w:spacing w:val="20"/>
          <w:sz w:val="24"/>
          <w:szCs w:val="24"/>
          <w:lang w:val="es-DO"/>
        </w:rPr>
        <w:t xml:space="preserve"> cual se </w:t>
      </w:r>
      <w:r w:rsidR="00C02FE4" w:rsidRPr="000E66D4">
        <w:rPr>
          <w:rFonts w:ascii="Times New Roman" w:eastAsia="Calibri" w:hAnsi="Times New Roman" w:cs="Times New Roman"/>
          <w:color w:val="4C4747"/>
          <w:spacing w:val="20"/>
          <w:sz w:val="24"/>
          <w:szCs w:val="24"/>
          <w:lang w:val="es-DO"/>
        </w:rPr>
        <w:t xml:space="preserve">les </w:t>
      </w:r>
      <w:r w:rsidRPr="000E66D4">
        <w:rPr>
          <w:rFonts w:ascii="Times New Roman" w:eastAsia="Calibri" w:hAnsi="Times New Roman" w:cs="Times New Roman"/>
          <w:color w:val="4C4747"/>
          <w:spacing w:val="20"/>
          <w:sz w:val="24"/>
          <w:szCs w:val="24"/>
          <w:lang w:val="es-DO"/>
        </w:rPr>
        <w:t>da oportunidad a tod</w:t>
      </w:r>
      <w:r w:rsidR="000B498D" w:rsidRPr="000E66D4">
        <w:rPr>
          <w:rFonts w:ascii="Times New Roman" w:eastAsia="Calibri" w:hAnsi="Times New Roman" w:cs="Times New Roman"/>
          <w:color w:val="4C4747"/>
          <w:spacing w:val="20"/>
          <w:sz w:val="24"/>
          <w:szCs w:val="24"/>
          <w:lang w:val="es-DO"/>
        </w:rPr>
        <w:t>os los interesados a participar</w:t>
      </w:r>
      <w:r w:rsidRPr="000E66D4">
        <w:rPr>
          <w:rFonts w:ascii="Times New Roman" w:eastAsia="Calibri" w:hAnsi="Times New Roman" w:cs="Times New Roman"/>
          <w:color w:val="4C4747"/>
          <w:spacing w:val="20"/>
          <w:sz w:val="24"/>
          <w:szCs w:val="24"/>
          <w:lang w:val="es-DO"/>
        </w:rPr>
        <w:t xml:space="preserve"> </w:t>
      </w:r>
      <w:r w:rsidR="00C02FE4" w:rsidRPr="000E66D4">
        <w:rPr>
          <w:rFonts w:ascii="Times New Roman" w:eastAsia="Calibri" w:hAnsi="Times New Roman" w:cs="Times New Roman"/>
          <w:color w:val="4C4747"/>
          <w:spacing w:val="20"/>
          <w:sz w:val="24"/>
          <w:szCs w:val="24"/>
          <w:lang w:val="es-DO"/>
        </w:rPr>
        <w:t xml:space="preserve">y poder expresar </w:t>
      </w:r>
      <w:r w:rsidRPr="000E66D4">
        <w:rPr>
          <w:rFonts w:ascii="Times New Roman" w:eastAsia="Calibri" w:hAnsi="Times New Roman" w:cs="Times New Roman"/>
          <w:color w:val="4C4747"/>
          <w:spacing w:val="20"/>
          <w:sz w:val="24"/>
          <w:szCs w:val="24"/>
          <w:lang w:val="es-DO"/>
        </w:rPr>
        <w:t>sus comentarios sobre la norma o reglamentación consultada, los cuales no serán vinculantes para el órgano regulador.</w:t>
      </w:r>
      <w:r w:rsidRPr="000E66D4">
        <w:rPr>
          <w:rFonts w:ascii="Times New Roman" w:eastAsia="Calibri" w:hAnsi="Times New Roman" w:cs="Times New Roman"/>
          <w:color w:val="4C4747"/>
          <w:spacing w:val="20"/>
          <w:sz w:val="24"/>
          <w:szCs w:val="24"/>
          <w:lang w:val="es-DO"/>
        </w:rPr>
        <w:tab/>
      </w:r>
    </w:p>
    <w:p w14:paraId="3F002CE2" w14:textId="77777777" w:rsidR="002F4988" w:rsidRPr="000E66D4" w:rsidRDefault="002F4988" w:rsidP="002F4988">
      <w:pPr>
        <w:pStyle w:val="Sinespaciado"/>
        <w:spacing w:line="360" w:lineRule="auto"/>
        <w:jc w:val="both"/>
        <w:rPr>
          <w:rFonts w:eastAsia="Times New Roman"/>
          <w:b/>
          <w:bCs/>
          <w:color w:val="4C4747"/>
          <w:sz w:val="28"/>
          <w:szCs w:val="28"/>
          <w:lang w:val="es-DO"/>
        </w:rPr>
      </w:pPr>
    </w:p>
    <w:p w14:paraId="2874EB1A" w14:textId="77777777" w:rsidR="00611381" w:rsidRPr="000E66D4" w:rsidRDefault="00611381" w:rsidP="002F4988">
      <w:pPr>
        <w:pStyle w:val="Sinespaciado"/>
        <w:spacing w:line="360" w:lineRule="auto"/>
        <w:jc w:val="both"/>
        <w:rPr>
          <w:rFonts w:eastAsia="Times New Roman"/>
          <w:b/>
          <w:bCs/>
          <w:color w:val="4C4747"/>
          <w:sz w:val="28"/>
          <w:szCs w:val="28"/>
          <w:lang w:val="es-DO"/>
        </w:rPr>
      </w:pPr>
    </w:p>
    <w:p w14:paraId="04C6B299" w14:textId="77777777" w:rsidR="002F4988" w:rsidRPr="000E66D4" w:rsidRDefault="002F4988" w:rsidP="00943FA5">
      <w:pPr>
        <w:spacing w:after="0" w:line="360" w:lineRule="auto"/>
        <w:jc w:val="both"/>
        <w:rPr>
          <w:rFonts w:eastAsia="Calibri"/>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lastRenderedPageBreak/>
        <w:t>Reglamento para la Prestación del Servicio de Difusión Televisiva por Suscripción</w:t>
      </w:r>
    </w:p>
    <w:p w14:paraId="014892FC" w14:textId="77777777" w:rsidR="00611381" w:rsidRPr="000E66D4" w:rsidRDefault="00611381" w:rsidP="00943FA5">
      <w:pPr>
        <w:spacing w:before="240"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17 de noviembre de 2022, el Consejo Directivo del INDOTEL emitió la Resolución número 101-2022, que aprueba el Reglamento para la Prestación de Servicio de Difusión Televisiva por Suscripción.</w:t>
      </w:r>
    </w:p>
    <w:p w14:paraId="583B76AE" w14:textId="77777777" w:rsidR="00611381" w:rsidRPr="000E66D4" w:rsidRDefault="00611381" w:rsidP="00611381">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 </w:t>
      </w:r>
    </w:p>
    <w:p w14:paraId="7C44E6B2" w14:textId="5B51F1E4" w:rsidR="00611381" w:rsidRPr="000E66D4" w:rsidRDefault="00611381" w:rsidP="00611381">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presente reglamento constituye el marco regulatorio, que desarrolla las previsiones de la Ley  General de Telecomunicaciones número 153-98, para todo lo relacionado con la instalación, funcionamiento y prestación del Servicio de Difu</w:t>
      </w:r>
      <w:r w:rsidR="000B498D" w:rsidRPr="000E66D4">
        <w:rPr>
          <w:rFonts w:ascii="Times New Roman" w:eastAsia="Calibri" w:hAnsi="Times New Roman" w:cs="Times New Roman"/>
          <w:color w:val="4C4747"/>
          <w:spacing w:val="20"/>
          <w:sz w:val="24"/>
          <w:szCs w:val="24"/>
          <w:lang w:val="es-DO"/>
        </w:rPr>
        <w:t>sión Televisiva por Suscripción</w:t>
      </w:r>
      <w:r w:rsidRPr="000E66D4">
        <w:rPr>
          <w:rFonts w:ascii="Times New Roman" w:eastAsia="Calibri" w:hAnsi="Times New Roman" w:cs="Times New Roman"/>
          <w:color w:val="4C4747"/>
          <w:spacing w:val="20"/>
          <w:sz w:val="24"/>
          <w:szCs w:val="24"/>
          <w:lang w:val="es-DO"/>
        </w:rPr>
        <w:t xml:space="preserve"> en todo el territorio de la República Dominicana, con el fin de proteger los derechos de los usuarios titulares; y optimizar las condiciones de prestación del servicio en</w:t>
      </w:r>
      <w:r w:rsidR="000B498D" w:rsidRPr="000E66D4">
        <w:rPr>
          <w:rFonts w:ascii="Times New Roman" w:eastAsia="Calibri" w:hAnsi="Times New Roman" w:cs="Times New Roman"/>
          <w:color w:val="4C4747"/>
          <w:spacing w:val="20"/>
          <w:sz w:val="24"/>
          <w:szCs w:val="24"/>
          <w:lang w:val="es-DO"/>
        </w:rPr>
        <w:t xml:space="preserve"> cualquiera de sus modalidades,</w:t>
      </w:r>
      <w:r w:rsidRPr="000E66D4">
        <w:rPr>
          <w:rFonts w:ascii="Times New Roman" w:eastAsia="Calibri" w:hAnsi="Times New Roman" w:cs="Times New Roman"/>
          <w:color w:val="4C4747"/>
          <w:spacing w:val="20"/>
          <w:sz w:val="24"/>
          <w:szCs w:val="24"/>
          <w:lang w:val="es-DO"/>
        </w:rPr>
        <w:t xml:space="preserve"> independientemente de la tecnología que se utilice; y garantizar la transparencia y seguridad jurídica de la relación contractual entre las prestadoras de los servicios de difusión televisiva por suscripción y las concesionarias del servicio público de radiodifusión televisiva. </w:t>
      </w:r>
    </w:p>
    <w:p w14:paraId="104408F7" w14:textId="77777777" w:rsidR="002F4988" w:rsidRPr="000E66D4" w:rsidRDefault="002F4988" w:rsidP="00943FA5">
      <w:pPr>
        <w:spacing w:after="0" w:line="360" w:lineRule="auto"/>
        <w:jc w:val="both"/>
        <w:rPr>
          <w:rFonts w:eastAsia="Calibri"/>
          <w:color w:val="4C4747"/>
          <w:spacing w:val="20"/>
          <w:sz w:val="24"/>
          <w:szCs w:val="24"/>
          <w:lang w:val="es-DO"/>
        </w:rPr>
      </w:pPr>
    </w:p>
    <w:p w14:paraId="52BABBC8" w14:textId="7DEBF0B2" w:rsidR="002F4988" w:rsidRPr="000E66D4" w:rsidRDefault="002F4988" w:rsidP="00943FA5">
      <w:pPr>
        <w:spacing w:after="0" w:line="360" w:lineRule="auto"/>
        <w:jc w:val="both"/>
        <w:rPr>
          <w:rFonts w:eastAsia="Calibri"/>
          <w:b/>
          <w:color w:val="4C4747"/>
          <w:spacing w:val="20"/>
          <w:szCs w:val="24"/>
          <w:lang w:val="es-DO"/>
        </w:rPr>
      </w:pPr>
      <w:r w:rsidRPr="000E66D4">
        <w:rPr>
          <w:rFonts w:ascii="Times New Roman" w:eastAsia="Calibri" w:hAnsi="Times New Roman" w:cs="Times New Roman"/>
          <w:b/>
          <w:color w:val="4C4747"/>
          <w:spacing w:val="20"/>
          <w:sz w:val="24"/>
          <w:szCs w:val="24"/>
          <w:lang w:val="es-DO"/>
        </w:rPr>
        <w:t xml:space="preserve">Condiciones de operación en la Banda 5925-7125 MHz, de equipos de baja potencia para uso exclusivamente en espacios interiores, que quedan </w:t>
      </w:r>
      <w:r w:rsidR="000B498D" w:rsidRPr="000E66D4">
        <w:rPr>
          <w:rFonts w:ascii="Times New Roman" w:eastAsia="Calibri" w:hAnsi="Times New Roman" w:cs="Times New Roman"/>
          <w:b/>
          <w:color w:val="4C4747"/>
          <w:spacing w:val="20"/>
          <w:sz w:val="24"/>
          <w:szCs w:val="24"/>
          <w:lang w:val="es-DO"/>
        </w:rPr>
        <w:t>autorizados bajo el esquema de licencias g</w:t>
      </w:r>
      <w:r w:rsidRPr="000E66D4">
        <w:rPr>
          <w:rFonts w:ascii="Times New Roman" w:eastAsia="Calibri" w:hAnsi="Times New Roman" w:cs="Times New Roman"/>
          <w:b/>
          <w:color w:val="4C4747"/>
          <w:spacing w:val="20"/>
          <w:sz w:val="24"/>
          <w:szCs w:val="24"/>
          <w:lang w:val="es-DO"/>
        </w:rPr>
        <w:t xml:space="preserve">enéricas </w:t>
      </w:r>
    </w:p>
    <w:p w14:paraId="36C01719" w14:textId="1CF229C0" w:rsidR="00611381" w:rsidRPr="000E66D4" w:rsidRDefault="00611381" w:rsidP="00943FA5">
      <w:pPr>
        <w:spacing w:before="240" w:after="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El 1° septiembre de 2022, el Consejo Directivo del INDOTEL emitió la Resolución número 082-2022, que establece las condiciones para </w:t>
      </w:r>
      <w:r w:rsidR="00071039" w:rsidRPr="000E66D4">
        <w:rPr>
          <w:rFonts w:ascii="Times New Roman" w:eastAsia="Calibri" w:hAnsi="Times New Roman" w:cs="Times New Roman"/>
          <w:color w:val="4C4747"/>
          <w:spacing w:val="20"/>
          <w:sz w:val="24"/>
          <w:szCs w:val="24"/>
          <w:lang w:val="es-DO"/>
        </w:rPr>
        <w:t>operar en la banda 5925-7125 MHz</w:t>
      </w:r>
      <w:r w:rsidRPr="000E66D4">
        <w:rPr>
          <w:rFonts w:ascii="Times New Roman" w:eastAsia="Calibri" w:hAnsi="Times New Roman" w:cs="Times New Roman"/>
          <w:color w:val="4C4747"/>
          <w:spacing w:val="20"/>
          <w:sz w:val="24"/>
          <w:szCs w:val="24"/>
          <w:lang w:val="es-DO"/>
        </w:rPr>
        <w:t xml:space="preserve"> de equipos de baja y muy baja potencia mediante el esquema de licencias genéricas. </w:t>
      </w:r>
    </w:p>
    <w:p w14:paraId="11386C9D" w14:textId="77777777" w:rsidR="00071039" w:rsidRPr="000E66D4" w:rsidRDefault="00071039" w:rsidP="00943FA5">
      <w:pPr>
        <w:spacing w:before="240" w:after="0" w:line="360" w:lineRule="auto"/>
        <w:jc w:val="both"/>
        <w:rPr>
          <w:color w:val="4C4747"/>
          <w:spacing w:val="20"/>
          <w:szCs w:val="24"/>
          <w:lang w:val="es-DO"/>
        </w:rPr>
      </w:pPr>
    </w:p>
    <w:p w14:paraId="5409EDED" w14:textId="77777777" w:rsidR="002D2E81" w:rsidRPr="000E66D4" w:rsidRDefault="002D2E81" w:rsidP="00611381">
      <w:pPr>
        <w:spacing w:after="0" w:line="360" w:lineRule="auto"/>
        <w:jc w:val="both"/>
        <w:rPr>
          <w:rFonts w:ascii="Times New Roman" w:eastAsia="Calibri" w:hAnsi="Times New Roman" w:cs="Times New Roman"/>
          <w:color w:val="4C4747"/>
          <w:spacing w:val="20"/>
          <w:sz w:val="24"/>
          <w:szCs w:val="24"/>
          <w:lang w:val="es-DO"/>
        </w:rPr>
      </w:pPr>
    </w:p>
    <w:p w14:paraId="0242E10B" w14:textId="2A2418E6" w:rsidR="00611381" w:rsidRPr="000E66D4" w:rsidRDefault="00611381" w:rsidP="00611381">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lastRenderedPageBreak/>
        <w:t>Con esta decisión, la cual fue ratifi</w:t>
      </w:r>
      <w:r w:rsidR="000B498D" w:rsidRPr="000E66D4">
        <w:rPr>
          <w:rFonts w:ascii="Times New Roman" w:eastAsia="Calibri" w:hAnsi="Times New Roman" w:cs="Times New Roman"/>
          <w:color w:val="4C4747"/>
          <w:spacing w:val="20"/>
          <w:sz w:val="24"/>
          <w:szCs w:val="24"/>
          <w:lang w:val="es-DO"/>
        </w:rPr>
        <w:t>cada mediante la R</w:t>
      </w:r>
      <w:r w:rsidRPr="000E66D4">
        <w:rPr>
          <w:rFonts w:ascii="Times New Roman" w:eastAsia="Calibri" w:hAnsi="Times New Roman" w:cs="Times New Roman"/>
          <w:color w:val="4C4747"/>
          <w:spacing w:val="20"/>
          <w:sz w:val="24"/>
          <w:szCs w:val="24"/>
          <w:lang w:val="es-DO"/>
        </w:rPr>
        <w:t xml:space="preserve">esolución número 102-2022 del 17 de noviembre de 2022, </w:t>
      </w:r>
      <w:r w:rsidRPr="00DE4567">
        <w:rPr>
          <w:rFonts w:ascii="Times New Roman" w:eastAsia="Calibri" w:hAnsi="Times New Roman" w:cs="Times New Roman"/>
          <w:color w:val="4C4747"/>
          <w:spacing w:val="20"/>
          <w:sz w:val="24"/>
          <w:szCs w:val="24"/>
          <w:lang w:val="es-DO"/>
        </w:rPr>
        <w:t>más que se duplica</w:t>
      </w:r>
      <w:r w:rsidRPr="000E66D4">
        <w:rPr>
          <w:rFonts w:ascii="Times New Roman" w:eastAsia="Calibri" w:hAnsi="Times New Roman" w:cs="Times New Roman"/>
          <w:color w:val="4C4747"/>
          <w:spacing w:val="20"/>
          <w:sz w:val="24"/>
          <w:szCs w:val="24"/>
          <w:lang w:val="es-DO"/>
        </w:rPr>
        <w:t xml:space="preserve"> el espectro identificado para uso libre, de prove</w:t>
      </w:r>
      <w:r w:rsidR="00071039" w:rsidRPr="000E66D4">
        <w:rPr>
          <w:rFonts w:ascii="Times New Roman" w:eastAsia="Calibri" w:hAnsi="Times New Roman" w:cs="Times New Roman"/>
          <w:color w:val="4C4747"/>
          <w:spacing w:val="20"/>
          <w:sz w:val="24"/>
          <w:szCs w:val="24"/>
          <w:lang w:val="es-DO"/>
        </w:rPr>
        <w:t>cho para sistemas como los de Wi-Fi</w:t>
      </w:r>
      <w:r w:rsidRPr="000E66D4">
        <w:rPr>
          <w:rFonts w:ascii="Times New Roman" w:eastAsia="Calibri" w:hAnsi="Times New Roman" w:cs="Times New Roman"/>
          <w:color w:val="4C4747"/>
          <w:spacing w:val="20"/>
          <w:sz w:val="24"/>
          <w:szCs w:val="24"/>
          <w:lang w:val="es-DO"/>
        </w:rPr>
        <w:t xml:space="preserve"> que tienen alto impacto en los usuarios y en el ecosistema digital.</w:t>
      </w:r>
    </w:p>
    <w:p w14:paraId="2B57CD5F" w14:textId="77777777" w:rsidR="002F4988" w:rsidRPr="000E66D4" w:rsidRDefault="002F4988" w:rsidP="00943FA5">
      <w:pPr>
        <w:spacing w:after="0" w:line="360" w:lineRule="auto"/>
        <w:jc w:val="both"/>
        <w:rPr>
          <w:rFonts w:eastAsia="Calibri"/>
          <w:color w:val="4C4747"/>
          <w:spacing w:val="20"/>
          <w:sz w:val="24"/>
          <w:szCs w:val="24"/>
          <w:lang w:val="es-DO"/>
        </w:rPr>
      </w:pPr>
    </w:p>
    <w:p w14:paraId="419619E2" w14:textId="1B048296" w:rsidR="002F4988" w:rsidRPr="000E66D4" w:rsidRDefault="002F4988" w:rsidP="00943FA5">
      <w:pPr>
        <w:spacing w:after="0" w:line="360" w:lineRule="auto"/>
        <w:jc w:val="both"/>
        <w:rPr>
          <w:rFonts w:eastAsia="Calibri"/>
          <w:b/>
          <w:color w:val="4C4747"/>
          <w:spacing w:val="20"/>
          <w:szCs w:val="24"/>
          <w:lang w:val="es-DO"/>
        </w:rPr>
      </w:pPr>
      <w:r w:rsidRPr="000E66D4">
        <w:rPr>
          <w:rFonts w:ascii="Times New Roman" w:eastAsia="Calibri" w:hAnsi="Times New Roman" w:cs="Times New Roman"/>
          <w:b/>
          <w:color w:val="4C4747"/>
          <w:spacing w:val="20"/>
          <w:sz w:val="24"/>
          <w:szCs w:val="24"/>
          <w:lang w:val="es-DO"/>
        </w:rPr>
        <w:t xml:space="preserve">Condiciones para autorizar la ampliación de la concesión a las concesionarias del Servicio de Difusión por Cable para ofrecer el Servicio de Acceso a Internet </w:t>
      </w:r>
    </w:p>
    <w:p w14:paraId="7498A220" w14:textId="77777777" w:rsidR="00041294" w:rsidRPr="000E66D4" w:rsidRDefault="00041294" w:rsidP="00943FA5">
      <w:pPr>
        <w:spacing w:before="240"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22 de septiembre de 2022, el Consejo Directivo del INDOTEL emitió la Resolución número 086-2022, que dictó las condiciones para autorizar la ampliación de la concesión a las concesionarias del Servicio de Difusión por Cable para ofrecer el Servicio de Acceso a Internet.</w:t>
      </w:r>
    </w:p>
    <w:p w14:paraId="1E909A11" w14:textId="77777777" w:rsidR="00041294" w:rsidRPr="000E66D4" w:rsidRDefault="00041294" w:rsidP="00041294">
      <w:pPr>
        <w:spacing w:after="0" w:line="360" w:lineRule="auto"/>
        <w:jc w:val="both"/>
        <w:rPr>
          <w:rFonts w:eastAsia="Calibri"/>
          <w:color w:val="4C4747"/>
          <w:spacing w:val="20"/>
          <w:szCs w:val="24"/>
          <w:lang w:val="es-DO"/>
        </w:rPr>
      </w:pPr>
    </w:p>
    <w:p w14:paraId="2C733C25" w14:textId="77777777" w:rsidR="00041294" w:rsidRPr="000E66D4" w:rsidRDefault="00041294" w:rsidP="00041294">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La citada normativa, en comunión con las iniciativas de reducción de burocracia y simplificación de trámites, tiene por objeto establecer el procedimiento simplificado a seguir para autorizar la prestación del servicio de acceso a internet a aquellas concesionarias del servicio público de difusión por cable, lo que deberá impactar positivamente la oferta de servicios de internet de banda ancha en decenas de municipios de la República Dominicana.</w:t>
      </w:r>
    </w:p>
    <w:p w14:paraId="61988D35" w14:textId="77777777" w:rsidR="002F4988" w:rsidRPr="000E66D4" w:rsidRDefault="002F4988" w:rsidP="002F4988">
      <w:pPr>
        <w:pStyle w:val="Sinespaciado"/>
        <w:spacing w:line="360" w:lineRule="auto"/>
        <w:jc w:val="both"/>
        <w:rPr>
          <w:b/>
          <w:color w:val="4C4747"/>
          <w:spacing w:val="20"/>
          <w:szCs w:val="24"/>
          <w:lang w:val="es-DO"/>
        </w:rPr>
      </w:pPr>
    </w:p>
    <w:p w14:paraId="007C8666" w14:textId="5B657F66" w:rsidR="002F4988" w:rsidRPr="000E66D4" w:rsidRDefault="002F4988" w:rsidP="00943FA5">
      <w:pPr>
        <w:pStyle w:val="Sinespaciado"/>
        <w:spacing w:line="360" w:lineRule="auto"/>
        <w:jc w:val="both"/>
        <w:rPr>
          <w:b/>
          <w:color w:val="4C4747"/>
          <w:spacing w:val="20"/>
          <w:szCs w:val="24"/>
          <w:lang w:val="es-DO"/>
        </w:rPr>
      </w:pPr>
      <w:r w:rsidRPr="000E66D4">
        <w:rPr>
          <w:b/>
          <w:color w:val="4C4747"/>
          <w:spacing w:val="20"/>
          <w:szCs w:val="24"/>
          <w:lang w:val="es-DO"/>
        </w:rPr>
        <w:t>Plan Nacion</w:t>
      </w:r>
      <w:r w:rsidR="00071039" w:rsidRPr="000E66D4">
        <w:rPr>
          <w:b/>
          <w:color w:val="4C4747"/>
          <w:spacing w:val="20"/>
          <w:szCs w:val="24"/>
          <w:lang w:val="es-DO"/>
        </w:rPr>
        <w:t>al de Atribución de Frecuencias (PNAF)</w:t>
      </w:r>
    </w:p>
    <w:p w14:paraId="01311E58" w14:textId="77777777" w:rsidR="007C16C5" w:rsidRDefault="00041294" w:rsidP="00943FA5">
      <w:pPr>
        <w:spacing w:before="240" w:after="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Luego de agotado el proceso de consulta pública que inició el 4 de julio de 2022 con la Resolución número </w:t>
      </w:r>
      <w:r w:rsidR="005D4E4B" w:rsidRPr="000E66D4">
        <w:rPr>
          <w:rFonts w:ascii="Times New Roman" w:eastAsia="Calibri" w:hAnsi="Times New Roman" w:cs="Times New Roman"/>
          <w:color w:val="4C4747"/>
          <w:spacing w:val="20"/>
          <w:sz w:val="24"/>
          <w:szCs w:val="24"/>
          <w:lang w:val="es-DO"/>
        </w:rPr>
        <w:t>0</w:t>
      </w:r>
      <w:r w:rsidR="005A2962" w:rsidRPr="000E66D4">
        <w:rPr>
          <w:rFonts w:ascii="Times New Roman" w:eastAsia="Calibri" w:hAnsi="Times New Roman" w:cs="Times New Roman"/>
          <w:color w:val="4C4747"/>
          <w:spacing w:val="20"/>
          <w:sz w:val="24"/>
          <w:szCs w:val="24"/>
          <w:lang w:val="es-DO"/>
        </w:rPr>
        <w:t xml:space="preserve">69-2022 para modificar </w:t>
      </w:r>
      <w:r w:rsidRPr="000E66D4">
        <w:rPr>
          <w:rFonts w:ascii="Times New Roman" w:eastAsia="Calibri" w:hAnsi="Times New Roman" w:cs="Times New Roman"/>
          <w:color w:val="4C4747"/>
          <w:spacing w:val="20"/>
          <w:sz w:val="24"/>
          <w:szCs w:val="24"/>
          <w:lang w:val="es-DO"/>
        </w:rPr>
        <w:t xml:space="preserve">el Plan Nacional de Atribución de Frecuencias (PNAF);  el día 10 de noviembre de 2022, el Consejo Directivo del INDOTEL emitió su Resolución número 097-2022 que aprobó el proyecto del Plan </w:t>
      </w:r>
    </w:p>
    <w:p w14:paraId="7765D8D8" w14:textId="5465C59F" w:rsidR="00041294" w:rsidRPr="000E66D4" w:rsidRDefault="00041294" w:rsidP="00943FA5">
      <w:pPr>
        <w:spacing w:before="240" w:after="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lastRenderedPageBreak/>
        <w:t>Nacional de Atribución d</w:t>
      </w:r>
      <w:r w:rsidR="005A2962" w:rsidRPr="000E66D4">
        <w:rPr>
          <w:rFonts w:ascii="Times New Roman" w:eastAsia="Calibri" w:hAnsi="Times New Roman" w:cs="Times New Roman"/>
          <w:color w:val="4C4747"/>
          <w:spacing w:val="20"/>
          <w:sz w:val="24"/>
          <w:szCs w:val="24"/>
          <w:lang w:val="es-DO"/>
        </w:rPr>
        <w:t>e Frecuencias (PNAF</w:t>
      </w:r>
      <w:r w:rsidR="00071039" w:rsidRPr="000E66D4">
        <w:rPr>
          <w:rFonts w:ascii="Times New Roman" w:eastAsia="Calibri" w:hAnsi="Times New Roman" w:cs="Times New Roman"/>
          <w:color w:val="4C4747"/>
          <w:spacing w:val="20"/>
          <w:sz w:val="24"/>
          <w:szCs w:val="24"/>
          <w:lang w:val="es-DO"/>
        </w:rPr>
        <w:t>)</w:t>
      </w:r>
      <w:r w:rsidR="005A2962" w:rsidRPr="000E66D4">
        <w:rPr>
          <w:rFonts w:ascii="Times New Roman" w:eastAsia="Calibri" w:hAnsi="Times New Roman" w:cs="Times New Roman"/>
          <w:color w:val="4C4747"/>
          <w:spacing w:val="20"/>
          <w:sz w:val="24"/>
          <w:szCs w:val="24"/>
          <w:lang w:val="es-DO"/>
        </w:rPr>
        <w:t xml:space="preserve"> y </w:t>
      </w:r>
      <w:r w:rsidRPr="000E66D4">
        <w:rPr>
          <w:rFonts w:ascii="Times New Roman" w:eastAsia="Calibri" w:hAnsi="Times New Roman" w:cs="Times New Roman"/>
          <w:color w:val="4C4747"/>
          <w:spacing w:val="20"/>
          <w:sz w:val="24"/>
          <w:szCs w:val="24"/>
          <w:lang w:val="es-DO"/>
        </w:rPr>
        <w:t>dispone su envío al Poder Ejecutivo para aprobación y publicación.</w:t>
      </w:r>
    </w:p>
    <w:p w14:paraId="193CC0CB" w14:textId="77777777" w:rsidR="00041294" w:rsidRPr="000E66D4" w:rsidRDefault="00041294" w:rsidP="00041294">
      <w:pPr>
        <w:spacing w:after="0" w:line="360" w:lineRule="auto"/>
        <w:jc w:val="both"/>
        <w:rPr>
          <w:rFonts w:eastAsia="Calibri"/>
          <w:color w:val="4C4747"/>
          <w:spacing w:val="20"/>
          <w:szCs w:val="24"/>
          <w:lang w:val="es-DO"/>
        </w:rPr>
      </w:pPr>
    </w:p>
    <w:p w14:paraId="4ABCFBFE" w14:textId="59642A44" w:rsidR="00041294" w:rsidRPr="000E66D4" w:rsidRDefault="00041294" w:rsidP="00041294">
      <w:pPr>
        <w:spacing w:after="0" w:line="360" w:lineRule="auto"/>
        <w:jc w:val="both"/>
        <w:rPr>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El </w:t>
      </w:r>
      <w:r w:rsidR="00071039" w:rsidRPr="000E66D4">
        <w:rPr>
          <w:rFonts w:ascii="Times New Roman" w:eastAsia="Calibri" w:hAnsi="Times New Roman" w:cs="Times New Roman"/>
          <w:color w:val="4C4747"/>
          <w:spacing w:val="20"/>
          <w:sz w:val="24"/>
          <w:szCs w:val="24"/>
          <w:lang w:val="es-DO"/>
        </w:rPr>
        <w:t>PNAF</w:t>
      </w:r>
      <w:r w:rsidRPr="000E66D4">
        <w:rPr>
          <w:rFonts w:ascii="Times New Roman" w:eastAsia="Calibri" w:hAnsi="Times New Roman" w:cs="Times New Roman"/>
          <w:color w:val="4C4747"/>
          <w:spacing w:val="20"/>
          <w:sz w:val="24"/>
          <w:szCs w:val="24"/>
          <w:lang w:val="es-DO"/>
        </w:rPr>
        <w:t xml:space="preserve"> es un instrumento regulador, cuya finalidad es optimizar y racionalizar el uso del espectro radioeléctrico, para satisfacer oportuna y adecuadamente las necesidades de frecuencias que requieren los diferentes servicios de radiocomunicaciones, tanto para sus desarrollos actuales, como para responder eficientemente a la creciente demanda de las nuevas tecnologías y aplicaciones de estos servicios. </w:t>
      </w:r>
    </w:p>
    <w:p w14:paraId="079C1350" w14:textId="77777777" w:rsidR="00756B42" w:rsidRPr="000E66D4" w:rsidRDefault="00756B42" w:rsidP="00041294">
      <w:pPr>
        <w:spacing w:after="0" w:line="360" w:lineRule="auto"/>
        <w:jc w:val="both"/>
        <w:rPr>
          <w:rFonts w:ascii="Times New Roman" w:eastAsia="Calibri" w:hAnsi="Times New Roman" w:cs="Times New Roman"/>
          <w:color w:val="4C4747"/>
          <w:spacing w:val="20"/>
          <w:sz w:val="24"/>
          <w:szCs w:val="24"/>
          <w:lang w:val="es-DO"/>
        </w:rPr>
      </w:pPr>
    </w:p>
    <w:p w14:paraId="4F1C2DB8" w14:textId="260431F6" w:rsidR="00041294" w:rsidRPr="000E66D4" w:rsidRDefault="00041294" w:rsidP="00041294">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En </w:t>
      </w:r>
      <w:r w:rsidR="00756B42" w:rsidRPr="000E66D4">
        <w:rPr>
          <w:rFonts w:ascii="Times New Roman" w:eastAsia="Calibri" w:hAnsi="Times New Roman" w:cs="Times New Roman"/>
          <w:color w:val="4C4747"/>
          <w:spacing w:val="20"/>
          <w:sz w:val="24"/>
          <w:szCs w:val="24"/>
          <w:lang w:val="es-DO"/>
        </w:rPr>
        <w:t xml:space="preserve">la </w:t>
      </w:r>
      <w:r w:rsidR="00E517E6" w:rsidRPr="000E66D4">
        <w:rPr>
          <w:rFonts w:ascii="Times New Roman" w:eastAsia="Calibri" w:hAnsi="Times New Roman" w:cs="Times New Roman"/>
          <w:color w:val="4C4747"/>
          <w:spacing w:val="20"/>
          <w:sz w:val="24"/>
          <w:szCs w:val="24"/>
          <w:lang w:val="es-DO"/>
        </w:rPr>
        <w:t>modificación del p</w:t>
      </w:r>
      <w:r w:rsidR="00756B42" w:rsidRPr="000E66D4">
        <w:rPr>
          <w:rFonts w:ascii="Times New Roman" w:eastAsia="Calibri" w:hAnsi="Times New Roman" w:cs="Times New Roman"/>
          <w:color w:val="4C4747"/>
          <w:spacing w:val="20"/>
          <w:sz w:val="24"/>
          <w:szCs w:val="24"/>
          <w:lang w:val="es-DO"/>
        </w:rPr>
        <w:t>lan</w:t>
      </w:r>
      <w:r w:rsidRPr="000E66D4">
        <w:rPr>
          <w:rFonts w:ascii="Times New Roman" w:eastAsia="Calibri" w:hAnsi="Times New Roman" w:cs="Times New Roman"/>
          <w:color w:val="4C4747"/>
          <w:spacing w:val="20"/>
          <w:sz w:val="24"/>
          <w:szCs w:val="24"/>
          <w:lang w:val="es-DO"/>
        </w:rPr>
        <w:t xml:space="preserve"> se identifican nuevas bandas de frecuencias para las telecomunicaciones móviles internacionales (IMT, por sus siglas en inglés)</w:t>
      </w:r>
      <w:r w:rsidR="00E517E6" w:rsidRPr="000E66D4">
        <w:rPr>
          <w:rFonts w:ascii="Times New Roman" w:eastAsia="Calibri" w:hAnsi="Times New Roman" w:cs="Times New Roman"/>
          <w:color w:val="4C4747"/>
          <w:spacing w:val="20"/>
          <w:sz w:val="24"/>
          <w:szCs w:val="24"/>
          <w:lang w:val="es-DO"/>
        </w:rPr>
        <w:t>,</w:t>
      </w:r>
      <w:r w:rsidRPr="000E66D4">
        <w:rPr>
          <w:rFonts w:ascii="Times New Roman" w:eastAsia="Calibri" w:hAnsi="Times New Roman" w:cs="Times New Roman"/>
          <w:color w:val="4C4747"/>
          <w:spacing w:val="20"/>
          <w:sz w:val="24"/>
          <w:szCs w:val="24"/>
          <w:lang w:val="es-DO"/>
        </w:rPr>
        <w:t xml:space="preserve"> siguiendo las recomendaciones del Reglamento de Radio de 2020 de la </w:t>
      </w:r>
      <w:r w:rsidR="00E517E6" w:rsidRPr="000E66D4">
        <w:rPr>
          <w:rFonts w:ascii="Times New Roman" w:eastAsia="Calibri" w:hAnsi="Times New Roman" w:cs="Times New Roman"/>
          <w:color w:val="4C4747"/>
          <w:spacing w:val="20"/>
          <w:sz w:val="24"/>
          <w:szCs w:val="24"/>
          <w:lang w:val="es-DO"/>
        </w:rPr>
        <w:t>Unión Internacional de las Telecomunicaciones (</w:t>
      </w:r>
      <w:r w:rsidRPr="000E66D4">
        <w:rPr>
          <w:rFonts w:ascii="Times New Roman" w:eastAsia="Calibri" w:hAnsi="Times New Roman" w:cs="Times New Roman"/>
          <w:color w:val="4C4747"/>
          <w:spacing w:val="20"/>
          <w:sz w:val="24"/>
          <w:szCs w:val="24"/>
          <w:lang w:val="es-DO"/>
        </w:rPr>
        <w:t>UIT</w:t>
      </w:r>
      <w:r w:rsidR="00E517E6" w:rsidRPr="000E66D4">
        <w:rPr>
          <w:rFonts w:ascii="Times New Roman" w:eastAsia="Calibri" w:hAnsi="Times New Roman" w:cs="Times New Roman"/>
          <w:color w:val="4C4747"/>
          <w:spacing w:val="20"/>
          <w:sz w:val="24"/>
          <w:szCs w:val="24"/>
          <w:lang w:val="es-DO"/>
        </w:rPr>
        <w:t>)</w:t>
      </w:r>
      <w:r w:rsidRPr="000E66D4">
        <w:rPr>
          <w:rFonts w:ascii="Times New Roman" w:eastAsia="Calibri" w:hAnsi="Times New Roman" w:cs="Times New Roman"/>
          <w:color w:val="4C4747"/>
          <w:spacing w:val="20"/>
          <w:sz w:val="24"/>
          <w:szCs w:val="24"/>
          <w:lang w:val="es-DO"/>
        </w:rPr>
        <w:t>, las cuales servirán de base para el desarrollo de los servicios de 5G y la eventual llegada de servicios 6G. Todo lo anterior, de conformidad al marco legal y reglamentario vigente y a los acuerdos y convenios internacionales ratificados por la República Dominicana.</w:t>
      </w:r>
    </w:p>
    <w:p w14:paraId="093655EE" w14:textId="77777777" w:rsidR="002F4988" w:rsidRPr="000E66D4" w:rsidRDefault="002F4988" w:rsidP="00943FA5">
      <w:pPr>
        <w:spacing w:after="0" w:line="360" w:lineRule="auto"/>
        <w:jc w:val="both"/>
        <w:rPr>
          <w:rFonts w:eastAsia="Calibri"/>
          <w:color w:val="4C4747"/>
          <w:spacing w:val="20"/>
          <w:sz w:val="24"/>
          <w:szCs w:val="24"/>
          <w:lang w:val="es-DO"/>
        </w:rPr>
      </w:pPr>
    </w:p>
    <w:p w14:paraId="048B3ABF" w14:textId="77777777" w:rsidR="002F4988" w:rsidRPr="000E66D4" w:rsidRDefault="002F4988" w:rsidP="00943FA5">
      <w:pPr>
        <w:spacing w:after="0" w:line="360" w:lineRule="auto"/>
        <w:jc w:val="both"/>
        <w:rPr>
          <w:rFonts w:eastAsia="Calibri"/>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Propuesta de Condiciones de aplicación del mecanismo para innovación y pruebas regulatorias (Sandbox Regulatorio)</w:t>
      </w:r>
    </w:p>
    <w:p w14:paraId="13DDAD83" w14:textId="77777777" w:rsidR="00041294" w:rsidRPr="000E66D4" w:rsidRDefault="00041294" w:rsidP="00943FA5">
      <w:pPr>
        <w:spacing w:before="240"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El 22 de agosto de 2022, el Consejo Directivo por medio de su Resolución número 081-2022, que ordenó el inicio del proceso de consulta pública para establecer las condiciones de aplicación del mecanismo para innovaciones y pruebas regulatorias (Sandbox Regulatorio).  </w:t>
      </w:r>
    </w:p>
    <w:p w14:paraId="60BBE00C" w14:textId="77777777" w:rsidR="00756B42" w:rsidRPr="000E66D4" w:rsidRDefault="00756B42" w:rsidP="00041294">
      <w:pPr>
        <w:spacing w:after="0" w:line="360" w:lineRule="auto"/>
        <w:jc w:val="both"/>
        <w:rPr>
          <w:rFonts w:ascii="Times New Roman" w:eastAsia="Calibri" w:hAnsi="Times New Roman" w:cs="Times New Roman"/>
          <w:color w:val="4C4747"/>
          <w:spacing w:val="20"/>
          <w:sz w:val="24"/>
          <w:szCs w:val="24"/>
          <w:lang w:val="es-DO"/>
        </w:rPr>
      </w:pPr>
    </w:p>
    <w:p w14:paraId="3A5623CD" w14:textId="77777777" w:rsidR="00041294" w:rsidRPr="000E66D4" w:rsidRDefault="00041294" w:rsidP="00041294">
      <w:pPr>
        <w:spacing w:after="0" w:line="360" w:lineRule="auto"/>
        <w:jc w:val="both"/>
        <w:rPr>
          <w:color w:val="4C4747"/>
          <w:spacing w:val="20"/>
          <w:szCs w:val="24"/>
          <w:lang w:val="es-DO"/>
        </w:rPr>
      </w:pPr>
      <w:r w:rsidRPr="000E66D4">
        <w:rPr>
          <w:rFonts w:ascii="Times New Roman" w:eastAsia="Calibri" w:hAnsi="Times New Roman" w:cs="Times New Roman"/>
          <w:color w:val="4C4747"/>
          <w:spacing w:val="20"/>
          <w:sz w:val="24"/>
          <w:szCs w:val="24"/>
          <w:lang w:val="es-DO"/>
        </w:rPr>
        <w:lastRenderedPageBreak/>
        <w:t xml:space="preserve">La citada normativa tiene por objeto establecer las condiciones generales para la aplicación del Sandbox Regulatorio como mecanismo alternativo para innovaciones y pruebas regulatorias basado en la experimentación monitoreada, con el objetivo de promover la innovación en cualquier aspecto de la provisión de redes y servicios públicos de telecomunicaciones y firma digital. </w:t>
      </w:r>
    </w:p>
    <w:p w14:paraId="228F1A35" w14:textId="77777777" w:rsidR="00756B42" w:rsidRPr="000E66D4" w:rsidRDefault="00756B42" w:rsidP="00041294">
      <w:pPr>
        <w:spacing w:after="0" w:line="360" w:lineRule="auto"/>
        <w:jc w:val="both"/>
        <w:rPr>
          <w:rFonts w:ascii="Times New Roman" w:eastAsia="Calibri" w:hAnsi="Times New Roman" w:cs="Times New Roman"/>
          <w:color w:val="4C4747"/>
          <w:spacing w:val="20"/>
          <w:sz w:val="24"/>
          <w:szCs w:val="24"/>
          <w:lang w:val="es-DO"/>
        </w:rPr>
      </w:pPr>
    </w:p>
    <w:p w14:paraId="0AD0286F" w14:textId="77777777" w:rsidR="00041294" w:rsidRPr="000E66D4" w:rsidRDefault="00041294" w:rsidP="00041294">
      <w:pPr>
        <w:spacing w:after="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Los objetivos del INDOTEL en la implementación del Sandbox Regulatorio, de manera enunciativa pero no limitativa son:</w:t>
      </w:r>
    </w:p>
    <w:p w14:paraId="6BD8E16B" w14:textId="77777777" w:rsidR="00911DE9" w:rsidRPr="000E66D4" w:rsidRDefault="00911DE9" w:rsidP="00041294">
      <w:pPr>
        <w:spacing w:after="0" w:line="360" w:lineRule="auto"/>
        <w:jc w:val="both"/>
        <w:rPr>
          <w:rFonts w:ascii="Times New Roman" w:eastAsia="Calibri" w:hAnsi="Times New Roman" w:cs="Times New Roman"/>
          <w:color w:val="4C4747"/>
          <w:spacing w:val="20"/>
          <w:sz w:val="24"/>
          <w:szCs w:val="24"/>
          <w:lang w:val="es-DO"/>
        </w:rPr>
      </w:pPr>
    </w:p>
    <w:p w14:paraId="73819A33" w14:textId="490DCDCA" w:rsidR="00041294" w:rsidRPr="000E66D4" w:rsidRDefault="00041294" w:rsidP="00041294">
      <w:pPr>
        <w:spacing w:after="0" w:line="360" w:lineRule="auto"/>
        <w:jc w:val="both"/>
        <w:rPr>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 a) Desarrollo de la economía digital, b) Productos y servicios innovadores que beneficien al usuario, c) Adaptar la regulación para impulsar la innovación en cualquier aspecto de la provisión de redes y servicios de comunicaciones, d) Priorización </w:t>
      </w:r>
      <w:r w:rsidR="00F44782" w:rsidRPr="000E66D4">
        <w:rPr>
          <w:rFonts w:ascii="Times New Roman" w:eastAsia="Calibri" w:hAnsi="Times New Roman" w:cs="Times New Roman"/>
          <w:color w:val="4C4747"/>
          <w:spacing w:val="20"/>
          <w:sz w:val="24"/>
          <w:szCs w:val="24"/>
          <w:lang w:val="es-DO"/>
        </w:rPr>
        <w:t>d</w:t>
      </w:r>
      <w:r w:rsidRPr="000E66D4">
        <w:rPr>
          <w:rFonts w:ascii="Times New Roman" w:eastAsia="Calibri" w:hAnsi="Times New Roman" w:cs="Times New Roman"/>
          <w:color w:val="4C4747"/>
          <w:spacing w:val="20"/>
          <w:sz w:val="24"/>
          <w:szCs w:val="24"/>
          <w:lang w:val="es-DO"/>
        </w:rPr>
        <w:t>el acceso y uso de las TIC, e) Ampliar el enfoque regulatorio flexible para las zonas de baja cobertura en conectividad, f) Flexibilizar o exceptuar medidas regulatorias por un tiempo y geografía determinados, g) Incentivar la competencia en los mercados de comunicaciones.</w:t>
      </w:r>
    </w:p>
    <w:p w14:paraId="06FE7B9D" w14:textId="77777777" w:rsidR="00911DE9" w:rsidRPr="000E66D4" w:rsidRDefault="00911DE9" w:rsidP="00943FA5">
      <w:pPr>
        <w:spacing w:after="0" w:line="360" w:lineRule="auto"/>
        <w:jc w:val="both"/>
        <w:rPr>
          <w:color w:val="4C4747"/>
          <w:spacing w:val="20"/>
          <w:szCs w:val="24"/>
          <w:lang w:val="es-DO"/>
        </w:rPr>
      </w:pPr>
    </w:p>
    <w:p w14:paraId="1D2F6B03" w14:textId="051C263C" w:rsidR="002F4988" w:rsidRPr="000E66D4" w:rsidRDefault="00041294" w:rsidP="00943FA5">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8 de diciembre se realizó la audiencia ante el Consejo Directivo con las partes interesadas, permitiendo entonces recabar los planteamientos que han de considerarse al momento de adoptar la decisión definitiva sobre el uso de Sandbox R</w:t>
      </w:r>
      <w:r w:rsidR="00EC741E" w:rsidRPr="000E66D4">
        <w:rPr>
          <w:rFonts w:ascii="Times New Roman" w:eastAsia="Calibri" w:hAnsi="Times New Roman" w:cs="Times New Roman"/>
          <w:color w:val="4C4747"/>
          <w:spacing w:val="20"/>
          <w:sz w:val="24"/>
          <w:szCs w:val="24"/>
          <w:lang w:val="es-DO"/>
        </w:rPr>
        <w:t>egulatorio</w:t>
      </w:r>
      <w:r w:rsidRPr="000E66D4">
        <w:rPr>
          <w:rFonts w:ascii="Times New Roman" w:eastAsia="Calibri" w:hAnsi="Times New Roman" w:cs="Times New Roman"/>
          <w:color w:val="4C4747"/>
          <w:spacing w:val="20"/>
          <w:sz w:val="24"/>
          <w:szCs w:val="24"/>
          <w:lang w:val="es-DO"/>
        </w:rPr>
        <w:t xml:space="preserve"> en el mercado de las telecomunicaciones.</w:t>
      </w:r>
    </w:p>
    <w:p w14:paraId="3F2903D8" w14:textId="77777777" w:rsidR="002F4988" w:rsidRPr="000E66D4" w:rsidRDefault="002F4988" w:rsidP="00943FA5">
      <w:pPr>
        <w:spacing w:after="0" w:line="360" w:lineRule="auto"/>
        <w:jc w:val="both"/>
        <w:rPr>
          <w:rFonts w:eastAsia="Calibri"/>
          <w:color w:val="4C4747"/>
          <w:spacing w:val="20"/>
          <w:szCs w:val="24"/>
          <w:lang w:val="es-DO"/>
        </w:rPr>
      </w:pPr>
    </w:p>
    <w:p w14:paraId="4A01753C" w14:textId="05C33966" w:rsidR="002F4988" w:rsidRPr="000E66D4" w:rsidRDefault="002F4988" w:rsidP="00943FA5">
      <w:pPr>
        <w:spacing w:after="0" w:line="360" w:lineRule="auto"/>
        <w:jc w:val="both"/>
        <w:rPr>
          <w:rFonts w:eastAsia="Calibri"/>
          <w:b/>
          <w:color w:val="4C4747"/>
          <w:spacing w:val="20"/>
          <w:szCs w:val="24"/>
          <w:lang w:val="es-DO"/>
        </w:rPr>
      </w:pPr>
      <w:r w:rsidRPr="000E66D4">
        <w:rPr>
          <w:rFonts w:ascii="Times New Roman" w:eastAsia="Calibri" w:hAnsi="Times New Roman" w:cs="Times New Roman"/>
          <w:b/>
          <w:color w:val="4C4747"/>
          <w:spacing w:val="20"/>
          <w:sz w:val="24"/>
          <w:szCs w:val="24"/>
          <w:lang w:val="es-DO"/>
        </w:rPr>
        <w:t>Propuesta</w:t>
      </w:r>
      <w:r w:rsidR="00552A9A" w:rsidRPr="000E66D4">
        <w:rPr>
          <w:rFonts w:ascii="Times New Roman" w:eastAsia="Calibri" w:hAnsi="Times New Roman" w:cs="Times New Roman"/>
          <w:b/>
          <w:color w:val="4C4747"/>
          <w:spacing w:val="20"/>
          <w:sz w:val="24"/>
          <w:szCs w:val="24"/>
          <w:lang w:val="es-DO"/>
        </w:rPr>
        <w:t xml:space="preserve"> de l</w:t>
      </w:r>
      <w:r w:rsidRPr="000E66D4">
        <w:rPr>
          <w:rFonts w:ascii="Times New Roman" w:eastAsia="Calibri" w:hAnsi="Times New Roman" w:cs="Times New Roman"/>
          <w:b/>
          <w:color w:val="4C4747"/>
          <w:spacing w:val="20"/>
          <w:sz w:val="24"/>
          <w:szCs w:val="24"/>
          <w:lang w:val="es-DO"/>
        </w:rPr>
        <w:t>ímites máximos a la tenencia de Espectro Radioeléctrico en Bandas identificadas para servicios móviles (IMT) por el PNAF</w:t>
      </w:r>
    </w:p>
    <w:p w14:paraId="3F5303FD" w14:textId="77777777" w:rsidR="00041294" w:rsidRPr="000E66D4" w:rsidRDefault="00041294" w:rsidP="00943FA5">
      <w:pPr>
        <w:spacing w:before="240"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El 14 de septiembre de 2022, el Consejo Directivo mediante la Resolución número 085-2022, colocó en consulta pública la norma </w:t>
      </w:r>
      <w:r w:rsidRPr="000E66D4">
        <w:rPr>
          <w:rFonts w:ascii="Times New Roman" w:eastAsia="Calibri" w:hAnsi="Times New Roman" w:cs="Times New Roman"/>
          <w:color w:val="4C4747"/>
          <w:spacing w:val="20"/>
          <w:sz w:val="24"/>
          <w:szCs w:val="24"/>
          <w:lang w:val="es-DO"/>
        </w:rPr>
        <w:lastRenderedPageBreak/>
        <w:t>para el establecimiento de límites máximos a la tenencia de Espectro Radioeléctrico en bandas identificadas para servicios móviles (IMT) por el PNAF.</w:t>
      </w:r>
    </w:p>
    <w:p w14:paraId="6ECCDDD2" w14:textId="77777777" w:rsidR="00041294" w:rsidRPr="000E66D4" w:rsidRDefault="00041294" w:rsidP="00041294">
      <w:pPr>
        <w:spacing w:after="0" w:line="360" w:lineRule="auto"/>
        <w:jc w:val="both"/>
        <w:rPr>
          <w:rFonts w:eastAsia="Calibri"/>
          <w:color w:val="4C4747"/>
          <w:spacing w:val="20"/>
          <w:szCs w:val="24"/>
          <w:lang w:val="es-DO"/>
        </w:rPr>
      </w:pPr>
    </w:p>
    <w:p w14:paraId="4381AF51" w14:textId="4E8785EC" w:rsidR="002F4988" w:rsidRPr="000E66D4" w:rsidRDefault="00041294" w:rsidP="00943FA5">
      <w:pPr>
        <w:spacing w:after="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La citada norma tiene por objeto limitar la acumulación de espectro radioeléctrico, la concentración de un recurso escaso y reducir barreras a la entrada, mediante el establecimiento de topes de espectro radioeléctr</w:t>
      </w:r>
      <w:r w:rsidR="005D4E4B" w:rsidRPr="000E66D4">
        <w:rPr>
          <w:rFonts w:ascii="Times New Roman" w:eastAsia="Calibri" w:hAnsi="Times New Roman" w:cs="Times New Roman"/>
          <w:color w:val="4C4747"/>
          <w:spacing w:val="20"/>
          <w:sz w:val="24"/>
          <w:szCs w:val="24"/>
          <w:lang w:val="es-DO"/>
        </w:rPr>
        <w:t>ico atribuido al servicio móvil</w:t>
      </w:r>
      <w:r w:rsidRPr="000E66D4">
        <w:rPr>
          <w:rFonts w:ascii="Times New Roman" w:eastAsia="Calibri" w:hAnsi="Times New Roman" w:cs="Times New Roman"/>
          <w:color w:val="4C4747"/>
          <w:spacing w:val="20"/>
          <w:sz w:val="24"/>
          <w:szCs w:val="24"/>
          <w:lang w:val="es-DO"/>
        </w:rPr>
        <w:t xml:space="preserve"> e identificadas para telecomunicaciones</w:t>
      </w:r>
      <w:r w:rsidR="00EC741E" w:rsidRPr="000E66D4">
        <w:rPr>
          <w:rFonts w:ascii="Times New Roman" w:eastAsia="Calibri" w:hAnsi="Times New Roman" w:cs="Times New Roman"/>
          <w:color w:val="4C4747"/>
          <w:spacing w:val="20"/>
          <w:sz w:val="24"/>
          <w:szCs w:val="24"/>
          <w:lang w:val="es-DO"/>
        </w:rPr>
        <w:t xml:space="preserve"> móviles internacionales o IMT, </w:t>
      </w:r>
      <w:r w:rsidRPr="000E66D4">
        <w:rPr>
          <w:rFonts w:ascii="Times New Roman" w:eastAsia="Calibri" w:hAnsi="Times New Roman" w:cs="Times New Roman"/>
          <w:color w:val="4C4747"/>
          <w:spacing w:val="20"/>
          <w:sz w:val="24"/>
          <w:szCs w:val="24"/>
          <w:lang w:val="es-DO"/>
        </w:rPr>
        <w:t>a ser aplicados por el INDOTEL al momento de la asignación, cesión o transferencia de licencias.</w:t>
      </w:r>
    </w:p>
    <w:p w14:paraId="3CF37F73" w14:textId="77777777" w:rsidR="00911DE9" w:rsidRPr="000E66D4" w:rsidRDefault="00911DE9" w:rsidP="00943FA5">
      <w:pPr>
        <w:spacing w:after="0" w:line="360" w:lineRule="auto"/>
        <w:jc w:val="both"/>
        <w:rPr>
          <w:rFonts w:eastAsia="Calibri"/>
          <w:color w:val="4C4747"/>
          <w:spacing w:val="20"/>
          <w:szCs w:val="24"/>
          <w:lang w:val="es-DO"/>
        </w:rPr>
      </w:pPr>
    </w:p>
    <w:p w14:paraId="76A1EAAF" w14:textId="31BD19FE" w:rsidR="002F4988" w:rsidRPr="000E66D4" w:rsidRDefault="002F4988" w:rsidP="00943FA5">
      <w:pPr>
        <w:pStyle w:val="Sinespaciado"/>
        <w:spacing w:line="360" w:lineRule="auto"/>
        <w:jc w:val="both"/>
        <w:rPr>
          <w:b/>
          <w:color w:val="4C4747"/>
          <w:spacing w:val="20"/>
          <w:szCs w:val="24"/>
          <w:lang w:val="es-DO"/>
        </w:rPr>
      </w:pPr>
      <w:r w:rsidRPr="000E66D4">
        <w:rPr>
          <w:b/>
          <w:color w:val="4C4747"/>
          <w:spacing w:val="20"/>
          <w:szCs w:val="24"/>
          <w:lang w:val="es-DO"/>
        </w:rPr>
        <w:t>Mercados R</w:t>
      </w:r>
      <w:r w:rsidR="00EC741E" w:rsidRPr="000E66D4">
        <w:rPr>
          <w:b/>
          <w:color w:val="4C4747"/>
          <w:spacing w:val="20"/>
          <w:szCs w:val="24"/>
          <w:lang w:val="es-DO"/>
        </w:rPr>
        <w:t>elevantes del sector de las t</w:t>
      </w:r>
      <w:r w:rsidRPr="000E66D4">
        <w:rPr>
          <w:b/>
          <w:color w:val="4C4747"/>
          <w:spacing w:val="20"/>
          <w:szCs w:val="24"/>
          <w:lang w:val="es-DO"/>
        </w:rPr>
        <w:t>elecomunicaciones</w:t>
      </w:r>
    </w:p>
    <w:p w14:paraId="10885C1C" w14:textId="5AACF38B" w:rsidR="00041294" w:rsidRPr="000E66D4" w:rsidRDefault="00041294" w:rsidP="00943FA5">
      <w:pPr>
        <w:spacing w:before="240" w:after="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En enero de 2022, el Consejo Directivo del INDOTEL dictó la Resolución número 011-2022, que conoce los recursos de reconsideración interpuestos por las prestadoras de servicios públicos de telecomunicaciones</w:t>
      </w:r>
      <w:r w:rsidR="00971A01" w:rsidRPr="000E66D4">
        <w:rPr>
          <w:rFonts w:ascii="Times New Roman" w:eastAsia="Calibri" w:hAnsi="Times New Roman" w:cs="Times New Roman"/>
          <w:color w:val="4C4747"/>
          <w:spacing w:val="20"/>
          <w:sz w:val="24"/>
          <w:szCs w:val="24"/>
          <w:lang w:val="es-DO"/>
        </w:rPr>
        <w:t>,</w:t>
      </w:r>
      <w:r w:rsidRPr="000E66D4">
        <w:rPr>
          <w:rFonts w:ascii="Times New Roman" w:eastAsia="Calibri" w:hAnsi="Times New Roman" w:cs="Times New Roman"/>
          <w:color w:val="4C4747"/>
          <w:spacing w:val="20"/>
          <w:sz w:val="24"/>
          <w:szCs w:val="24"/>
          <w:lang w:val="es-DO"/>
        </w:rPr>
        <w:t xml:space="preserve"> </w:t>
      </w:r>
      <w:r w:rsidR="007C5CEF" w:rsidRPr="000E66D4">
        <w:rPr>
          <w:rFonts w:ascii="Times New Roman" w:eastAsia="Calibri" w:hAnsi="Times New Roman" w:cs="Times New Roman"/>
          <w:color w:val="4C4747"/>
          <w:spacing w:val="20"/>
          <w:sz w:val="24"/>
          <w:szCs w:val="24"/>
          <w:lang w:val="es-DO"/>
        </w:rPr>
        <w:t xml:space="preserve">Compañía Dominicana de Teléfonos (CLARO) y Altice Dominicana (AlTICE) </w:t>
      </w:r>
      <w:r w:rsidRPr="000E66D4">
        <w:rPr>
          <w:rFonts w:ascii="Times New Roman" w:eastAsia="Calibri" w:hAnsi="Times New Roman" w:cs="Times New Roman"/>
          <w:color w:val="4C4747"/>
          <w:spacing w:val="20"/>
          <w:sz w:val="24"/>
          <w:szCs w:val="24"/>
          <w:lang w:val="es-DO"/>
        </w:rPr>
        <w:t xml:space="preserve">contra la Resolución del Consejo Directivo número 098-2021 </w:t>
      </w:r>
      <w:r w:rsidR="00EC741E" w:rsidRPr="000E66D4">
        <w:rPr>
          <w:rFonts w:ascii="Times New Roman" w:eastAsia="Calibri" w:hAnsi="Times New Roman" w:cs="Times New Roman"/>
          <w:color w:val="4C4747"/>
          <w:spacing w:val="20"/>
          <w:sz w:val="24"/>
          <w:szCs w:val="24"/>
          <w:lang w:val="es-DO"/>
        </w:rPr>
        <w:t>que</w:t>
      </w:r>
      <w:r w:rsidRPr="000E66D4">
        <w:rPr>
          <w:rFonts w:ascii="Times New Roman" w:eastAsia="Calibri" w:hAnsi="Times New Roman" w:cs="Times New Roman"/>
          <w:color w:val="4C4747"/>
          <w:spacing w:val="20"/>
          <w:sz w:val="24"/>
          <w:szCs w:val="24"/>
          <w:lang w:val="es-DO"/>
        </w:rPr>
        <w:t xml:space="preserve"> ratifica los mercados relevantes del sector de las telecomunicaciones identificados sujetos de regulación ex ante; y el 17 de marzo de 2022 se procedió a celebrar la audiencia pública para conocer los comentarios de las partes interesadas en la determinación de los operadores con posición de dominio en los mercados relevantes.</w:t>
      </w:r>
    </w:p>
    <w:p w14:paraId="10D146E3" w14:textId="77777777" w:rsidR="002F4988" w:rsidRPr="000E66D4" w:rsidRDefault="002F4988" w:rsidP="002F4988">
      <w:pPr>
        <w:spacing w:after="0" w:line="360" w:lineRule="auto"/>
        <w:jc w:val="both"/>
        <w:rPr>
          <w:rFonts w:ascii="Times New Roman" w:eastAsia="Times New Roman" w:hAnsi="Times New Roman" w:cs="Times New Roman"/>
          <w:color w:val="4C4747"/>
          <w:sz w:val="24"/>
          <w:szCs w:val="24"/>
          <w:lang w:val="es-DO"/>
        </w:rPr>
      </w:pPr>
    </w:p>
    <w:p w14:paraId="479928B6" w14:textId="26E3D46D" w:rsidR="002F4988" w:rsidRPr="000E66D4" w:rsidRDefault="00EC741E" w:rsidP="00943FA5">
      <w:pPr>
        <w:pStyle w:val="Sinespaciado"/>
        <w:spacing w:line="360" w:lineRule="auto"/>
        <w:jc w:val="both"/>
        <w:rPr>
          <w:b/>
          <w:color w:val="4C4747"/>
          <w:spacing w:val="20"/>
          <w:szCs w:val="24"/>
          <w:lang w:val="es-DO"/>
        </w:rPr>
      </w:pPr>
      <w:r w:rsidRPr="000E66D4">
        <w:rPr>
          <w:b/>
          <w:color w:val="4C4747"/>
          <w:spacing w:val="20"/>
          <w:szCs w:val="24"/>
          <w:lang w:val="es-DO"/>
        </w:rPr>
        <w:t>Proceso de fijación cargos de i</w:t>
      </w:r>
      <w:r w:rsidR="002F4988" w:rsidRPr="000E66D4">
        <w:rPr>
          <w:b/>
          <w:color w:val="4C4747"/>
          <w:spacing w:val="20"/>
          <w:szCs w:val="24"/>
          <w:lang w:val="es-DO"/>
        </w:rPr>
        <w:t>nterconexión</w:t>
      </w:r>
    </w:p>
    <w:p w14:paraId="0D591B77" w14:textId="77777777" w:rsidR="00EC741E" w:rsidRPr="000E66D4" w:rsidRDefault="001D3CC6" w:rsidP="00943FA5">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En febrero, el Consejo Directivo por medio de su Resolución número 023-2022, conoce los recursos de reconsideración interpuesto por las prestadoras de servicios públicos</w:t>
      </w:r>
      <w:r w:rsidR="00971A01" w:rsidRPr="000E66D4">
        <w:rPr>
          <w:rFonts w:ascii="Times New Roman" w:eastAsia="Calibri" w:hAnsi="Times New Roman" w:cs="Times New Roman"/>
          <w:color w:val="4C4747"/>
          <w:spacing w:val="20"/>
          <w:sz w:val="24"/>
          <w:szCs w:val="24"/>
          <w:lang w:val="es-DO"/>
        </w:rPr>
        <w:t>,</w:t>
      </w:r>
      <w:r w:rsidRPr="000E66D4">
        <w:rPr>
          <w:rFonts w:ascii="Times New Roman" w:eastAsia="Calibri" w:hAnsi="Times New Roman" w:cs="Times New Roman"/>
          <w:color w:val="4C4747"/>
          <w:spacing w:val="20"/>
          <w:sz w:val="24"/>
          <w:szCs w:val="24"/>
          <w:lang w:val="es-DO"/>
        </w:rPr>
        <w:t xml:space="preserve"> Compañía Dominicana de </w:t>
      </w:r>
    </w:p>
    <w:p w14:paraId="495ABAE7" w14:textId="2E7F4ABF" w:rsidR="001D3CC6" w:rsidRPr="000E66D4" w:rsidRDefault="001D3CC6" w:rsidP="00943FA5">
      <w:pPr>
        <w:spacing w:before="24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lastRenderedPageBreak/>
        <w:t>Teléfonos (</w:t>
      </w:r>
      <w:r w:rsidR="007C5CEF" w:rsidRPr="000E66D4">
        <w:rPr>
          <w:rFonts w:ascii="Times New Roman" w:eastAsia="Calibri" w:hAnsi="Times New Roman" w:cs="Times New Roman"/>
          <w:color w:val="4C4747"/>
          <w:spacing w:val="20"/>
          <w:sz w:val="24"/>
          <w:szCs w:val="24"/>
          <w:lang w:val="es-DO"/>
        </w:rPr>
        <w:t>CLARO</w:t>
      </w:r>
      <w:r w:rsidRPr="000E66D4">
        <w:rPr>
          <w:rFonts w:ascii="Times New Roman" w:eastAsia="Calibri" w:hAnsi="Times New Roman" w:cs="Times New Roman"/>
          <w:color w:val="4C4747"/>
          <w:spacing w:val="20"/>
          <w:sz w:val="24"/>
          <w:szCs w:val="24"/>
          <w:lang w:val="es-DO"/>
        </w:rPr>
        <w:t>) y Altice Dominicana (</w:t>
      </w:r>
      <w:r w:rsidR="007C5CEF" w:rsidRPr="000E66D4">
        <w:rPr>
          <w:rFonts w:ascii="Times New Roman" w:eastAsia="Calibri" w:hAnsi="Times New Roman" w:cs="Times New Roman"/>
          <w:color w:val="4C4747"/>
          <w:spacing w:val="20"/>
          <w:sz w:val="24"/>
          <w:szCs w:val="24"/>
          <w:lang w:val="es-DO"/>
        </w:rPr>
        <w:t>ALTICE</w:t>
      </w:r>
      <w:r w:rsidRPr="000E66D4">
        <w:rPr>
          <w:rFonts w:ascii="Times New Roman" w:eastAsia="Calibri" w:hAnsi="Times New Roman" w:cs="Times New Roman"/>
          <w:color w:val="4C4747"/>
          <w:spacing w:val="20"/>
          <w:sz w:val="24"/>
          <w:szCs w:val="24"/>
          <w:lang w:val="es-DO"/>
        </w:rPr>
        <w:t xml:space="preserve">), en contra de la Resolución número 104-2021 que dio inicio al procedimiento para la fijación de los cargos de interconexión. </w:t>
      </w:r>
    </w:p>
    <w:p w14:paraId="38C119DE" w14:textId="5475B7F5" w:rsidR="001D3CC6" w:rsidRPr="000E66D4" w:rsidRDefault="001D3CC6" w:rsidP="001D3CC6">
      <w:pPr>
        <w:spacing w:before="30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En mayo de 2022, fueron publicadas nuevas </w:t>
      </w:r>
      <w:r w:rsidR="00DE4567" w:rsidRPr="00DE4567">
        <w:rPr>
          <w:rFonts w:ascii="Times New Roman" w:eastAsia="Calibri" w:hAnsi="Times New Roman" w:cs="Times New Roman"/>
          <w:color w:val="4C4747"/>
          <w:spacing w:val="20"/>
          <w:sz w:val="24"/>
          <w:szCs w:val="24"/>
          <w:lang w:val="es-DO"/>
        </w:rPr>
        <w:t>a</w:t>
      </w:r>
      <w:r w:rsidRPr="00DE4567">
        <w:rPr>
          <w:rFonts w:ascii="Times New Roman" w:eastAsia="Calibri" w:hAnsi="Times New Roman" w:cs="Times New Roman"/>
          <w:color w:val="4C4747"/>
          <w:spacing w:val="20"/>
          <w:sz w:val="24"/>
          <w:szCs w:val="24"/>
          <w:lang w:val="es-DO"/>
        </w:rPr>
        <w:t xml:space="preserve">dendas de </w:t>
      </w:r>
      <w:r w:rsidR="00DE4567" w:rsidRPr="00DE4567">
        <w:rPr>
          <w:rFonts w:ascii="Times New Roman" w:eastAsia="Calibri" w:hAnsi="Times New Roman" w:cs="Times New Roman"/>
          <w:color w:val="4C4747"/>
          <w:spacing w:val="20"/>
          <w:sz w:val="24"/>
          <w:szCs w:val="24"/>
          <w:lang w:val="es-DO"/>
        </w:rPr>
        <w:t>i</w:t>
      </w:r>
      <w:r w:rsidRPr="00DE4567">
        <w:rPr>
          <w:rFonts w:ascii="Times New Roman" w:eastAsia="Calibri" w:hAnsi="Times New Roman" w:cs="Times New Roman"/>
          <w:color w:val="4C4747"/>
          <w:spacing w:val="20"/>
          <w:sz w:val="24"/>
          <w:szCs w:val="24"/>
          <w:lang w:val="es-DO"/>
        </w:rPr>
        <w:t>nterconexión, suscritas entre las prestadoras de servicios</w:t>
      </w:r>
      <w:r w:rsidRPr="000E66D4">
        <w:rPr>
          <w:rFonts w:ascii="Times New Roman" w:eastAsia="Calibri" w:hAnsi="Times New Roman" w:cs="Times New Roman"/>
          <w:color w:val="4C4747"/>
          <w:spacing w:val="20"/>
          <w:sz w:val="24"/>
          <w:szCs w:val="24"/>
          <w:lang w:val="es-DO"/>
        </w:rPr>
        <w:t xml:space="preserve"> de telecomunicaciones CLARO, ALTICE, Trilogy Dominicana y Onemax las cuales estuvieron sujetas a la revisión por parte </w:t>
      </w:r>
      <w:r w:rsidR="00285190" w:rsidRPr="000E66D4">
        <w:rPr>
          <w:rFonts w:ascii="Times New Roman" w:eastAsia="Calibri" w:hAnsi="Times New Roman" w:cs="Times New Roman"/>
          <w:color w:val="4C4747"/>
          <w:spacing w:val="20"/>
          <w:sz w:val="24"/>
          <w:szCs w:val="24"/>
          <w:lang w:val="es-DO"/>
        </w:rPr>
        <w:t>d</w:t>
      </w:r>
      <w:r w:rsidRPr="000E66D4">
        <w:rPr>
          <w:rFonts w:ascii="Times New Roman" w:eastAsia="Calibri" w:hAnsi="Times New Roman" w:cs="Times New Roman"/>
          <w:color w:val="4C4747"/>
          <w:spacing w:val="20"/>
          <w:sz w:val="24"/>
          <w:szCs w:val="24"/>
          <w:lang w:val="es-DO"/>
        </w:rPr>
        <w:t xml:space="preserve">el INDOTEL. </w:t>
      </w:r>
    </w:p>
    <w:p w14:paraId="630A2D57" w14:textId="77777777" w:rsidR="001D3CC6" w:rsidRPr="000E66D4" w:rsidRDefault="001D3CC6" w:rsidP="001D3CC6">
      <w:pPr>
        <w:spacing w:before="30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El 29 de junio de 2022, mediante la Resolución número 063-2022, el Consejo Directivo decidió no acoger los cargos de interconexión acordados en dichas enmiendas y dar continuidad al proceso de fijación de cargos dispuesto por la Resolución número 104-2021. Dicha resolución fue recurrida por ALTICE, CLARO y VIVA, recurso que fue rechazado por el Consejo Directivo en su Resolución número 103-2022 del 17 de noviembre.</w:t>
      </w:r>
    </w:p>
    <w:p w14:paraId="187A5EB1" w14:textId="090B2616" w:rsidR="001D3CC6" w:rsidRPr="000E66D4" w:rsidRDefault="001D3CC6" w:rsidP="001D3CC6">
      <w:pPr>
        <w:spacing w:before="300" w:line="360" w:lineRule="auto"/>
        <w:jc w:val="both"/>
        <w:rPr>
          <w:rFonts w:eastAsia="Calibri"/>
          <w:color w:val="4C4747"/>
          <w:spacing w:val="20"/>
          <w:szCs w:val="24"/>
          <w:lang w:val="es-DO"/>
        </w:rPr>
      </w:pPr>
      <w:r w:rsidRPr="000E66D4">
        <w:rPr>
          <w:rFonts w:ascii="Times New Roman" w:eastAsia="Calibri" w:hAnsi="Times New Roman" w:cs="Times New Roman"/>
          <w:color w:val="4C4747"/>
          <w:spacing w:val="20"/>
          <w:sz w:val="24"/>
          <w:szCs w:val="24"/>
          <w:lang w:val="es-DO"/>
        </w:rPr>
        <w:t xml:space="preserve">Igualmente, el 29 de junio 2022, el Consejo Directivo mediante la Resolución número 064-2022 instruye </w:t>
      </w:r>
      <w:r w:rsidR="00034C2E" w:rsidRPr="000E66D4">
        <w:rPr>
          <w:rFonts w:ascii="Times New Roman" w:eastAsia="Calibri" w:hAnsi="Times New Roman" w:cs="Times New Roman"/>
          <w:color w:val="4C4747"/>
          <w:spacing w:val="20"/>
          <w:sz w:val="24"/>
          <w:szCs w:val="24"/>
          <w:lang w:val="es-DO"/>
        </w:rPr>
        <w:t xml:space="preserve">la elaboración de </w:t>
      </w:r>
      <w:r w:rsidRPr="000E66D4">
        <w:rPr>
          <w:rFonts w:ascii="Times New Roman" w:eastAsia="Calibri" w:hAnsi="Times New Roman" w:cs="Times New Roman"/>
          <w:color w:val="4C4747"/>
          <w:spacing w:val="20"/>
          <w:sz w:val="24"/>
          <w:szCs w:val="24"/>
          <w:lang w:val="es-DO"/>
        </w:rPr>
        <w:t xml:space="preserve">un nuevo estudio de costos y continuar el procedimiento para la fijación de los cargos de interconexión dispuesto en la Resolución número 104-2021. </w:t>
      </w:r>
    </w:p>
    <w:p w14:paraId="68375699" w14:textId="3D7219E1" w:rsidR="00971A01" w:rsidRPr="000E66D4" w:rsidRDefault="001D3CC6" w:rsidP="006575D7">
      <w:pPr>
        <w:spacing w:before="30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El INDOTEL presentó a las prestadoras un modelo de costos preparado junto con la empresa consultora internacional Axon Partners Group, la cual resultó adjudicada en el proceso de Licitación Pública Internacional INDOTEL-CCC-LPI-2021-0001, </w:t>
      </w:r>
      <w:r w:rsidR="00971A01" w:rsidRPr="000E66D4">
        <w:rPr>
          <w:rFonts w:ascii="Times New Roman" w:eastAsia="Calibri" w:hAnsi="Times New Roman" w:cs="Times New Roman"/>
          <w:color w:val="4C4747"/>
          <w:spacing w:val="20"/>
          <w:sz w:val="24"/>
          <w:szCs w:val="24"/>
          <w:lang w:val="es-DO"/>
        </w:rPr>
        <w:t xml:space="preserve">para </w:t>
      </w:r>
      <w:r w:rsidRPr="000E66D4">
        <w:rPr>
          <w:rFonts w:ascii="Times New Roman" w:eastAsia="Calibri" w:hAnsi="Times New Roman" w:cs="Times New Roman"/>
          <w:color w:val="4C4747"/>
          <w:spacing w:val="20"/>
          <w:sz w:val="24"/>
          <w:szCs w:val="24"/>
          <w:lang w:val="es-DO"/>
        </w:rPr>
        <w:t xml:space="preserve">la elaboración de un estudio de costos que sirva para la fijación de cargos de interconexión. El día 22 de septiembre de 2022, las prestadoras tuvieron una audiencia con el Consejo Directivo del </w:t>
      </w:r>
      <w:r w:rsidRPr="000E66D4">
        <w:rPr>
          <w:rFonts w:ascii="Times New Roman" w:eastAsia="Calibri" w:hAnsi="Times New Roman" w:cs="Times New Roman"/>
          <w:color w:val="4C4747"/>
          <w:spacing w:val="20"/>
          <w:sz w:val="24"/>
          <w:szCs w:val="24"/>
          <w:lang w:val="es-DO"/>
        </w:rPr>
        <w:lastRenderedPageBreak/>
        <w:t>INDOTEL para presentar sus observaciones a dicho estudio y modelo de costos.</w:t>
      </w:r>
    </w:p>
    <w:p w14:paraId="24D05293" w14:textId="6E6D20E7" w:rsidR="002F4988" w:rsidRPr="000E66D4" w:rsidRDefault="002F4988" w:rsidP="00943FA5">
      <w:pPr>
        <w:pStyle w:val="Sinespaciado"/>
        <w:spacing w:before="240" w:line="360" w:lineRule="auto"/>
        <w:jc w:val="both"/>
        <w:rPr>
          <w:b/>
          <w:color w:val="4C4747"/>
          <w:spacing w:val="20"/>
          <w:szCs w:val="24"/>
          <w:lang w:val="es-DO"/>
        </w:rPr>
      </w:pPr>
      <w:r w:rsidRPr="000E66D4">
        <w:rPr>
          <w:b/>
          <w:color w:val="4C4747"/>
          <w:spacing w:val="20"/>
          <w:szCs w:val="24"/>
          <w:lang w:val="es-DO"/>
        </w:rPr>
        <w:t>Actualización y modernización de la Ley General de Telecomunicaciones</w:t>
      </w:r>
    </w:p>
    <w:p w14:paraId="403EE67E" w14:textId="1F2326E5" w:rsidR="001D3CC6" w:rsidRPr="000E66D4" w:rsidRDefault="001D3CC6" w:rsidP="00943FA5">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En el mes de agosto del 2022, fueron celebradas mesas de socialización con la participación del sector </w:t>
      </w:r>
      <w:r w:rsidR="00285190" w:rsidRPr="000E66D4">
        <w:rPr>
          <w:rFonts w:ascii="Times New Roman" w:eastAsia="Calibri" w:hAnsi="Times New Roman" w:cs="Times New Roman"/>
          <w:color w:val="4C4747"/>
          <w:spacing w:val="20"/>
          <w:sz w:val="24"/>
          <w:szCs w:val="24"/>
          <w:lang w:val="es-DO"/>
        </w:rPr>
        <w:t xml:space="preserve">de telecomunicaciones </w:t>
      </w:r>
      <w:r w:rsidRPr="000E66D4">
        <w:rPr>
          <w:rFonts w:ascii="Times New Roman" w:eastAsia="Calibri" w:hAnsi="Times New Roman" w:cs="Times New Roman"/>
          <w:color w:val="4C4747"/>
          <w:spacing w:val="20"/>
          <w:sz w:val="24"/>
          <w:szCs w:val="24"/>
          <w:lang w:val="es-DO"/>
        </w:rPr>
        <w:t xml:space="preserve">y </w:t>
      </w:r>
      <w:r w:rsidR="00285190" w:rsidRPr="000E66D4">
        <w:rPr>
          <w:rFonts w:ascii="Times New Roman" w:eastAsia="Calibri" w:hAnsi="Times New Roman" w:cs="Times New Roman"/>
          <w:color w:val="4C4747"/>
          <w:spacing w:val="20"/>
          <w:sz w:val="24"/>
          <w:szCs w:val="24"/>
          <w:lang w:val="es-DO"/>
        </w:rPr>
        <w:t xml:space="preserve">un </w:t>
      </w:r>
      <w:r w:rsidRPr="000E66D4">
        <w:rPr>
          <w:rFonts w:ascii="Times New Roman" w:eastAsia="Calibri" w:hAnsi="Times New Roman" w:cs="Times New Roman"/>
          <w:color w:val="4C4747"/>
          <w:spacing w:val="20"/>
          <w:sz w:val="24"/>
          <w:szCs w:val="24"/>
          <w:lang w:val="es-DO"/>
        </w:rPr>
        <w:t xml:space="preserve">consultor internacional del </w:t>
      </w:r>
      <w:r w:rsidR="000066D2" w:rsidRPr="000E66D4">
        <w:rPr>
          <w:rFonts w:ascii="Times New Roman" w:eastAsia="Calibri" w:hAnsi="Times New Roman" w:cs="Times New Roman"/>
          <w:color w:val="4C4747"/>
          <w:spacing w:val="20"/>
          <w:sz w:val="24"/>
          <w:szCs w:val="24"/>
          <w:lang w:val="es-DO"/>
        </w:rPr>
        <w:t>Banco Interamericano de Desarrollo (</w:t>
      </w:r>
      <w:r w:rsidRPr="000E66D4">
        <w:rPr>
          <w:rFonts w:ascii="Times New Roman" w:eastAsia="Calibri" w:hAnsi="Times New Roman" w:cs="Times New Roman"/>
          <w:color w:val="4C4747"/>
          <w:spacing w:val="20"/>
          <w:sz w:val="24"/>
          <w:szCs w:val="24"/>
          <w:lang w:val="es-DO"/>
        </w:rPr>
        <w:t>BID</w:t>
      </w:r>
      <w:r w:rsidR="000066D2" w:rsidRPr="000E66D4">
        <w:rPr>
          <w:rFonts w:ascii="Times New Roman" w:eastAsia="Calibri" w:hAnsi="Times New Roman" w:cs="Times New Roman"/>
          <w:color w:val="4C4747"/>
          <w:spacing w:val="20"/>
          <w:sz w:val="24"/>
          <w:szCs w:val="24"/>
          <w:lang w:val="es-DO"/>
        </w:rPr>
        <w:t>)</w:t>
      </w:r>
      <w:r w:rsidRPr="000E66D4">
        <w:rPr>
          <w:rFonts w:ascii="Times New Roman" w:eastAsia="Calibri" w:hAnsi="Times New Roman" w:cs="Times New Roman"/>
          <w:color w:val="4C4747"/>
          <w:spacing w:val="20"/>
          <w:sz w:val="24"/>
          <w:szCs w:val="24"/>
          <w:lang w:val="es-DO"/>
        </w:rPr>
        <w:t xml:space="preserve">, </w:t>
      </w:r>
      <w:r w:rsidR="00285190" w:rsidRPr="000E66D4">
        <w:rPr>
          <w:rFonts w:ascii="Times New Roman" w:eastAsia="Calibri" w:hAnsi="Times New Roman" w:cs="Times New Roman"/>
          <w:color w:val="4C4747"/>
          <w:spacing w:val="20"/>
          <w:sz w:val="24"/>
          <w:szCs w:val="24"/>
          <w:lang w:val="es-DO"/>
        </w:rPr>
        <w:t>dando</w:t>
      </w:r>
      <w:r w:rsidR="00971A01" w:rsidRPr="000E66D4">
        <w:rPr>
          <w:rFonts w:ascii="Times New Roman" w:eastAsia="Calibri" w:hAnsi="Times New Roman" w:cs="Times New Roman"/>
          <w:color w:val="4C4747"/>
          <w:spacing w:val="20"/>
          <w:sz w:val="24"/>
          <w:szCs w:val="24"/>
          <w:lang w:val="es-DO"/>
        </w:rPr>
        <w:t xml:space="preserve"> </w:t>
      </w:r>
      <w:r w:rsidRPr="000E66D4">
        <w:rPr>
          <w:rFonts w:ascii="Times New Roman" w:eastAsia="Calibri" w:hAnsi="Times New Roman" w:cs="Times New Roman"/>
          <w:color w:val="4C4747"/>
          <w:spacing w:val="20"/>
          <w:sz w:val="24"/>
          <w:szCs w:val="24"/>
          <w:lang w:val="es-DO"/>
        </w:rPr>
        <w:t xml:space="preserve">continuación </w:t>
      </w:r>
      <w:r w:rsidR="00285190" w:rsidRPr="000E66D4">
        <w:rPr>
          <w:rFonts w:ascii="Times New Roman" w:eastAsia="Calibri" w:hAnsi="Times New Roman" w:cs="Times New Roman"/>
          <w:color w:val="4C4747"/>
          <w:spacing w:val="20"/>
          <w:sz w:val="24"/>
          <w:szCs w:val="24"/>
          <w:lang w:val="es-DO"/>
        </w:rPr>
        <w:t xml:space="preserve">a </w:t>
      </w:r>
      <w:r w:rsidRPr="000E66D4">
        <w:rPr>
          <w:rFonts w:ascii="Times New Roman" w:eastAsia="Calibri" w:hAnsi="Times New Roman" w:cs="Times New Roman"/>
          <w:color w:val="4C4747"/>
          <w:spacing w:val="20"/>
          <w:sz w:val="24"/>
          <w:szCs w:val="24"/>
          <w:lang w:val="es-DO"/>
        </w:rPr>
        <w:t>los trabajos que se están realizando desde el año 2021 para lograr una actualización y modernización de la Ley G</w:t>
      </w:r>
      <w:r w:rsidR="000066D2" w:rsidRPr="000E66D4">
        <w:rPr>
          <w:rFonts w:ascii="Times New Roman" w:eastAsia="Calibri" w:hAnsi="Times New Roman" w:cs="Times New Roman"/>
          <w:color w:val="4C4747"/>
          <w:spacing w:val="20"/>
          <w:sz w:val="24"/>
          <w:szCs w:val="24"/>
          <w:lang w:val="es-DO"/>
        </w:rPr>
        <w:t>eneral de Telecomunicaciones, e</w:t>
      </w:r>
      <w:r w:rsidRPr="000E66D4">
        <w:rPr>
          <w:rFonts w:ascii="Times New Roman" w:eastAsia="Calibri" w:hAnsi="Times New Roman" w:cs="Times New Roman"/>
          <w:color w:val="4C4747"/>
          <w:spacing w:val="20"/>
          <w:sz w:val="24"/>
          <w:szCs w:val="24"/>
          <w:lang w:val="es-DO"/>
        </w:rPr>
        <w:t xml:space="preserve">volución a una Ley de Tecnologías de la Información y las Comunicaciones (TIC). </w:t>
      </w:r>
    </w:p>
    <w:p w14:paraId="481D597F" w14:textId="07883354" w:rsidR="001D3CC6" w:rsidRPr="000E66D4" w:rsidRDefault="001D3CC6" w:rsidP="001D3CC6">
      <w:pPr>
        <w:spacing w:before="30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El objetivo principal </w:t>
      </w:r>
      <w:r w:rsidR="007C5CEF" w:rsidRPr="000E66D4">
        <w:rPr>
          <w:rFonts w:ascii="Times New Roman" w:eastAsia="Calibri" w:hAnsi="Times New Roman" w:cs="Times New Roman"/>
          <w:color w:val="4C4747"/>
          <w:spacing w:val="20"/>
          <w:sz w:val="24"/>
          <w:szCs w:val="24"/>
          <w:lang w:val="es-DO"/>
        </w:rPr>
        <w:t xml:space="preserve">de </w:t>
      </w:r>
      <w:r w:rsidRPr="000E66D4">
        <w:rPr>
          <w:rFonts w:ascii="Times New Roman" w:eastAsia="Calibri" w:hAnsi="Times New Roman" w:cs="Times New Roman"/>
          <w:color w:val="4C4747"/>
          <w:spacing w:val="20"/>
          <w:sz w:val="24"/>
          <w:szCs w:val="24"/>
          <w:lang w:val="es-DO"/>
        </w:rPr>
        <w:t xml:space="preserve">la actualización y modernización de la Ley General de Telecomunicaciones número 153-98 es para facilitar el despliegue y ampliación de las redes, impulsar condiciones de competencia más efectivas y </w:t>
      </w:r>
      <w:r w:rsidR="00285190" w:rsidRPr="000E66D4">
        <w:rPr>
          <w:rFonts w:ascii="Times New Roman" w:eastAsia="Calibri" w:hAnsi="Times New Roman" w:cs="Times New Roman"/>
          <w:color w:val="4C4747"/>
          <w:spacing w:val="20"/>
          <w:sz w:val="24"/>
          <w:szCs w:val="24"/>
          <w:lang w:val="es-DO"/>
        </w:rPr>
        <w:t xml:space="preserve">dar un </w:t>
      </w:r>
      <w:r w:rsidRPr="000E66D4">
        <w:rPr>
          <w:rFonts w:ascii="Times New Roman" w:eastAsia="Calibri" w:hAnsi="Times New Roman" w:cs="Times New Roman"/>
          <w:color w:val="4C4747"/>
          <w:spacing w:val="20"/>
          <w:sz w:val="24"/>
          <w:szCs w:val="24"/>
          <w:lang w:val="es-DO"/>
        </w:rPr>
        <w:t>uso más eficiente del espectro radioeléctrico, que redunden en mejores ofertas para los usuarios, acompañadas de una adecuada protección de los datos de carácter personal y la privacidad de éstos</w:t>
      </w:r>
      <w:r w:rsidR="007A641B" w:rsidRPr="000E66D4">
        <w:rPr>
          <w:rFonts w:ascii="Times New Roman" w:eastAsia="Calibri" w:hAnsi="Times New Roman" w:cs="Times New Roman"/>
          <w:color w:val="4C4747"/>
          <w:spacing w:val="20"/>
          <w:sz w:val="24"/>
          <w:szCs w:val="24"/>
          <w:lang w:val="es-DO"/>
        </w:rPr>
        <w:t xml:space="preserve">; </w:t>
      </w:r>
      <w:r w:rsidRPr="000E66D4">
        <w:rPr>
          <w:rFonts w:ascii="Times New Roman" w:eastAsia="Calibri" w:hAnsi="Times New Roman" w:cs="Times New Roman"/>
          <w:color w:val="4C4747"/>
          <w:spacing w:val="20"/>
          <w:sz w:val="24"/>
          <w:szCs w:val="24"/>
          <w:lang w:val="es-DO"/>
        </w:rPr>
        <w:t xml:space="preserve">el fortalecimiento de las capacidades de regulación y control del INDOTEL para ordenar el funcionamiento del mercado e intervenir ante fallas en el mismo, de cara al cumplimiento de los Objetivos de Desarrollo Sostenible (ODS) y la Estrategia Nacional de Desarrollo (END) 2030. </w:t>
      </w:r>
    </w:p>
    <w:p w14:paraId="20FB0E5D" w14:textId="096E8D19" w:rsidR="002D2E81" w:rsidRPr="000E66D4" w:rsidRDefault="001D3CC6" w:rsidP="00BA7DE5">
      <w:pPr>
        <w:spacing w:before="30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Asimismo, unificar principios y criterios consignados en diferentes normas asociadas a elementos y componentes relacionados con las TIC y, en consecuencia, evitar dispersión y garantizar la articulación y visión uniforme de las reglas aplicables al sector, de manera simplificada, coherente y armónica, promoviendo la coordinación entre entes y órganos del Estado dada la transversalidad de las TIC.</w:t>
      </w:r>
    </w:p>
    <w:p w14:paraId="14EA184C" w14:textId="2E64B5E4" w:rsidR="00650DCD" w:rsidRPr="007C16C5" w:rsidRDefault="006D62FE" w:rsidP="00943FA5">
      <w:pPr>
        <w:keepNext/>
        <w:spacing w:before="240" w:after="60" w:line="360" w:lineRule="auto"/>
        <w:contextualSpacing/>
        <w:jc w:val="both"/>
        <w:outlineLvl w:val="2"/>
        <w:rPr>
          <w:color w:val="4C4747"/>
          <w:lang w:val="es-DO" w:eastAsia="es-DO"/>
        </w:rPr>
      </w:pPr>
      <w:bookmarkStart w:id="13" w:name="_Toc122425235"/>
      <w:r w:rsidRPr="007C16C5">
        <w:rPr>
          <w:rFonts w:ascii="Times New Roman" w:eastAsia="Times New Roman" w:hAnsi="Times New Roman" w:cs="Times New Roman"/>
          <w:b/>
          <w:bCs/>
          <w:color w:val="4C4747"/>
          <w:sz w:val="24"/>
          <w:szCs w:val="26"/>
          <w:lang w:val="es-DO" w:eastAsia="es-DO"/>
        </w:rPr>
        <w:lastRenderedPageBreak/>
        <w:t xml:space="preserve">3.2 </w:t>
      </w:r>
      <w:r w:rsidR="00650DCD" w:rsidRPr="007C16C5">
        <w:rPr>
          <w:rFonts w:ascii="Times New Roman" w:eastAsia="Times New Roman" w:hAnsi="Times New Roman" w:cs="Times New Roman"/>
          <w:b/>
          <w:bCs/>
          <w:color w:val="4C4747"/>
          <w:sz w:val="24"/>
          <w:szCs w:val="26"/>
          <w:lang w:val="es-DO" w:eastAsia="es-DO"/>
        </w:rPr>
        <w:t>Espectro Radioeléctrico</w:t>
      </w:r>
      <w:bookmarkEnd w:id="13"/>
    </w:p>
    <w:p w14:paraId="758F1973" w14:textId="19231CFC" w:rsidR="001D3CC6" w:rsidRPr="007C16C5" w:rsidRDefault="008A3378" w:rsidP="001D3CC6">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El</w:t>
      </w:r>
      <w:r w:rsidR="001D3CC6" w:rsidRPr="007C16C5">
        <w:rPr>
          <w:rFonts w:ascii="Times New Roman" w:eastAsia="Calibri" w:hAnsi="Times New Roman" w:cs="Times New Roman"/>
          <w:color w:val="4C4747"/>
          <w:spacing w:val="20"/>
          <w:sz w:val="24"/>
          <w:szCs w:val="24"/>
          <w:lang w:val="es-DO"/>
        </w:rPr>
        <w:t xml:space="preserve"> INDOTEL </w:t>
      </w:r>
      <w:r w:rsidRPr="007C16C5">
        <w:rPr>
          <w:rFonts w:ascii="Times New Roman" w:eastAsia="Calibri" w:hAnsi="Times New Roman" w:cs="Times New Roman"/>
          <w:color w:val="4C4747"/>
          <w:spacing w:val="20"/>
          <w:sz w:val="24"/>
          <w:szCs w:val="24"/>
          <w:lang w:val="es-DO"/>
        </w:rPr>
        <w:t>tiene la responsabilidad de</w:t>
      </w:r>
      <w:r w:rsidR="001D3CC6" w:rsidRPr="007C16C5">
        <w:rPr>
          <w:rFonts w:ascii="Times New Roman" w:eastAsia="Calibri" w:hAnsi="Times New Roman" w:cs="Times New Roman"/>
          <w:color w:val="4C4747"/>
          <w:spacing w:val="20"/>
          <w:sz w:val="24"/>
          <w:szCs w:val="24"/>
          <w:lang w:val="es-DO"/>
        </w:rPr>
        <w:t xml:space="preserve"> procura</w:t>
      </w:r>
      <w:r w:rsidRPr="007C16C5">
        <w:rPr>
          <w:rFonts w:ascii="Times New Roman" w:eastAsia="Calibri" w:hAnsi="Times New Roman" w:cs="Times New Roman"/>
          <w:color w:val="4C4747"/>
          <w:spacing w:val="20"/>
          <w:sz w:val="24"/>
          <w:szCs w:val="24"/>
          <w:lang w:val="es-DO"/>
        </w:rPr>
        <w:t>r</w:t>
      </w:r>
      <w:r w:rsidR="001D3CC6" w:rsidRPr="007C16C5">
        <w:rPr>
          <w:rFonts w:ascii="Times New Roman" w:eastAsia="Calibri" w:hAnsi="Times New Roman" w:cs="Times New Roman"/>
          <w:color w:val="4C4747"/>
          <w:spacing w:val="20"/>
          <w:sz w:val="24"/>
          <w:szCs w:val="24"/>
          <w:lang w:val="es-DO"/>
        </w:rPr>
        <w:t xml:space="preserve"> una adecuada planeación y gestión del espectro radioeléctrico a los fines de satisfacer la demanda actual y futura de los diferentes servicios de radiocomunicaciones, verificar su correcto uso mediante comprobaciones técnicas llevadas a cabo de forma remota o presencial, ya sea a través de las estaciones fijas o móviles de monitoreo; actualizar el Registro Nacional de Frecuencias (RNF) a partir de las resoluciones del Consejo Directivo al otorgar licencias para el uso del espectro radioeléctrico, así como la emisión anual de los Derechos de Uso (DU).</w:t>
      </w:r>
    </w:p>
    <w:p w14:paraId="0DD05418" w14:textId="33BCC15E" w:rsidR="001D3CC6" w:rsidRPr="007C16C5" w:rsidRDefault="001D3CC6"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Para llevar a cabo las tareas mencionad</w:t>
      </w:r>
      <w:r w:rsidR="002D2E81" w:rsidRPr="007C16C5">
        <w:rPr>
          <w:rFonts w:ascii="Times New Roman" w:eastAsia="Calibri" w:hAnsi="Times New Roman" w:cs="Times New Roman"/>
          <w:color w:val="4C4747"/>
          <w:spacing w:val="20"/>
          <w:sz w:val="24"/>
          <w:szCs w:val="24"/>
          <w:lang w:val="es-DO"/>
        </w:rPr>
        <w:t xml:space="preserve">as anteriormente, </w:t>
      </w:r>
      <w:r w:rsidRPr="007C16C5">
        <w:rPr>
          <w:rFonts w:ascii="Times New Roman" w:eastAsia="Calibri" w:hAnsi="Times New Roman" w:cs="Times New Roman"/>
          <w:color w:val="4C4747"/>
          <w:spacing w:val="20"/>
          <w:sz w:val="24"/>
          <w:szCs w:val="24"/>
          <w:lang w:val="es-DO"/>
        </w:rPr>
        <w:t>se realizaron las siguientes acciones:</w:t>
      </w:r>
    </w:p>
    <w:p w14:paraId="6E74FD00" w14:textId="15C75B75" w:rsidR="009B2515" w:rsidRPr="000E66D4" w:rsidRDefault="0062591D" w:rsidP="00943FA5">
      <w:pPr>
        <w:spacing w:before="240"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Derecho de Uso (DU) del espectro r</w:t>
      </w:r>
      <w:r w:rsidR="009B2515" w:rsidRPr="000E66D4">
        <w:rPr>
          <w:rFonts w:ascii="Times New Roman" w:eastAsia="Calibri" w:hAnsi="Times New Roman" w:cs="Times New Roman"/>
          <w:b/>
          <w:color w:val="4C4747"/>
          <w:spacing w:val="20"/>
          <w:sz w:val="24"/>
          <w:szCs w:val="24"/>
          <w:lang w:val="es-DO"/>
        </w:rPr>
        <w:t xml:space="preserve">adioeléctrico </w:t>
      </w:r>
    </w:p>
    <w:p w14:paraId="16976342" w14:textId="12698B9B" w:rsidR="001D3CC6" w:rsidRPr="000E66D4" w:rsidRDefault="001D3CC6" w:rsidP="00943FA5">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Durante el primer semestre del presen</w:t>
      </w:r>
      <w:r w:rsidR="002141A4" w:rsidRPr="000E66D4">
        <w:rPr>
          <w:rFonts w:ascii="Times New Roman" w:eastAsia="Calibri" w:hAnsi="Times New Roman" w:cs="Times New Roman"/>
          <w:color w:val="4C4747"/>
          <w:spacing w:val="20"/>
          <w:sz w:val="24"/>
          <w:szCs w:val="24"/>
          <w:lang w:val="es-DO"/>
        </w:rPr>
        <w:t>te año</w:t>
      </w:r>
      <w:r w:rsidRPr="000E66D4">
        <w:rPr>
          <w:rFonts w:ascii="Times New Roman" w:eastAsia="Calibri" w:hAnsi="Times New Roman" w:cs="Times New Roman"/>
          <w:color w:val="4C4747"/>
          <w:spacing w:val="20"/>
          <w:sz w:val="24"/>
          <w:szCs w:val="24"/>
          <w:lang w:val="es-DO"/>
        </w:rPr>
        <w:t xml:space="preserve">, se llevó a cabo el proceso de emisión de </w:t>
      </w:r>
      <w:r w:rsidR="00117F7E" w:rsidRPr="000E66D4">
        <w:rPr>
          <w:rFonts w:ascii="Times New Roman" w:eastAsia="Calibri" w:hAnsi="Times New Roman" w:cs="Times New Roman"/>
          <w:color w:val="4C4747"/>
          <w:spacing w:val="20"/>
          <w:sz w:val="24"/>
          <w:szCs w:val="24"/>
          <w:lang w:val="es-DO"/>
        </w:rPr>
        <w:t xml:space="preserve">las facturas de </w:t>
      </w:r>
      <w:r w:rsidRPr="000E66D4">
        <w:rPr>
          <w:rFonts w:ascii="Times New Roman" w:eastAsia="Calibri" w:hAnsi="Times New Roman" w:cs="Times New Roman"/>
          <w:color w:val="4C4747"/>
          <w:spacing w:val="20"/>
          <w:sz w:val="24"/>
          <w:szCs w:val="24"/>
          <w:lang w:val="es-DO"/>
        </w:rPr>
        <w:t>los Derechos de Uso (DU) del espectro radioeléctrico</w:t>
      </w:r>
      <w:r w:rsidR="002141A4" w:rsidRPr="000E66D4">
        <w:rPr>
          <w:rFonts w:ascii="Times New Roman" w:eastAsia="Calibri" w:hAnsi="Times New Roman" w:cs="Times New Roman"/>
          <w:color w:val="4C4747"/>
          <w:spacing w:val="20"/>
          <w:sz w:val="24"/>
          <w:szCs w:val="24"/>
          <w:lang w:val="es-DO"/>
        </w:rPr>
        <w:t xml:space="preserve"> correspondientes al año 2022</w:t>
      </w:r>
      <w:r w:rsidRPr="000E66D4">
        <w:rPr>
          <w:rFonts w:ascii="Times New Roman" w:eastAsia="Calibri" w:hAnsi="Times New Roman" w:cs="Times New Roman"/>
          <w:color w:val="4C4747"/>
          <w:spacing w:val="20"/>
          <w:sz w:val="24"/>
          <w:szCs w:val="24"/>
          <w:lang w:val="es-DO"/>
        </w:rPr>
        <w:t xml:space="preserve">. El cual consiste en </w:t>
      </w:r>
      <w:r w:rsidR="00CB450A" w:rsidRPr="000E66D4">
        <w:rPr>
          <w:rFonts w:ascii="Times New Roman" w:eastAsia="Calibri" w:hAnsi="Times New Roman" w:cs="Times New Roman"/>
          <w:color w:val="4C4747"/>
          <w:spacing w:val="20"/>
          <w:sz w:val="24"/>
          <w:szCs w:val="24"/>
          <w:lang w:val="es-DO"/>
        </w:rPr>
        <w:t xml:space="preserve">establecer </w:t>
      </w:r>
      <w:r w:rsidRPr="000E66D4">
        <w:rPr>
          <w:rFonts w:ascii="Times New Roman" w:eastAsia="Calibri" w:hAnsi="Times New Roman" w:cs="Times New Roman"/>
          <w:color w:val="4C4747"/>
          <w:spacing w:val="20"/>
          <w:sz w:val="24"/>
          <w:szCs w:val="24"/>
          <w:lang w:val="es-DO"/>
        </w:rPr>
        <w:t xml:space="preserve">el monto que deben pagar anualmente los licenciatarios por la utilización del espectro radioeléctrico a partir de las frecuencias que </w:t>
      </w:r>
      <w:r w:rsidR="002D2E81" w:rsidRPr="000E66D4">
        <w:rPr>
          <w:rFonts w:ascii="Times New Roman" w:eastAsia="Calibri" w:hAnsi="Times New Roman" w:cs="Times New Roman"/>
          <w:color w:val="4C4747"/>
          <w:spacing w:val="20"/>
          <w:sz w:val="24"/>
          <w:szCs w:val="24"/>
          <w:lang w:val="es-DO"/>
        </w:rPr>
        <w:t xml:space="preserve">tienen </w:t>
      </w:r>
      <w:r w:rsidRPr="000E66D4">
        <w:rPr>
          <w:rFonts w:ascii="Times New Roman" w:eastAsia="Calibri" w:hAnsi="Times New Roman" w:cs="Times New Roman"/>
          <w:color w:val="4C4747"/>
          <w:spacing w:val="20"/>
          <w:sz w:val="24"/>
          <w:szCs w:val="24"/>
          <w:lang w:val="es-DO"/>
        </w:rPr>
        <w:t xml:space="preserve"> asignadas. </w:t>
      </w:r>
      <w:r w:rsidR="004A2FA6" w:rsidRPr="000E66D4">
        <w:rPr>
          <w:rFonts w:ascii="Times New Roman" w:eastAsia="Calibri" w:hAnsi="Times New Roman" w:cs="Times New Roman"/>
          <w:color w:val="4C4747"/>
          <w:spacing w:val="20"/>
          <w:sz w:val="24"/>
          <w:szCs w:val="24"/>
          <w:lang w:val="es-DO"/>
        </w:rPr>
        <w:t>Los montos se calculan</w:t>
      </w:r>
      <w:r w:rsidRPr="000E66D4">
        <w:rPr>
          <w:rFonts w:ascii="Times New Roman" w:eastAsia="Calibri" w:hAnsi="Times New Roman" w:cs="Times New Roman"/>
          <w:color w:val="4C4747"/>
          <w:spacing w:val="20"/>
          <w:sz w:val="24"/>
          <w:szCs w:val="24"/>
          <w:lang w:val="es-DO"/>
        </w:rPr>
        <w:t xml:space="preserve"> a través del Sistema de Gestión Automatizado del Espectro (ASMS), </w:t>
      </w:r>
      <w:r w:rsidR="002D2E81" w:rsidRPr="000E66D4">
        <w:rPr>
          <w:rFonts w:ascii="Times New Roman" w:eastAsia="Calibri" w:hAnsi="Times New Roman" w:cs="Times New Roman"/>
          <w:color w:val="4C4747"/>
          <w:spacing w:val="20"/>
          <w:sz w:val="24"/>
          <w:szCs w:val="24"/>
          <w:lang w:val="es-DO"/>
        </w:rPr>
        <w:t xml:space="preserve">lo </w:t>
      </w:r>
      <w:r w:rsidRPr="000E66D4">
        <w:rPr>
          <w:rFonts w:ascii="Times New Roman" w:eastAsia="Calibri" w:hAnsi="Times New Roman" w:cs="Times New Roman"/>
          <w:color w:val="4C4747"/>
          <w:spacing w:val="20"/>
          <w:sz w:val="24"/>
          <w:szCs w:val="24"/>
          <w:lang w:val="es-DO"/>
        </w:rPr>
        <w:t xml:space="preserve">que permite al INDOTEL </w:t>
      </w:r>
      <w:r w:rsidR="000558D2" w:rsidRPr="000E66D4">
        <w:rPr>
          <w:rFonts w:ascii="Times New Roman" w:eastAsia="Calibri" w:hAnsi="Times New Roman" w:cs="Times New Roman"/>
          <w:color w:val="4C4747"/>
          <w:spacing w:val="20"/>
          <w:sz w:val="24"/>
          <w:szCs w:val="24"/>
          <w:lang w:val="es-DO"/>
        </w:rPr>
        <w:t>realizar una eficiente labor</w:t>
      </w:r>
      <w:r w:rsidRPr="000E66D4">
        <w:rPr>
          <w:rFonts w:ascii="Times New Roman" w:eastAsia="Calibri" w:hAnsi="Times New Roman" w:cs="Times New Roman"/>
          <w:color w:val="4C4747"/>
          <w:spacing w:val="20"/>
          <w:sz w:val="24"/>
          <w:szCs w:val="24"/>
          <w:lang w:val="es-DO"/>
        </w:rPr>
        <w:t>.</w:t>
      </w:r>
    </w:p>
    <w:p w14:paraId="48C78CF4" w14:textId="7127BD3D" w:rsidR="001D3CC6" w:rsidRPr="000E66D4" w:rsidRDefault="001D3CC6" w:rsidP="001D3CC6">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El siguiente gráfico  muestra la proporción en que cada uno de los servicios de telecomunicaciones que utilizan frecuencias radioeléctricas contribuye </w:t>
      </w:r>
      <w:r w:rsidR="00CB450A" w:rsidRPr="000E66D4">
        <w:rPr>
          <w:rFonts w:ascii="Times New Roman" w:eastAsia="Calibri" w:hAnsi="Times New Roman" w:cs="Times New Roman"/>
          <w:color w:val="4C4747"/>
          <w:spacing w:val="20"/>
          <w:sz w:val="24"/>
          <w:szCs w:val="24"/>
          <w:lang w:val="es-DO"/>
        </w:rPr>
        <w:t xml:space="preserve">económicamente </w:t>
      </w:r>
      <w:r w:rsidRPr="000E66D4">
        <w:rPr>
          <w:rFonts w:ascii="Times New Roman" w:eastAsia="Calibri" w:hAnsi="Times New Roman" w:cs="Times New Roman"/>
          <w:color w:val="4C4747"/>
          <w:spacing w:val="20"/>
          <w:sz w:val="24"/>
          <w:szCs w:val="24"/>
          <w:lang w:val="es-DO"/>
        </w:rPr>
        <w:t>en términos del Derecho de Uso de espectro, los cuales generaron un monto total para el año 2022 de trescientos veinte cinco millones ciento noventa y tres mil novecientos ochenta y ocho con 63/100, RD $ 325, 193,988.63.</w:t>
      </w:r>
    </w:p>
    <w:p w14:paraId="459FA852" w14:textId="4E3645BD" w:rsidR="009B2515" w:rsidRPr="000E66D4" w:rsidRDefault="009B2515" w:rsidP="00943FA5">
      <w:pPr>
        <w:spacing w:after="0" w:line="360" w:lineRule="auto"/>
        <w:jc w:val="both"/>
        <w:rPr>
          <w:rFonts w:ascii="Times New Roman" w:eastAsia="Calibri" w:hAnsi="Times New Roman" w:cs="Times New Roman"/>
          <w:color w:val="4C4747"/>
          <w:spacing w:val="20"/>
          <w:sz w:val="20"/>
          <w:szCs w:val="24"/>
          <w:lang w:val="es-DO"/>
        </w:rPr>
      </w:pPr>
      <w:r w:rsidRPr="000E66D4">
        <w:rPr>
          <w:rFonts w:ascii="Times New Roman" w:eastAsia="Calibri" w:hAnsi="Times New Roman" w:cs="Times New Roman"/>
          <w:noProof/>
          <w:color w:val="4C4747"/>
          <w:sz w:val="24"/>
        </w:rPr>
        <w:lastRenderedPageBreak/>
        <w:drawing>
          <wp:inline distT="0" distB="0" distL="0" distR="0" wp14:anchorId="646B6296" wp14:editId="6A51A02E">
            <wp:extent cx="5029200" cy="3208283"/>
            <wp:effectExtent l="0" t="0" r="0" b="11430"/>
            <wp:docPr id="2052" name="Gráfico 2052"/>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r w:rsidRPr="000E66D4">
        <w:rPr>
          <w:rFonts w:ascii="Times New Roman" w:eastAsia="Calibri" w:hAnsi="Times New Roman" w:cs="Times New Roman"/>
          <w:b/>
          <w:color w:val="4C4747"/>
          <w:spacing w:val="20"/>
          <w:sz w:val="18"/>
          <w:szCs w:val="24"/>
          <w:lang w:val="es-DO"/>
        </w:rPr>
        <w:t>Fuente:</w:t>
      </w:r>
      <w:r w:rsidRPr="000E66D4">
        <w:rPr>
          <w:rFonts w:ascii="Times New Roman" w:eastAsia="Calibri" w:hAnsi="Times New Roman" w:cs="Times New Roman"/>
          <w:color w:val="4C4747"/>
          <w:spacing w:val="20"/>
          <w:sz w:val="18"/>
          <w:szCs w:val="24"/>
          <w:lang w:val="es-DO"/>
        </w:rPr>
        <w:t xml:space="preserve"> Dirección de Espectro Radioeléctrico</w:t>
      </w:r>
    </w:p>
    <w:p w14:paraId="05980785" w14:textId="77777777" w:rsidR="00B41B8D" w:rsidRPr="000E66D4" w:rsidRDefault="00B41B8D" w:rsidP="00943FA5">
      <w:pPr>
        <w:spacing w:after="0" w:line="360" w:lineRule="auto"/>
        <w:jc w:val="both"/>
        <w:rPr>
          <w:rFonts w:ascii="Times New Roman" w:eastAsia="Calibri" w:hAnsi="Times New Roman" w:cs="Times New Roman"/>
          <w:b/>
          <w:color w:val="4C4747"/>
          <w:spacing w:val="20"/>
          <w:sz w:val="24"/>
          <w:szCs w:val="24"/>
          <w:lang w:val="es-DO"/>
        </w:rPr>
      </w:pPr>
    </w:p>
    <w:p w14:paraId="19091C58" w14:textId="2BB49DFD" w:rsidR="009B2515" w:rsidRPr="000E66D4" w:rsidRDefault="009B2515">
      <w:pPr>
        <w:spacing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E</w:t>
      </w:r>
      <w:r w:rsidR="0062591D" w:rsidRPr="000E66D4">
        <w:rPr>
          <w:rFonts w:ascii="Times New Roman" w:eastAsia="Calibri" w:hAnsi="Times New Roman" w:cs="Times New Roman"/>
          <w:b/>
          <w:color w:val="4C4747"/>
          <w:spacing w:val="20"/>
          <w:sz w:val="24"/>
          <w:szCs w:val="24"/>
          <w:lang w:val="es-DO"/>
        </w:rPr>
        <w:t>ncuentros bime</w:t>
      </w:r>
      <w:r w:rsidR="000558D2" w:rsidRPr="000E66D4">
        <w:rPr>
          <w:rFonts w:ascii="Times New Roman" w:eastAsia="Calibri" w:hAnsi="Times New Roman" w:cs="Times New Roman"/>
          <w:b/>
          <w:color w:val="4C4747"/>
          <w:spacing w:val="20"/>
          <w:sz w:val="24"/>
          <w:szCs w:val="24"/>
          <w:lang w:val="es-DO"/>
        </w:rPr>
        <w:t>strales</w:t>
      </w:r>
      <w:r w:rsidR="0062591D" w:rsidRPr="000E66D4">
        <w:rPr>
          <w:rFonts w:ascii="Times New Roman" w:eastAsia="Calibri" w:hAnsi="Times New Roman" w:cs="Times New Roman"/>
          <w:b/>
          <w:color w:val="4C4747"/>
          <w:spacing w:val="20"/>
          <w:sz w:val="24"/>
          <w:szCs w:val="24"/>
          <w:lang w:val="es-DO"/>
        </w:rPr>
        <w:t xml:space="preserve"> con el sector radiodifusión s</w:t>
      </w:r>
      <w:r w:rsidRPr="000E66D4">
        <w:rPr>
          <w:rFonts w:ascii="Times New Roman" w:eastAsia="Calibri" w:hAnsi="Times New Roman" w:cs="Times New Roman"/>
          <w:b/>
          <w:color w:val="4C4747"/>
          <w:spacing w:val="20"/>
          <w:sz w:val="24"/>
          <w:szCs w:val="24"/>
          <w:lang w:val="es-DO"/>
        </w:rPr>
        <w:t>onora</w:t>
      </w:r>
    </w:p>
    <w:p w14:paraId="739009B5" w14:textId="0F52FED1" w:rsidR="00BE6A84" w:rsidRPr="000E66D4" w:rsidRDefault="001D3CC6" w:rsidP="00BA7DE5">
      <w:pPr>
        <w:spacing w:line="360" w:lineRule="auto"/>
        <w:jc w:val="both"/>
        <w:rPr>
          <w:color w:val="4C4747"/>
          <w:spacing w:val="20"/>
          <w:szCs w:val="24"/>
          <w:lang w:val="es-DO"/>
        </w:rPr>
      </w:pPr>
      <w:r w:rsidRPr="000E66D4">
        <w:rPr>
          <w:rFonts w:ascii="Times New Roman" w:eastAsia="Calibri" w:hAnsi="Times New Roman" w:cs="Times New Roman"/>
          <w:color w:val="4C4747"/>
          <w:spacing w:val="20"/>
          <w:sz w:val="24"/>
          <w:szCs w:val="24"/>
          <w:lang w:val="es-DO"/>
        </w:rPr>
        <w:t>Estos encuentros se realizan con el objetivo de darle seguimiento a los acuerdos arribados en la</w:t>
      </w:r>
      <w:r w:rsidR="002141A4" w:rsidRPr="000E66D4">
        <w:rPr>
          <w:rFonts w:ascii="Times New Roman" w:eastAsia="Calibri" w:hAnsi="Times New Roman" w:cs="Times New Roman"/>
          <w:color w:val="4C4747"/>
          <w:spacing w:val="20"/>
          <w:sz w:val="24"/>
          <w:szCs w:val="24"/>
          <w:lang w:val="es-DO"/>
        </w:rPr>
        <w:t>s</w:t>
      </w:r>
      <w:r w:rsidRPr="000E66D4">
        <w:rPr>
          <w:rFonts w:ascii="Times New Roman" w:eastAsia="Calibri" w:hAnsi="Times New Roman" w:cs="Times New Roman"/>
          <w:color w:val="4C4747"/>
          <w:spacing w:val="20"/>
          <w:sz w:val="24"/>
          <w:szCs w:val="24"/>
          <w:lang w:val="es-DO"/>
        </w:rPr>
        <w:t xml:space="preserve"> Mesa</w:t>
      </w:r>
      <w:r w:rsidR="002141A4" w:rsidRPr="000E66D4">
        <w:rPr>
          <w:rFonts w:ascii="Times New Roman" w:eastAsia="Calibri" w:hAnsi="Times New Roman" w:cs="Times New Roman"/>
          <w:color w:val="4C4747"/>
          <w:spacing w:val="20"/>
          <w:sz w:val="24"/>
          <w:szCs w:val="24"/>
          <w:lang w:val="es-DO"/>
        </w:rPr>
        <w:t>s</w:t>
      </w:r>
      <w:r w:rsidRPr="000E66D4">
        <w:rPr>
          <w:rFonts w:ascii="Times New Roman" w:eastAsia="Calibri" w:hAnsi="Times New Roman" w:cs="Times New Roman"/>
          <w:color w:val="4C4747"/>
          <w:spacing w:val="20"/>
          <w:sz w:val="24"/>
          <w:szCs w:val="24"/>
          <w:lang w:val="es-DO"/>
        </w:rPr>
        <w:t xml:space="preserve"> Técnica</w:t>
      </w:r>
      <w:r w:rsidR="002141A4" w:rsidRPr="000E66D4">
        <w:rPr>
          <w:rFonts w:ascii="Times New Roman" w:eastAsia="Calibri" w:hAnsi="Times New Roman" w:cs="Times New Roman"/>
          <w:color w:val="4C4747"/>
          <w:spacing w:val="20"/>
          <w:sz w:val="24"/>
          <w:szCs w:val="24"/>
          <w:lang w:val="es-DO"/>
        </w:rPr>
        <w:t>s</w:t>
      </w:r>
      <w:r w:rsidRPr="000E66D4">
        <w:rPr>
          <w:rFonts w:ascii="Times New Roman" w:eastAsia="Calibri" w:hAnsi="Times New Roman" w:cs="Times New Roman"/>
          <w:color w:val="4C4747"/>
          <w:spacing w:val="20"/>
          <w:sz w:val="24"/>
          <w:szCs w:val="24"/>
          <w:lang w:val="es-DO"/>
        </w:rPr>
        <w:t xml:space="preserve"> de R</w:t>
      </w:r>
      <w:r w:rsidR="000558D2" w:rsidRPr="000E66D4">
        <w:rPr>
          <w:rFonts w:ascii="Times New Roman" w:eastAsia="Calibri" w:hAnsi="Times New Roman" w:cs="Times New Roman"/>
          <w:color w:val="4C4747"/>
          <w:spacing w:val="20"/>
          <w:sz w:val="24"/>
          <w:szCs w:val="24"/>
          <w:lang w:val="es-DO"/>
        </w:rPr>
        <w:t>adiodifusión Sonora que se llevaron</w:t>
      </w:r>
      <w:r w:rsidRPr="000E66D4">
        <w:rPr>
          <w:rFonts w:ascii="Times New Roman" w:eastAsia="Calibri" w:hAnsi="Times New Roman" w:cs="Times New Roman"/>
          <w:color w:val="4C4747"/>
          <w:spacing w:val="20"/>
          <w:sz w:val="24"/>
          <w:szCs w:val="24"/>
          <w:lang w:val="es-DO"/>
        </w:rPr>
        <w:t xml:space="preserve"> a cabo entre el Instituto Dominicano de las Telecomunicaciones (INDOTEL) y la Asociación Dominicana de Radiodifusoras (ADORA), </w:t>
      </w:r>
      <w:r w:rsidR="000558D2" w:rsidRPr="000E66D4">
        <w:rPr>
          <w:rFonts w:ascii="Times New Roman" w:eastAsia="Calibri" w:hAnsi="Times New Roman" w:cs="Times New Roman"/>
          <w:color w:val="4C4747"/>
          <w:spacing w:val="20"/>
          <w:sz w:val="24"/>
          <w:szCs w:val="24"/>
          <w:lang w:val="es-DO"/>
        </w:rPr>
        <w:t xml:space="preserve">con la finalidad de </w:t>
      </w:r>
      <w:r w:rsidRPr="000E66D4">
        <w:rPr>
          <w:rFonts w:ascii="Times New Roman" w:eastAsia="Calibri" w:hAnsi="Times New Roman" w:cs="Times New Roman"/>
          <w:color w:val="4C4747"/>
          <w:spacing w:val="20"/>
          <w:sz w:val="24"/>
          <w:szCs w:val="24"/>
          <w:lang w:val="es-DO"/>
        </w:rPr>
        <w:t xml:space="preserve">mejorar la aplicación de la regulación vigente, lograr una mayor colaboración entre el INDOTEL y los entes regulados del sector de radiodifusión sonora, </w:t>
      </w:r>
      <w:r w:rsidR="00BA7DE5" w:rsidRPr="000E66D4">
        <w:rPr>
          <w:rFonts w:ascii="Times New Roman" w:eastAsia="Calibri" w:hAnsi="Times New Roman" w:cs="Times New Roman"/>
          <w:color w:val="4C4747"/>
          <w:spacing w:val="20"/>
          <w:sz w:val="24"/>
          <w:szCs w:val="24"/>
          <w:lang w:val="es-DO"/>
        </w:rPr>
        <w:t xml:space="preserve">logrando </w:t>
      </w:r>
      <w:r w:rsidRPr="000E66D4">
        <w:rPr>
          <w:rFonts w:ascii="Times New Roman" w:eastAsia="Calibri" w:hAnsi="Times New Roman" w:cs="Times New Roman"/>
          <w:color w:val="4C4747"/>
          <w:spacing w:val="20"/>
          <w:sz w:val="24"/>
          <w:szCs w:val="24"/>
          <w:lang w:val="es-DO"/>
        </w:rPr>
        <w:t>asegurar una gestión más eficiente del espectro radioeléctrico, haciendo hincapié en la vigilancia y control del uso no autorizado del espectro.</w:t>
      </w:r>
    </w:p>
    <w:p w14:paraId="2AEADDFD" w14:textId="43CB3CCC" w:rsidR="00BA7DE5" w:rsidRPr="000E66D4" w:rsidRDefault="00C66BBB" w:rsidP="00F65C89">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El acuerdo se enfoca en cuatro aspectos fundamentales de compromiso entre ambas partes: la transparencia en las autorizaciones, organización del espectro y emisión de títulos habilitantes, vigilancia y control, y la creación de capacidades y </w:t>
      </w:r>
      <w:r w:rsidRPr="000E66D4">
        <w:rPr>
          <w:rFonts w:ascii="Times New Roman" w:eastAsia="Calibri" w:hAnsi="Times New Roman" w:cs="Times New Roman"/>
          <w:color w:val="4C4747"/>
          <w:spacing w:val="20"/>
          <w:sz w:val="24"/>
          <w:szCs w:val="24"/>
          <w:lang w:val="es-DO"/>
        </w:rPr>
        <w:lastRenderedPageBreak/>
        <w:t>c</w:t>
      </w:r>
      <w:r w:rsidR="00BA7DE5" w:rsidRPr="000E66D4">
        <w:rPr>
          <w:rFonts w:ascii="Times New Roman" w:eastAsia="Calibri" w:hAnsi="Times New Roman" w:cs="Times New Roman"/>
          <w:color w:val="4C4747"/>
          <w:spacing w:val="20"/>
          <w:sz w:val="24"/>
          <w:szCs w:val="24"/>
          <w:lang w:val="es-DO"/>
        </w:rPr>
        <w:t>olaboración interinstitucional.</w:t>
      </w:r>
    </w:p>
    <w:p w14:paraId="5E53F461" w14:textId="1E069645" w:rsidR="009B2515" w:rsidRPr="000E66D4" w:rsidRDefault="0062591D" w:rsidP="00BA7DE5">
      <w:pPr>
        <w:spacing w:before="240"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Reordenamiento de la banda de radiodifusión s</w:t>
      </w:r>
      <w:r w:rsidR="009B2515" w:rsidRPr="000E66D4">
        <w:rPr>
          <w:rFonts w:ascii="Times New Roman" w:eastAsia="Calibri" w:hAnsi="Times New Roman" w:cs="Times New Roman"/>
          <w:b/>
          <w:color w:val="4C4747"/>
          <w:spacing w:val="20"/>
          <w:sz w:val="24"/>
          <w:szCs w:val="24"/>
          <w:lang w:val="es-DO"/>
        </w:rPr>
        <w:t>onora FM</w:t>
      </w:r>
    </w:p>
    <w:p w14:paraId="021B76EB" w14:textId="4A7A9D35" w:rsidR="001D3CC6" w:rsidRPr="000E66D4" w:rsidRDefault="001D3CC6" w:rsidP="001D3CC6">
      <w:pPr>
        <w:spacing w:line="360" w:lineRule="auto"/>
        <w:jc w:val="both"/>
        <w:rPr>
          <w:rFonts w:ascii="Times New Roman" w:eastAsia="Calibri" w:hAnsi="Times New Roman" w:cs="Times New Roman"/>
          <w:strike/>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En procura de resolver los problemas de interferencias que por años han afectado al sector radiodifusión sonora FM, </w:t>
      </w:r>
      <w:r w:rsidR="00BA7DE5" w:rsidRPr="000E66D4">
        <w:rPr>
          <w:rFonts w:ascii="Times New Roman" w:eastAsia="Calibri" w:hAnsi="Times New Roman" w:cs="Times New Roman"/>
          <w:color w:val="4C4747"/>
          <w:spacing w:val="20"/>
          <w:sz w:val="24"/>
          <w:szCs w:val="24"/>
          <w:lang w:val="es-DO"/>
        </w:rPr>
        <w:t xml:space="preserve">se ha </w:t>
      </w:r>
      <w:r w:rsidRPr="000E66D4">
        <w:rPr>
          <w:rFonts w:ascii="Times New Roman" w:eastAsia="Calibri" w:hAnsi="Times New Roman" w:cs="Times New Roman"/>
          <w:color w:val="4C4747"/>
          <w:spacing w:val="20"/>
          <w:sz w:val="24"/>
          <w:szCs w:val="24"/>
          <w:lang w:val="es-DO"/>
        </w:rPr>
        <w:t>estado trabajando en un plan para el reordenamiento de dicha banda, identificando los conflictos que existen entre las diferentes estaciones, tales como adyacencia e interferencias</w:t>
      </w:r>
      <w:r w:rsidR="00665419" w:rsidRPr="000E66D4">
        <w:rPr>
          <w:rFonts w:ascii="Times New Roman" w:eastAsia="Calibri" w:hAnsi="Times New Roman" w:cs="Times New Roman"/>
          <w:color w:val="4C4747"/>
          <w:spacing w:val="20"/>
          <w:sz w:val="24"/>
          <w:szCs w:val="24"/>
          <w:lang w:val="es-DO"/>
        </w:rPr>
        <w:t>.</w:t>
      </w:r>
    </w:p>
    <w:p w14:paraId="72ADD55B" w14:textId="62AF3AF9" w:rsidR="001D3CC6" w:rsidRPr="000E66D4" w:rsidRDefault="001D3CC6" w:rsidP="001D3CC6">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En este mismo tenor, el Consejo Directivo del INDOTEL emanó la instrucción de realizar migraciones puntuales a los fines de resolver las interferencias que afectan principalmente a las emisoras del Estado dominicano Quisqueya FM y Dominicana FM, que se interfieren entre sí con otras estaciones de radio. </w:t>
      </w:r>
      <w:r w:rsidR="00665419" w:rsidRPr="000E66D4">
        <w:rPr>
          <w:rFonts w:ascii="Times New Roman" w:eastAsia="Calibri" w:hAnsi="Times New Roman" w:cs="Times New Roman"/>
          <w:color w:val="4C4747"/>
          <w:spacing w:val="20"/>
          <w:sz w:val="24"/>
          <w:szCs w:val="24"/>
          <w:lang w:val="es-DO"/>
        </w:rPr>
        <w:t>Se</w:t>
      </w:r>
      <w:r w:rsidRPr="000E66D4">
        <w:rPr>
          <w:rFonts w:ascii="Times New Roman" w:eastAsia="Calibri" w:hAnsi="Times New Roman" w:cs="Times New Roman"/>
          <w:color w:val="4C4747"/>
          <w:spacing w:val="20"/>
          <w:sz w:val="24"/>
          <w:szCs w:val="24"/>
          <w:lang w:val="es-DO"/>
        </w:rPr>
        <w:t xml:space="preserve"> realizaron los informes técnicos correspondientes a las migraciones de frecuencias y las simulaciones de propagación de ondas electromagnéticas necesarias para garantizar que las estaciones del Estado dominicano, puedan operar sin los problemas de interferencias que hoy en día les impiden transmitir de manera regular. </w:t>
      </w:r>
    </w:p>
    <w:p w14:paraId="11DF08E9" w14:textId="2E0E7BA5" w:rsidR="001D3CC6" w:rsidRPr="000E66D4" w:rsidRDefault="001D3CC6" w:rsidP="001D3CC6">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Actualmente </w:t>
      </w:r>
      <w:r w:rsidR="00CC4E19" w:rsidRPr="000E66D4">
        <w:rPr>
          <w:rFonts w:ascii="Times New Roman" w:eastAsia="Calibri" w:hAnsi="Times New Roman" w:cs="Times New Roman"/>
          <w:color w:val="4C4747"/>
          <w:spacing w:val="20"/>
          <w:sz w:val="24"/>
          <w:szCs w:val="24"/>
          <w:lang w:val="es-DO"/>
        </w:rPr>
        <w:t xml:space="preserve">el INDOTEL se encuentra </w:t>
      </w:r>
      <w:r w:rsidRPr="000E66D4">
        <w:rPr>
          <w:rFonts w:ascii="Times New Roman" w:eastAsia="Calibri" w:hAnsi="Times New Roman" w:cs="Times New Roman"/>
          <w:color w:val="4C4747"/>
          <w:spacing w:val="20"/>
          <w:sz w:val="24"/>
          <w:szCs w:val="24"/>
          <w:lang w:val="es-DO"/>
        </w:rPr>
        <w:t>en el proceso de emitir las resoluciones individuales de migración de las frecuencias.</w:t>
      </w:r>
    </w:p>
    <w:p w14:paraId="0529A44E" w14:textId="77777777" w:rsidR="009B2515" w:rsidRPr="000E66D4" w:rsidRDefault="009B2515" w:rsidP="009B2515">
      <w:pPr>
        <w:pStyle w:val="Sinespaciado"/>
        <w:rPr>
          <w:color w:val="4C4747"/>
          <w:lang w:val="es-DO"/>
        </w:rPr>
      </w:pPr>
    </w:p>
    <w:p w14:paraId="2990EDEC" w14:textId="77777777" w:rsidR="009B2515" w:rsidRPr="000E66D4" w:rsidRDefault="009B2515" w:rsidP="009B2515">
      <w:pPr>
        <w:spacing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Implementación de la Televisión Terrestre Digital (TTD)</w:t>
      </w:r>
    </w:p>
    <w:p w14:paraId="69C27004" w14:textId="310843CC" w:rsidR="001D3CC6" w:rsidRPr="000E66D4" w:rsidRDefault="00505719" w:rsidP="001D3CC6">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En el año</w:t>
      </w:r>
      <w:r w:rsidR="001D3CC6" w:rsidRPr="000E66D4">
        <w:rPr>
          <w:rFonts w:ascii="Times New Roman" w:eastAsia="Calibri" w:hAnsi="Times New Roman" w:cs="Times New Roman"/>
          <w:color w:val="4C4747"/>
          <w:spacing w:val="20"/>
          <w:sz w:val="24"/>
          <w:szCs w:val="24"/>
          <w:lang w:val="es-DO"/>
        </w:rPr>
        <w:t xml:space="preserve"> 2022, </w:t>
      </w:r>
      <w:r w:rsidR="00CC4E19" w:rsidRPr="000E66D4">
        <w:rPr>
          <w:rFonts w:ascii="Times New Roman" w:eastAsia="Calibri" w:hAnsi="Times New Roman" w:cs="Times New Roman"/>
          <w:color w:val="4C4747"/>
          <w:spacing w:val="20"/>
          <w:sz w:val="24"/>
          <w:szCs w:val="24"/>
          <w:lang w:val="es-DO"/>
        </w:rPr>
        <w:t>se continuó</w:t>
      </w:r>
      <w:r w:rsidR="001D3CC6" w:rsidRPr="000E66D4">
        <w:rPr>
          <w:rFonts w:ascii="Times New Roman" w:eastAsia="Calibri" w:hAnsi="Times New Roman" w:cs="Times New Roman"/>
          <w:color w:val="4C4747"/>
          <w:spacing w:val="20"/>
          <w:sz w:val="24"/>
          <w:szCs w:val="24"/>
          <w:lang w:val="es-DO"/>
        </w:rPr>
        <w:t xml:space="preserve"> </w:t>
      </w:r>
      <w:r w:rsidR="00717142" w:rsidRPr="000E66D4">
        <w:rPr>
          <w:rFonts w:ascii="Times New Roman" w:eastAsia="Calibri" w:hAnsi="Times New Roman" w:cs="Times New Roman"/>
          <w:color w:val="4C4747"/>
          <w:spacing w:val="20"/>
          <w:sz w:val="24"/>
          <w:szCs w:val="24"/>
          <w:lang w:val="es-DO"/>
        </w:rPr>
        <w:t xml:space="preserve">trabajando </w:t>
      </w:r>
      <w:r w:rsidR="001D3CC6" w:rsidRPr="000E66D4">
        <w:rPr>
          <w:rFonts w:ascii="Times New Roman" w:eastAsia="Calibri" w:hAnsi="Times New Roman" w:cs="Times New Roman"/>
          <w:color w:val="4C4747"/>
          <w:spacing w:val="20"/>
          <w:sz w:val="24"/>
          <w:szCs w:val="24"/>
          <w:lang w:val="es-DO"/>
        </w:rPr>
        <w:t xml:space="preserve">con </w:t>
      </w:r>
      <w:r w:rsidR="00717142" w:rsidRPr="000E66D4">
        <w:rPr>
          <w:rFonts w:ascii="Times New Roman" w:eastAsia="Calibri" w:hAnsi="Times New Roman" w:cs="Times New Roman"/>
          <w:color w:val="4C4747"/>
          <w:spacing w:val="20"/>
          <w:sz w:val="24"/>
          <w:szCs w:val="24"/>
          <w:lang w:val="es-DO"/>
        </w:rPr>
        <w:t xml:space="preserve">el </w:t>
      </w:r>
      <w:r w:rsidR="001D3CC6" w:rsidRPr="000E66D4">
        <w:rPr>
          <w:rFonts w:ascii="Times New Roman" w:eastAsia="Calibri" w:hAnsi="Times New Roman" w:cs="Times New Roman"/>
          <w:color w:val="4C4747"/>
          <w:spacing w:val="20"/>
          <w:sz w:val="24"/>
          <w:szCs w:val="24"/>
          <w:lang w:val="es-DO"/>
        </w:rPr>
        <w:t xml:space="preserve">cronograma del proyecto de implementación de la Televisión Digital </w:t>
      </w:r>
      <w:r w:rsidR="005F164E" w:rsidRPr="000E66D4">
        <w:rPr>
          <w:rFonts w:ascii="Times New Roman" w:eastAsia="Calibri" w:hAnsi="Times New Roman" w:cs="Times New Roman"/>
          <w:color w:val="4C4747"/>
          <w:spacing w:val="20"/>
          <w:sz w:val="24"/>
          <w:szCs w:val="24"/>
          <w:lang w:val="es-DO"/>
        </w:rPr>
        <w:t xml:space="preserve">ejecutando </w:t>
      </w:r>
      <w:r w:rsidR="001D3CC6" w:rsidRPr="000E66D4">
        <w:rPr>
          <w:rFonts w:ascii="Times New Roman" w:eastAsia="Calibri" w:hAnsi="Times New Roman" w:cs="Times New Roman"/>
          <w:color w:val="4C4747"/>
          <w:spacing w:val="20"/>
          <w:sz w:val="24"/>
          <w:szCs w:val="24"/>
          <w:lang w:val="es-DO"/>
        </w:rPr>
        <w:t xml:space="preserve">las </w:t>
      </w:r>
      <w:r w:rsidRPr="000E66D4">
        <w:rPr>
          <w:rFonts w:ascii="Times New Roman" w:eastAsia="Calibri" w:hAnsi="Times New Roman" w:cs="Times New Roman"/>
          <w:color w:val="4C4747"/>
          <w:spacing w:val="20"/>
          <w:sz w:val="24"/>
          <w:szCs w:val="24"/>
          <w:lang w:val="es-DO"/>
        </w:rPr>
        <w:t>actividades necesarias</w:t>
      </w:r>
      <w:r w:rsidR="001D3CC6" w:rsidRPr="000E66D4">
        <w:rPr>
          <w:rFonts w:ascii="Times New Roman" w:eastAsia="Calibri" w:hAnsi="Times New Roman" w:cs="Times New Roman"/>
          <w:color w:val="4C4747"/>
          <w:spacing w:val="20"/>
          <w:sz w:val="24"/>
          <w:szCs w:val="24"/>
          <w:lang w:val="es-DO"/>
        </w:rPr>
        <w:t xml:space="preserve"> para poder implementar la TTD en </w:t>
      </w:r>
      <w:r w:rsidR="005F164E" w:rsidRPr="000E66D4">
        <w:rPr>
          <w:rFonts w:ascii="Times New Roman" w:eastAsia="Calibri" w:hAnsi="Times New Roman" w:cs="Times New Roman"/>
          <w:color w:val="4C4747"/>
          <w:spacing w:val="20"/>
          <w:sz w:val="24"/>
          <w:szCs w:val="24"/>
          <w:lang w:val="es-DO"/>
        </w:rPr>
        <w:t xml:space="preserve">la </w:t>
      </w:r>
      <w:r w:rsidR="001D3CC6" w:rsidRPr="000E66D4">
        <w:rPr>
          <w:rFonts w:ascii="Times New Roman" w:eastAsia="Calibri" w:hAnsi="Times New Roman" w:cs="Times New Roman"/>
          <w:color w:val="4C4747"/>
          <w:spacing w:val="20"/>
          <w:sz w:val="24"/>
          <w:szCs w:val="24"/>
          <w:lang w:val="es-DO"/>
        </w:rPr>
        <w:t>República Dominicana.</w:t>
      </w:r>
    </w:p>
    <w:p w14:paraId="63502A1C" w14:textId="77777777" w:rsidR="001D3CC6" w:rsidRPr="000E66D4" w:rsidRDefault="001D3CC6" w:rsidP="001D3CC6">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Dentro de estas actividades podemos citar: </w:t>
      </w:r>
    </w:p>
    <w:p w14:paraId="156C5A27" w14:textId="0B23FC96" w:rsidR="001D3CC6" w:rsidRPr="000E66D4" w:rsidRDefault="001D3CC6" w:rsidP="00A02BDE">
      <w:pPr>
        <w:pStyle w:val="Prrafodelista"/>
        <w:numPr>
          <w:ilvl w:val="0"/>
          <w:numId w:val="3"/>
        </w:num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Reglamento de Televisión </w:t>
      </w:r>
      <w:r w:rsidR="00505719" w:rsidRPr="000E66D4">
        <w:rPr>
          <w:rFonts w:ascii="Times New Roman" w:eastAsia="Calibri" w:hAnsi="Times New Roman" w:cs="Times New Roman"/>
          <w:color w:val="4C4747"/>
          <w:spacing w:val="20"/>
          <w:sz w:val="24"/>
          <w:szCs w:val="24"/>
          <w:lang w:val="es-DO"/>
        </w:rPr>
        <w:t xml:space="preserve">Terrestre </w:t>
      </w:r>
      <w:r w:rsidRPr="000E66D4">
        <w:rPr>
          <w:rFonts w:ascii="Times New Roman" w:eastAsia="Calibri" w:hAnsi="Times New Roman" w:cs="Times New Roman"/>
          <w:color w:val="4C4747"/>
          <w:spacing w:val="20"/>
          <w:sz w:val="24"/>
          <w:szCs w:val="24"/>
          <w:lang w:val="es-DO"/>
        </w:rPr>
        <w:t>Digital</w:t>
      </w:r>
    </w:p>
    <w:p w14:paraId="78CB45CF" w14:textId="77777777" w:rsidR="001D3CC6" w:rsidRPr="000E66D4" w:rsidRDefault="001D3CC6" w:rsidP="00A02BDE">
      <w:pPr>
        <w:pStyle w:val="Prrafodelista"/>
        <w:numPr>
          <w:ilvl w:val="0"/>
          <w:numId w:val="3"/>
        </w:num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Plan Técnico Fundamental </w:t>
      </w:r>
    </w:p>
    <w:p w14:paraId="29420685" w14:textId="77777777" w:rsidR="001D3CC6" w:rsidRPr="000E66D4" w:rsidRDefault="001D3CC6" w:rsidP="00A02BDE">
      <w:pPr>
        <w:pStyle w:val="Prrafodelista"/>
        <w:numPr>
          <w:ilvl w:val="0"/>
          <w:numId w:val="3"/>
        </w:num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lastRenderedPageBreak/>
        <w:t>Plan de migración de los canales de televisión</w:t>
      </w:r>
    </w:p>
    <w:p w14:paraId="6500DA94" w14:textId="77777777" w:rsidR="001D3CC6" w:rsidRPr="000E66D4" w:rsidRDefault="001D3CC6" w:rsidP="00A02BDE">
      <w:pPr>
        <w:pStyle w:val="Prrafodelista"/>
        <w:numPr>
          <w:ilvl w:val="0"/>
          <w:numId w:val="3"/>
        </w:num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Transición de la Televisión Digital</w:t>
      </w:r>
    </w:p>
    <w:p w14:paraId="6CCE5DCB" w14:textId="61AFD6EA" w:rsidR="001D3CC6" w:rsidRPr="000E66D4" w:rsidRDefault="000558D2" w:rsidP="00A02BDE">
      <w:pPr>
        <w:pStyle w:val="Prrafodelista"/>
        <w:numPr>
          <w:ilvl w:val="0"/>
          <w:numId w:val="3"/>
        </w:num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Adquisición y distribución de d</w:t>
      </w:r>
      <w:r w:rsidR="001D3CC6" w:rsidRPr="000E66D4">
        <w:rPr>
          <w:rFonts w:ascii="Times New Roman" w:eastAsia="Calibri" w:hAnsi="Times New Roman" w:cs="Times New Roman"/>
          <w:color w:val="4C4747"/>
          <w:spacing w:val="20"/>
          <w:sz w:val="24"/>
          <w:szCs w:val="24"/>
          <w:lang w:val="es-DO"/>
        </w:rPr>
        <w:t>ispositivos decodificadores de Televisión Digital</w:t>
      </w:r>
    </w:p>
    <w:p w14:paraId="43F12284" w14:textId="014B5B08" w:rsidR="001D3CC6" w:rsidRPr="000E66D4" w:rsidRDefault="00505719" w:rsidP="00A02BDE">
      <w:pPr>
        <w:pStyle w:val="Prrafodelista"/>
        <w:numPr>
          <w:ilvl w:val="0"/>
          <w:numId w:val="3"/>
        </w:num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Elaboración </w:t>
      </w:r>
      <w:r w:rsidR="000558D2" w:rsidRPr="000E66D4">
        <w:rPr>
          <w:rFonts w:ascii="Times New Roman" w:eastAsia="Calibri" w:hAnsi="Times New Roman" w:cs="Times New Roman"/>
          <w:color w:val="4C4747"/>
          <w:spacing w:val="20"/>
          <w:sz w:val="24"/>
          <w:szCs w:val="24"/>
          <w:lang w:val="es-DO"/>
        </w:rPr>
        <w:t>p</w:t>
      </w:r>
      <w:r w:rsidR="001D3CC6" w:rsidRPr="000E66D4">
        <w:rPr>
          <w:rFonts w:ascii="Times New Roman" w:eastAsia="Calibri" w:hAnsi="Times New Roman" w:cs="Times New Roman"/>
          <w:color w:val="4C4747"/>
          <w:spacing w:val="20"/>
          <w:sz w:val="24"/>
          <w:szCs w:val="24"/>
          <w:lang w:val="es-DO"/>
        </w:rPr>
        <w:t>lan comunicacional</w:t>
      </w:r>
    </w:p>
    <w:p w14:paraId="0E137A4D" w14:textId="3C7AED61" w:rsidR="00505719" w:rsidRPr="000E66D4" w:rsidRDefault="001D3CC6" w:rsidP="00345AC2">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En cuanto a los dispositivos decodificadores de Televisión Digital, se lanzó la licitación pública internacional  INDOTEL-BID-LPI-001-2022. Para la adquisición y distribución de 450,000.00 unidades de dispositivos decodificadores de la señal ATSC 1.0, con lo que el Estado dominicano garantiza</w:t>
      </w:r>
      <w:r w:rsidR="00E35F7C" w:rsidRPr="000E66D4">
        <w:rPr>
          <w:rFonts w:ascii="Times New Roman" w:eastAsia="Calibri" w:hAnsi="Times New Roman" w:cs="Times New Roman"/>
          <w:color w:val="4C4747"/>
          <w:spacing w:val="20"/>
          <w:sz w:val="24"/>
          <w:szCs w:val="24"/>
          <w:lang w:val="es-DO"/>
        </w:rPr>
        <w:t>rá</w:t>
      </w:r>
      <w:r w:rsidRPr="000E66D4">
        <w:rPr>
          <w:rFonts w:ascii="Times New Roman" w:eastAsia="Calibri" w:hAnsi="Times New Roman" w:cs="Times New Roman"/>
          <w:color w:val="4C4747"/>
          <w:spacing w:val="20"/>
          <w:sz w:val="24"/>
          <w:szCs w:val="24"/>
          <w:lang w:val="es-DO"/>
        </w:rPr>
        <w:t xml:space="preserve"> el acceso a la televisión digital a los sectores más vulnerables de nuestro país; de igual manera se inició </w:t>
      </w:r>
      <w:r w:rsidR="00505719" w:rsidRPr="000E66D4">
        <w:rPr>
          <w:rFonts w:ascii="Times New Roman" w:eastAsia="Calibri" w:hAnsi="Times New Roman" w:cs="Times New Roman"/>
          <w:color w:val="4C4747"/>
          <w:spacing w:val="20"/>
          <w:sz w:val="24"/>
          <w:szCs w:val="24"/>
          <w:lang w:val="es-DO"/>
        </w:rPr>
        <w:t xml:space="preserve">a ejecutar </w:t>
      </w:r>
      <w:r w:rsidRPr="000E66D4">
        <w:rPr>
          <w:rFonts w:ascii="Times New Roman" w:eastAsia="Calibri" w:hAnsi="Times New Roman" w:cs="Times New Roman"/>
          <w:color w:val="4C4747"/>
          <w:spacing w:val="20"/>
          <w:sz w:val="24"/>
          <w:szCs w:val="24"/>
          <w:lang w:val="es-DO"/>
        </w:rPr>
        <w:t>un plan comunicacional a los fines de concientizar y educar a la población sobre el cambio en el fo</w:t>
      </w:r>
      <w:r w:rsidR="00345AC2" w:rsidRPr="000E66D4">
        <w:rPr>
          <w:rFonts w:ascii="Times New Roman" w:eastAsia="Calibri" w:hAnsi="Times New Roman" w:cs="Times New Roman"/>
          <w:color w:val="4C4747"/>
          <w:spacing w:val="20"/>
          <w:sz w:val="24"/>
          <w:szCs w:val="24"/>
          <w:lang w:val="es-DO"/>
        </w:rPr>
        <w:t>rmato de la televisión digital.</w:t>
      </w:r>
    </w:p>
    <w:p w14:paraId="1A327033" w14:textId="4DFFF9AD" w:rsidR="00505719" w:rsidRPr="000E66D4" w:rsidRDefault="001D3CC6" w:rsidP="00345AC2">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Mediante el Decreto </w:t>
      </w:r>
      <w:r w:rsidR="005268A3" w:rsidRPr="000E66D4">
        <w:rPr>
          <w:rFonts w:ascii="Times New Roman" w:eastAsia="Calibri" w:hAnsi="Times New Roman" w:cs="Times New Roman"/>
          <w:color w:val="4C4747"/>
          <w:spacing w:val="20"/>
          <w:sz w:val="24"/>
          <w:szCs w:val="24"/>
          <w:lang w:val="es-DO"/>
        </w:rPr>
        <w:t xml:space="preserve">Presidencial </w:t>
      </w:r>
      <w:r w:rsidRPr="000E66D4">
        <w:rPr>
          <w:rFonts w:ascii="Times New Roman" w:eastAsia="Calibri" w:hAnsi="Times New Roman" w:cs="Times New Roman"/>
          <w:color w:val="4C4747"/>
          <w:spacing w:val="20"/>
          <w:sz w:val="24"/>
          <w:szCs w:val="24"/>
          <w:lang w:val="es-DO"/>
        </w:rPr>
        <w:t>número</w:t>
      </w:r>
      <w:r w:rsidR="00505719" w:rsidRPr="000E66D4">
        <w:rPr>
          <w:rFonts w:ascii="Times New Roman" w:eastAsia="Calibri" w:hAnsi="Times New Roman" w:cs="Times New Roman"/>
          <w:color w:val="4C4747"/>
          <w:spacing w:val="20"/>
          <w:sz w:val="24"/>
          <w:szCs w:val="24"/>
          <w:lang w:val="es-DO"/>
        </w:rPr>
        <w:t xml:space="preserve"> 437-2022 se instruyó</w:t>
      </w:r>
      <w:r w:rsidRPr="000E66D4">
        <w:rPr>
          <w:rFonts w:ascii="Times New Roman" w:eastAsia="Calibri" w:hAnsi="Times New Roman" w:cs="Times New Roman"/>
          <w:color w:val="4C4747"/>
          <w:spacing w:val="20"/>
          <w:sz w:val="24"/>
          <w:szCs w:val="24"/>
          <w:lang w:val="es-DO"/>
        </w:rPr>
        <w:t xml:space="preserve"> al INDOTEL establecer una hoja de ruta que permita la implementación de la Televisión Terrestre Digital, estableciendo el 31 de agosto de 2023 como la fecha límite para que las concesionarias del servicio de radiodifusión televisiva procedan a realizar el apagón analógico y el 31 de diciembre de 2023 como fecha límite para</w:t>
      </w:r>
      <w:r w:rsidR="00345AC2" w:rsidRPr="000E66D4">
        <w:rPr>
          <w:rFonts w:ascii="Times New Roman" w:eastAsia="Calibri" w:hAnsi="Times New Roman" w:cs="Times New Roman"/>
          <w:color w:val="4C4747"/>
          <w:spacing w:val="20"/>
          <w:sz w:val="24"/>
          <w:szCs w:val="24"/>
          <w:lang w:val="es-DO"/>
        </w:rPr>
        <w:t xml:space="preserve"> realizar el encendido digital.</w:t>
      </w:r>
    </w:p>
    <w:p w14:paraId="4BBF1E41" w14:textId="148C2A66" w:rsidR="009B2515" w:rsidRPr="007C16C5" w:rsidRDefault="0062591D" w:rsidP="00345AC2">
      <w:pPr>
        <w:spacing w:before="240" w:line="360" w:lineRule="auto"/>
        <w:jc w:val="both"/>
        <w:rPr>
          <w:rFonts w:ascii="Times New Roman" w:eastAsia="Calibri" w:hAnsi="Times New Roman" w:cs="Times New Roman"/>
          <w:b/>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Despeje de b</w:t>
      </w:r>
      <w:r w:rsidR="009B2515" w:rsidRPr="007C16C5">
        <w:rPr>
          <w:rFonts w:ascii="Times New Roman" w:eastAsia="Calibri" w:hAnsi="Times New Roman" w:cs="Times New Roman"/>
          <w:b/>
          <w:color w:val="4C4747"/>
          <w:spacing w:val="20"/>
          <w:sz w:val="24"/>
          <w:szCs w:val="24"/>
          <w:lang w:val="es-DO"/>
        </w:rPr>
        <w:t>anda 800 MHz</w:t>
      </w:r>
    </w:p>
    <w:p w14:paraId="1D445E19" w14:textId="3E2065D3" w:rsidR="001D3CC6" w:rsidRPr="007C16C5" w:rsidRDefault="001D3CC6"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Como parte de las funciones del INDOTEL de velar por un uso eficiente del </w:t>
      </w:r>
      <w:r w:rsidR="00DE4567" w:rsidRPr="007C16C5">
        <w:rPr>
          <w:rFonts w:ascii="Times New Roman" w:eastAsia="Calibri" w:hAnsi="Times New Roman" w:cs="Times New Roman"/>
          <w:color w:val="4C4747"/>
          <w:spacing w:val="20"/>
          <w:sz w:val="24"/>
          <w:szCs w:val="24"/>
          <w:lang w:val="es-DO"/>
        </w:rPr>
        <w:t>e</w:t>
      </w:r>
      <w:r w:rsidRPr="007C16C5">
        <w:rPr>
          <w:rFonts w:ascii="Times New Roman" w:eastAsia="Calibri" w:hAnsi="Times New Roman" w:cs="Times New Roman"/>
          <w:color w:val="4C4747"/>
          <w:spacing w:val="20"/>
          <w:sz w:val="24"/>
          <w:szCs w:val="24"/>
          <w:lang w:val="es-DO"/>
        </w:rPr>
        <w:t xml:space="preserve">spectro </w:t>
      </w:r>
      <w:r w:rsidR="00DE4567" w:rsidRPr="007C16C5">
        <w:rPr>
          <w:rFonts w:ascii="Times New Roman" w:eastAsia="Calibri" w:hAnsi="Times New Roman" w:cs="Times New Roman"/>
          <w:color w:val="4C4747"/>
          <w:spacing w:val="20"/>
          <w:sz w:val="24"/>
          <w:szCs w:val="24"/>
          <w:lang w:val="es-DO"/>
        </w:rPr>
        <w:t>r</w:t>
      </w:r>
      <w:r w:rsidRPr="007C16C5">
        <w:rPr>
          <w:rFonts w:ascii="Times New Roman" w:eastAsia="Calibri" w:hAnsi="Times New Roman" w:cs="Times New Roman"/>
          <w:color w:val="4C4747"/>
          <w:spacing w:val="20"/>
          <w:sz w:val="24"/>
          <w:szCs w:val="24"/>
          <w:lang w:val="es-DO"/>
        </w:rPr>
        <w:t xml:space="preserve">adioeléctrico, se </w:t>
      </w:r>
      <w:r w:rsidR="005F164E" w:rsidRPr="007C16C5">
        <w:rPr>
          <w:rFonts w:ascii="Times New Roman" w:eastAsia="Calibri" w:hAnsi="Times New Roman" w:cs="Times New Roman"/>
          <w:color w:val="4C4747"/>
          <w:spacing w:val="20"/>
          <w:sz w:val="24"/>
          <w:szCs w:val="24"/>
          <w:lang w:val="es-DO"/>
        </w:rPr>
        <w:t xml:space="preserve">realizó </w:t>
      </w:r>
      <w:r w:rsidRPr="007C16C5">
        <w:rPr>
          <w:rFonts w:ascii="Times New Roman" w:eastAsia="Calibri" w:hAnsi="Times New Roman" w:cs="Times New Roman"/>
          <w:color w:val="4C4747"/>
          <w:spacing w:val="20"/>
          <w:sz w:val="24"/>
          <w:szCs w:val="24"/>
          <w:lang w:val="es-DO"/>
        </w:rPr>
        <w:t>la tarea de verificar los usos en las diferentes bandas, continuando con la banda de 800 MHz, en la cual se inició el monitoreo en diferentes lugares a nivel nacional. Se realiz</w:t>
      </w:r>
      <w:r w:rsidR="00345AC2" w:rsidRPr="007C16C5">
        <w:rPr>
          <w:rFonts w:ascii="Times New Roman" w:eastAsia="Calibri" w:hAnsi="Times New Roman" w:cs="Times New Roman"/>
          <w:color w:val="4C4747"/>
          <w:spacing w:val="20"/>
          <w:sz w:val="24"/>
          <w:szCs w:val="24"/>
          <w:lang w:val="es-DO"/>
        </w:rPr>
        <w:t>ó</w:t>
      </w:r>
      <w:r w:rsidR="00505719" w:rsidRPr="007C16C5">
        <w:rPr>
          <w:rFonts w:ascii="Times New Roman" w:eastAsia="Calibri" w:hAnsi="Times New Roman" w:cs="Times New Roman"/>
          <w:color w:val="4C4747"/>
          <w:spacing w:val="20"/>
          <w:sz w:val="24"/>
          <w:szCs w:val="24"/>
          <w:lang w:val="es-DO"/>
        </w:rPr>
        <w:t xml:space="preserve"> los informes pertinentes y se </w:t>
      </w:r>
      <w:r w:rsidRPr="007C16C5">
        <w:rPr>
          <w:rFonts w:ascii="Times New Roman" w:eastAsia="Calibri" w:hAnsi="Times New Roman" w:cs="Times New Roman"/>
          <w:color w:val="4C4747"/>
          <w:spacing w:val="20"/>
          <w:sz w:val="24"/>
          <w:szCs w:val="24"/>
          <w:lang w:val="es-DO"/>
        </w:rPr>
        <w:t xml:space="preserve">remitieron comunicaciones a </w:t>
      </w:r>
      <w:r w:rsidR="00117F7E" w:rsidRPr="007C16C5">
        <w:rPr>
          <w:rFonts w:ascii="Times New Roman" w:eastAsia="Calibri" w:hAnsi="Times New Roman" w:cs="Times New Roman"/>
          <w:color w:val="4C4747"/>
          <w:spacing w:val="20"/>
          <w:sz w:val="24"/>
          <w:szCs w:val="24"/>
          <w:lang w:val="es-DO"/>
        </w:rPr>
        <w:t>las</w:t>
      </w:r>
      <w:r w:rsidRPr="007C16C5">
        <w:rPr>
          <w:rFonts w:ascii="Times New Roman" w:eastAsia="Calibri" w:hAnsi="Times New Roman" w:cs="Times New Roman"/>
          <w:color w:val="4C4747"/>
          <w:spacing w:val="20"/>
          <w:sz w:val="24"/>
          <w:szCs w:val="24"/>
          <w:lang w:val="es-DO"/>
        </w:rPr>
        <w:t xml:space="preserve"> </w:t>
      </w:r>
      <w:r w:rsidR="00117F7E" w:rsidRPr="007C16C5">
        <w:rPr>
          <w:rFonts w:ascii="Times New Roman" w:eastAsia="Calibri" w:hAnsi="Times New Roman" w:cs="Times New Roman"/>
          <w:color w:val="4C4747"/>
          <w:spacing w:val="20"/>
          <w:sz w:val="24"/>
          <w:szCs w:val="24"/>
          <w:lang w:val="es-DO"/>
        </w:rPr>
        <w:t xml:space="preserve">prestadoras de telecomunicaciones </w:t>
      </w:r>
      <w:r w:rsidRPr="007C16C5">
        <w:rPr>
          <w:rFonts w:ascii="Times New Roman" w:eastAsia="Calibri" w:hAnsi="Times New Roman" w:cs="Times New Roman"/>
          <w:color w:val="4C4747"/>
          <w:spacing w:val="20"/>
          <w:sz w:val="24"/>
          <w:szCs w:val="24"/>
          <w:lang w:val="es-DO"/>
        </w:rPr>
        <w:t xml:space="preserve">de dicha banda con la finalidad de que entregaran voluntariamente </w:t>
      </w:r>
      <w:r w:rsidR="006E249B" w:rsidRPr="007C16C5">
        <w:rPr>
          <w:rFonts w:ascii="Times New Roman" w:eastAsia="Calibri" w:hAnsi="Times New Roman" w:cs="Times New Roman"/>
          <w:color w:val="4C4747"/>
          <w:spacing w:val="20"/>
          <w:sz w:val="24"/>
          <w:szCs w:val="24"/>
          <w:lang w:val="es-DO"/>
        </w:rPr>
        <w:t xml:space="preserve">las </w:t>
      </w:r>
      <w:r w:rsidRPr="007C16C5">
        <w:rPr>
          <w:rFonts w:ascii="Times New Roman" w:eastAsia="Calibri" w:hAnsi="Times New Roman" w:cs="Times New Roman"/>
          <w:color w:val="4C4747"/>
          <w:spacing w:val="20"/>
          <w:sz w:val="24"/>
          <w:szCs w:val="24"/>
          <w:lang w:val="es-DO"/>
        </w:rPr>
        <w:t>frecuencias</w:t>
      </w:r>
      <w:r w:rsidR="006E249B" w:rsidRPr="007C16C5">
        <w:rPr>
          <w:rFonts w:ascii="Times New Roman" w:eastAsia="Calibri" w:hAnsi="Times New Roman" w:cs="Times New Roman"/>
          <w:color w:val="4C4747"/>
          <w:spacing w:val="20"/>
          <w:sz w:val="24"/>
          <w:szCs w:val="24"/>
          <w:lang w:val="es-DO"/>
        </w:rPr>
        <w:t xml:space="preserve"> asignadas</w:t>
      </w:r>
      <w:r w:rsidRPr="007C16C5">
        <w:rPr>
          <w:rFonts w:ascii="Times New Roman" w:eastAsia="Calibri" w:hAnsi="Times New Roman" w:cs="Times New Roman"/>
          <w:color w:val="4C4747"/>
          <w:spacing w:val="20"/>
          <w:sz w:val="24"/>
          <w:szCs w:val="24"/>
          <w:lang w:val="es-DO"/>
        </w:rPr>
        <w:t>.</w:t>
      </w:r>
    </w:p>
    <w:p w14:paraId="408C5E37" w14:textId="26ABCA70" w:rsidR="00281E74" w:rsidRPr="007C16C5" w:rsidRDefault="001D3CC6" w:rsidP="00345AC2">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lastRenderedPageBreak/>
        <w:t xml:space="preserve">Luego se </w:t>
      </w:r>
      <w:r w:rsidR="00345AC2" w:rsidRPr="007C16C5">
        <w:rPr>
          <w:rFonts w:ascii="Times New Roman" w:eastAsia="Calibri" w:hAnsi="Times New Roman" w:cs="Times New Roman"/>
          <w:color w:val="4C4747"/>
          <w:spacing w:val="20"/>
          <w:sz w:val="24"/>
          <w:szCs w:val="24"/>
          <w:lang w:val="es-DO"/>
        </w:rPr>
        <w:t>realizó</w:t>
      </w:r>
      <w:r w:rsidRPr="007C16C5">
        <w:rPr>
          <w:rFonts w:ascii="Times New Roman" w:eastAsia="Calibri" w:hAnsi="Times New Roman" w:cs="Times New Roman"/>
          <w:color w:val="4C4747"/>
          <w:spacing w:val="20"/>
          <w:sz w:val="24"/>
          <w:szCs w:val="24"/>
          <w:lang w:val="es-DO"/>
        </w:rPr>
        <w:t xml:space="preserve"> reuniones con las prestadoras de telecomunicaciones que aún poseían frecuencias en dichas bandas y </w:t>
      </w:r>
      <w:r w:rsidR="00117F7E" w:rsidRPr="007C16C5">
        <w:rPr>
          <w:rFonts w:ascii="Times New Roman" w:eastAsia="Calibri" w:hAnsi="Times New Roman" w:cs="Times New Roman"/>
          <w:color w:val="4C4747"/>
          <w:spacing w:val="20"/>
          <w:sz w:val="24"/>
          <w:szCs w:val="24"/>
          <w:lang w:val="es-DO"/>
        </w:rPr>
        <w:t>se concienti</w:t>
      </w:r>
      <w:r w:rsidR="00345AC2" w:rsidRPr="007C16C5">
        <w:rPr>
          <w:rFonts w:ascii="Times New Roman" w:eastAsia="Calibri" w:hAnsi="Times New Roman" w:cs="Times New Roman"/>
          <w:color w:val="4C4747"/>
          <w:spacing w:val="20"/>
          <w:sz w:val="24"/>
          <w:szCs w:val="24"/>
          <w:lang w:val="es-DO"/>
        </w:rPr>
        <w:t xml:space="preserve">zo </w:t>
      </w:r>
      <w:r w:rsidRPr="007C16C5">
        <w:rPr>
          <w:rFonts w:ascii="Times New Roman" w:eastAsia="Calibri" w:hAnsi="Times New Roman" w:cs="Times New Roman"/>
          <w:color w:val="4C4747"/>
          <w:spacing w:val="20"/>
          <w:sz w:val="24"/>
          <w:szCs w:val="24"/>
          <w:lang w:val="es-DO"/>
        </w:rPr>
        <w:t xml:space="preserve">sobre el uso eficiente del </w:t>
      </w:r>
      <w:r w:rsidR="00DE4567" w:rsidRPr="007C16C5">
        <w:rPr>
          <w:rFonts w:ascii="Times New Roman" w:eastAsia="Calibri" w:hAnsi="Times New Roman" w:cs="Times New Roman"/>
          <w:color w:val="4C4747"/>
          <w:spacing w:val="20"/>
          <w:sz w:val="24"/>
          <w:szCs w:val="24"/>
          <w:lang w:val="es-DO"/>
        </w:rPr>
        <w:t>e</w:t>
      </w:r>
      <w:r w:rsidRPr="007C16C5">
        <w:rPr>
          <w:rFonts w:ascii="Times New Roman" w:eastAsia="Calibri" w:hAnsi="Times New Roman" w:cs="Times New Roman"/>
          <w:color w:val="4C4747"/>
          <w:spacing w:val="20"/>
          <w:sz w:val="24"/>
          <w:szCs w:val="24"/>
          <w:lang w:val="es-DO"/>
        </w:rPr>
        <w:t xml:space="preserve">spectro </w:t>
      </w:r>
      <w:r w:rsidR="00DE4567" w:rsidRPr="007C16C5">
        <w:rPr>
          <w:rFonts w:ascii="Times New Roman" w:eastAsia="Calibri" w:hAnsi="Times New Roman" w:cs="Times New Roman"/>
          <w:color w:val="4C4747"/>
          <w:spacing w:val="20"/>
          <w:sz w:val="24"/>
          <w:szCs w:val="24"/>
          <w:lang w:val="es-DO"/>
        </w:rPr>
        <w:t>r</w:t>
      </w:r>
      <w:r w:rsidRPr="007C16C5">
        <w:rPr>
          <w:rFonts w:ascii="Times New Roman" w:eastAsia="Calibri" w:hAnsi="Times New Roman" w:cs="Times New Roman"/>
          <w:color w:val="4C4747"/>
          <w:spacing w:val="20"/>
          <w:sz w:val="24"/>
          <w:szCs w:val="24"/>
          <w:lang w:val="es-DO"/>
        </w:rPr>
        <w:t xml:space="preserve">adioeléctrico y a su vez sobre la solicitud de extinción voluntaria de las frecuencias que no estaban en uso, de manera que les impactaban positivamente en sus facturas de Derecho de Uso, bajando los montos anuales de facturación. </w:t>
      </w:r>
    </w:p>
    <w:p w14:paraId="4F11F642" w14:textId="547B5BC0" w:rsidR="00281E74" w:rsidRPr="007C16C5" w:rsidRDefault="001D3CC6" w:rsidP="00281E74">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Las prestadoras </w:t>
      </w:r>
      <w:r w:rsidR="00117F7E" w:rsidRPr="007C16C5">
        <w:rPr>
          <w:rFonts w:ascii="Times New Roman" w:eastAsia="Calibri" w:hAnsi="Times New Roman" w:cs="Times New Roman"/>
          <w:color w:val="4C4747"/>
          <w:spacing w:val="20"/>
          <w:sz w:val="24"/>
          <w:szCs w:val="24"/>
          <w:lang w:val="es-DO"/>
        </w:rPr>
        <w:t xml:space="preserve">de telecomunicaciones </w:t>
      </w:r>
      <w:r w:rsidRPr="007C16C5">
        <w:rPr>
          <w:rFonts w:ascii="Times New Roman" w:eastAsia="Calibri" w:hAnsi="Times New Roman" w:cs="Times New Roman"/>
          <w:color w:val="4C4747"/>
          <w:spacing w:val="20"/>
          <w:sz w:val="24"/>
          <w:szCs w:val="24"/>
          <w:lang w:val="es-DO"/>
        </w:rPr>
        <w:t>accedieron a la entrega voluntaria de no solo las frecuencias que tenían asignadas en la banda de 800 MHz, sino también a otras frecuencias en diferentes bandas</w:t>
      </w:r>
      <w:r w:rsidR="00345AC2" w:rsidRPr="007C16C5">
        <w:rPr>
          <w:rFonts w:ascii="Times New Roman" w:eastAsia="Calibri" w:hAnsi="Times New Roman" w:cs="Times New Roman"/>
          <w:color w:val="4C4747"/>
          <w:spacing w:val="20"/>
          <w:sz w:val="24"/>
          <w:szCs w:val="24"/>
          <w:lang w:val="es-DO"/>
        </w:rPr>
        <w:t xml:space="preserve"> </w:t>
      </w:r>
      <w:r w:rsidR="00281E74" w:rsidRPr="007C16C5">
        <w:rPr>
          <w:rFonts w:ascii="Times New Roman" w:eastAsia="Calibri" w:hAnsi="Times New Roman" w:cs="Times New Roman"/>
          <w:color w:val="4C4747"/>
          <w:spacing w:val="20"/>
          <w:sz w:val="24"/>
          <w:szCs w:val="24"/>
          <w:lang w:val="es-DO"/>
        </w:rPr>
        <w:t xml:space="preserve">que ya no estaban utilizando. </w:t>
      </w:r>
    </w:p>
    <w:p w14:paraId="2F42A09E" w14:textId="624D915F" w:rsidR="009B2515" w:rsidRPr="007C16C5" w:rsidRDefault="00655447" w:rsidP="00943FA5">
      <w:pPr>
        <w:spacing w:before="240" w:line="360" w:lineRule="auto"/>
        <w:jc w:val="both"/>
        <w:rPr>
          <w:rFonts w:ascii="Times New Roman" w:eastAsia="Calibri" w:hAnsi="Times New Roman" w:cs="Times New Roman"/>
          <w:b/>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Publicación de las asignaciones de frecuencias en la página web i</w:t>
      </w:r>
      <w:r w:rsidR="009B2515" w:rsidRPr="007C16C5">
        <w:rPr>
          <w:rFonts w:ascii="Times New Roman" w:eastAsia="Calibri" w:hAnsi="Times New Roman" w:cs="Times New Roman"/>
          <w:b/>
          <w:color w:val="4C4747"/>
          <w:spacing w:val="20"/>
          <w:sz w:val="24"/>
          <w:szCs w:val="24"/>
          <w:lang w:val="es-DO"/>
        </w:rPr>
        <w:t>nstitucional</w:t>
      </w:r>
    </w:p>
    <w:p w14:paraId="0C08E10A" w14:textId="2EF9FBBD" w:rsidR="009B2515" w:rsidRPr="007C16C5" w:rsidRDefault="001D3CC6" w:rsidP="00281E74">
      <w:pPr>
        <w:spacing w:line="360" w:lineRule="auto"/>
        <w:jc w:val="both"/>
        <w:rPr>
          <w:rFonts w:ascii="Times New Roman" w:eastAsia="Calibri" w:hAnsi="Times New Roman" w:cs="Times New Roman"/>
          <w:strike/>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Como parte de los acuerdos adquiridos con las mesas de regulación, </w:t>
      </w:r>
      <w:r w:rsidR="00665419" w:rsidRPr="007C16C5">
        <w:rPr>
          <w:rFonts w:ascii="Times New Roman" w:eastAsia="Calibri" w:hAnsi="Times New Roman" w:cs="Times New Roman"/>
          <w:color w:val="4C4747"/>
          <w:spacing w:val="20"/>
          <w:sz w:val="24"/>
          <w:szCs w:val="24"/>
          <w:lang w:val="es-DO"/>
        </w:rPr>
        <w:t xml:space="preserve">se mantiene </w:t>
      </w:r>
      <w:r w:rsidRPr="007C16C5">
        <w:rPr>
          <w:rFonts w:ascii="Times New Roman" w:eastAsia="Calibri" w:hAnsi="Times New Roman" w:cs="Times New Roman"/>
          <w:color w:val="4C4747"/>
          <w:spacing w:val="20"/>
          <w:sz w:val="24"/>
          <w:szCs w:val="24"/>
          <w:lang w:val="es-DO"/>
        </w:rPr>
        <w:t>actualizada la página web del portal institucional, con la información relacionada de las asignaciones en el  Re</w:t>
      </w:r>
      <w:r w:rsidR="00665419" w:rsidRPr="007C16C5">
        <w:rPr>
          <w:rFonts w:ascii="Times New Roman" w:eastAsia="Calibri" w:hAnsi="Times New Roman" w:cs="Times New Roman"/>
          <w:color w:val="4C4747"/>
          <w:spacing w:val="20"/>
          <w:sz w:val="24"/>
          <w:szCs w:val="24"/>
          <w:lang w:val="es-DO"/>
        </w:rPr>
        <w:t>gistro Nacional de Frecuencias.</w:t>
      </w:r>
    </w:p>
    <w:p w14:paraId="4BADE5FE" w14:textId="144BF8C4" w:rsidR="009B2515" w:rsidRPr="007C16C5" w:rsidRDefault="00655447" w:rsidP="00345AC2">
      <w:pPr>
        <w:spacing w:before="240" w:line="360" w:lineRule="auto"/>
        <w:jc w:val="both"/>
        <w:rPr>
          <w:rFonts w:ascii="Times New Roman" w:eastAsia="Calibri" w:hAnsi="Times New Roman" w:cs="Times New Roman"/>
          <w:b/>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Licenciamiento de enlaces de r</w:t>
      </w:r>
      <w:r w:rsidR="009B2515" w:rsidRPr="007C16C5">
        <w:rPr>
          <w:rFonts w:ascii="Times New Roman" w:eastAsia="Calibri" w:hAnsi="Times New Roman" w:cs="Times New Roman"/>
          <w:b/>
          <w:color w:val="4C4747"/>
          <w:spacing w:val="20"/>
          <w:sz w:val="24"/>
          <w:szCs w:val="24"/>
          <w:lang w:val="es-DO"/>
        </w:rPr>
        <w:t>adio</w:t>
      </w:r>
    </w:p>
    <w:p w14:paraId="0725C0CD" w14:textId="1D234E90" w:rsidR="001D3CC6" w:rsidRPr="007C16C5" w:rsidRDefault="001D3CC6"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Como parte de las iniciativas para un uso eficiente y eficaz del </w:t>
      </w:r>
      <w:r w:rsidR="00DE4567" w:rsidRPr="007C16C5">
        <w:rPr>
          <w:rFonts w:ascii="Times New Roman" w:eastAsia="Calibri" w:hAnsi="Times New Roman" w:cs="Times New Roman"/>
          <w:color w:val="4C4747"/>
          <w:spacing w:val="20"/>
          <w:sz w:val="24"/>
          <w:szCs w:val="24"/>
          <w:lang w:val="es-DO"/>
        </w:rPr>
        <w:t>e</w:t>
      </w:r>
      <w:r w:rsidRPr="007C16C5">
        <w:rPr>
          <w:rFonts w:ascii="Times New Roman" w:eastAsia="Calibri" w:hAnsi="Times New Roman" w:cs="Times New Roman"/>
          <w:color w:val="4C4747"/>
          <w:spacing w:val="20"/>
          <w:sz w:val="24"/>
          <w:szCs w:val="24"/>
          <w:lang w:val="es-DO"/>
        </w:rPr>
        <w:t xml:space="preserve">spectro </w:t>
      </w:r>
      <w:r w:rsidR="00DE4567" w:rsidRPr="007C16C5">
        <w:rPr>
          <w:rFonts w:ascii="Times New Roman" w:eastAsia="Calibri" w:hAnsi="Times New Roman" w:cs="Times New Roman"/>
          <w:color w:val="4C4747"/>
          <w:spacing w:val="20"/>
          <w:sz w:val="24"/>
          <w:szCs w:val="24"/>
          <w:lang w:val="es-DO"/>
        </w:rPr>
        <w:t>r</w:t>
      </w:r>
      <w:r w:rsidRPr="007C16C5">
        <w:rPr>
          <w:rFonts w:ascii="Times New Roman" w:eastAsia="Calibri" w:hAnsi="Times New Roman" w:cs="Times New Roman"/>
          <w:color w:val="4C4747"/>
          <w:spacing w:val="20"/>
          <w:sz w:val="24"/>
          <w:szCs w:val="24"/>
          <w:lang w:val="es-DO"/>
        </w:rPr>
        <w:t xml:space="preserve">adioeléctrico, un punto de mejora que </w:t>
      </w:r>
      <w:r w:rsidR="00DE4567" w:rsidRPr="007C16C5">
        <w:rPr>
          <w:rFonts w:ascii="Times New Roman" w:eastAsia="Calibri" w:hAnsi="Times New Roman" w:cs="Times New Roman"/>
          <w:color w:val="4C4747"/>
          <w:spacing w:val="20"/>
          <w:sz w:val="24"/>
          <w:szCs w:val="24"/>
          <w:lang w:val="es-DO"/>
        </w:rPr>
        <w:t>se visualizó</w:t>
      </w:r>
      <w:r w:rsidRPr="007C16C5">
        <w:rPr>
          <w:rFonts w:ascii="Times New Roman" w:eastAsia="Calibri" w:hAnsi="Times New Roman" w:cs="Times New Roman"/>
          <w:color w:val="4C4747"/>
          <w:spacing w:val="20"/>
          <w:sz w:val="24"/>
          <w:szCs w:val="24"/>
          <w:lang w:val="es-DO"/>
        </w:rPr>
        <w:t xml:space="preserve"> fue realizar el proceso de licenciami</w:t>
      </w:r>
      <w:r w:rsidR="00345AC2" w:rsidRPr="007C16C5">
        <w:rPr>
          <w:rFonts w:ascii="Times New Roman" w:eastAsia="Calibri" w:hAnsi="Times New Roman" w:cs="Times New Roman"/>
          <w:color w:val="4C4747"/>
          <w:spacing w:val="20"/>
          <w:sz w:val="24"/>
          <w:szCs w:val="24"/>
          <w:lang w:val="es-DO"/>
        </w:rPr>
        <w:t>ento de los enlaces que utilizaban</w:t>
      </w:r>
      <w:r w:rsidRPr="007C16C5">
        <w:rPr>
          <w:rFonts w:ascii="Times New Roman" w:eastAsia="Calibri" w:hAnsi="Times New Roman" w:cs="Times New Roman"/>
          <w:color w:val="4C4747"/>
          <w:spacing w:val="20"/>
          <w:sz w:val="24"/>
          <w:szCs w:val="24"/>
          <w:lang w:val="es-DO"/>
        </w:rPr>
        <w:t xml:space="preserve"> las prestadoras de telecomunicaciones, ya que los mismos no contaban con licencias de operación y el proceso de utilización se realizaba mediante notificación al órgano regulador. </w:t>
      </w:r>
    </w:p>
    <w:p w14:paraId="111DAE86" w14:textId="77777777" w:rsidR="00345AC2" w:rsidRPr="007C16C5" w:rsidRDefault="00345AC2"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decidió</w:t>
      </w:r>
      <w:r w:rsidR="001D3CC6" w:rsidRPr="007C16C5">
        <w:rPr>
          <w:rFonts w:ascii="Times New Roman" w:eastAsia="Calibri" w:hAnsi="Times New Roman" w:cs="Times New Roman"/>
          <w:color w:val="4C4747"/>
          <w:spacing w:val="20"/>
          <w:sz w:val="24"/>
          <w:szCs w:val="24"/>
          <w:lang w:val="es-DO"/>
        </w:rPr>
        <w:t xml:space="preserve"> que la mejor manera de optimizar este proceso era licenciando los enlaces, </w:t>
      </w:r>
      <w:r w:rsidRPr="007C16C5">
        <w:rPr>
          <w:rFonts w:ascii="Times New Roman" w:eastAsia="Calibri" w:hAnsi="Times New Roman" w:cs="Times New Roman"/>
          <w:color w:val="4C4747"/>
          <w:spacing w:val="20"/>
          <w:sz w:val="24"/>
          <w:szCs w:val="24"/>
          <w:lang w:val="es-DO"/>
        </w:rPr>
        <w:t>siendo esta</w:t>
      </w:r>
      <w:r w:rsidR="001D3CC6" w:rsidRPr="007C16C5">
        <w:rPr>
          <w:rFonts w:ascii="Times New Roman" w:eastAsia="Calibri" w:hAnsi="Times New Roman" w:cs="Times New Roman"/>
          <w:color w:val="4C4747"/>
          <w:spacing w:val="20"/>
          <w:sz w:val="24"/>
          <w:szCs w:val="24"/>
          <w:lang w:val="es-DO"/>
        </w:rPr>
        <w:t xml:space="preserve"> la manera correcta de operar los </w:t>
      </w:r>
    </w:p>
    <w:p w14:paraId="4E623311" w14:textId="00C81BC9" w:rsidR="001D3CC6" w:rsidRPr="007C16C5" w:rsidRDefault="001D3CC6" w:rsidP="001D3CC6">
      <w:pPr>
        <w:spacing w:line="360" w:lineRule="auto"/>
        <w:jc w:val="both"/>
        <w:rPr>
          <w:rFonts w:ascii="Times New Roman" w:hAnsi="Times New Roman" w:cs="Times New Roman"/>
          <w:color w:val="4C4747"/>
          <w:sz w:val="24"/>
          <w:szCs w:val="24"/>
          <w:lang w:val="es-DO"/>
        </w:rPr>
      </w:pPr>
      <w:r w:rsidRPr="007C16C5">
        <w:rPr>
          <w:rFonts w:ascii="Times New Roman" w:eastAsia="Calibri" w:hAnsi="Times New Roman" w:cs="Times New Roman"/>
          <w:color w:val="4C4747"/>
          <w:spacing w:val="20"/>
          <w:sz w:val="24"/>
          <w:szCs w:val="24"/>
          <w:lang w:val="es-DO"/>
        </w:rPr>
        <w:t xml:space="preserve">mismos. Por lo que </w:t>
      </w:r>
      <w:r w:rsidR="00345AC2" w:rsidRPr="007C16C5">
        <w:rPr>
          <w:rFonts w:ascii="Times New Roman" w:eastAsia="Calibri" w:hAnsi="Times New Roman" w:cs="Times New Roman"/>
          <w:color w:val="4C4747"/>
          <w:spacing w:val="20"/>
          <w:sz w:val="24"/>
          <w:szCs w:val="24"/>
          <w:lang w:val="es-DO"/>
        </w:rPr>
        <w:t>se comenzó</w:t>
      </w:r>
      <w:r w:rsidRPr="007C16C5">
        <w:rPr>
          <w:rFonts w:ascii="Times New Roman" w:eastAsia="Calibri" w:hAnsi="Times New Roman" w:cs="Times New Roman"/>
          <w:color w:val="4C4747"/>
          <w:spacing w:val="20"/>
          <w:sz w:val="24"/>
          <w:szCs w:val="24"/>
          <w:lang w:val="es-DO"/>
        </w:rPr>
        <w:t xml:space="preserve"> con la realización de reuniones con las prestadora</w:t>
      </w:r>
      <w:r w:rsidR="00345AC2" w:rsidRPr="007C16C5">
        <w:rPr>
          <w:rFonts w:ascii="Times New Roman" w:eastAsia="Calibri" w:hAnsi="Times New Roman" w:cs="Times New Roman"/>
          <w:color w:val="4C4747"/>
          <w:spacing w:val="20"/>
          <w:sz w:val="24"/>
          <w:szCs w:val="24"/>
          <w:lang w:val="es-DO"/>
        </w:rPr>
        <w:t>s a los fines de concientizar</w:t>
      </w:r>
      <w:r w:rsidRPr="007C16C5">
        <w:rPr>
          <w:rFonts w:ascii="Times New Roman" w:eastAsia="Calibri" w:hAnsi="Times New Roman" w:cs="Times New Roman"/>
          <w:color w:val="4C4747"/>
          <w:spacing w:val="20"/>
          <w:sz w:val="24"/>
          <w:szCs w:val="24"/>
          <w:lang w:val="es-DO"/>
        </w:rPr>
        <w:t xml:space="preserve"> sobre los efectos de esta mala práctica y </w:t>
      </w:r>
      <w:r w:rsidRPr="007C16C5">
        <w:rPr>
          <w:rFonts w:ascii="Times New Roman" w:eastAsia="Calibri" w:hAnsi="Times New Roman" w:cs="Times New Roman"/>
          <w:color w:val="4C4747"/>
          <w:spacing w:val="20"/>
          <w:sz w:val="24"/>
          <w:szCs w:val="24"/>
          <w:lang w:val="es-DO"/>
        </w:rPr>
        <w:lastRenderedPageBreak/>
        <w:t xml:space="preserve">los beneficios que obtendrían de licenciar dichos enlaces, </w:t>
      </w:r>
      <w:r w:rsidR="002677EC" w:rsidRPr="007C16C5">
        <w:rPr>
          <w:rFonts w:ascii="Times New Roman" w:eastAsia="Calibri" w:hAnsi="Times New Roman" w:cs="Times New Roman"/>
          <w:color w:val="4C4747"/>
          <w:spacing w:val="20"/>
          <w:sz w:val="24"/>
          <w:szCs w:val="24"/>
          <w:lang w:val="es-DO"/>
        </w:rPr>
        <w:t xml:space="preserve">debido a que </w:t>
      </w:r>
      <w:r w:rsidRPr="007C16C5">
        <w:rPr>
          <w:rFonts w:ascii="Times New Roman" w:eastAsia="Calibri" w:hAnsi="Times New Roman" w:cs="Times New Roman"/>
          <w:color w:val="4C4747"/>
          <w:spacing w:val="20"/>
          <w:sz w:val="24"/>
          <w:szCs w:val="24"/>
          <w:lang w:val="es-DO"/>
        </w:rPr>
        <w:t xml:space="preserve">el licenciamiento de estos les otorga el derecho a la explotación  bajo un marco legal correcto y al INDOTEL le facilita el proceso de cobro del </w:t>
      </w:r>
      <w:r w:rsidR="00117F7E" w:rsidRPr="007C16C5">
        <w:rPr>
          <w:rFonts w:ascii="Times New Roman" w:eastAsia="Calibri" w:hAnsi="Times New Roman" w:cs="Times New Roman"/>
          <w:color w:val="4C4747"/>
          <w:spacing w:val="20"/>
          <w:sz w:val="24"/>
          <w:szCs w:val="24"/>
          <w:lang w:val="es-DO"/>
        </w:rPr>
        <w:t>Derecho de Uso</w:t>
      </w:r>
      <w:r w:rsidRPr="007C16C5">
        <w:rPr>
          <w:rFonts w:ascii="Times New Roman" w:eastAsia="Calibri" w:hAnsi="Times New Roman" w:cs="Times New Roman"/>
          <w:color w:val="4C4747"/>
          <w:spacing w:val="20"/>
          <w:sz w:val="24"/>
          <w:szCs w:val="24"/>
          <w:lang w:val="es-DO"/>
        </w:rPr>
        <w:t>, le genera ingresos por las solicitudes de frecuencias y facilita el proceso de solución a los casos de interferencias que se presentan.</w:t>
      </w:r>
      <w:r w:rsidRPr="007C16C5">
        <w:rPr>
          <w:rFonts w:ascii="Times New Roman" w:hAnsi="Times New Roman" w:cs="Times New Roman"/>
          <w:color w:val="4C4747"/>
          <w:sz w:val="24"/>
          <w:szCs w:val="24"/>
          <w:lang w:val="es-DO"/>
        </w:rPr>
        <w:t xml:space="preserve"> </w:t>
      </w:r>
    </w:p>
    <w:p w14:paraId="734F7C89" w14:textId="1802FDC7" w:rsidR="00BE6A84" w:rsidRPr="007C16C5" w:rsidRDefault="001D3CC6" w:rsidP="00E27AE4">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En esta etapa </w:t>
      </w:r>
      <w:r w:rsidR="00E27AE4" w:rsidRPr="007C16C5">
        <w:rPr>
          <w:rFonts w:ascii="Times New Roman" w:eastAsia="Calibri" w:hAnsi="Times New Roman" w:cs="Times New Roman"/>
          <w:color w:val="4C4747"/>
          <w:spacing w:val="20"/>
          <w:sz w:val="24"/>
          <w:szCs w:val="24"/>
          <w:lang w:val="es-DO"/>
        </w:rPr>
        <w:t>se ha</w:t>
      </w:r>
      <w:r w:rsidRPr="007C16C5">
        <w:rPr>
          <w:rFonts w:ascii="Times New Roman" w:eastAsia="Calibri" w:hAnsi="Times New Roman" w:cs="Times New Roman"/>
          <w:color w:val="4C4747"/>
          <w:spacing w:val="20"/>
          <w:sz w:val="24"/>
          <w:szCs w:val="24"/>
          <w:lang w:val="es-DO"/>
        </w:rPr>
        <w:t xml:space="preserve"> recibido la formal solicitud de licenciamiento de los enlaces radioeléctricos de una de las principales prestadoras de servicios de telecomunicaciones, mientras que las demás prestadoras se comprometieron a realizar dicha solicitud</w:t>
      </w:r>
      <w:r w:rsidR="00E27AE4" w:rsidRPr="007C16C5">
        <w:rPr>
          <w:rFonts w:ascii="Times New Roman" w:eastAsia="Calibri" w:hAnsi="Times New Roman" w:cs="Times New Roman"/>
          <w:color w:val="4C4747"/>
          <w:spacing w:val="20"/>
          <w:sz w:val="24"/>
          <w:szCs w:val="24"/>
          <w:lang w:val="es-DO"/>
        </w:rPr>
        <w:t>.</w:t>
      </w:r>
    </w:p>
    <w:p w14:paraId="4AD2868F" w14:textId="627B36E1" w:rsidR="009B2515" w:rsidRPr="000E66D4" w:rsidRDefault="008F7B63" w:rsidP="00E27AE4">
      <w:pPr>
        <w:spacing w:before="240"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Saneamiento de la banda de r</w:t>
      </w:r>
      <w:r w:rsidR="009B2515" w:rsidRPr="000E66D4">
        <w:rPr>
          <w:rFonts w:ascii="Times New Roman" w:eastAsia="Calibri" w:hAnsi="Times New Roman" w:cs="Times New Roman"/>
          <w:b/>
          <w:color w:val="4C4747"/>
          <w:spacing w:val="20"/>
          <w:sz w:val="24"/>
          <w:szCs w:val="24"/>
          <w:lang w:val="es-DO"/>
        </w:rPr>
        <w:t xml:space="preserve">adiocomunicaciones </w:t>
      </w:r>
    </w:p>
    <w:p w14:paraId="0F2048B2" w14:textId="3922BD63" w:rsidR="009B2515" w:rsidRPr="000E66D4" w:rsidRDefault="001D3CC6" w:rsidP="00E27AE4">
      <w:pPr>
        <w:spacing w:line="360" w:lineRule="auto"/>
        <w:jc w:val="both"/>
        <w:rPr>
          <w:rFonts w:ascii="Times New Roman" w:eastAsia="Calibri" w:hAnsi="Times New Roman" w:cs="Times New Roman"/>
          <w:color w:val="4C4747"/>
          <w:spacing w:val="20"/>
          <w:sz w:val="24"/>
          <w:szCs w:val="24"/>
          <w:lang w:val="es-DO"/>
        </w:rPr>
      </w:pPr>
      <w:r w:rsidRPr="002677EC">
        <w:rPr>
          <w:rFonts w:ascii="Times New Roman" w:eastAsia="Calibri" w:hAnsi="Times New Roman" w:cs="Times New Roman"/>
          <w:color w:val="4C4747"/>
          <w:spacing w:val="20"/>
          <w:sz w:val="24"/>
          <w:szCs w:val="24"/>
          <w:lang w:val="es-DO"/>
        </w:rPr>
        <w:t xml:space="preserve">Dentro de las medidas para eficientizar el uso del </w:t>
      </w:r>
      <w:r w:rsidR="002677EC" w:rsidRPr="002677EC">
        <w:rPr>
          <w:rFonts w:ascii="Times New Roman" w:eastAsia="Calibri" w:hAnsi="Times New Roman" w:cs="Times New Roman"/>
          <w:color w:val="4C4747"/>
          <w:spacing w:val="20"/>
          <w:sz w:val="24"/>
          <w:szCs w:val="24"/>
          <w:lang w:val="es-DO"/>
        </w:rPr>
        <w:t>e</w:t>
      </w:r>
      <w:r w:rsidRPr="002677EC">
        <w:rPr>
          <w:rFonts w:ascii="Times New Roman" w:eastAsia="Calibri" w:hAnsi="Times New Roman" w:cs="Times New Roman"/>
          <w:color w:val="4C4747"/>
          <w:spacing w:val="20"/>
          <w:sz w:val="24"/>
          <w:szCs w:val="24"/>
          <w:lang w:val="es-DO"/>
        </w:rPr>
        <w:t xml:space="preserve">spectro </w:t>
      </w:r>
      <w:r w:rsidR="002677EC" w:rsidRPr="002677EC">
        <w:rPr>
          <w:rFonts w:ascii="Times New Roman" w:eastAsia="Calibri" w:hAnsi="Times New Roman" w:cs="Times New Roman"/>
          <w:color w:val="4C4747"/>
          <w:spacing w:val="20"/>
          <w:sz w:val="24"/>
          <w:szCs w:val="24"/>
          <w:lang w:val="es-DO"/>
        </w:rPr>
        <w:t>r</w:t>
      </w:r>
      <w:r w:rsidRPr="002677EC">
        <w:rPr>
          <w:rFonts w:ascii="Times New Roman" w:eastAsia="Calibri" w:hAnsi="Times New Roman" w:cs="Times New Roman"/>
          <w:color w:val="4C4747"/>
          <w:spacing w:val="20"/>
          <w:sz w:val="24"/>
          <w:szCs w:val="24"/>
          <w:lang w:val="es-DO"/>
        </w:rPr>
        <w:t>adioeléctrico</w:t>
      </w:r>
      <w:r w:rsidRPr="000E66D4">
        <w:rPr>
          <w:rFonts w:ascii="Times New Roman" w:eastAsia="Calibri" w:hAnsi="Times New Roman" w:cs="Times New Roman"/>
          <w:color w:val="4C4747"/>
          <w:spacing w:val="20"/>
          <w:sz w:val="24"/>
          <w:szCs w:val="24"/>
          <w:lang w:val="es-DO"/>
        </w:rPr>
        <w:t xml:space="preserve"> nos encontramos en el proceso de saneamiento de la banda de radiocomunicaciones, </w:t>
      </w:r>
      <w:r w:rsidR="00B83AB5" w:rsidRPr="000E66D4">
        <w:rPr>
          <w:rFonts w:ascii="Times New Roman" w:eastAsia="Calibri" w:hAnsi="Times New Roman" w:cs="Times New Roman"/>
          <w:color w:val="4C4747"/>
          <w:spacing w:val="20"/>
          <w:sz w:val="24"/>
          <w:szCs w:val="24"/>
          <w:lang w:val="es-DO"/>
        </w:rPr>
        <w:t xml:space="preserve">dentro del cronograma de trabajo se </w:t>
      </w:r>
      <w:r w:rsidR="00E27AE4" w:rsidRPr="000E66D4">
        <w:rPr>
          <w:rFonts w:ascii="Times New Roman" w:eastAsia="Calibri" w:hAnsi="Times New Roman" w:cs="Times New Roman"/>
          <w:color w:val="4C4747"/>
          <w:spacing w:val="20"/>
          <w:sz w:val="24"/>
          <w:szCs w:val="24"/>
          <w:lang w:val="es-DO"/>
        </w:rPr>
        <w:t>realizó</w:t>
      </w:r>
      <w:r w:rsidR="00B83AB5" w:rsidRPr="000E66D4">
        <w:rPr>
          <w:rFonts w:ascii="Times New Roman" w:eastAsia="Calibri" w:hAnsi="Times New Roman" w:cs="Times New Roman"/>
          <w:color w:val="4C4747"/>
          <w:spacing w:val="20"/>
          <w:sz w:val="24"/>
          <w:szCs w:val="24"/>
          <w:lang w:val="es-DO"/>
        </w:rPr>
        <w:t xml:space="preserve"> visitas a</w:t>
      </w:r>
      <w:r w:rsidRPr="000E66D4">
        <w:rPr>
          <w:rFonts w:ascii="Times New Roman" w:eastAsia="Calibri" w:hAnsi="Times New Roman" w:cs="Times New Roman"/>
          <w:color w:val="4C4747"/>
          <w:spacing w:val="20"/>
          <w:sz w:val="24"/>
          <w:szCs w:val="24"/>
          <w:lang w:val="es-DO"/>
        </w:rPr>
        <w:t xml:space="preserve"> las principales zonas  donde se encuentran instalados los repetidores de las diferentes compañías que ofrecen servicios de radiocomunicación, con la finalidad de r</w:t>
      </w:r>
      <w:r w:rsidR="00E27AE4" w:rsidRPr="000E66D4">
        <w:rPr>
          <w:rFonts w:ascii="Times New Roman" w:eastAsia="Calibri" w:hAnsi="Times New Roman" w:cs="Times New Roman"/>
          <w:color w:val="4C4747"/>
          <w:spacing w:val="20"/>
          <w:sz w:val="24"/>
          <w:szCs w:val="24"/>
          <w:lang w:val="es-DO"/>
        </w:rPr>
        <w:t>ealizar barridos de frecuencias,</w:t>
      </w:r>
      <w:r w:rsidRPr="000E66D4">
        <w:rPr>
          <w:rFonts w:ascii="Times New Roman" w:eastAsia="Calibri" w:hAnsi="Times New Roman" w:cs="Times New Roman"/>
          <w:color w:val="4C4747"/>
          <w:spacing w:val="20"/>
          <w:sz w:val="24"/>
          <w:szCs w:val="24"/>
          <w:lang w:val="es-DO"/>
        </w:rPr>
        <w:t xml:space="preserve"> para así detectar y clasificar las frecuencias. Este ejercicio también permite verificar cuales frecuencias están asignadas, cuales están operando de manera ilegal y las </w:t>
      </w:r>
      <w:r w:rsidR="00E27AE4" w:rsidRPr="000E66D4">
        <w:rPr>
          <w:rFonts w:ascii="Times New Roman" w:eastAsia="Calibri" w:hAnsi="Times New Roman" w:cs="Times New Roman"/>
          <w:color w:val="4C4747"/>
          <w:spacing w:val="20"/>
          <w:sz w:val="24"/>
          <w:szCs w:val="24"/>
          <w:lang w:val="es-DO"/>
        </w:rPr>
        <w:t>que no están siendo utilizadas.</w:t>
      </w:r>
    </w:p>
    <w:p w14:paraId="7390143C" w14:textId="77777777" w:rsidR="009B2515" w:rsidRPr="000E66D4" w:rsidRDefault="009B2515" w:rsidP="00E27AE4">
      <w:pPr>
        <w:spacing w:before="240"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Actualización del Plan Nacional de Atribución de Frecuencias (PNAF)</w:t>
      </w:r>
    </w:p>
    <w:p w14:paraId="48529FF7" w14:textId="79541719" w:rsidR="009B2515" w:rsidRPr="000E66D4" w:rsidRDefault="001D3CC6" w:rsidP="00E27AE4">
      <w:pPr>
        <w:spacing w:line="360" w:lineRule="auto"/>
        <w:jc w:val="both"/>
        <w:rPr>
          <w:rFonts w:ascii="Times New Roman" w:eastAsia="Calibri" w:hAnsi="Times New Roman" w:cs="Times New Roman"/>
          <w:color w:val="4C4747"/>
          <w:spacing w:val="20"/>
          <w:sz w:val="24"/>
          <w:szCs w:val="24"/>
          <w:lang w:val="es-DO"/>
        </w:rPr>
      </w:pPr>
      <w:r w:rsidRPr="002677EC">
        <w:rPr>
          <w:rFonts w:ascii="Times New Roman" w:eastAsia="Calibri" w:hAnsi="Times New Roman" w:cs="Times New Roman"/>
          <w:color w:val="4C4747"/>
          <w:spacing w:val="20"/>
          <w:sz w:val="24"/>
          <w:szCs w:val="24"/>
          <w:lang w:val="es-DO"/>
        </w:rPr>
        <w:t>N</w:t>
      </w:r>
      <w:r w:rsidR="002677EC" w:rsidRPr="002677EC">
        <w:rPr>
          <w:rFonts w:ascii="Times New Roman" w:eastAsia="Calibri" w:hAnsi="Times New Roman" w:cs="Times New Roman"/>
          <w:color w:val="4C4747"/>
          <w:spacing w:val="20"/>
          <w:sz w:val="24"/>
          <w:szCs w:val="24"/>
          <w:lang w:val="es-DO"/>
        </w:rPr>
        <w:t>os encontramos en un proceso</w:t>
      </w:r>
      <w:r w:rsidRPr="002677EC">
        <w:rPr>
          <w:rFonts w:ascii="Times New Roman" w:eastAsia="Calibri" w:hAnsi="Times New Roman" w:cs="Times New Roman"/>
          <w:color w:val="4C4747"/>
          <w:spacing w:val="20"/>
          <w:sz w:val="24"/>
          <w:szCs w:val="24"/>
          <w:lang w:val="es-DO"/>
        </w:rPr>
        <w:t xml:space="preserve"> de </w:t>
      </w:r>
      <w:r w:rsidR="002677EC" w:rsidRPr="002677EC">
        <w:rPr>
          <w:rFonts w:ascii="Times New Roman" w:eastAsia="Calibri" w:hAnsi="Times New Roman" w:cs="Times New Roman"/>
          <w:color w:val="4C4747"/>
          <w:spacing w:val="20"/>
          <w:sz w:val="24"/>
          <w:szCs w:val="24"/>
          <w:lang w:val="es-DO"/>
        </w:rPr>
        <w:t xml:space="preserve">actualizar </w:t>
      </w:r>
      <w:r w:rsidRPr="002677EC">
        <w:rPr>
          <w:rFonts w:ascii="Times New Roman" w:eastAsia="Calibri" w:hAnsi="Times New Roman" w:cs="Times New Roman"/>
          <w:color w:val="4C4747"/>
          <w:spacing w:val="20"/>
          <w:sz w:val="24"/>
          <w:szCs w:val="24"/>
          <w:lang w:val="es-DO"/>
        </w:rPr>
        <w:t>el Plan Na</w:t>
      </w:r>
      <w:r w:rsidRPr="000E66D4">
        <w:rPr>
          <w:rFonts w:ascii="Times New Roman" w:eastAsia="Calibri" w:hAnsi="Times New Roman" w:cs="Times New Roman"/>
          <w:color w:val="4C4747"/>
          <w:spacing w:val="20"/>
          <w:sz w:val="24"/>
          <w:szCs w:val="24"/>
          <w:lang w:val="es-DO"/>
        </w:rPr>
        <w:t xml:space="preserve">cional de Atribución de Frecuencias (PNAF), el cual consiste en la realización de una revisión exhaustiva del mismo para descartar las informaciones desactualizadas e incorporar nuevas informaciones relativas a las atribuciones de frecuencias, así como corregir errores </w:t>
      </w:r>
      <w:r w:rsidRPr="000E66D4">
        <w:rPr>
          <w:rFonts w:ascii="Times New Roman" w:eastAsia="Calibri" w:hAnsi="Times New Roman" w:cs="Times New Roman"/>
          <w:color w:val="4C4747"/>
          <w:spacing w:val="20"/>
          <w:sz w:val="24"/>
          <w:szCs w:val="24"/>
          <w:lang w:val="es-DO"/>
        </w:rPr>
        <w:lastRenderedPageBreak/>
        <w:t>en el caso de q</w:t>
      </w:r>
      <w:r w:rsidR="00E27AE4" w:rsidRPr="000E66D4">
        <w:rPr>
          <w:rFonts w:ascii="Times New Roman" w:eastAsia="Calibri" w:hAnsi="Times New Roman" w:cs="Times New Roman"/>
          <w:color w:val="4C4747"/>
          <w:spacing w:val="20"/>
          <w:sz w:val="24"/>
          <w:szCs w:val="24"/>
          <w:lang w:val="es-DO"/>
        </w:rPr>
        <w:t>ue la versión actual los tenga.</w:t>
      </w:r>
    </w:p>
    <w:p w14:paraId="24CFB540" w14:textId="04586D25" w:rsidR="009B2515" w:rsidRPr="000E66D4" w:rsidRDefault="00002276" w:rsidP="00E27AE4">
      <w:pPr>
        <w:spacing w:before="240" w:line="360" w:lineRule="auto"/>
        <w:jc w:val="both"/>
        <w:rPr>
          <w:rFonts w:ascii="Times New Roman" w:eastAsia="Calibri" w:hAnsi="Times New Roman" w:cs="Times New Roman"/>
          <w:b/>
          <w:color w:val="4C4747"/>
          <w:spacing w:val="20"/>
          <w:sz w:val="24"/>
          <w:szCs w:val="24"/>
          <w:lang w:val="es-DO"/>
        </w:rPr>
      </w:pPr>
      <w:r w:rsidRPr="000E66D4">
        <w:rPr>
          <w:rFonts w:ascii="Times New Roman" w:eastAsia="Calibri" w:hAnsi="Times New Roman" w:cs="Times New Roman"/>
          <w:b/>
          <w:color w:val="4C4747"/>
          <w:spacing w:val="20"/>
          <w:sz w:val="24"/>
          <w:szCs w:val="24"/>
          <w:lang w:val="es-DO"/>
        </w:rPr>
        <w:t>Comprobaciones técnicas del e</w:t>
      </w:r>
      <w:r w:rsidR="009B2515" w:rsidRPr="000E66D4">
        <w:rPr>
          <w:rFonts w:ascii="Times New Roman" w:eastAsia="Calibri" w:hAnsi="Times New Roman" w:cs="Times New Roman"/>
          <w:b/>
          <w:color w:val="4C4747"/>
          <w:spacing w:val="20"/>
          <w:sz w:val="24"/>
          <w:szCs w:val="24"/>
          <w:lang w:val="es-DO"/>
        </w:rPr>
        <w:t>spectro</w:t>
      </w:r>
    </w:p>
    <w:p w14:paraId="31BD4693" w14:textId="57A57BD7" w:rsidR="00243839" w:rsidRPr="000E66D4" w:rsidRDefault="00E27AE4" w:rsidP="00E27AE4">
      <w:pPr>
        <w:spacing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Actividades</w:t>
      </w:r>
      <w:r w:rsidR="009B2515" w:rsidRPr="000E66D4">
        <w:rPr>
          <w:rFonts w:ascii="Times New Roman" w:eastAsia="Calibri" w:hAnsi="Times New Roman" w:cs="Times New Roman"/>
          <w:color w:val="4C4747"/>
          <w:spacing w:val="20"/>
          <w:sz w:val="24"/>
          <w:szCs w:val="24"/>
          <w:lang w:val="es-DO"/>
        </w:rPr>
        <w:t xml:space="preserve"> que se realizan con el objetivo de man</w:t>
      </w:r>
      <w:r w:rsidR="00002276" w:rsidRPr="000E66D4">
        <w:rPr>
          <w:rFonts w:ascii="Times New Roman" w:eastAsia="Calibri" w:hAnsi="Times New Roman" w:cs="Times New Roman"/>
          <w:color w:val="4C4747"/>
          <w:spacing w:val="20"/>
          <w:sz w:val="24"/>
          <w:szCs w:val="24"/>
          <w:lang w:val="es-DO"/>
        </w:rPr>
        <w:t>tener el control en el uso del espectro r</w:t>
      </w:r>
      <w:r w:rsidR="009B2515" w:rsidRPr="000E66D4">
        <w:rPr>
          <w:rFonts w:ascii="Times New Roman" w:eastAsia="Calibri" w:hAnsi="Times New Roman" w:cs="Times New Roman"/>
          <w:color w:val="4C4747"/>
          <w:spacing w:val="20"/>
          <w:sz w:val="24"/>
          <w:szCs w:val="24"/>
          <w:lang w:val="es-DO"/>
        </w:rPr>
        <w:t>adioeléctrico, además de solucionar interferencias entre prestadoras y detección de emisiones no autorizadas, dando como resultado la solución a las interferencias perjudiciales que reciben las prestadoras, así como también, generando la clausura de est</w:t>
      </w:r>
      <w:r w:rsidRPr="000E66D4">
        <w:rPr>
          <w:rFonts w:ascii="Times New Roman" w:eastAsia="Calibri" w:hAnsi="Times New Roman" w:cs="Times New Roman"/>
          <w:color w:val="4C4747"/>
          <w:spacing w:val="20"/>
          <w:sz w:val="24"/>
          <w:szCs w:val="24"/>
          <w:lang w:val="es-DO"/>
        </w:rPr>
        <w:t>aciones no autorizadas.</w:t>
      </w:r>
    </w:p>
    <w:p w14:paraId="0249E66B" w14:textId="61320F6B" w:rsidR="009B2515" w:rsidRPr="000E66D4" w:rsidRDefault="009B2515" w:rsidP="00E27AE4">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color w:val="4C4747"/>
          <w:spacing w:val="20"/>
          <w:sz w:val="24"/>
          <w:szCs w:val="24"/>
          <w:lang w:val="es-DO"/>
        </w:rPr>
        <w:t xml:space="preserve">En este período se trabajaron un total de 198 </w:t>
      </w:r>
      <w:r w:rsidR="00E35F7C" w:rsidRPr="000E66D4">
        <w:rPr>
          <w:rFonts w:ascii="Times New Roman" w:eastAsia="Calibri" w:hAnsi="Times New Roman" w:cs="Times New Roman"/>
          <w:color w:val="4C4747"/>
          <w:spacing w:val="20"/>
          <w:sz w:val="24"/>
          <w:szCs w:val="24"/>
          <w:lang w:val="es-DO"/>
        </w:rPr>
        <w:t>comprobaciones</w:t>
      </w:r>
      <w:r w:rsidRPr="000E66D4">
        <w:rPr>
          <w:rFonts w:ascii="Times New Roman" w:eastAsia="Calibri" w:hAnsi="Times New Roman" w:cs="Times New Roman"/>
          <w:color w:val="4C4747"/>
          <w:spacing w:val="20"/>
          <w:sz w:val="24"/>
          <w:szCs w:val="24"/>
          <w:lang w:val="es-DO"/>
        </w:rPr>
        <w:t>, relacionados a denuncias de interferencias, comprobación del espectro y detecciones de estaciones ilegales, los cuales se encuentran detallado</w:t>
      </w:r>
      <w:r w:rsidR="00314B29" w:rsidRPr="000E66D4">
        <w:rPr>
          <w:rFonts w:ascii="Times New Roman" w:eastAsia="Calibri" w:hAnsi="Times New Roman" w:cs="Times New Roman"/>
          <w:color w:val="4C4747"/>
          <w:spacing w:val="20"/>
          <w:sz w:val="24"/>
          <w:szCs w:val="24"/>
          <w:lang w:val="es-DO"/>
        </w:rPr>
        <w:t>s en la gráfica a continuación:</w:t>
      </w:r>
    </w:p>
    <w:p w14:paraId="63B91DA1" w14:textId="75A07E82" w:rsidR="00BE6A84" w:rsidRPr="000E66D4" w:rsidRDefault="009B2515" w:rsidP="00E27AE4">
      <w:pPr>
        <w:spacing w:before="240" w:line="360" w:lineRule="auto"/>
        <w:jc w:val="both"/>
        <w:rPr>
          <w:rFonts w:ascii="Times New Roman" w:eastAsia="Calibri" w:hAnsi="Times New Roman" w:cs="Times New Roman"/>
          <w:color w:val="4C4747"/>
          <w:spacing w:val="20"/>
          <w:sz w:val="24"/>
          <w:szCs w:val="24"/>
          <w:lang w:val="es-DO"/>
        </w:rPr>
      </w:pPr>
      <w:r w:rsidRPr="000E66D4">
        <w:rPr>
          <w:rFonts w:ascii="Times New Roman" w:eastAsia="Calibri" w:hAnsi="Times New Roman" w:cs="Times New Roman"/>
          <w:noProof/>
          <w:color w:val="4C4747"/>
          <w:sz w:val="24"/>
          <w:szCs w:val="24"/>
        </w:rPr>
        <w:lastRenderedPageBreak/>
        <w:drawing>
          <wp:anchor distT="0" distB="0" distL="114300" distR="114300" simplePos="0" relativeHeight="251726848" behindDoc="0" locked="0" layoutInCell="1" allowOverlap="1" wp14:anchorId="4A2BF89E" wp14:editId="49DE70F7">
            <wp:simplePos x="0" y="0"/>
            <wp:positionH relativeFrom="column">
              <wp:posOffset>0</wp:posOffset>
            </wp:positionH>
            <wp:positionV relativeFrom="paragraph">
              <wp:posOffset>0</wp:posOffset>
            </wp:positionV>
            <wp:extent cx="5029200" cy="4415698"/>
            <wp:effectExtent l="0" t="0" r="0" b="4445"/>
            <wp:wrapThrough wrapText="bothSides">
              <wp:wrapPolygon edited="0">
                <wp:start x="0" y="0"/>
                <wp:lineTo x="0" y="21529"/>
                <wp:lineTo x="21518" y="21529"/>
                <wp:lineTo x="21518" y="0"/>
                <wp:lineTo x="0" y="0"/>
              </wp:wrapPolygon>
            </wp:wrapThrough>
            <wp:docPr id="2053" name="Gráfico 205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14:sizeRelH relativeFrom="page">
              <wp14:pctWidth>0</wp14:pctWidth>
            </wp14:sizeRelH>
            <wp14:sizeRelV relativeFrom="page">
              <wp14:pctHeight>0</wp14:pctHeight>
            </wp14:sizeRelV>
          </wp:anchor>
        </w:drawing>
      </w:r>
      <w:r w:rsidRPr="000E66D4">
        <w:rPr>
          <w:rFonts w:ascii="Times New Roman" w:eastAsia="Calibri" w:hAnsi="Times New Roman" w:cs="Times New Roman"/>
          <w:b/>
          <w:color w:val="4C4747"/>
          <w:spacing w:val="20"/>
          <w:sz w:val="18"/>
          <w:szCs w:val="24"/>
          <w:lang w:val="es-DO"/>
        </w:rPr>
        <w:t>Fuente:</w:t>
      </w:r>
      <w:r w:rsidRPr="000E66D4">
        <w:rPr>
          <w:rFonts w:ascii="Times New Roman" w:eastAsia="Calibri" w:hAnsi="Times New Roman" w:cs="Times New Roman"/>
          <w:color w:val="4C4747"/>
          <w:spacing w:val="20"/>
          <w:sz w:val="18"/>
          <w:szCs w:val="24"/>
          <w:lang w:val="es-DO"/>
        </w:rPr>
        <w:t xml:space="preserve"> Dirección de Espectro Radioeléctrico</w:t>
      </w:r>
    </w:p>
    <w:p w14:paraId="6CC99822" w14:textId="3C7B7CFE" w:rsidR="009B2515" w:rsidRPr="007C16C5" w:rsidRDefault="009B2515" w:rsidP="00E27AE4">
      <w:pPr>
        <w:spacing w:before="240" w:line="360" w:lineRule="auto"/>
        <w:jc w:val="both"/>
        <w:rPr>
          <w:rFonts w:ascii="Times New Roman" w:eastAsia="Calibri" w:hAnsi="Times New Roman" w:cs="Times New Roman"/>
          <w:b/>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 xml:space="preserve">Eficientización </w:t>
      </w:r>
      <w:r w:rsidR="00314B29" w:rsidRPr="007C16C5">
        <w:rPr>
          <w:rFonts w:ascii="Times New Roman" w:eastAsia="Calibri" w:hAnsi="Times New Roman" w:cs="Times New Roman"/>
          <w:b/>
          <w:color w:val="4C4747"/>
          <w:spacing w:val="20"/>
          <w:sz w:val="24"/>
          <w:szCs w:val="24"/>
          <w:lang w:val="es-DO"/>
        </w:rPr>
        <w:t>e</w:t>
      </w:r>
      <w:r w:rsidRPr="007C16C5">
        <w:rPr>
          <w:rFonts w:ascii="Times New Roman" w:eastAsia="Calibri" w:hAnsi="Times New Roman" w:cs="Times New Roman"/>
          <w:b/>
          <w:color w:val="4C4747"/>
          <w:spacing w:val="20"/>
          <w:sz w:val="24"/>
          <w:szCs w:val="24"/>
          <w:lang w:val="es-DO"/>
        </w:rPr>
        <w:t xml:space="preserve">nergética </w:t>
      </w:r>
      <w:r w:rsidR="00314B29" w:rsidRPr="007C16C5">
        <w:rPr>
          <w:rFonts w:ascii="Times New Roman" w:eastAsia="Calibri" w:hAnsi="Times New Roman" w:cs="Times New Roman"/>
          <w:b/>
          <w:color w:val="4C4747"/>
          <w:spacing w:val="20"/>
          <w:sz w:val="24"/>
          <w:szCs w:val="24"/>
          <w:lang w:val="es-DO"/>
        </w:rPr>
        <w:t>del sistema de monitoreo del espectro r</w:t>
      </w:r>
      <w:r w:rsidRPr="007C16C5">
        <w:rPr>
          <w:rFonts w:ascii="Times New Roman" w:eastAsia="Calibri" w:hAnsi="Times New Roman" w:cs="Times New Roman"/>
          <w:b/>
          <w:color w:val="4C4747"/>
          <w:spacing w:val="20"/>
          <w:sz w:val="24"/>
          <w:szCs w:val="24"/>
          <w:lang w:val="es-DO"/>
        </w:rPr>
        <w:t>adioeléctrico</w:t>
      </w:r>
    </w:p>
    <w:p w14:paraId="42238B19" w14:textId="0985330D" w:rsidR="001D3CC6" w:rsidRPr="007C16C5" w:rsidRDefault="001D3CC6"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Como</w:t>
      </w:r>
      <w:r w:rsidR="00E27AE4" w:rsidRPr="007C16C5">
        <w:rPr>
          <w:rFonts w:ascii="Times New Roman" w:eastAsia="Calibri" w:hAnsi="Times New Roman" w:cs="Times New Roman"/>
          <w:color w:val="4C4747"/>
          <w:spacing w:val="20"/>
          <w:sz w:val="24"/>
          <w:szCs w:val="24"/>
          <w:lang w:val="es-DO"/>
        </w:rPr>
        <w:t xml:space="preserve"> parte de las mejoras que se ha</w:t>
      </w:r>
      <w:r w:rsidRPr="007C16C5">
        <w:rPr>
          <w:rFonts w:ascii="Times New Roman" w:eastAsia="Calibri" w:hAnsi="Times New Roman" w:cs="Times New Roman"/>
          <w:color w:val="4C4747"/>
          <w:spacing w:val="20"/>
          <w:sz w:val="24"/>
          <w:szCs w:val="24"/>
          <w:lang w:val="es-DO"/>
        </w:rPr>
        <w:t xml:space="preserve"> realizado al sistema de monitoreo del espectro radioeléctrico y a su vez reducción de gastos operativos relacionados al consumo de combustible y mantenimiento, se cuenta con una estación de monitoreo remota en Barahona, la cual opera con planta eléctrica todo el tiempo, debido a que para instalar energía comercial al lugar no había presupuesto. </w:t>
      </w:r>
    </w:p>
    <w:p w14:paraId="689C1AD7" w14:textId="77777777" w:rsidR="001D3CC6" w:rsidRPr="007C16C5" w:rsidRDefault="001D3CC6"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Por esta razón, se planificó la instalación de un sistema fotovoltaico con una autonomía de hasta 48 horas sin luz solar. Con este sistema la estación remota funcionaría sin la necesidad de utilizar ningún otro </w:t>
      </w:r>
      <w:r w:rsidRPr="007C16C5">
        <w:rPr>
          <w:rFonts w:ascii="Times New Roman" w:eastAsia="Calibri" w:hAnsi="Times New Roman" w:cs="Times New Roman"/>
          <w:color w:val="4C4747"/>
          <w:spacing w:val="20"/>
          <w:sz w:val="24"/>
          <w:szCs w:val="24"/>
          <w:lang w:val="es-DO"/>
        </w:rPr>
        <w:lastRenderedPageBreak/>
        <w:t>tipo de energía, en este sentido la planta eléctrica sería utilizada solamente en casos de emergencia.</w:t>
      </w:r>
    </w:p>
    <w:p w14:paraId="47BEA55D" w14:textId="771EE807" w:rsidR="001D3CC6" w:rsidRPr="007C16C5" w:rsidRDefault="001D3CC6" w:rsidP="001D3CC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En esta etapa, el proyecto fue adjudicado a una empresa y los trabajos de instalación están planificados para comenzar el 6 diciembre de 2022, por lo que s</w:t>
      </w:r>
      <w:r w:rsidR="00E27AE4" w:rsidRPr="007C16C5">
        <w:rPr>
          <w:rFonts w:ascii="Times New Roman" w:eastAsia="Calibri" w:hAnsi="Times New Roman" w:cs="Times New Roman"/>
          <w:color w:val="4C4747"/>
          <w:spacing w:val="20"/>
          <w:sz w:val="24"/>
          <w:szCs w:val="24"/>
          <w:lang w:val="es-DO"/>
        </w:rPr>
        <w:t>e espera</w:t>
      </w:r>
      <w:r w:rsidRPr="007C16C5">
        <w:rPr>
          <w:rFonts w:ascii="Times New Roman" w:eastAsia="Calibri" w:hAnsi="Times New Roman" w:cs="Times New Roman"/>
          <w:color w:val="4C4747"/>
          <w:spacing w:val="20"/>
          <w:sz w:val="24"/>
          <w:szCs w:val="24"/>
          <w:lang w:val="es-DO"/>
        </w:rPr>
        <w:t xml:space="preserve"> que la puesta en funcionamiento del sistema sea a finales del mes de diciembre de 2022.</w:t>
      </w:r>
    </w:p>
    <w:p w14:paraId="5E4393A0"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61835C01"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076D8E60"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10FB9D98"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1FD983D9"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76A3D513"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0632316B"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4E9E7E8E"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40015524"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0E2C1A3A"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4CF6D5DF"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3477ABB2"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6E02A3C7"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7651FA82"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420438C0" w14:textId="77777777" w:rsidR="002A40D6" w:rsidRDefault="002A40D6" w:rsidP="001D3CC6">
      <w:pPr>
        <w:spacing w:line="360" w:lineRule="auto"/>
        <w:jc w:val="both"/>
        <w:rPr>
          <w:rFonts w:ascii="Times New Roman" w:eastAsia="Calibri" w:hAnsi="Times New Roman" w:cs="Times New Roman"/>
          <w:color w:val="4C4747"/>
          <w:spacing w:val="20"/>
          <w:sz w:val="24"/>
          <w:szCs w:val="24"/>
          <w:lang w:val="es-DO"/>
        </w:rPr>
      </w:pPr>
    </w:p>
    <w:p w14:paraId="3701EA67" w14:textId="77777777" w:rsidR="002A40D6" w:rsidRPr="009A25BD" w:rsidRDefault="002A40D6" w:rsidP="001D3CC6">
      <w:pPr>
        <w:spacing w:line="360" w:lineRule="auto"/>
        <w:jc w:val="both"/>
        <w:rPr>
          <w:rFonts w:ascii="Times New Roman" w:eastAsia="Calibri" w:hAnsi="Times New Roman" w:cs="Times New Roman"/>
          <w:color w:val="4C4747"/>
          <w:spacing w:val="20"/>
          <w:sz w:val="24"/>
          <w:szCs w:val="24"/>
          <w:lang w:val="es-DO"/>
        </w:rPr>
      </w:pPr>
    </w:p>
    <w:p w14:paraId="5F8A4449" w14:textId="77777777" w:rsidR="002A40D6" w:rsidRPr="009A25BD" w:rsidRDefault="002A40D6" w:rsidP="001D3CC6">
      <w:pPr>
        <w:spacing w:line="360" w:lineRule="auto"/>
        <w:jc w:val="both"/>
        <w:rPr>
          <w:rFonts w:ascii="Times New Roman" w:eastAsia="Calibri" w:hAnsi="Times New Roman" w:cs="Times New Roman"/>
          <w:color w:val="4C4747"/>
          <w:spacing w:val="20"/>
          <w:sz w:val="24"/>
          <w:szCs w:val="24"/>
          <w:lang w:val="es-DO"/>
        </w:rPr>
      </w:pPr>
    </w:p>
    <w:p w14:paraId="5929E232" w14:textId="053C0043" w:rsidR="0083303F" w:rsidRPr="009A25BD" w:rsidRDefault="009A6D07" w:rsidP="009A6D07">
      <w:pPr>
        <w:keepNext/>
        <w:spacing w:before="240" w:after="60" w:line="360" w:lineRule="auto"/>
        <w:contextualSpacing/>
        <w:jc w:val="both"/>
        <w:outlineLvl w:val="2"/>
        <w:rPr>
          <w:rFonts w:ascii="Times New Roman" w:eastAsia="Times New Roman" w:hAnsi="Times New Roman" w:cs="Times New Roman"/>
          <w:b/>
          <w:bCs/>
          <w:color w:val="4C4747"/>
          <w:sz w:val="24"/>
          <w:szCs w:val="26"/>
          <w:lang w:val="es-DO" w:eastAsia="es-DO"/>
        </w:rPr>
      </w:pPr>
      <w:bookmarkStart w:id="14" w:name="_Toc122425236"/>
      <w:r w:rsidRPr="009A25BD">
        <w:rPr>
          <w:rFonts w:ascii="Times New Roman" w:eastAsia="Times New Roman" w:hAnsi="Times New Roman" w:cs="Times New Roman"/>
          <w:b/>
          <w:bCs/>
          <w:color w:val="4C4747"/>
          <w:sz w:val="24"/>
          <w:szCs w:val="26"/>
          <w:lang w:val="es-DO" w:eastAsia="es-DO"/>
        </w:rPr>
        <w:lastRenderedPageBreak/>
        <w:t xml:space="preserve">3.3 </w:t>
      </w:r>
      <w:r w:rsidR="00650DCD" w:rsidRPr="009A25BD">
        <w:rPr>
          <w:rFonts w:ascii="Times New Roman" w:eastAsia="Times New Roman" w:hAnsi="Times New Roman" w:cs="Times New Roman"/>
          <w:b/>
          <w:bCs/>
          <w:color w:val="4C4747"/>
          <w:sz w:val="24"/>
          <w:szCs w:val="26"/>
          <w:lang w:val="es-DO" w:eastAsia="es-DO"/>
        </w:rPr>
        <w:t>Fiscalización</w:t>
      </w:r>
      <w:bookmarkEnd w:id="14"/>
    </w:p>
    <w:p w14:paraId="6F989BEC" w14:textId="77777777" w:rsidR="00374E11" w:rsidRPr="009A25BD" w:rsidRDefault="00374E11" w:rsidP="00374E11">
      <w:pPr>
        <w:spacing w:before="240"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El INDOTEL tiene la labor de fiscalizar el cumplimiento de las obligaciones a cargo de los agentes regulados del sector de las telecomunicaciones y/o aquellos que incurran en la prestación u operación de servicios de telecomunicaciones sin el correspondiente título habilitante. </w:t>
      </w:r>
    </w:p>
    <w:p w14:paraId="4CA294A9" w14:textId="04D5E03A" w:rsidR="00374E11" w:rsidRPr="009A25BD" w:rsidRDefault="00374E11" w:rsidP="00E14BA7">
      <w:pPr>
        <w:spacing w:before="240"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En el período comprendido de enero a </w:t>
      </w:r>
      <w:r w:rsidR="00ED6B17" w:rsidRPr="009A25BD">
        <w:rPr>
          <w:rFonts w:ascii="Times New Roman" w:eastAsia="Calibri" w:hAnsi="Times New Roman" w:cs="Times New Roman"/>
          <w:color w:val="4C4747"/>
          <w:spacing w:val="20"/>
          <w:sz w:val="24"/>
          <w:szCs w:val="24"/>
          <w:lang w:val="es-DO"/>
        </w:rPr>
        <w:t xml:space="preserve">noviembre </w:t>
      </w:r>
      <w:r w:rsidRPr="009A25BD">
        <w:rPr>
          <w:rFonts w:ascii="Times New Roman" w:eastAsia="Calibri" w:hAnsi="Times New Roman" w:cs="Times New Roman"/>
          <w:color w:val="4C4747"/>
          <w:spacing w:val="20"/>
          <w:sz w:val="24"/>
          <w:szCs w:val="24"/>
          <w:lang w:val="es-DO"/>
        </w:rPr>
        <w:t xml:space="preserve">del año 2022, se </w:t>
      </w:r>
      <w:r w:rsidR="00243839" w:rsidRPr="009A25BD">
        <w:rPr>
          <w:rFonts w:ascii="Times New Roman" w:eastAsia="Calibri" w:hAnsi="Times New Roman" w:cs="Times New Roman"/>
          <w:color w:val="4C4747"/>
          <w:spacing w:val="20"/>
          <w:sz w:val="24"/>
          <w:szCs w:val="24"/>
          <w:lang w:val="es-DO"/>
        </w:rPr>
        <w:t>llevó</w:t>
      </w:r>
      <w:r w:rsidRPr="009A25BD">
        <w:rPr>
          <w:rFonts w:ascii="Times New Roman" w:eastAsia="Calibri" w:hAnsi="Times New Roman" w:cs="Times New Roman"/>
          <w:color w:val="4C4747"/>
          <w:spacing w:val="20"/>
          <w:sz w:val="24"/>
          <w:szCs w:val="24"/>
          <w:lang w:val="es-DO"/>
        </w:rPr>
        <w:t xml:space="preserve"> a cabo </w:t>
      </w:r>
      <w:r w:rsidR="00DB5745" w:rsidRPr="009A25BD">
        <w:rPr>
          <w:rFonts w:ascii="Times New Roman" w:eastAsia="Calibri" w:hAnsi="Times New Roman" w:cs="Times New Roman"/>
          <w:color w:val="4C4747"/>
          <w:spacing w:val="20"/>
          <w:sz w:val="24"/>
          <w:szCs w:val="24"/>
          <w:lang w:val="es-DO"/>
        </w:rPr>
        <w:t xml:space="preserve">una </w:t>
      </w:r>
      <w:r w:rsidRPr="009A25BD">
        <w:rPr>
          <w:rFonts w:ascii="Times New Roman" w:eastAsia="Calibri" w:hAnsi="Times New Roman" w:cs="Times New Roman"/>
          <w:color w:val="4C4747"/>
          <w:spacing w:val="20"/>
          <w:sz w:val="24"/>
          <w:szCs w:val="24"/>
          <w:lang w:val="es-DO"/>
        </w:rPr>
        <w:t xml:space="preserve">efectiva labor de fiscalización, investigación, supervisión, comprobación, localización </w:t>
      </w:r>
      <w:r w:rsidR="003A6538" w:rsidRPr="009A25BD">
        <w:rPr>
          <w:rFonts w:ascii="Times New Roman" w:eastAsia="Calibri" w:hAnsi="Times New Roman" w:cs="Times New Roman"/>
          <w:color w:val="4C4747"/>
          <w:spacing w:val="20"/>
          <w:sz w:val="24"/>
          <w:szCs w:val="24"/>
          <w:lang w:val="es-DO"/>
        </w:rPr>
        <w:t>de operaciones de</w:t>
      </w:r>
      <w:r w:rsidRPr="009A25BD">
        <w:rPr>
          <w:rFonts w:ascii="Times New Roman" w:eastAsia="Calibri" w:hAnsi="Times New Roman" w:cs="Times New Roman"/>
          <w:color w:val="4C4747"/>
          <w:spacing w:val="20"/>
          <w:sz w:val="24"/>
          <w:szCs w:val="24"/>
          <w:lang w:val="es-DO"/>
        </w:rPr>
        <w:t xml:space="preserve"> estaciones de radiodifusión sonora </w:t>
      </w:r>
      <w:r w:rsidR="00090FB3" w:rsidRPr="009A25BD">
        <w:rPr>
          <w:rFonts w:ascii="Times New Roman" w:eastAsia="Calibri" w:hAnsi="Times New Roman" w:cs="Times New Roman"/>
          <w:color w:val="4C4747"/>
          <w:spacing w:val="20"/>
          <w:sz w:val="24"/>
          <w:szCs w:val="24"/>
          <w:lang w:val="es-DO"/>
        </w:rPr>
        <w:t xml:space="preserve">y </w:t>
      </w:r>
      <w:r w:rsidRPr="009A25BD">
        <w:rPr>
          <w:rFonts w:ascii="Times New Roman" w:eastAsia="Calibri" w:hAnsi="Times New Roman" w:cs="Times New Roman"/>
          <w:color w:val="4C4747"/>
          <w:spacing w:val="20"/>
          <w:sz w:val="24"/>
          <w:szCs w:val="24"/>
          <w:lang w:val="es-DO"/>
        </w:rPr>
        <w:t>televisiva en sus respectivas bandas de frecuencias</w:t>
      </w:r>
      <w:r w:rsidR="004D5ADB" w:rsidRPr="009A25BD">
        <w:rPr>
          <w:rFonts w:ascii="Times New Roman" w:eastAsia="Calibri" w:hAnsi="Times New Roman" w:cs="Times New Roman"/>
          <w:color w:val="4C4747"/>
          <w:spacing w:val="20"/>
          <w:sz w:val="24"/>
          <w:szCs w:val="24"/>
          <w:lang w:val="es-DO"/>
        </w:rPr>
        <w:t xml:space="preserve"> y en el servicio de difusión por cable con el objetivo de </w:t>
      </w:r>
      <w:r w:rsidRPr="009A25BD">
        <w:rPr>
          <w:rFonts w:ascii="Times New Roman" w:eastAsia="Calibri" w:hAnsi="Times New Roman" w:cs="Times New Roman"/>
          <w:color w:val="4C4747"/>
          <w:spacing w:val="20"/>
          <w:sz w:val="24"/>
          <w:szCs w:val="24"/>
          <w:lang w:val="es-DO"/>
        </w:rPr>
        <w:t xml:space="preserve">evitar </w:t>
      </w:r>
      <w:r w:rsidR="004D5ADB" w:rsidRPr="009A25BD">
        <w:rPr>
          <w:rFonts w:ascii="Times New Roman" w:eastAsia="Calibri" w:hAnsi="Times New Roman" w:cs="Times New Roman"/>
          <w:color w:val="4C4747"/>
          <w:spacing w:val="20"/>
          <w:sz w:val="24"/>
          <w:szCs w:val="24"/>
          <w:lang w:val="es-DO"/>
        </w:rPr>
        <w:t>la prestación sin autorización de los servicios de telecomunicaciones,  así como el</w:t>
      </w:r>
      <w:r w:rsidRPr="009A25BD">
        <w:rPr>
          <w:rFonts w:ascii="Times New Roman" w:eastAsia="Calibri" w:hAnsi="Times New Roman" w:cs="Times New Roman"/>
          <w:color w:val="4C4747"/>
          <w:spacing w:val="20"/>
          <w:sz w:val="24"/>
          <w:szCs w:val="24"/>
          <w:lang w:val="es-DO"/>
        </w:rPr>
        <w:t xml:space="preserve"> uso de frecuencias del espectro radioeléctrico sin autorización.  </w:t>
      </w:r>
    </w:p>
    <w:p w14:paraId="142DEED7" w14:textId="57175949" w:rsidR="00374E11" w:rsidRPr="009A25BD" w:rsidRDefault="007F00FF" w:rsidP="00E14BA7">
      <w:pPr>
        <w:spacing w:before="240"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Producto de la labor realizada</w:t>
      </w:r>
      <w:r w:rsidR="00374E11" w:rsidRPr="009A25BD">
        <w:rPr>
          <w:rFonts w:ascii="Times New Roman" w:eastAsia="Calibri" w:hAnsi="Times New Roman" w:cs="Times New Roman"/>
          <w:color w:val="4C4747"/>
          <w:spacing w:val="20"/>
          <w:sz w:val="24"/>
          <w:szCs w:val="24"/>
          <w:lang w:val="es-DO"/>
        </w:rPr>
        <w:t xml:space="preserve"> se procedió a </w:t>
      </w:r>
      <w:r w:rsidR="0015013D" w:rsidRPr="009A25BD">
        <w:rPr>
          <w:rFonts w:ascii="Times New Roman" w:eastAsia="Calibri" w:hAnsi="Times New Roman" w:cs="Times New Roman"/>
          <w:color w:val="4C4747"/>
          <w:spacing w:val="20"/>
          <w:sz w:val="24"/>
          <w:szCs w:val="24"/>
          <w:lang w:val="es-DO"/>
        </w:rPr>
        <w:t xml:space="preserve">la clausura e incautación de quince (15) </w:t>
      </w:r>
      <w:r w:rsidR="00374E11" w:rsidRPr="009A25BD">
        <w:rPr>
          <w:rFonts w:ascii="Times New Roman" w:eastAsia="Calibri" w:hAnsi="Times New Roman" w:cs="Times New Roman"/>
          <w:color w:val="4C4747"/>
          <w:spacing w:val="20"/>
          <w:sz w:val="24"/>
          <w:szCs w:val="24"/>
          <w:lang w:val="es-DO"/>
        </w:rPr>
        <w:t xml:space="preserve">estaciones </w:t>
      </w:r>
      <w:r w:rsidR="00B975B1" w:rsidRPr="009A25BD">
        <w:rPr>
          <w:rFonts w:ascii="Times New Roman" w:eastAsia="Calibri" w:hAnsi="Times New Roman" w:cs="Times New Roman"/>
          <w:color w:val="4C4747"/>
          <w:spacing w:val="20"/>
          <w:sz w:val="24"/>
          <w:szCs w:val="24"/>
          <w:lang w:val="es-DO"/>
        </w:rPr>
        <w:t xml:space="preserve">de </w:t>
      </w:r>
      <w:r w:rsidR="00374E11" w:rsidRPr="009A25BD">
        <w:rPr>
          <w:rFonts w:ascii="Times New Roman" w:eastAsia="Calibri" w:hAnsi="Times New Roman" w:cs="Times New Roman"/>
          <w:color w:val="4C4747"/>
          <w:spacing w:val="20"/>
          <w:sz w:val="24"/>
          <w:szCs w:val="24"/>
          <w:lang w:val="es-DO"/>
        </w:rPr>
        <w:t>radiodifusión sonora y una</w:t>
      </w:r>
      <w:r w:rsidR="0015013D" w:rsidRPr="009A25BD">
        <w:rPr>
          <w:rFonts w:ascii="Times New Roman" w:eastAsia="Calibri" w:hAnsi="Times New Roman" w:cs="Times New Roman"/>
          <w:color w:val="4C4747"/>
          <w:spacing w:val="20"/>
          <w:sz w:val="24"/>
          <w:szCs w:val="24"/>
          <w:lang w:val="es-DO"/>
        </w:rPr>
        <w:t xml:space="preserve"> (1)</w:t>
      </w:r>
      <w:r w:rsidR="00374E11" w:rsidRPr="009A25BD">
        <w:rPr>
          <w:rFonts w:ascii="Times New Roman" w:eastAsia="Calibri" w:hAnsi="Times New Roman" w:cs="Times New Roman"/>
          <w:color w:val="4C4747"/>
          <w:spacing w:val="20"/>
          <w:sz w:val="24"/>
          <w:szCs w:val="24"/>
          <w:lang w:val="es-DO"/>
        </w:rPr>
        <w:t xml:space="preserve"> estación de radiodifusión televisiva que operaban sin la autorización correspondiente. De igual forma fueron realizadas 314 inspecciones a estaciones autorizadas para prestar el servicio de radiodifusión sonora. Esto ha contribuido, además, a la desocupación de frecuencias licenciadas que estaban en uso sin autorización. </w:t>
      </w:r>
    </w:p>
    <w:p w14:paraId="4130609B" w14:textId="3EFA4679" w:rsidR="00374E11" w:rsidRPr="009A25BD" w:rsidRDefault="00374E11" w:rsidP="00E14BA7">
      <w:pPr>
        <w:spacing w:before="240"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Atendiendo a denuncias de competencia desleal y de interferencia de señales, se procedió a la fiscalización de 58 denuncias de interferencias, así como </w:t>
      </w:r>
      <w:r w:rsidR="00275B5B" w:rsidRPr="009A25BD">
        <w:rPr>
          <w:rFonts w:ascii="Times New Roman" w:eastAsia="Calibri" w:hAnsi="Times New Roman" w:cs="Times New Roman"/>
          <w:color w:val="4C4747"/>
          <w:spacing w:val="20"/>
          <w:sz w:val="24"/>
          <w:szCs w:val="24"/>
          <w:lang w:val="es-DO"/>
        </w:rPr>
        <w:t>a</w:t>
      </w:r>
      <w:r w:rsidR="006B445C" w:rsidRPr="009A25BD">
        <w:rPr>
          <w:rFonts w:ascii="Times New Roman" w:eastAsia="Calibri" w:hAnsi="Times New Roman" w:cs="Times New Roman"/>
          <w:color w:val="4C4747"/>
          <w:spacing w:val="20"/>
          <w:sz w:val="24"/>
          <w:szCs w:val="24"/>
          <w:lang w:val="es-DO"/>
        </w:rPr>
        <w:t xml:space="preserve"> </w:t>
      </w:r>
      <w:r w:rsidRPr="009A25BD">
        <w:rPr>
          <w:rFonts w:ascii="Times New Roman" w:eastAsia="Calibri" w:hAnsi="Times New Roman" w:cs="Times New Roman"/>
          <w:color w:val="4C4747"/>
          <w:spacing w:val="20"/>
          <w:sz w:val="24"/>
          <w:szCs w:val="24"/>
          <w:lang w:val="es-DO"/>
        </w:rPr>
        <w:t xml:space="preserve">72 empresas de agentes de reventa del servicio de internet de las que se han clausurado 40 a la fecha. Además, se </w:t>
      </w:r>
      <w:r w:rsidR="007033AD" w:rsidRPr="009A25BD">
        <w:rPr>
          <w:rFonts w:ascii="Times New Roman" w:eastAsia="Calibri" w:hAnsi="Times New Roman" w:cs="Times New Roman"/>
          <w:color w:val="4C4747"/>
          <w:spacing w:val="20"/>
          <w:sz w:val="24"/>
          <w:szCs w:val="24"/>
          <w:lang w:val="es-DO"/>
        </w:rPr>
        <w:t xml:space="preserve">inspeccionaron </w:t>
      </w:r>
      <w:r w:rsidRPr="009A25BD">
        <w:rPr>
          <w:rFonts w:ascii="Times New Roman" w:eastAsia="Calibri" w:hAnsi="Times New Roman" w:cs="Times New Roman"/>
          <w:color w:val="4C4747"/>
          <w:spacing w:val="20"/>
          <w:sz w:val="24"/>
          <w:szCs w:val="24"/>
          <w:lang w:val="es-DO"/>
        </w:rPr>
        <w:t xml:space="preserve">57 concesionarias del servicio de difusión por cable en distintas partes del territorio nacional, resultando en la clausura de 5 </w:t>
      </w:r>
      <w:r w:rsidR="00090FB3" w:rsidRPr="009A25BD">
        <w:rPr>
          <w:rFonts w:ascii="Times New Roman" w:eastAsia="Calibri" w:hAnsi="Times New Roman" w:cs="Times New Roman"/>
          <w:color w:val="4C4747"/>
          <w:spacing w:val="20"/>
          <w:sz w:val="24"/>
          <w:szCs w:val="24"/>
          <w:lang w:val="es-DO"/>
        </w:rPr>
        <w:t>las cuales fueron</w:t>
      </w:r>
      <w:r w:rsidR="003A6538" w:rsidRPr="009A25BD">
        <w:rPr>
          <w:rFonts w:ascii="Times New Roman" w:eastAsia="Calibri" w:hAnsi="Times New Roman" w:cs="Times New Roman"/>
          <w:color w:val="4C4747"/>
          <w:spacing w:val="20"/>
          <w:sz w:val="24"/>
          <w:szCs w:val="24"/>
          <w:lang w:val="es-DO"/>
        </w:rPr>
        <w:t xml:space="preserve"> recomendadas para iniciarles </w:t>
      </w:r>
      <w:r w:rsidRPr="009A25BD">
        <w:rPr>
          <w:rFonts w:ascii="Times New Roman" w:eastAsia="Calibri" w:hAnsi="Times New Roman" w:cs="Times New Roman"/>
          <w:color w:val="4C4747"/>
          <w:spacing w:val="20"/>
          <w:sz w:val="24"/>
          <w:szCs w:val="24"/>
          <w:lang w:val="es-DO"/>
        </w:rPr>
        <w:t xml:space="preserve">los </w:t>
      </w:r>
      <w:r w:rsidRPr="009A25BD">
        <w:rPr>
          <w:rFonts w:ascii="Times New Roman" w:eastAsia="Calibri" w:hAnsi="Times New Roman" w:cs="Times New Roman"/>
          <w:color w:val="4C4747"/>
          <w:spacing w:val="20"/>
          <w:sz w:val="24"/>
          <w:szCs w:val="24"/>
          <w:lang w:val="es-DO"/>
        </w:rPr>
        <w:lastRenderedPageBreak/>
        <w:t xml:space="preserve">procesos sancionadores administrativos correspondientes. </w:t>
      </w:r>
    </w:p>
    <w:p w14:paraId="77F7047B" w14:textId="772A921A" w:rsidR="00374E11" w:rsidRPr="009A25BD" w:rsidRDefault="003A6538" w:rsidP="00374E11">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En materia de calidad se realizaron </w:t>
      </w:r>
      <w:r w:rsidR="00374E11" w:rsidRPr="009A25BD">
        <w:rPr>
          <w:rFonts w:ascii="Times New Roman" w:eastAsia="Calibri" w:hAnsi="Times New Roman" w:cs="Times New Roman"/>
          <w:color w:val="4C4747"/>
          <w:spacing w:val="20"/>
          <w:sz w:val="24"/>
          <w:szCs w:val="24"/>
          <w:lang w:val="es-DO"/>
        </w:rPr>
        <w:t>las mediciones o comprobaciones a nivel nacional con el Drive Test en la que se midieron nueve (9) indicadore</w:t>
      </w:r>
      <w:r w:rsidRPr="009A25BD">
        <w:rPr>
          <w:rFonts w:ascii="Times New Roman" w:eastAsia="Calibri" w:hAnsi="Times New Roman" w:cs="Times New Roman"/>
          <w:color w:val="4C4747"/>
          <w:spacing w:val="20"/>
          <w:sz w:val="24"/>
          <w:szCs w:val="24"/>
          <w:lang w:val="es-DO"/>
        </w:rPr>
        <w:t>s</w:t>
      </w:r>
      <w:r w:rsidR="00374E11" w:rsidRPr="009A25BD">
        <w:rPr>
          <w:rFonts w:ascii="Times New Roman" w:eastAsia="Calibri" w:hAnsi="Times New Roman" w:cs="Times New Roman"/>
          <w:color w:val="4C4747"/>
          <w:spacing w:val="20"/>
          <w:sz w:val="24"/>
          <w:szCs w:val="24"/>
          <w:lang w:val="es-DO"/>
        </w:rPr>
        <w:t xml:space="preserve"> se dieron a conocer por primera vez al país mediante publicación conforme lo establece la Norma de Calidad del Servicio de Telefonía y Acceso a Internet dictada por el Consejo Directivo del INDOTEL, mediante la Resolución número 016-15 de fecha 8 de julio de 2015. </w:t>
      </w:r>
    </w:p>
    <w:p w14:paraId="5A73CB48" w14:textId="5AD81301" w:rsidR="00374E11" w:rsidRPr="009A25BD" w:rsidRDefault="00090FB3" w:rsidP="00E14BA7">
      <w:pPr>
        <w:spacing w:before="240"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Esta información es</w:t>
      </w:r>
      <w:r w:rsidR="00374E11" w:rsidRPr="009A25BD">
        <w:rPr>
          <w:rFonts w:ascii="Times New Roman" w:eastAsia="Calibri" w:hAnsi="Times New Roman" w:cs="Times New Roman"/>
          <w:color w:val="4C4747"/>
          <w:spacing w:val="20"/>
          <w:sz w:val="24"/>
          <w:szCs w:val="24"/>
          <w:lang w:val="es-DO"/>
        </w:rPr>
        <w:t xml:space="preserve"> valiosa para los usuarios, </w:t>
      </w:r>
      <w:r w:rsidR="007F00FF" w:rsidRPr="009A25BD">
        <w:rPr>
          <w:rFonts w:ascii="Times New Roman" w:eastAsia="Calibri" w:hAnsi="Times New Roman" w:cs="Times New Roman"/>
          <w:color w:val="4C4747"/>
          <w:spacing w:val="20"/>
          <w:sz w:val="24"/>
          <w:szCs w:val="24"/>
          <w:lang w:val="es-DO"/>
        </w:rPr>
        <w:t>debido a que</w:t>
      </w:r>
      <w:r w:rsidR="00374E11" w:rsidRPr="009A25BD">
        <w:rPr>
          <w:rFonts w:ascii="Times New Roman" w:eastAsia="Calibri" w:hAnsi="Times New Roman" w:cs="Times New Roman"/>
          <w:color w:val="4C4747"/>
          <w:spacing w:val="20"/>
          <w:sz w:val="24"/>
          <w:szCs w:val="24"/>
          <w:lang w:val="es-DO"/>
        </w:rPr>
        <w:t xml:space="preserve"> ahora pueden tener una referencia objetiva para la selección de su prestador de servicios móviles, a la vez que promueve la mejora en los servicios por parte de las concesionarias.  </w:t>
      </w:r>
    </w:p>
    <w:p w14:paraId="274A78E0" w14:textId="77777777" w:rsidR="00374E11" w:rsidRPr="009A25BD" w:rsidRDefault="00374E11" w:rsidP="00E14BA7">
      <w:pPr>
        <w:spacing w:before="240"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Dentro de este ámbito se realizó el análisis de 13 reportes trimestrales de calidad, contentivos de un promedio de 16 indicadores de calidad incluidos los tres operadores principales, para la evaluación de la calidad de prestación de los servicios de telefonía móvil y fija, mensajería corta de texto (SMS) e internet móvil y fijo a nivel nacional. </w:t>
      </w:r>
    </w:p>
    <w:p w14:paraId="6F0BFC8B" w14:textId="77777777" w:rsidR="00374E11" w:rsidRPr="009A25BD" w:rsidRDefault="00374E11" w:rsidP="00374E11">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Los análisis han sido realizados en virtud de lo establecido en la referida norma, por lo que estas actuaciones constituyen el cumplimiento a un mandato normativo que tiene como objetivo garantizar que los servicios públicos de telecomunicaciones están siendo prestados con la calidad, tal y como lo establece la Ley General de Telecomunicaciones número 153-98. </w:t>
      </w:r>
    </w:p>
    <w:p w14:paraId="6B6BCC94" w14:textId="77777777" w:rsidR="00F65C89" w:rsidRDefault="00374E11" w:rsidP="00374E11">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En el mismo tenor del aseguramiento de la calidad, se h</w:t>
      </w:r>
      <w:r w:rsidR="00E14BA7" w:rsidRPr="009A25BD">
        <w:rPr>
          <w:rFonts w:ascii="Times New Roman" w:eastAsia="Calibri" w:hAnsi="Times New Roman" w:cs="Times New Roman"/>
          <w:color w:val="4C4747"/>
          <w:spacing w:val="20"/>
          <w:sz w:val="24"/>
          <w:szCs w:val="24"/>
          <w:lang w:val="es-DO"/>
        </w:rPr>
        <w:t>a mantenido la observancia del p</w:t>
      </w:r>
      <w:r w:rsidRPr="009A25BD">
        <w:rPr>
          <w:rFonts w:ascii="Times New Roman" w:eastAsia="Calibri" w:hAnsi="Times New Roman" w:cs="Times New Roman"/>
          <w:color w:val="4C4747"/>
          <w:spacing w:val="20"/>
          <w:sz w:val="24"/>
          <w:szCs w:val="24"/>
          <w:lang w:val="es-DO"/>
        </w:rPr>
        <w:t xml:space="preserve">rotocolo para el </w:t>
      </w:r>
      <w:r w:rsidR="002677EC" w:rsidRPr="009A25BD">
        <w:rPr>
          <w:rFonts w:ascii="Times New Roman" w:eastAsia="Calibri" w:hAnsi="Times New Roman" w:cs="Times New Roman"/>
          <w:color w:val="4C4747"/>
          <w:spacing w:val="20"/>
          <w:sz w:val="24"/>
          <w:szCs w:val="24"/>
          <w:lang w:val="es-DO"/>
        </w:rPr>
        <w:t>m</w:t>
      </w:r>
      <w:r w:rsidRPr="009A25BD">
        <w:rPr>
          <w:rFonts w:ascii="Times New Roman" w:eastAsia="Calibri" w:hAnsi="Times New Roman" w:cs="Times New Roman"/>
          <w:color w:val="4C4747"/>
          <w:spacing w:val="20"/>
          <w:sz w:val="24"/>
          <w:szCs w:val="24"/>
          <w:lang w:val="es-DO"/>
        </w:rPr>
        <w:t xml:space="preserve">anejo de las </w:t>
      </w:r>
      <w:r w:rsidR="002677EC" w:rsidRPr="009A25BD">
        <w:rPr>
          <w:rFonts w:ascii="Times New Roman" w:eastAsia="Calibri" w:hAnsi="Times New Roman" w:cs="Times New Roman"/>
          <w:color w:val="4C4747"/>
          <w:spacing w:val="20"/>
          <w:sz w:val="24"/>
          <w:szCs w:val="24"/>
          <w:lang w:val="es-DO"/>
        </w:rPr>
        <w:t>a</w:t>
      </w:r>
      <w:r w:rsidRPr="009A25BD">
        <w:rPr>
          <w:rFonts w:ascii="Times New Roman" w:eastAsia="Calibri" w:hAnsi="Times New Roman" w:cs="Times New Roman"/>
          <w:color w:val="4C4747"/>
          <w:spacing w:val="20"/>
          <w:sz w:val="24"/>
          <w:szCs w:val="24"/>
          <w:lang w:val="es-DO"/>
        </w:rPr>
        <w:t xml:space="preserve">verías </w:t>
      </w:r>
      <w:r w:rsidR="002677EC" w:rsidRPr="009A25BD">
        <w:rPr>
          <w:rFonts w:ascii="Times New Roman" w:eastAsia="Calibri" w:hAnsi="Times New Roman" w:cs="Times New Roman"/>
          <w:color w:val="4C4747"/>
          <w:spacing w:val="20"/>
          <w:sz w:val="24"/>
          <w:szCs w:val="24"/>
          <w:lang w:val="es-DO"/>
        </w:rPr>
        <w:t>t</w:t>
      </w:r>
      <w:r w:rsidRPr="009A25BD">
        <w:rPr>
          <w:rFonts w:ascii="Times New Roman" w:eastAsia="Calibri" w:hAnsi="Times New Roman" w:cs="Times New Roman"/>
          <w:color w:val="4C4747"/>
          <w:spacing w:val="20"/>
          <w:sz w:val="24"/>
          <w:szCs w:val="24"/>
          <w:lang w:val="es-DO"/>
        </w:rPr>
        <w:t xml:space="preserve">ipo 2 para su ejecución, tanto por parte de las prestadoras como del órgano regulador. Este protocolo ha mejorado considerablemente la </w:t>
      </w:r>
    </w:p>
    <w:p w14:paraId="39E4522A" w14:textId="2194319E" w:rsidR="00374E11" w:rsidRPr="009A25BD" w:rsidRDefault="00374E11" w:rsidP="00374E11">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lastRenderedPageBreak/>
        <w:t xml:space="preserve">visibilidad de las averías de cara al INDOTEL, la compensación a los usuarios por las mismas y la comunicación efectiva entre todas las partes. </w:t>
      </w:r>
    </w:p>
    <w:p w14:paraId="0730DDDE" w14:textId="55DD0344" w:rsidR="00374E11" w:rsidRPr="009A25BD" w:rsidRDefault="00374E11" w:rsidP="00374E11">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xml:space="preserve">Bajo este protocolo se dio seguimiento y se documentaron 6 averías tipo 2, de las cuales 3 </w:t>
      </w:r>
      <w:r w:rsidR="007F00FF" w:rsidRPr="009A25BD">
        <w:rPr>
          <w:rFonts w:ascii="Times New Roman" w:eastAsia="Calibri" w:hAnsi="Times New Roman" w:cs="Times New Roman"/>
          <w:color w:val="4C4747"/>
          <w:spacing w:val="20"/>
          <w:sz w:val="24"/>
          <w:szCs w:val="24"/>
          <w:lang w:val="es-DO"/>
        </w:rPr>
        <w:t xml:space="preserve">conllevaron </w:t>
      </w:r>
      <w:r w:rsidRPr="009A25BD">
        <w:rPr>
          <w:rFonts w:ascii="Times New Roman" w:eastAsia="Calibri" w:hAnsi="Times New Roman" w:cs="Times New Roman"/>
          <w:color w:val="4C4747"/>
          <w:spacing w:val="20"/>
          <w:sz w:val="24"/>
          <w:szCs w:val="24"/>
          <w:lang w:val="es-DO"/>
        </w:rPr>
        <w:t xml:space="preserve">compensación a los usuarios por la afección de los servicios, sumando un total de RD$6, 565,012.99 en créditos a los usuarios afectados. </w:t>
      </w:r>
    </w:p>
    <w:p w14:paraId="48927611" w14:textId="78BC417F" w:rsidR="0083303F" w:rsidRPr="009A25BD" w:rsidRDefault="00374E11" w:rsidP="00374E11">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Por otra parte, en atención a la Resolución número 070-19, que aprueba la Norma que Regula la Contratación y Activación de Servicios Públicos de Telecomunicaciones, el INDOTEL realizó operativos de comprobación de mecanismos de activación de líneas móviles. Los operativos fueron ejecutados a nivel nacional, con 965 comprobaciones, identificando importantes oportunidades de mejora en los procesos de las prestadoras, lo cual tendrá un impacto directo en la seguridad de la información de los usuarios.</w:t>
      </w:r>
      <w:r w:rsidR="0083303F" w:rsidRPr="009A25BD">
        <w:rPr>
          <w:rFonts w:ascii="Times New Roman" w:eastAsia="Calibri" w:hAnsi="Times New Roman" w:cs="Times New Roman"/>
          <w:color w:val="4C4747"/>
          <w:spacing w:val="20"/>
          <w:sz w:val="24"/>
          <w:szCs w:val="24"/>
          <w:lang w:val="es-DO"/>
        </w:rPr>
        <w:t xml:space="preserve">  </w:t>
      </w:r>
    </w:p>
    <w:p w14:paraId="2B592109" w14:textId="583A3353" w:rsidR="002A40D6" w:rsidRPr="009A25BD" w:rsidRDefault="0083303F" w:rsidP="0083303F">
      <w:pPr>
        <w:spacing w:line="360" w:lineRule="auto"/>
        <w:jc w:val="both"/>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Todo lo anterior conjuntamente con otras actividades resaltables, las cuales, junto a las descritas anteriormente, se listan a continuación:</w:t>
      </w:r>
    </w:p>
    <w:tbl>
      <w:tblPr>
        <w:tblW w:w="782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835"/>
        <w:gridCol w:w="1987"/>
      </w:tblGrid>
      <w:tr w:rsidR="0083303F" w:rsidRPr="00376423" w14:paraId="125548A6" w14:textId="77777777" w:rsidTr="00E14BA7">
        <w:trPr>
          <w:tblHeader/>
        </w:trPr>
        <w:tc>
          <w:tcPr>
            <w:tcW w:w="7822" w:type="dxa"/>
            <w:gridSpan w:val="2"/>
            <w:tcBorders>
              <w:top w:val="single" w:sz="6" w:space="0" w:color="auto"/>
              <w:left w:val="single" w:sz="6" w:space="0" w:color="auto"/>
              <w:bottom w:val="single" w:sz="6" w:space="0" w:color="auto"/>
              <w:right w:val="single" w:sz="6" w:space="0" w:color="auto"/>
            </w:tcBorders>
            <w:shd w:val="clear" w:color="auto" w:fill="002060"/>
            <w:vAlign w:val="center"/>
            <w:hideMark/>
          </w:tcPr>
          <w:p w14:paraId="5C9319E5" w14:textId="5CB9B71E" w:rsidR="0083303F" w:rsidRPr="009A25BD" w:rsidRDefault="0083303F" w:rsidP="0083303F">
            <w:pPr>
              <w:spacing w:after="0" w:line="240" w:lineRule="auto"/>
              <w:jc w:val="center"/>
              <w:textAlignment w:val="baseline"/>
              <w:rPr>
                <w:rFonts w:ascii="Times New Roman" w:eastAsia="Calibri" w:hAnsi="Times New Roman" w:cs="Times New Roman"/>
                <w:b/>
                <w:color w:val="FFFFFF" w:themeColor="background1"/>
                <w:spacing w:val="20"/>
                <w:sz w:val="24"/>
                <w:szCs w:val="24"/>
                <w:lang w:val="es-DO"/>
              </w:rPr>
            </w:pPr>
            <w:r w:rsidRPr="009A25BD">
              <w:rPr>
                <w:rFonts w:ascii="Times New Roman" w:eastAsia="Calibri" w:hAnsi="Times New Roman" w:cs="Times New Roman"/>
                <w:b/>
                <w:color w:val="FFFFFF" w:themeColor="background1"/>
                <w:spacing w:val="20"/>
                <w:sz w:val="24"/>
                <w:szCs w:val="24"/>
                <w:lang w:val="es-DO"/>
              </w:rPr>
              <w:t xml:space="preserve">Actividades Dirección de </w:t>
            </w:r>
            <w:r w:rsidR="007033AD" w:rsidRPr="009A25BD">
              <w:rPr>
                <w:rFonts w:ascii="Times New Roman" w:eastAsia="Calibri" w:hAnsi="Times New Roman" w:cs="Times New Roman"/>
                <w:b/>
                <w:color w:val="FFFFFF" w:themeColor="background1"/>
                <w:spacing w:val="20"/>
                <w:sz w:val="24"/>
                <w:szCs w:val="24"/>
                <w:lang w:val="es-DO"/>
              </w:rPr>
              <w:t>Fiscalización </w:t>
            </w:r>
            <w:r w:rsidR="007033AD" w:rsidRPr="009A25BD">
              <w:rPr>
                <w:rFonts w:ascii="Times New Roman" w:eastAsia="Calibri" w:hAnsi="Times New Roman" w:cs="Times New Roman"/>
                <w:b/>
                <w:color w:val="FFFFFF" w:themeColor="background1"/>
                <w:spacing w:val="20"/>
                <w:sz w:val="24"/>
                <w:szCs w:val="24"/>
                <w:lang w:val="es-DO"/>
              </w:rPr>
              <w:br/>
              <w:t>Enero - Noviembre</w:t>
            </w:r>
            <w:r w:rsidRPr="009A25BD">
              <w:rPr>
                <w:rFonts w:ascii="Times New Roman" w:eastAsia="Calibri" w:hAnsi="Times New Roman" w:cs="Times New Roman"/>
                <w:b/>
                <w:color w:val="FFFFFF" w:themeColor="background1"/>
                <w:spacing w:val="20"/>
                <w:sz w:val="24"/>
                <w:szCs w:val="24"/>
                <w:lang w:val="es-DO"/>
              </w:rPr>
              <w:t xml:space="preserve"> de 2022 </w:t>
            </w:r>
          </w:p>
        </w:tc>
      </w:tr>
      <w:tr w:rsidR="0083303F" w:rsidRPr="008E6046" w14:paraId="6DBDC312" w14:textId="77777777" w:rsidTr="00E14BA7">
        <w:trPr>
          <w:tblHeader/>
        </w:trPr>
        <w:tc>
          <w:tcPr>
            <w:tcW w:w="5835"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6CD0D5B4" w14:textId="77777777" w:rsidR="0083303F" w:rsidRPr="009A25BD" w:rsidRDefault="0083303F" w:rsidP="0083303F">
            <w:pPr>
              <w:spacing w:after="0" w:line="240" w:lineRule="auto"/>
              <w:jc w:val="center"/>
              <w:textAlignment w:val="baseline"/>
              <w:rPr>
                <w:rFonts w:ascii="Times New Roman" w:eastAsia="Calibri" w:hAnsi="Times New Roman" w:cs="Times New Roman"/>
                <w:b/>
                <w:color w:val="FFFFFF" w:themeColor="background1"/>
                <w:spacing w:val="20"/>
                <w:sz w:val="24"/>
                <w:szCs w:val="24"/>
                <w:lang w:val="es-DO"/>
              </w:rPr>
            </w:pPr>
            <w:r w:rsidRPr="009A25BD">
              <w:rPr>
                <w:rFonts w:ascii="Times New Roman" w:eastAsia="Calibri" w:hAnsi="Times New Roman" w:cs="Times New Roman"/>
                <w:b/>
                <w:color w:val="FFFFFF" w:themeColor="background1"/>
                <w:spacing w:val="20"/>
                <w:sz w:val="24"/>
                <w:szCs w:val="24"/>
                <w:lang w:val="es-DO"/>
              </w:rPr>
              <w:t>Actividad </w:t>
            </w:r>
          </w:p>
        </w:tc>
        <w:tc>
          <w:tcPr>
            <w:tcW w:w="1987"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22A34C95" w14:textId="77777777" w:rsidR="0083303F" w:rsidRPr="009A25BD" w:rsidRDefault="0083303F" w:rsidP="0083303F">
            <w:pPr>
              <w:spacing w:after="0" w:line="240" w:lineRule="auto"/>
              <w:jc w:val="center"/>
              <w:textAlignment w:val="baseline"/>
              <w:rPr>
                <w:rFonts w:ascii="Times New Roman" w:eastAsia="Calibri" w:hAnsi="Times New Roman" w:cs="Times New Roman"/>
                <w:b/>
                <w:color w:val="FFFFFF" w:themeColor="background1"/>
                <w:spacing w:val="20"/>
                <w:sz w:val="24"/>
                <w:szCs w:val="24"/>
                <w:lang w:val="es-DO"/>
              </w:rPr>
            </w:pPr>
            <w:r w:rsidRPr="009A25BD">
              <w:rPr>
                <w:rFonts w:ascii="Times New Roman" w:eastAsia="Calibri" w:hAnsi="Times New Roman" w:cs="Times New Roman"/>
                <w:b/>
                <w:color w:val="FFFFFF" w:themeColor="background1"/>
                <w:spacing w:val="20"/>
                <w:sz w:val="24"/>
                <w:szCs w:val="24"/>
                <w:lang w:val="es-DO"/>
              </w:rPr>
              <w:t>Cantidad de Actuaciones </w:t>
            </w:r>
          </w:p>
        </w:tc>
      </w:tr>
      <w:tr w:rsidR="0083303F" w:rsidRPr="008E6046" w14:paraId="0A486801" w14:textId="77777777" w:rsidTr="00E14BA7">
        <w:trPr>
          <w:trHeight w:val="828"/>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23F18CAA" w14:textId="77777777" w:rsidR="0083303F" w:rsidRPr="009A25BD" w:rsidRDefault="0083303F" w:rsidP="0083303F">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Fiscalización estaciones de radiodifusión sonora realizadas según programación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04AE2ACE"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28ACDA88"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314</w:t>
            </w:r>
          </w:p>
        </w:tc>
      </w:tr>
      <w:tr w:rsidR="0083303F" w:rsidRPr="008E6046" w14:paraId="08CEF475" w14:textId="77777777" w:rsidTr="00E14BA7">
        <w:trPr>
          <w:trHeight w:val="828"/>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16CAA49D" w14:textId="77777777" w:rsidR="0083303F" w:rsidRPr="009A25BD" w:rsidRDefault="0083303F" w:rsidP="0083303F">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Fiscalizaciones concesionarias de difusión por cable realizadas según programación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7719E1FD"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36FFA7A3"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57 </w:t>
            </w:r>
          </w:p>
        </w:tc>
      </w:tr>
      <w:tr w:rsidR="0083303F" w:rsidRPr="008E6046" w14:paraId="018679F1" w14:textId="77777777" w:rsidTr="00E14BA7">
        <w:trPr>
          <w:trHeight w:val="828"/>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0684D0A0" w14:textId="77777777" w:rsidR="0083303F" w:rsidRPr="009A25BD" w:rsidRDefault="0083303F" w:rsidP="0083303F">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Comprobación y verificación de datos de Calidad del Servicio de Telefonía e Internet (Móvil y Fijo)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30442C5E"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4266EC5D"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13 </w:t>
            </w:r>
          </w:p>
        </w:tc>
      </w:tr>
      <w:tr w:rsidR="0083303F" w:rsidRPr="008E6046" w14:paraId="7AA0C4F1" w14:textId="77777777" w:rsidTr="00E14BA7">
        <w:trPr>
          <w:trHeight w:val="828"/>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1F00B0F9" w14:textId="77777777" w:rsidR="0083303F" w:rsidRPr="009A25BD" w:rsidRDefault="0083303F" w:rsidP="0083303F">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Fiscalizaciones concesionarias de radiodifusión televisiva realizadas según programación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7892108E"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16920399" w14:textId="77777777" w:rsidR="0083303F" w:rsidRPr="009A25BD" w:rsidRDefault="0083303F" w:rsidP="0083303F">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28 </w:t>
            </w:r>
          </w:p>
        </w:tc>
      </w:tr>
      <w:tr w:rsidR="000E66D4" w:rsidRPr="000E66D4" w14:paraId="29962358" w14:textId="77777777" w:rsidTr="00E14BA7">
        <w:trPr>
          <w:trHeight w:val="828"/>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04B052E2" w14:textId="77777777" w:rsidR="0083303F" w:rsidRPr="009A25BD" w:rsidRDefault="0083303F" w:rsidP="000E66D4">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lastRenderedPageBreak/>
              <w:t>Clausura de estaciones ilegales de radiodifusión sonora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7B6848FE" w14:textId="77777777" w:rsidR="0083303F" w:rsidRPr="009A25BD" w:rsidRDefault="0083303F" w:rsidP="000E66D4">
            <w:pPr>
              <w:spacing w:after="0" w:line="360" w:lineRule="auto"/>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6AC52E82"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15 </w:t>
            </w:r>
          </w:p>
        </w:tc>
      </w:tr>
      <w:tr w:rsidR="000E66D4" w:rsidRPr="000E66D4" w14:paraId="5BC9D213" w14:textId="77777777" w:rsidTr="00E14BA7">
        <w:trPr>
          <w:trHeight w:val="381"/>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7FD6B304" w14:textId="77777777" w:rsidR="0083303F" w:rsidRPr="009A25BD" w:rsidRDefault="0083303F" w:rsidP="000E66D4">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Clausura de estación radiodifusión televisiva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649FA6AB"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1 </w:t>
            </w:r>
          </w:p>
        </w:tc>
      </w:tr>
      <w:tr w:rsidR="000E66D4" w:rsidRPr="000E66D4" w14:paraId="48161B59" w14:textId="77777777" w:rsidTr="00E14BA7">
        <w:trPr>
          <w:trHeight w:val="714"/>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688D0894" w14:textId="77777777" w:rsidR="0083303F" w:rsidRPr="009A25BD" w:rsidRDefault="0083303F" w:rsidP="000E66D4">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Clausura de prestadoras ilegales de servicio de Internet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058F0244"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5A569EC7"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40 </w:t>
            </w:r>
          </w:p>
        </w:tc>
      </w:tr>
      <w:tr w:rsidR="000E66D4" w:rsidRPr="000E66D4" w14:paraId="102C44D8" w14:textId="77777777" w:rsidTr="00E14BA7">
        <w:trPr>
          <w:trHeight w:val="705"/>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1324041F" w14:textId="77777777" w:rsidR="0083303F" w:rsidRPr="009A25BD" w:rsidRDefault="0083303F" w:rsidP="000E66D4">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Comprobaciones mecanismos de activación líneas móviles (Norma 70-19)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67BEC41E"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p w14:paraId="1C76AF35"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965</w:t>
            </w:r>
          </w:p>
        </w:tc>
      </w:tr>
      <w:tr w:rsidR="000E66D4" w:rsidRPr="000E66D4" w14:paraId="293A9DC1" w14:textId="77777777" w:rsidTr="00E14BA7">
        <w:trPr>
          <w:trHeight w:val="480"/>
        </w:trPr>
        <w:tc>
          <w:tcPr>
            <w:tcW w:w="5835" w:type="dxa"/>
            <w:tcBorders>
              <w:top w:val="single" w:sz="6" w:space="0" w:color="auto"/>
              <w:left w:val="single" w:sz="6" w:space="0" w:color="auto"/>
              <w:bottom w:val="single" w:sz="6" w:space="0" w:color="auto"/>
              <w:right w:val="single" w:sz="6" w:space="0" w:color="auto"/>
            </w:tcBorders>
            <w:shd w:val="clear" w:color="auto" w:fill="auto"/>
            <w:hideMark/>
          </w:tcPr>
          <w:p w14:paraId="0D59DBFA" w14:textId="71834472" w:rsidR="0083303F" w:rsidRPr="009A25BD" w:rsidRDefault="0083303F" w:rsidP="000E66D4">
            <w:pPr>
              <w:spacing w:after="0" w:line="360" w:lineRule="auto"/>
              <w:jc w:val="both"/>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Fiscalización denuncia</w:t>
            </w:r>
            <w:r w:rsidR="00210B0C" w:rsidRPr="009A25BD">
              <w:rPr>
                <w:rFonts w:ascii="Times New Roman" w:eastAsia="Calibri" w:hAnsi="Times New Roman" w:cs="Times New Roman"/>
                <w:color w:val="4C4747"/>
                <w:spacing w:val="20"/>
                <w:sz w:val="24"/>
                <w:szCs w:val="24"/>
                <w:lang w:val="es-DO"/>
              </w:rPr>
              <w:t>s</w:t>
            </w:r>
            <w:r w:rsidRPr="009A25BD">
              <w:rPr>
                <w:rFonts w:ascii="Times New Roman" w:eastAsia="Calibri" w:hAnsi="Times New Roman" w:cs="Times New Roman"/>
                <w:color w:val="4C4747"/>
                <w:spacing w:val="20"/>
                <w:sz w:val="24"/>
                <w:szCs w:val="24"/>
                <w:lang w:val="es-DO"/>
              </w:rPr>
              <w:t xml:space="preserve"> de interferencias y otras  </w:t>
            </w:r>
          </w:p>
        </w:tc>
        <w:tc>
          <w:tcPr>
            <w:tcW w:w="1987" w:type="dxa"/>
            <w:tcBorders>
              <w:top w:val="single" w:sz="6" w:space="0" w:color="auto"/>
              <w:left w:val="single" w:sz="6" w:space="0" w:color="auto"/>
              <w:bottom w:val="single" w:sz="6" w:space="0" w:color="auto"/>
              <w:right w:val="single" w:sz="6" w:space="0" w:color="auto"/>
            </w:tcBorders>
            <w:shd w:val="clear" w:color="auto" w:fill="auto"/>
            <w:hideMark/>
          </w:tcPr>
          <w:p w14:paraId="26E03DBD"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58</w:t>
            </w:r>
          </w:p>
          <w:p w14:paraId="03AD44F2" w14:textId="77777777" w:rsidR="0083303F" w:rsidRPr="009A25BD" w:rsidRDefault="0083303F" w:rsidP="000E66D4">
            <w:pPr>
              <w:spacing w:after="0" w:line="360" w:lineRule="auto"/>
              <w:jc w:val="center"/>
              <w:textAlignment w:val="baseline"/>
              <w:rPr>
                <w:rFonts w:ascii="Times New Roman" w:eastAsia="Calibri" w:hAnsi="Times New Roman" w:cs="Times New Roman"/>
                <w:color w:val="4C4747"/>
                <w:spacing w:val="20"/>
                <w:sz w:val="24"/>
                <w:szCs w:val="24"/>
                <w:lang w:val="es-DO"/>
              </w:rPr>
            </w:pPr>
            <w:r w:rsidRPr="009A25BD">
              <w:rPr>
                <w:rFonts w:ascii="Times New Roman" w:eastAsia="Calibri" w:hAnsi="Times New Roman" w:cs="Times New Roman"/>
                <w:color w:val="4C4747"/>
                <w:spacing w:val="20"/>
                <w:sz w:val="24"/>
                <w:szCs w:val="24"/>
                <w:lang w:val="es-DO"/>
              </w:rPr>
              <w:t> </w:t>
            </w:r>
          </w:p>
        </w:tc>
      </w:tr>
    </w:tbl>
    <w:p w14:paraId="48C2C489" w14:textId="52B8504F" w:rsidR="0083303F" w:rsidRPr="00C62BB6" w:rsidRDefault="0083303F" w:rsidP="002A40D6">
      <w:pPr>
        <w:spacing w:before="240"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006C471C" w:rsidRPr="00C62BB6">
        <w:rPr>
          <w:rFonts w:ascii="Times New Roman" w:eastAsia="Calibri" w:hAnsi="Times New Roman" w:cs="Times New Roman"/>
          <w:color w:val="4C4747"/>
          <w:spacing w:val="20"/>
          <w:sz w:val="18"/>
          <w:szCs w:val="24"/>
          <w:lang w:val="es-DO"/>
        </w:rPr>
        <w:t xml:space="preserve"> Base de datos de la Dirección de F</w:t>
      </w:r>
      <w:r w:rsidRPr="00C62BB6">
        <w:rPr>
          <w:rFonts w:ascii="Times New Roman" w:eastAsia="Calibri" w:hAnsi="Times New Roman" w:cs="Times New Roman"/>
          <w:color w:val="4C4747"/>
          <w:spacing w:val="20"/>
          <w:sz w:val="18"/>
          <w:szCs w:val="24"/>
          <w:lang w:val="es-DO"/>
        </w:rPr>
        <w:t>iscalización.</w:t>
      </w:r>
    </w:p>
    <w:p w14:paraId="72FAAA49" w14:textId="77777777" w:rsidR="0083303F" w:rsidRPr="00943FA5" w:rsidRDefault="0083303F" w:rsidP="0083303F">
      <w:pPr>
        <w:spacing w:line="360" w:lineRule="auto"/>
        <w:jc w:val="both"/>
        <w:rPr>
          <w:rFonts w:ascii="Times New Roman" w:eastAsia="Calibri" w:hAnsi="Times New Roman" w:cs="Times New Roman"/>
          <w:spacing w:val="20"/>
          <w:sz w:val="24"/>
          <w:szCs w:val="24"/>
          <w:lang w:val="es-DO"/>
        </w:rPr>
      </w:pPr>
    </w:p>
    <w:p w14:paraId="73C6CD5B" w14:textId="77777777" w:rsidR="00650DCD" w:rsidRPr="00943FA5" w:rsidRDefault="00650DCD" w:rsidP="00FA019C">
      <w:pPr>
        <w:spacing w:line="360" w:lineRule="auto"/>
        <w:jc w:val="both"/>
        <w:rPr>
          <w:rFonts w:ascii="Times New Roman" w:eastAsia="Calibri" w:hAnsi="Times New Roman" w:cs="Times New Roman"/>
          <w:color w:val="767171"/>
          <w:spacing w:val="20"/>
          <w:sz w:val="24"/>
          <w:szCs w:val="24"/>
          <w:lang w:val="es-DO"/>
        </w:rPr>
      </w:pPr>
    </w:p>
    <w:p w14:paraId="52514B69" w14:textId="77777777" w:rsidR="00685598" w:rsidRDefault="00685598" w:rsidP="00FA019C">
      <w:pPr>
        <w:spacing w:line="360" w:lineRule="auto"/>
        <w:jc w:val="both"/>
        <w:rPr>
          <w:rFonts w:ascii="Times New Roman" w:eastAsia="Calibri" w:hAnsi="Times New Roman" w:cs="Times New Roman"/>
          <w:color w:val="767171"/>
          <w:spacing w:val="20"/>
          <w:sz w:val="24"/>
          <w:szCs w:val="24"/>
          <w:lang w:val="es-DO"/>
        </w:rPr>
      </w:pPr>
    </w:p>
    <w:p w14:paraId="5A72457C" w14:textId="77777777" w:rsidR="00BE6A84" w:rsidRDefault="00BE6A84" w:rsidP="00FA019C">
      <w:pPr>
        <w:spacing w:line="360" w:lineRule="auto"/>
        <w:jc w:val="both"/>
        <w:rPr>
          <w:rFonts w:ascii="Times New Roman" w:eastAsia="Calibri" w:hAnsi="Times New Roman" w:cs="Times New Roman"/>
          <w:color w:val="767171"/>
          <w:spacing w:val="20"/>
          <w:sz w:val="24"/>
          <w:szCs w:val="24"/>
          <w:lang w:val="es-DO"/>
        </w:rPr>
      </w:pPr>
    </w:p>
    <w:p w14:paraId="460BB879" w14:textId="77777777" w:rsidR="002A40D6" w:rsidRDefault="002A40D6" w:rsidP="00FA019C">
      <w:pPr>
        <w:spacing w:line="360" w:lineRule="auto"/>
        <w:jc w:val="both"/>
        <w:rPr>
          <w:rFonts w:ascii="Times New Roman" w:eastAsia="Calibri" w:hAnsi="Times New Roman" w:cs="Times New Roman"/>
          <w:color w:val="767171"/>
          <w:spacing w:val="20"/>
          <w:sz w:val="24"/>
          <w:szCs w:val="24"/>
          <w:lang w:val="es-DO"/>
        </w:rPr>
      </w:pPr>
    </w:p>
    <w:p w14:paraId="4AB0D8BE" w14:textId="77777777" w:rsidR="002A40D6" w:rsidRDefault="002A40D6" w:rsidP="00FA019C">
      <w:pPr>
        <w:spacing w:line="360" w:lineRule="auto"/>
        <w:jc w:val="both"/>
        <w:rPr>
          <w:rFonts w:ascii="Times New Roman" w:eastAsia="Calibri" w:hAnsi="Times New Roman" w:cs="Times New Roman"/>
          <w:color w:val="767171"/>
          <w:spacing w:val="20"/>
          <w:sz w:val="24"/>
          <w:szCs w:val="24"/>
          <w:lang w:val="es-DO"/>
        </w:rPr>
      </w:pPr>
    </w:p>
    <w:p w14:paraId="7D77C23E" w14:textId="77777777" w:rsidR="002A40D6" w:rsidRDefault="002A40D6" w:rsidP="00FA019C">
      <w:pPr>
        <w:spacing w:line="360" w:lineRule="auto"/>
        <w:jc w:val="both"/>
        <w:rPr>
          <w:rFonts w:ascii="Times New Roman" w:eastAsia="Calibri" w:hAnsi="Times New Roman" w:cs="Times New Roman"/>
          <w:color w:val="767171"/>
          <w:spacing w:val="20"/>
          <w:sz w:val="24"/>
          <w:szCs w:val="24"/>
          <w:lang w:val="es-DO"/>
        </w:rPr>
      </w:pPr>
    </w:p>
    <w:p w14:paraId="7663C0D4" w14:textId="77777777" w:rsidR="002A40D6" w:rsidRDefault="002A40D6" w:rsidP="00FA019C">
      <w:pPr>
        <w:spacing w:line="360" w:lineRule="auto"/>
        <w:jc w:val="both"/>
        <w:rPr>
          <w:rFonts w:ascii="Times New Roman" w:eastAsia="Calibri" w:hAnsi="Times New Roman" w:cs="Times New Roman"/>
          <w:color w:val="767171"/>
          <w:spacing w:val="20"/>
          <w:sz w:val="24"/>
          <w:szCs w:val="24"/>
          <w:lang w:val="es-DO"/>
        </w:rPr>
      </w:pPr>
    </w:p>
    <w:p w14:paraId="6BE96C0A" w14:textId="77777777" w:rsidR="002A40D6" w:rsidRDefault="002A40D6" w:rsidP="00FA019C">
      <w:pPr>
        <w:spacing w:line="360" w:lineRule="auto"/>
        <w:jc w:val="both"/>
        <w:rPr>
          <w:rFonts w:ascii="Times New Roman" w:eastAsia="Calibri" w:hAnsi="Times New Roman" w:cs="Times New Roman"/>
          <w:color w:val="767171"/>
          <w:spacing w:val="20"/>
          <w:sz w:val="24"/>
          <w:szCs w:val="24"/>
          <w:lang w:val="es-DO"/>
        </w:rPr>
      </w:pPr>
    </w:p>
    <w:p w14:paraId="74E2B28B" w14:textId="77777777" w:rsidR="002A40D6" w:rsidRDefault="002A40D6" w:rsidP="00FA019C">
      <w:pPr>
        <w:spacing w:line="360" w:lineRule="auto"/>
        <w:jc w:val="both"/>
        <w:rPr>
          <w:rFonts w:ascii="Times New Roman" w:eastAsia="Calibri" w:hAnsi="Times New Roman" w:cs="Times New Roman"/>
          <w:color w:val="767171"/>
          <w:spacing w:val="20"/>
          <w:sz w:val="24"/>
          <w:szCs w:val="24"/>
          <w:lang w:val="es-DO"/>
        </w:rPr>
      </w:pPr>
    </w:p>
    <w:p w14:paraId="6CE09E61" w14:textId="77777777" w:rsidR="00BE6A84" w:rsidRDefault="00BE6A84" w:rsidP="00FA019C">
      <w:pPr>
        <w:spacing w:line="360" w:lineRule="auto"/>
        <w:jc w:val="both"/>
        <w:rPr>
          <w:rFonts w:ascii="Times New Roman" w:eastAsia="Calibri" w:hAnsi="Times New Roman" w:cs="Times New Roman"/>
          <w:color w:val="767171"/>
          <w:spacing w:val="20"/>
          <w:sz w:val="24"/>
          <w:szCs w:val="24"/>
          <w:lang w:val="es-DO"/>
        </w:rPr>
      </w:pPr>
    </w:p>
    <w:p w14:paraId="0028E481" w14:textId="77777777" w:rsidR="00BE6A84" w:rsidRDefault="00BE6A84" w:rsidP="00FA019C">
      <w:pPr>
        <w:spacing w:line="360" w:lineRule="auto"/>
        <w:jc w:val="both"/>
        <w:rPr>
          <w:rFonts w:ascii="Times New Roman" w:eastAsia="Calibri" w:hAnsi="Times New Roman" w:cs="Times New Roman"/>
          <w:color w:val="767171"/>
          <w:spacing w:val="20"/>
          <w:sz w:val="24"/>
          <w:szCs w:val="24"/>
          <w:lang w:val="es-DO"/>
        </w:rPr>
      </w:pPr>
    </w:p>
    <w:p w14:paraId="3BD2E6AE" w14:textId="77777777" w:rsidR="00BE6A84" w:rsidRDefault="00BE6A84" w:rsidP="00FA019C">
      <w:pPr>
        <w:spacing w:line="360" w:lineRule="auto"/>
        <w:jc w:val="both"/>
        <w:rPr>
          <w:rFonts w:ascii="Times New Roman" w:eastAsia="Calibri" w:hAnsi="Times New Roman" w:cs="Times New Roman"/>
          <w:color w:val="767171"/>
          <w:spacing w:val="20"/>
          <w:sz w:val="24"/>
          <w:szCs w:val="24"/>
          <w:lang w:val="es-DO"/>
        </w:rPr>
      </w:pPr>
    </w:p>
    <w:p w14:paraId="75F910C3" w14:textId="3CBFA50A" w:rsidR="007033AD" w:rsidRPr="007C16C5" w:rsidRDefault="009A6D07" w:rsidP="00E14BA7">
      <w:pPr>
        <w:keepNext/>
        <w:spacing w:before="240" w:after="60" w:line="360" w:lineRule="auto"/>
        <w:contextualSpacing/>
        <w:jc w:val="both"/>
        <w:outlineLvl w:val="2"/>
        <w:rPr>
          <w:rFonts w:ascii="Times New Roman" w:eastAsia="Calibri" w:hAnsi="Times New Roman" w:cs="Times New Roman"/>
          <w:b/>
          <w:color w:val="4C4747"/>
          <w:spacing w:val="20"/>
          <w:sz w:val="24"/>
          <w:szCs w:val="24"/>
          <w:lang w:val="es-DO"/>
        </w:rPr>
      </w:pPr>
      <w:bookmarkStart w:id="15" w:name="_Toc122425237"/>
      <w:r w:rsidRPr="007C16C5">
        <w:rPr>
          <w:rFonts w:ascii="Times New Roman" w:eastAsia="Calibri" w:hAnsi="Times New Roman" w:cs="Times New Roman"/>
          <w:b/>
          <w:color w:val="4C4747"/>
          <w:spacing w:val="20"/>
          <w:sz w:val="24"/>
          <w:szCs w:val="24"/>
          <w:lang w:val="es-DO"/>
        </w:rPr>
        <w:lastRenderedPageBreak/>
        <w:t>3.4</w:t>
      </w:r>
      <w:r w:rsidR="006D62FE" w:rsidRPr="007C16C5">
        <w:rPr>
          <w:rFonts w:ascii="Times New Roman" w:eastAsia="Calibri" w:hAnsi="Times New Roman" w:cs="Times New Roman"/>
          <w:b/>
          <w:color w:val="4C4747"/>
          <w:spacing w:val="20"/>
          <w:sz w:val="24"/>
          <w:szCs w:val="24"/>
          <w:lang w:val="es-DO"/>
        </w:rPr>
        <w:t xml:space="preserve"> </w:t>
      </w:r>
      <w:r w:rsidR="00650DCD" w:rsidRPr="007C16C5">
        <w:rPr>
          <w:rFonts w:ascii="Times New Roman" w:eastAsia="Calibri" w:hAnsi="Times New Roman" w:cs="Times New Roman"/>
          <w:b/>
          <w:color w:val="4C4747"/>
          <w:spacing w:val="20"/>
          <w:sz w:val="24"/>
          <w:szCs w:val="24"/>
          <w:lang w:val="es-DO"/>
        </w:rPr>
        <w:t>Autorizaciones</w:t>
      </w:r>
      <w:bookmarkEnd w:id="15"/>
    </w:p>
    <w:p w14:paraId="2C58DDDA" w14:textId="1F8CEB60" w:rsidR="007033AD" w:rsidRPr="007C16C5" w:rsidRDefault="007033AD" w:rsidP="00E14BA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El INDOTEL tiene la labor </w:t>
      </w:r>
      <w:r w:rsidR="009A3B59" w:rsidRPr="007C16C5">
        <w:rPr>
          <w:rFonts w:ascii="Times New Roman" w:eastAsia="Calibri" w:hAnsi="Times New Roman" w:cs="Times New Roman"/>
          <w:color w:val="4C4747"/>
          <w:spacing w:val="20"/>
          <w:sz w:val="24"/>
          <w:szCs w:val="24"/>
          <w:lang w:val="es-DO"/>
        </w:rPr>
        <w:t xml:space="preserve">de otorgar </w:t>
      </w:r>
      <w:r w:rsidR="003F0A84" w:rsidRPr="007C16C5">
        <w:rPr>
          <w:rFonts w:ascii="Times New Roman" w:eastAsia="Calibri" w:hAnsi="Times New Roman" w:cs="Times New Roman"/>
          <w:color w:val="4C4747"/>
          <w:spacing w:val="20"/>
          <w:sz w:val="24"/>
          <w:szCs w:val="24"/>
          <w:lang w:val="es-DO"/>
        </w:rPr>
        <w:t xml:space="preserve">las autorizaciones para prestar servicios públicos y privados de telecomunicaciones </w:t>
      </w:r>
      <w:r w:rsidRPr="007C16C5">
        <w:rPr>
          <w:rFonts w:ascii="Times New Roman" w:eastAsia="Calibri" w:hAnsi="Times New Roman" w:cs="Times New Roman"/>
          <w:color w:val="4C4747"/>
          <w:spacing w:val="20"/>
          <w:sz w:val="24"/>
          <w:szCs w:val="24"/>
          <w:lang w:val="es-DO"/>
        </w:rPr>
        <w:t>en la Repúb</w:t>
      </w:r>
      <w:r w:rsidR="00066DEA" w:rsidRPr="007C16C5">
        <w:rPr>
          <w:rFonts w:ascii="Times New Roman" w:eastAsia="Calibri" w:hAnsi="Times New Roman" w:cs="Times New Roman"/>
          <w:color w:val="4C4747"/>
          <w:spacing w:val="20"/>
          <w:sz w:val="24"/>
          <w:szCs w:val="24"/>
          <w:lang w:val="es-DO"/>
        </w:rPr>
        <w:t xml:space="preserve">lica Dominicana. </w:t>
      </w:r>
      <w:r w:rsidRPr="007C16C5">
        <w:rPr>
          <w:rFonts w:ascii="Times New Roman" w:eastAsia="Calibri" w:hAnsi="Times New Roman" w:cs="Times New Roman"/>
          <w:color w:val="4C4747"/>
          <w:spacing w:val="20"/>
          <w:sz w:val="24"/>
          <w:szCs w:val="24"/>
          <w:lang w:val="es-DO"/>
        </w:rPr>
        <w:t>El tipo de autorización a otorgar al solicitante en cada caso dependerá del servicio que a través de ésta se pretenda habilitar para su prestación.</w:t>
      </w:r>
    </w:p>
    <w:p w14:paraId="45719C45" w14:textId="76FE3AEA"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Para los fines de realizar progresos continuos en los procesos internos, se implementó una mejora parcial en la</w:t>
      </w:r>
      <w:r w:rsidR="00210B0C" w:rsidRPr="007C16C5">
        <w:rPr>
          <w:rFonts w:ascii="Times New Roman" w:eastAsia="Calibri" w:hAnsi="Times New Roman" w:cs="Times New Roman"/>
          <w:color w:val="4C4747"/>
          <w:spacing w:val="20"/>
          <w:sz w:val="24"/>
          <w:szCs w:val="24"/>
          <w:lang w:val="es-DO"/>
        </w:rPr>
        <w:t xml:space="preserve">s solicitudes de </w:t>
      </w:r>
      <w:r w:rsidRPr="007C16C5">
        <w:rPr>
          <w:rFonts w:ascii="Times New Roman" w:eastAsia="Calibri" w:hAnsi="Times New Roman" w:cs="Times New Roman"/>
          <w:color w:val="4C4747"/>
          <w:spacing w:val="20"/>
          <w:sz w:val="24"/>
          <w:szCs w:val="24"/>
          <w:lang w:val="es-DO"/>
        </w:rPr>
        <w:t xml:space="preserve"> </w:t>
      </w:r>
      <w:r w:rsidR="00210B0C" w:rsidRPr="007C16C5">
        <w:rPr>
          <w:rFonts w:ascii="Times New Roman" w:eastAsia="Calibri" w:hAnsi="Times New Roman" w:cs="Times New Roman"/>
          <w:color w:val="4C4747"/>
          <w:spacing w:val="20"/>
          <w:sz w:val="24"/>
          <w:szCs w:val="24"/>
          <w:lang w:val="es-DO"/>
        </w:rPr>
        <w:t>homologaciones</w:t>
      </w:r>
      <w:r w:rsidRPr="007C16C5">
        <w:rPr>
          <w:rFonts w:ascii="Times New Roman" w:eastAsia="Calibri" w:hAnsi="Times New Roman" w:cs="Times New Roman"/>
          <w:color w:val="4C4747"/>
          <w:spacing w:val="20"/>
          <w:sz w:val="24"/>
          <w:szCs w:val="24"/>
          <w:lang w:val="es-DO"/>
        </w:rPr>
        <w:t xml:space="preserve"> de equipos de telecomunicaciones. En este sentido, bajo un programa diseñado de manera interna con el lenguaje de programación Python, las solicitudes del servicio de homologación de equipos se </w:t>
      </w:r>
      <w:r w:rsidR="00210B0C" w:rsidRPr="007C16C5">
        <w:rPr>
          <w:rFonts w:ascii="Times New Roman" w:eastAsia="Calibri" w:hAnsi="Times New Roman" w:cs="Times New Roman"/>
          <w:color w:val="4C4747"/>
          <w:spacing w:val="20"/>
          <w:sz w:val="24"/>
          <w:szCs w:val="24"/>
          <w:lang w:val="es-DO"/>
        </w:rPr>
        <w:t xml:space="preserve">realizan </w:t>
      </w:r>
      <w:r w:rsidRPr="007C16C5">
        <w:rPr>
          <w:rFonts w:ascii="Times New Roman" w:eastAsia="Calibri" w:hAnsi="Times New Roman" w:cs="Times New Roman"/>
          <w:color w:val="4C4747"/>
          <w:spacing w:val="20"/>
          <w:sz w:val="24"/>
          <w:szCs w:val="24"/>
          <w:lang w:val="es-DO"/>
        </w:rPr>
        <w:t>completan</w:t>
      </w:r>
      <w:r w:rsidR="00210B0C" w:rsidRPr="007C16C5">
        <w:rPr>
          <w:rFonts w:ascii="Times New Roman" w:eastAsia="Calibri" w:hAnsi="Times New Roman" w:cs="Times New Roman"/>
          <w:color w:val="4C4747"/>
          <w:spacing w:val="20"/>
          <w:sz w:val="24"/>
          <w:szCs w:val="24"/>
          <w:lang w:val="es-DO"/>
        </w:rPr>
        <w:t>do</w:t>
      </w:r>
      <w:r w:rsidRPr="007C16C5">
        <w:rPr>
          <w:rFonts w:ascii="Times New Roman" w:eastAsia="Calibri" w:hAnsi="Times New Roman" w:cs="Times New Roman"/>
          <w:color w:val="4C4747"/>
          <w:spacing w:val="20"/>
          <w:sz w:val="24"/>
          <w:szCs w:val="24"/>
          <w:lang w:val="es-DO"/>
        </w:rPr>
        <w:t xml:space="preserve"> un formulario. De esta manera, se agilizó significat</w:t>
      </w:r>
      <w:r w:rsidR="009A3B59" w:rsidRPr="007C16C5">
        <w:rPr>
          <w:rFonts w:ascii="Times New Roman" w:eastAsia="Calibri" w:hAnsi="Times New Roman" w:cs="Times New Roman"/>
          <w:color w:val="4C4747"/>
          <w:spacing w:val="20"/>
          <w:sz w:val="24"/>
          <w:szCs w:val="24"/>
          <w:lang w:val="es-DO"/>
        </w:rPr>
        <w:t xml:space="preserve">ivamente el tiempo de respuesta </w:t>
      </w:r>
      <w:r w:rsidRPr="007C16C5">
        <w:rPr>
          <w:rFonts w:ascii="Times New Roman" w:eastAsia="Calibri" w:hAnsi="Times New Roman" w:cs="Times New Roman"/>
          <w:color w:val="4C4747"/>
          <w:spacing w:val="20"/>
          <w:sz w:val="24"/>
          <w:szCs w:val="24"/>
          <w:lang w:val="es-DO"/>
        </w:rPr>
        <w:t xml:space="preserve">al solicitante.      </w:t>
      </w:r>
    </w:p>
    <w:p w14:paraId="3284DF87" w14:textId="0248E574"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Por otro lado, en el caso de </w:t>
      </w:r>
      <w:r w:rsidR="00090FB3" w:rsidRPr="007C16C5">
        <w:rPr>
          <w:rFonts w:ascii="Times New Roman" w:eastAsia="Calibri" w:hAnsi="Times New Roman" w:cs="Times New Roman"/>
          <w:color w:val="4C4747"/>
          <w:spacing w:val="20"/>
          <w:sz w:val="24"/>
          <w:szCs w:val="24"/>
          <w:lang w:val="es-DO"/>
        </w:rPr>
        <w:t xml:space="preserve">las solicitudes de </w:t>
      </w:r>
      <w:r w:rsidRPr="007C16C5">
        <w:rPr>
          <w:rFonts w:ascii="Times New Roman" w:eastAsia="Calibri" w:hAnsi="Times New Roman" w:cs="Times New Roman"/>
          <w:color w:val="4C4747"/>
          <w:spacing w:val="20"/>
          <w:sz w:val="24"/>
          <w:szCs w:val="24"/>
          <w:lang w:val="es-DO"/>
        </w:rPr>
        <w:t xml:space="preserve">los radioaficionados, se contrató la herramienta AutoProctor que se encarga de monitorear y evaluar de manera virtual y en tiempo real a los solicitantes de dicho servicio que optan por examinarse, eficientizando así estos procesos. Concomitantemente, también se automatizó la generación e impresión de cartas y certificados para las renovaciones de este servicio mediante un programa diseñado de manera interna, como Generador de Documentos Estándares  creado con el lenguaje de programación Python. </w:t>
      </w:r>
    </w:p>
    <w:p w14:paraId="2E801D6E" w14:textId="77777777"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AutoProctor es una solución de supervisión automatizada para exámenes en línea. Trabaja conjuntamente con Google Classroom y Google Forms para monitorear los exámenes en vivo, empleando Machine Visión y Machine Learning, de esta manera se pueden detectar posibles interacciones en busca de acciones indebidas. </w:t>
      </w:r>
    </w:p>
    <w:p w14:paraId="618D548C" w14:textId="77777777" w:rsidR="004836B7"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lastRenderedPageBreak/>
        <w:t>Con relación a las atribuciones de frecuencias, se logró diseñar e implementar un código en el lenguaje de programación Python, el cual crea una base de datos de los pares de frecuencias para asignación solicitados por las concesionarias en un instante, reduciendo a solo minutos el traba</w:t>
      </w:r>
      <w:r w:rsidR="00066DEA" w:rsidRPr="007C16C5">
        <w:rPr>
          <w:rFonts w:ascii="Times New Roman" w:eastAsia="Calibri" w:hAnsi="Times New Roman" w:cs="Times New Roman"/>
          <w:color w:val="4C4747"/>
          <w:spacing w:val="20"/>
          <w:sz w:val="24"/>
          <w:szCs w:val="24"/>
          <w:lang w:val="es-DO"/>
        </w:rPr>
        <w:t>jo que le tomaba realizar meses.</w:t>
      </w:r>
      <w:r w:rsidRPr="007C16C5">
        <w:rPr>
          <w:rFonts w:ascii="Times New Roman" w:eastAsia="Calibri" w:hAnsi="Times New Roman" w:cs="Times New Roman"/>
          <w:color w:val="4C4747"/>
          <w:spacing w:val="20"/>
          <w:sz w:val="24"/>
          <w:szCs w:val="24"/>
          <w:lang w:val="es-DO"/>
        </w:rPr>
        <w:t xml:space="preserve"> </w:t>
      </w:r>
    </w:p>
    <w:p w14:paraId="03F5C135" w14:textId="05F1733A"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Este programa se encarga de organizar los datos de las asignaciones solicitadas, agrupando las informaciones necesarias y reubicándolas para cumplir con un formato predeterminado. </w:t>
      </w:r>
    </w:p>
    <w:p w14:paraId="0601C33B" w14:textId="2BCB6457"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En cuanto al otorgamiento de concesiones para prestar servicios públicos de telecomunicaciones, es importante resaltar que el Consejo Directivo mediante su Resolución </w:t>
      </w:r>
      <w:r w:rsidR="004836B7" w:rsidRPr="007C16C5">
        <w:rPr>
          <w:rFonts w:ascii="Times New Roman" w:eastAsia="Calibri" w:hAnsi="Times New Roman" w:cs="Times New Roman"/>
          <w:color w:val="4C4747"/>
          <w:spacing w:val="20"/>
          <w:sz w:val="24"/>
          <w:szCs w:val="24"/>
          <w:lang w:val="es-DO"/>
        </w:rPr>
        <w:t xml:space="preserve">número </w:t>
      </w:r>
      <w:r w:rsidRPr="007C16C5">
        <w:rPr>
          <w:rFonts w:ascii="Times New Roman" w:eastAsia="Calibri" w:hAnsi="Times New Roman" w:cs="Times New Roman"/>
          <w:color w:val="4C4747"/>
          <w:spacing w:val="20"/>
          <w:sz w:val="24"/>
          <w:szCs w:val="24"/>
          <w:lang w:val="es-DO"/>
        </w:rPr>
        <w:t xml:space="preserve">072-2022 adoptada en fecha 21 de julio de 2022, aprobó la solicitud de concesión y licencia de la empresa Starlink Dominican Republic, para prestar el servicio público de telecomunicaciones de acceso a internet en todo el territorio nacional. </w:t>
      </w:r>
    </w:p>
    <w:p w14:paraId="0CAB7206" w14:textId="77777777"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La importancia de esta concesión radica en que esta empresa es parte de un proyecto desarrollado por la sociedad Space Exploration Technologies, Corp. (SPACE X), la cual cuenta con una constelación satelital integrada por miles de satélites no geoestacionarios, lanzados en una órbita terrestre baja. </w:t>
      </w:r>
    </w:p>
    <w:p w14:paraId="2841FD83" w14:textId="77777777"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De esta manera Starlink Dominican Republic podrá servir a comunidades rurales y de difícil acceso que actualmente no son servidas por las redes alámbricas ni por las celulares, lo que redunda en una reducción expedita de la brecha digital que actualmente existe en nuestro país. </w:t>
      </w:r>
    </w:p>
    <w:p w14:paraId="06A76050" w14:textId="77777777" w:rsidR="00374E11"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En referencia a la adecuación de los títulos habilitantes otorgados, por la antigua Dirección General de Telecomunicaciones (DGT) a la Ley General de Telecomunicaciones número 153-98, de las </w:t>
      </w:r>
      <w:r w:rsidRPr="007C16C5">
        <w:rPr>
          <w:rFonts w:ascii="Times New Roman" w:eastAsia="Calibri" w:hAnsi="Times New Roman" w:cs="Times New Roman"/>
          <w:color w:val="4C4747"/>
          <w:spacing w:val="20"/>
          <w:sz w:val="24"/>
          <w:szCs w:val="24"/>
          <w:lang w:val="es-DO"/>
        </w:rPr>
        <w:lastRenderedPageBreak/>
        <w:t xml:space="preserve">concesionarias de servicios públicos de telecomunicaciones de radiodifusión televisa y sonora, se lograron adecuar 6 de un total de 102, quedando pendientes 96 adecuaciones. </w:t>
      </w:r>
    </w:p>
    <w:p w14:paraId="52704097" w14:textId="77777777" w:rsidR="004836B7" w:rsidRPr="007C16C5" w:rsidRDefault="00374E11" w:rsidP="008A2756">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Acerca de los servicios públicos de telecomunicaciones de radiodifusión televisiva ubicadas en la banda de los 700 MHz, por instrucción del Consejo Directivo, en seguimiento a las disposiciones establecidas en el Decreto </w:t>
      </w:r>
      <w:r w:rsidR="00747C96" w:rsidRPr="007C16C5">
        <w:rPr>
          <w:rFonts w:ascii="Times New Roman" w:eastAsia="Calibri" w:hAnsi="Times New Roman" w:cs="Times New Roman"/>
          <w:color w:val="4C4747"/>
          <w:spacing w:val="20"/>
          <w:sz w:val="24"/>
          <w:szCs w:val="24"/>
          <w:lang w:val="es-DO"/>
        </w:rPr>
        <w:t xml:space="preserve">Presidencial </w:t>
      </w:r>
      <w:r w:rsidRPr="007C16C5">
        <w:rPr>
          <w:rFonts w:ascii="Times New Roman" w:eastAsia="Calibri" w:hAnsi="Times New Roman" w:cs="Times New Roman"/>
          <w:color w:val="4C4747"/>
          <w:spacing w:val="20"/>
          <w:sz w:val="24"/>
          <w:szCs w:val="24"/>
          <w:lang w:val="es-DO"/>
        </w:rPr>
        <w:t>número 539-20 que ordena al INDOTEL iniciar el proceso de despeje de la banda de los 700 MHz, se completaron todos los procesos que estaban pendientes.</w:t>
      </w:r>
    </w:p>
    <w:p w14:paraId="460F8CF3" w14:textId="53C4BFB0" w:rsidR="00911DE9" w:rsidRPr="007C16C5" w:rsidRDefault="00911DE9"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Estos procesos consistieron en adecuar a la Ley General de Telecomunicaciones número 153-98</w:t>
      </w:r>
      <w:r w:rsidR="004836B7" w:rsidRPr="007C16C5">
        <w:rPr>
          <w:rFonts w:ascii="Times New Roman" w:eastAsia="Calibri" w:hAnsi="Times New Roman" w:cs="Times New Roman"/>
          <w:color w:val="4C4747"/>
          <w:spacing w:val="20"/>
          <w:sz w:val="24"/>
          <w:szCs w:val="24"/>
          <w:lang w:val="es-DO"/>
        </w:rPr>
        <w:t>,</w:t>
      </w:r>
      <w:r w:rsidRPr="007C16C5">
        <w:rPr>
          <w:rFonts w:ascii="Times New Roman" w:eastAsia="Calibri" w:hAnsi="Times New Roman" w:cs="Times New Roman"/>
          <w:color w:val="4C4747"/>
          <w:spacing w:val="20"/>
          <w:sz w:val="24"/>
          <w:szCs w:val="24"/>
          <w:lang w:val="es-DO"/>
        </w:rPr>
        <w:t xml:space="preserve"> los canales de televisión en la gama de UHF para el despeje de esta banda, y su posterior licitación. </w:t>
      </w:r>
      <w:r w:rsidR="00374E11" w:rsidRPr="007C16C5">
        <w:rPr>
          <w:rFonts w:ascii="Times New Roman" w:eastAsia="Calibri" w:hAnsi="Times New Roman" w:cs="Times New Roman"/>
          <w:color w:val="4C4747"/>
          <w:spacing w:val="20"/>
          <w:sz w:val="24"/>
          <w:szCs w:val="24"/>
          <w:lang w:val="es-DO"/>
        </w:rPr>
        <w:t xml:space="preserve"> </w:t>
      </w:r>
    </w:p>
    <w:p w14:paraId="19BFF872" w14:textId="2641B05A" w:rsidR="008A2756" w:rsidRPr="007C16C5" w:rsidRDefault="00374E11"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Adicionalmente, se está trabajando en la etapa final del proceso de adecuación de los demás canales de</w:t>
      </w:r>
      <w:r w:rsidR="004836B7" w:rsidRPr="007C16C5">
        <w:rPr>
          <w:rFonts w:ascii="Times New Roman" w:eastAsia="Calibri" w:hAnsi="Times New Roman" w:cs="Times New Roman"/>
          <w:color w:val="4C4747"/>
          <w:spacing w:val="20"/>
          <w:sz w:val="24"/>
          <w:szCs w:val="24"/>
          <w:lang w:val="es-DO"/>
        </w:rPr>
        <w:t xml:space="preserve"> televisión UHF y VHF asignados </w:t>
      </w:r>
      <w:r w:rsidRPr="007C16C5">
        <w:rPr>
          <w:rFonts w:ascii="Times New Roman" w:eastAsia="Calibri" w:hAnsi="Times New Roman" w:cs="Times New Roman"/>
          <w:color w:val="4C4747"/>
          <w:spacing w:val="20"/>
          <w:sz w:val="24"/>
          <w:szCs w:val="24"/>
          <w:lang w:val="es-DO"/>
        </w:rPr>
        <w:t>en el país.</w:t>
      </w:r>
      <w:r w:rsidR="008A2756" w:rsidRPr="007C16C5">
        <w:rPr>
          <w:rFonts w:ascii="Times New Roman" w:eastAsia="Calibri" w:hAnsi="Times New Roman" w:cs="Times New Roman"/>
          <w:color w:val="4C4747"/>
          <w:spacing w:val="20"/>
          <w:sz w:val="24"/>
          <w:szCs w:val="24"/>
          <w:lang w:val="es-DO"/>
        </w:rPr>
        <w:t xml:space="preserve"> </w:t>
      </w:r>
    </w:p>
    <w:p w14:paraId="0905EE88" w14:textId="74AAF38B" w:rsidR="00650DCD" w:rsidRPr="007C16C5" w:rsidRDefault="008A2756" w:rsidP="004836B7">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Como resumen, a continuación mostramos el detalle de los casos de autorizaciones concluidos en el período 1ro de enero al 30 de noviembre de 2022:  </w:t>
      </w:r>
    </w:p>
    <w:tbl>
      <w:tblPr>
        <w:tblW w:w="7904"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52"/>
        <w:gridCol w:w="4410"/>
        <w:gridCol w:w="3142"/>
      </w:tblGrid>
      <w:tr w:rsidR="008A2756" w:rsidRPr="00376423" w14:paraId="2DDF2367" w14:textId="77777777" w:rsidTr="004836B7">
        <w:trPr>
          <w:trHeight w:val="945"/>
          <w:tblHeader/>
        </w:trPr>
        <w:tc>
          <w:tcPr>
            <w:tcW w:w="35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006E7D90" w14:textId="77777777" w:rsidR="008A2756" w:rsidRPr="00943FA5" w:rsidRDefault="008A2756" w:rsidP="008A2756">
            <w:pPr>
              <w:spacing w:after="0" w:line="240" w:lineRule="auto"/>
              <w:jc w:val="center"/>
              <w:textAlignment w:val="baseline"/>
              <w:rPr>
                <w:rFonts w:ascii="Times New Roman" w:eastAsia="Times New Roman" w:hAnsi="Times New Roman" w:cs="Times New Roman"/>
                <w:sz w:val="24"/>
                <w:szCs w:val="24"/>
                <w:lang w:val="es-DO"/>
              </w:rPr>
            </w:pPr>
            <w:r w:rsidRPr="00943FA5">
              <w:rPr>
                <w:rFonts w:ascii="Times New Roman" w:eastAsia="Times New Roman" w:hAnsi="Times New Roman" w:cs="Times New Roman"/>
                <w:color w:val="767171"/>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002060"/>
            <w:vAlign w:val="center"/>
            <w:hideMark/>
          </w:tcPr>
          <w:p w14:paraId="29D3A7CC" w14:textId="77777777" w:rsidR="008A2756" w:rsidRPr="00943FA5" w:rsidRDefault="008A2756" w:rsidP="008A2756">
            <w:pPr>
              <w:spacing w:after="0" w:line="240" w:lineRule="auto"/>
              <w:jc w:val="center"/>
              <w:textAlignment w:val="baseline"/>
              <w:rPr>
                <w:rFonts w:ascii="Times New Roman" w:eastAsia="Times New Roman" w:hAnsi="Times New Roman" w:cs="Times New Roman"/>
                <w:color w:val="FFFFFF" w:themeColor="background1"/>
                <w:sz w:val="24"/>
                <w:szCs w:val="24"/>
                <w:lang w:val="es-DO"/>
              </w:rPr>
            </w:pPr>
            <w:r w:rsidRPr="00943FA5">
              <w:rPr>
                <w:rFonts w:ascii="Times New Roman" w:eastAsia="Times New Roman" w:hAnsi="Times New Roman" w:cs="Times New Roman"/>
                <w:b/>
                <w:bCs/>
                <w:color w:val="FFFFFF" w:themeColor="background1"/>
                <w:sz w:val="24"/>
                <w:szCs w:val="24"/>
                <w:lang w:val="es-DO"/>
              </w:rPr>
              <w:t>Producto</w:t>
            </w:r>
            <w:r w:rsidRPr="00943FA5">
              <w:rPr>
                <w:rFonts w:ascii="Times New Roman" w:eastAsia="Times New Roman" w:hAnsi="Times New Roman" w:cs="Times New Roman"/>
                <w:color w:val="FFFFFF" w:themeColor="background1"/>
                <w:sz w:val="24"/>
                <w:szCs w:val="24"/>
                <w:lang w:val="es-DO"/>
              </w:rPr>
              <w:t> </w:t>
            </w:r>
          </w:p>
        </w:tc>
        <w:tc>
          <w:tcPr>
            <w:tcW w:w="314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37D91693" w14:textId="77777777" w:rsidR="008A2756" w:rsidRPr="00943FA5" w:rsidRDefault="008A2756" w:rsidP="008A2756">
            <w:pPr>
              <w:spacing w:after="0" w:line="240" w:lineRule="auto"/>
              <w:jc w:val="center"/>
              <w:textAlignment w:val="baseline"/>
              <w:rPr>
                <w:rFonts w:ascii="Times New Roman" w:eastAsia="Times New Roman" w:hAnsi="Times New Roman" w:cs="Times New Roman"/>
                <w:color w:val="FFFFFF" w:themeColor="background1"/>
                <w:sz w:val="24"/>
                <w:szCs w:val="24"/>
                <w:lang w:val="es-DO"/>
              </w:rPr>
            </w:pPr>
            <w:r w:rsidRPr="00943FA5">
              <w:rPr>
                <w:rFonts w:ascii="Times New Roman" w:eastAsia="Times New Roman" w:hAnsi="Times New Roman" w:cs="Times New Roman"/>
                <w:b/>
                <w:bCs/>
                <w:color w:val="FFFFFF" w:themeColor="background1"/>
                <w:sz w:val="24"/>
                <w:szCs w:val="24"/>
                <w:lang w:val="es-DO"/>
              </w:rPr>
              <w:t>Concluidos en el período</w:t>
            </w:r>
            <w:r w:rsidRPr="00943FA5">
              <w:rPr>
                <w:rFonts w:ascii="Times New Roman" w:eastAsia="Times New Roman" w:hAnsi="Times New Roman" w:cs="Times New Roman"/>
                <w:color w:val="FFFFFF" w:themeColor="background1"/>
                <w:sz w:val="24"/>
                <w:szCs w:val="24"/>
                <w:lang w:val="es-DO"/>
              </w:rPr>
              <w:t> </w:t>
            </w:r>
          </w:p>
          <w:p w14:paraId="1E43E61A" w14:textId="77777777" w:rsidR="008A2756" w:rsidRPr="00943FA5" w:rsidRDefault="008A2756" w:rsidP="008A2756">
            <w:pPr>
              <w:spacing w:after="0" w:line="240" w:lineRule="auto"/>
              <w:jc w:val="center"/>
              <w:textAlignment w:val="baseline"/>
              <w:rPr>
                <w:rFonts w:ascii="Times New Roman" w:eastAsia="Times New Roman" w:hAnsi="Times New Roman" w:cs="Times New Roman"/>
                <w:color w:val="FFFFFF" w:themeColor="background1"/>
                <w:sz w:val="24"/>
                <w:szCs w:val="24"/>
                <w:lang w:val="es-DO"/>
              </w:rPr>
            </w:pPr>
            <w:r w:rsidRPr="00943FA5">
              <w:rPr>
                <w:rFonts w:ascii="Times New Roman" w:eastAsia="Times New Roman" w:hAnsi="Times New Roman" w:cs="Times New Roman"/>
                <w:b/>
                <w:bCs/>
                <w:color w:val="FFFFFF" w:themeColor="background1"/>
                <w:sz w:val="24"/>
                <w:szCs w:val="24"/>
                <w:lang w:val="es-DO"/>
              </w:rPr>
              <w:t>1ro enero al 30 noviembre de 2022</w:t>
            </w:r>
            <w:r w:rsidRPr="00943FA5">
              <w:rPr>
                <w:rFonts w:ascii="Times New Roman" w:eastAsia="Times New Roman" w:hAnsi="Times New Roman" w:cs="Times New Roman"/>
                <w:color w:val="FFFFFF" w:themeColor="background1"/>
                <w:sz w:val="24"/>
                <w:szCs w:val="24"/>
                <w:lang w:val="es-DO"/>
              </w:rPr>
              <w:t> </w:t>
            </w:r>
          </w:p>
        </w:tc>
      </w:tr>
      <w:tr w:rsidR="008A2756" w:rsidRPr="002D2821" w14:paraId="18247F08"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645DE37C"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1</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00ECE750"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Inscripción en Registro Especial de servicios de radioaficionados  </w:t>
            </w:r>
          </w:p>
        </w:tc>
        <w:tc>
          <w:tcPr>
            <w:tcW w:w="31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72A4AF" w14:textId="3E941A11"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21</w:t>
            </w:r>
          </w:p>
        </w:tc>
      </w:tr>
      <w:tr w:rsidR="008A2756" w:rsidRPr="002D2821" w14:paraId="6D77D589"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4B2A1063"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2</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27C38A2F"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Renovación de inscripción en Registro Especial de servicios de radioaficionados </w:t>
            </w:r>
          </w:p>
        </w:tc>
        <w:tc>
          <w:tcPr>
            <w:tcW w:w="314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398F190" w14:textId="52B8E36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140</w:t>
            </w:r>
          </w:p>
        </w:tc>
      </w:tr>
      <w:tr w:rsidR="008A2756" w:rsidRPr="002D2821" w14:paraId="664EB74D"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947D9C3"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3</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4479E462"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Inscripción en Registro Especial de servicios de telecomunicaciones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3B5594" w14:textId="19F8CF78" w:rsidR="008A2756" w:rsidRPr="000E66D4" w:rsidRDefault="00911DE9"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59</w:t>
            </w:r>
            <w:r w:rsidR="008A2756" w:rsidRPr="000E66D4">
              <w:rPr>
                <w:rFonts w:ascii="Times New Roman" w:eastAsia="Times New Roman" w:hAnsi="Times New Roman" w:cs="Times New Roman"/>
                <w:color w:val="4C4747"/>
                <w:sz w:val="24"/>
                <w:szCs w:val="24"/>
                <w:lang w:val="es-DO"/>
              </w:rPr>
              <w:t> </w:t>
            </w:r>
          </w:p>
        </w:tc>
      </w:tr>
      <w:tr w:rsidR="008A2756" w:rsidRPr="002D2821" w14:paraId="45CFE150"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4DAE913"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4</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0D2C7185"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Renovación de inscripción en Registro Especial de servicios de telecomunicaciones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0BB947" w14:textId="793BFB64"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21</w:t>
            </w:r>
          </w:p>
        </w:tc>
      </w:tr>
      <w:tr w:rsidR="008A2756" w:rsidRPr="002D2821" w14:paraId="2D09123F"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303921A"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lastRenderedPageBreak/>
              <w:t>5</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4B08D9B1"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Concesiones que no requieren concurso público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2D944ADF" w14:textId="0D283281" w:rsidR="008A2756" w:rsidRPr="000E66D4" w:rsidRDefault="00911DE9"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4</w:t>
            </w:r>
            <w:r w:rsidR="008A2756" w:rsidRPr="000E66D4">
              <w:rPr>
                <w:rFonts w:ascii="Times New Roman" w:eastAsia="Times New Roman" w:hAnsi="Times New Roman" w:cs="Times New Roman"/>
                <w:color w:val="4C4747"/>
                <w:sz w:val="24"/>
                <w:szCs w:val="24"/>
                <w:lang w:val="es-DO"/>
              </w:rPr>
              <w:t> </w:t>
            </w:r>
          </w:p>
        </w:tc>
      </w:tr>
      <w:tr w:rsidR="008A2756" w:rsidRPr="008E6046" w14:paraId="2CE76234"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00DCE6E"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6</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3CB5401B"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Renovación de concesiones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069261A" w14:textId="5A26260D"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0</w:t>
            </w:r>
          </w:p>
        </w:tc>
      </w:tr>
      <w:tr w:rsidR="008A2756" w:rsidRPr="008E6046" w14:paraId="35934920"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3AF258E"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7</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3140890F"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Modificación de Concesiones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13D6E170" w14:textId="048E9A7E"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9</w:t>
            </w:r>
          </w:p>
        </w:tc>
      </w:tr>
      <w:tr w:rsidR="008A2756" w:rsidRPr="002D2821" w14:paraId="479ED153"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6E691661"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8</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508C8B90"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No Objeción, emitidas a través de la VUCE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AD2E4C3" w14:textId="6DC9781C"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9,558</w:t>
            </w:r>
          </w:p>
        </w:tc>
      </w:tr>
      <w:tr w:rsidR="008A2756" w:rsidRPr="008E6046" w14:paraId="238EE097"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2D137BE"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9</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1F543EA8"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Homologaciones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7DF46335" w14:textId="6511CE0B" w:rsidR="008A2756" w:rsidRPr="000E66D4" w:rsidRDefault="00911DE9"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465</w:t>
            </w:r>
            <w:r w:rsidR="008A2756" w:rsidRPr="000E66D4">
              <w:rPr>
                <w:rFonts w:ascii="Times New Roman" w:eastAsia="Times New Roman" w:hAnsi="Times New Roman" w:cs="Times New Roman"/>
                <w:color w:val="4C4747"/>
                <w:sz w:val="24"/>
                <w:szCs w:val="24"/>
                <w:lang w:val="es-DO"/>
              </w:rPr>
              <w:t> </w:t>
            </w:r>
          </w:p>
        </w:tc>
      </w:tr>
      <w:tr w:rsidR="008A2756" w:rsidRPr="002D2821" w14:paraId="374773E1"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3B4ACFE8" w14:textId="77777777"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10</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hideMark/>
          </w:tcPr>
          <w:p w14:paraId="4016C2F6"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Asignación de números códigos NPA-NXX y código especial (1-8X9-976, 1-8X9-200)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4421C60" w14:textId="771A7035" w:rsidR="008A2756" w:rsidRPr="000E66D4" w:rsidRDefault="00911DE9"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10</w:t>
            </w:r>
            <w:r w:rsidR="008A2756" w:rsidRPr="000E66D4">
              <w:rPr>
                <w:rFonts w:ascii="Times New Roman" w:eastAsia="Times New Roman" w:hAnsi="Times New Roman" w:cs="Times New Roman"/>
                <w:color w:val="4C4747"/>
                <w:sz w:val="24"/>
                <w:szCs w:val="24"/>
                <w:lang w:val="es-DO"/>
              </w:rPr>
              <w:t> </w:t>
            </w:r>
          </w:p>
        </w:tc>
      </w:tr>
      <w:tr w:rsidR="00911DE9" w:rsidRPr="008E6046" w14:paraId="36F08CB5"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tcPr>
          <w:p w14:paraId="24D27214" w14:textId="19CED18A" w:rsidR="00911DE9" w:rsidRPr="000E66D4" w:rsidRDefault="00911DE9" w:rsidP="008A2756">
            <w:pPr>
              <w:spacing w:after="0" w:line="240" w:lineRule="auto"/>
              <w:jc w:val="center"/>
              <w:textAlignment w:val="baseline"/>
              <w:rPr>
                <w:rFonts w:ascii="Times New Roman" w:eastAsia="Times New Roman" w:hAnsi="Times New Roman" w:cs="Times New Roman"/>
                <w:b/>
                <w:bCs/>
                <w:color w:val="4C4747"/>
                <w:sz w:val="24"/>
                <w:szCs w:val="24"/>
                <w:lang w:val="es-DO"/>
              </w:rPr>
            </w:pPr>
            <w:r w:rsidRPr="000E66D4">
              <w:rPr>
                <w:rFonts w:ascii="Times New Roman" w:eastAsia="Times New Roman" w:hAnsi="Times New Roman" w:cs="Times New Roman"/>
                <w:b/>
                <w:bCs/>
                <w:color w:val="4C4747"/>
                <w:sz w:val="24"/>
                <w:szCs w:val="24"/>
                <w:lang w:val="es-DO"/>
              </w:rPr>
              <w:t>11</w:t>
            </w:r>
          </w:p>
        </w:tc>
        <w:tc>
          <w:tcPr>
            <w:tcW w:w="4410" w:type="dxa"/>
            <w:tcBorders>
              <w:top w:val="single" w:sz="6" w:space="0" w:color="auto"/>
              <w:left w:val="single" w:sz="6" w:space="0" w:color="auto"/>
              <w:bottom w:val="single" w:sz="6" w:space="0" w:color="auto"/>
              <w:right w:val="single" w:sz="6" w:space="0" w:color="auto"/>
            </w:tcBorders>
            <w:shd w:val="clear" w:color="auto" w:fill="FFFFFF"/>
            <w:vAlign w:val="center"/>
          </w:tcPr>
          <w:p w14:paraId="386F3398" w14:textId="185E24FD" w:rsidR="00911DE9" w:rsidRPr="000E66D4" w:rsidRDefault="00911DE9"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Asignación de código MMSI-Call Sign</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tcPr>
          <w:p w14:paraId="1D1B2F41" w14:textId="6EBDB5F5" w:rsidR="00911DE9" w:rsidRPr="000E66D4" w:rsidRDefault="00911DE9"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4</w:t>
            </w:r>
          </w:p>
        </w:tc>
      </w:tr>
      <w:tr w:rsidR="008A2756" w:rsidRPr="008E6046" w14:paraId="72BFC714"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B3552E2" w14:textId="0E4B3DD9"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1</w:t>
            </w:r>
            <w:r w:rsidR="00911DE9" w:rsidRPr="000E66D4">
              <w:rPr>
                <w:rFonts w:ascii="Times New Roman" w:eastAsia="Times New Roman" w:hAnsi="Times New Roman" w:cs="Times New Roman"/>
                <w:b/>
                <w:bCs/>
                <w:color w:val="4C4747"/>
                <w:sz w:val="24"/>
                <w:szCs w:val="24"/>
                <w:lang w:val="es-DO"/>
              </w:rPr>
              <w:t>2</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57B98144"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Concesiones adecuadas </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02A0ED64" w14:textId="7EFA583F"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5</w:t>
            </w:r>
          </w:p>
        </w:tc>
      </w:tr>
      <w:tr w:rsidR="008A2756" w:rsidRPr="008E6046" w14:paraId="6F6FC3D2" w14:textId="77777777" w:rsidTr="004836B7">
        <w:trPr>
          <w:trHeight w:val="795"/>
        </w:trPr>
        <w:tc>
          <w:tcPr>
            <w:tcW w:w="35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2453B7C" w14:textId="77905BE9"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1</w:t>
            </w:r>
            <w:r w:rsidR="00911DE9" w:rsidRPr="000E66D4">
              <w:rPr>
                <w:rFonts w:ascii="Times New Roman" w:eastAsia="Times New Roman" w:hAnsi="Times New Roman" w:cs="Times New Roman"/>
                <w:b/>
                <w:bCs/>
                <w:color w:val="4C4747"/>
                <w:sz w:val="24"/>
                <w:szCs w:val="24"/>
                <w:lang w:val="es-DO"/>
              </w:rPr>
              <w:t>3</w:t>
            </w:r>
            <w:r w:rsidRPr="000E66D4">
              <w:rPr>
                <w:rFonts w:ascii="Times New Roman" w:eastAsia="Times New Roman" w:hAnsi="Times New Roman" w:cs="Times New Roman"/>
                <w:color w:val="4C4747"/>
                <w:sz w:val="24"/>
                <w:szCs w:val="24"/>
                <w:lang w:val="es-DO"/>
              </w:rPr>
              <w:t> </w:t>
            </w:r>
          </w:p>
        </w:tc>
        <w:tc>
          <w:tcPr>
            <w:tcW w:w="4410" w:type="dxa"/>
            <w:tcBorders>
              <w:top w:val="single" w:sz="6" w:space="0" w:color="auto"/>
              <w:left w:val="single" w:sz="6" w:space="0" w:color="auto"/>
              <w:bottom w:val="single" w:sz="6" w:space="0" w:color="auto"/>
              <w:right w:val="nil"/>
            </w:tcBorders>
            <w:shd w:val="clear" w:color="auto" w:fill="FFFFFF"/>
            <w:vAlign w:val="center"/>
            <w:hideMark/>
          </w:tcPr>
          <w:p w14:paraId="7507E021" w14:textId="7822EEAE" w:rsidR="008A2756" w:rsidRPr="000E66D4" w:rsidRDefault="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xml:space="preserve">Contratos </w:t>
            </w:r>
            <w:r w:rsidR="00911DE9" w:rsidRPr="000E66D4">
              <w:rPr>
                <w:rFonts w:ascii="Times New Roman" w:eastAsia="Times New Roman" w:hAnsi="Times New Roman" w:cs="Times New Roman"/>
                <w:color w:val="4C4747"/>
                <w:sz w:val="24"/>
                <w:szCs w:val="24"/>
                <w:lang w:val="es-DO"/>
              </w:rPr>
              <w:t>remitidos a firma</w:t>
            </w:r>
          </w:p>
        </w:tc>
        <w:tc>
          <w:tcPr>
            <w:tcW w:w="3142" w:type="dxa"/>
            <w:tcBorders>
              <w:top w:val="single" w:sz="6" w:space="0" w:color="auto"/>
              <w:left w:val="single" w:sz="6" w:space="0" w:color="auto"/>
              <w:bottom w:val="single" w:sz="6" w:space="0" w:color="auto"/>
              <w:right w:val="single" w:sz="6" w:space="0" w:color="auto"/>
            </w:tcBorders>
            <w:shd w:val="clear" w:color="auto" w:fill="FFFFFF"/>
            <w:vAlign w:val="center"/>
            <w:hideMark/>
          </w:tcPr>
          <w:p w14:paraId="4A2E5B42" w14:textId="78341AA9" w:rsidR="008A2756" w:rsidRPr="000E66D4" w:rsidRDefault="00911DE9"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15</w:t>
            </w:r>
            <w:r w:rsidR="008A2756" w:rsidRPr="000E66D4">
              <w:rPr>
                <w:rFonts w:ascii="Times New Roman" w:eastAsia="Times New Roman" w:hAnsi="Times New Roman" w:cs="Times New Roman"/>
                <w:color w:val="4C4747"/>
                <w:sz w:val="24"/>
                <w:szCs w:val="24"/>
                <w:lang w:val="es-DO"/>
              </w:rPr>
              <w:t> </w:t>
            </w:r>
          </w:p>
        </w:tc>
      </w:tr>
      <w:tr w:rsidR="008A2756" w:rsidRPr="008E6046" w14:paraId="71CA7BD3" w14:textId="77777777" w:rsidTr="004836B7">
        <w:trPr>
          <w:trHeight w:val="795"/>
        </w:trPr>
        <w:tc>
          <w:tcPr>
            <w:tcW w:w="352" w:type="dxa"/>
            <w:tcBorders>
              <w:top w:val="single" w:sz="6" w:space="0" w:color="auto"/>
              <w:left w:val="single" w:sz="6" w:space="0" w:color="auto"/>
              <w:bottom w:val="nil"/>
              <w:right w:val="single" w:sz="6" w:space="0" w:color="auto"/>
            </w:tcBorders>
            <w:shd w:val="clear" w:color="auto" w:fill="FFFFFF"/>
            <w:vAlign w:val="center"/>
            <w:hideMark/>
          </w:tcPr>
          <w:p w14:paraId="2DB84F1E" w14:textId="72B10B5C" w:rsidR="008A2756" w:rsidRPr="000E66D4" w:rsidRDefault="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b/>
                <w:bCs/>
                <w:color w:val="4C4747"/>
                <w:sz w:val="24"/>
                <w:szCs w:val="24"/>
                <w:lang w:val="es-DO"/>
              </w:rPr>
              <w:t>1</w:t>
            </w:r>
            <w:r w:rsidR="00911DE9" w:rsidRPr="000E66D4">
              <w:rPr>
                <w:rFonts w:ascii="Times New Roman" w:eastAsia="Times New Roman" w:hAnsi="Times New Roman" w:cs="Times New Roman"/>
                <w:b/>
                <w:bCs/>
                <w:color w:val="4C4747"/>
                <w:sz w:val="24"/>
                <w:szCs w:val="24"/>
                <w:lang w:val="es-DO"/>
              </w:rPr>
              <w:t>4</w:t>
            </w:r>
          </w:p>
        </w:tc>
        <w:tc>
          <w:tcPr>
            <w:tcW w:w="4410" w:type="dxa"/>
            <w:tcBorders>
              <w:top w:val="single" w:sz="6" w:space="0" w:color="auto"/>
              <w:left w:val="single" w:sz="6" w:space="0" w:color="auto"/>
              <w:bottom w:val="nil"/>
              <w:right w:val="nil"/>
            </w:tcBorders>
            <w:shd w:val="clear" w:color="auto" w:fill="FFFFFF"/>
            <w:vAlign w:val="center"/>
            <w:hideMark/>
          </w:tcPr>
          <w:p w14:paraId="12C0073F" w14:textId="77777777" w:rsidR="008A2756" w:rsidRPr="000E66D4" w:rsidRDefault="008A2756" w:rsidP="008A2756">
            <w:pPr>
              <w:spacing w:after="0" w:line="240" w:lineRule="auto"/>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Licencias adecuadas  </w:t>
            </w:r>
          </w:p>
        </w:tc>
        <w:tc>
          <w:tcPr>
            <w:tcW w:w="3142" w:type="dxa"/>
            <w:tcBorders>
              <w:top w:val="single" w:sz="6" w:space="0" w:color="auto"/>
              <w:left w:val="single" w:sz="6" w:space="0" w:color="auto"/>
              <w:bottom w:val="nil"/>
              <w:right w:val="single" w:sz="6" w:space="0" w:color="auto"/>
            </w:tcBorders>
            <w:shd w:val="clear" w:color="auto" w:fill="FFFFFF"/>
            <w:vAlign w:val="center"/>
            <w:hideMark/>
          </w:tcPr>
          <w:p w14:paraId="6BE2AB17" w14:textId="01EFB2CB" w:rsidR="008A2756" w:rsidRPr="000E66D4" w:rsidRDefault="008A2756" w:rsidP="008A2756">
            <w:pPr>
              <w:spacing w:after="0" w:line="240" w:lineRule="auto"/>
              <w:jc w:val="center"/>
              <w:textAlignment w:val="baseline"/>
              <w:rPr>
                <w:rFonts w:ascii="Times New Roman" w:eastAsia="Times New Roman" w:hAnsi="Times New Roman" w:cs="Times New Roman"/>
                <w:color w:val="4C4747"/>
                <w:sz w:val="24"/>
                <w:szCs w:val="24"/>
                <w:lang w:val="es-DO"/>
              </w:rPr>
            </w:pPr>
            <w:r w:rsidRPr="000E66D4">
              <w:rPr>
                <w:rFonts w:ascii="Times New Roman" w:eastAsia="Times New Roman" w:hAnsi="Times New Roman" w:cs="Times New Roman"/>
                <w:color w:val="4C4747"/>
                <w:sz w:val="24"/>
                <w:szCs w:val="24"/>
                <w:lang w:val="es-DO"/>
              </w:rPr>
              <w:t> </w:t>
            </w:r>
            <w:r w:rsidR="00911DE9" w:rsidRPr="000E66D4">
              <w:rPr>
                <w:rFonts w:ascii="Times New Roman" w:eastAsia="Times New Roman" w:hAnsi="Times New Roman" w:cs="Times New Roman"/>
                <w:color w:val="4C4747"/>
                <w:sz w:val="24"/>
                <w:szCs w:val="24"/>
                <w:lang w:val="es-DO"/>
              </w:rPr>
              <w:t>0</w:t>
            </w:r>
          </w:p>
        </w:tc>
      </w:tr>
      <w:tr w:rsidR="008A2756" w:rsidRPr="008E6046" w14:paraId="235335DE" w14:textId="77777777" w:rsidTr="004836B7">
        <w:trPr>
          <w:trHeight w:val="372"/>
        </w:trPr>
        <w:tc>
          <w:tcPr>
            <w:tcW w:w="4762" w:type="dxa"/>
            <w:gridSpan w:val="2"/>
            <w:tcBorders>
              <w:top w:val="single" w:sz="6" w:space="0" w:color="auto"/>
              <w:left w:val="single" w:sz="6" w:space="0" w:color="auto"/>
              <w:bottom w:val="single" w:sz="6" w:space="0" w:color="auto"/>
              <w:right w:val="nil"/>
            </w:tcBorders>
            <w:shd w:val="clear" w:color="auto" w:fill="002060"/>
            <w:vAlign w:val="center"/>
            <w:hideMark/>
          </w:tcPr>
          <w:p w14:paraId="2B5780FD" w14:textId="77777777" w:rsidR="008A2756" w:rsidRPr="00943FA5" w:rsidRDefault="008A2756" w:rsidP="008A2756">
            <w:pPr>
              <w:spacing w:after="0" w:line="240" w:lineRule="auto"/>
              <w:jc w:val="center"/>
              <w:textAlignment w:val="baseline"/>
              <w:rPr>
                <w:rFonts w:ascii="Times New Roman" w:eastAsia="Times New Roman" w:hAnsi="Times New Roman" w:cs="Times New Roman"/>
                <w:sz w:val="24"/>
                <w:szCs w:val="24"/>
                <w:lang w:val="es-DO"/>
              </w:rPr>
            </w:pPr>
            <w:r w:rsidRPr="00943FA5">
              <w:rPr>
                <w:rFonts w:ascii="Times New Roman" w:eastAsia="Times New Roman" w:hAnsi="Times New Roman" w:cs="Times New Roman"/>
                <w:b/>
                <w:bCs/>
                <w:color w:val="FFFFFF" w:themeColor="background1"/>
                <w:sz w:val="24"/>
                <w:szCs w:val="24"/>
                <w:lang w:val="es-DO"/>
              </w:rPr>
              <w:t>Total </w:t>
            </w:r>
            <w:r w:rsidRPr="00943FA5">
              <w:rPr>
                <w:rFonts w:ascii="Times New Roman" w:eastAsia="Times New Roman" w:hAnsi="Times New Roman" w:cs="Times New Roman"/>
                <w:color w:val="FFFFFF" w:themeColor="background1"/>
                <w:sz w:val="24"/>
                <w:szCs w:val="24"/>
                <w:lang w:val="es-DO"/>
              </w:rPr>
              <w:t> </w:t>
            </w:r>
          </w:p>
        </w:tc>
        <w:tc>
          <w:tcPr>
            <w:tcW w:w="3142" w:type="dxa"/>
            <w:tcBorders>
              <w:top w:val="single" w:sz="6" w:space="0" w:color="auto"/>
              <w:left w:val="single" w:sz="6" w:space="0" w:color="auto"/>
              <w:bottom w:val="single" w:sz="6" w:space="0" w:color="auto"/>
              <w:right w:val="single" w:sz="6" w:space="0" w:color="auto"/>
            </w:tcBorders>
            <w:shd w:val="clear" w:color="auto" w:fill="002060"/>
            <w:vAlign w:val="center"/>
            <w:hideMark/>
          </w:tcPr>
          <w:p w14:paraId="56FC2CE5" w14:textId="77777777" w:rsidR="008A2756" w:rsidRPr="00943FA5" w:rsidRDefault="008A2756" w:rsidP="008A2756">
            <w:pPr>
              <w:spacing w:after="0" w:line="240" w:lineRule="auto"/>
              <w:jc w:val="center"/>
              <w:textAlignment w:val="baseline"/>
              <w:rPr>
                <w:rFonts w:ascii="Times New Roman" w:eastAsia="Times New Roman" w:hAnsi="Times New Roman" w:cs="Times New Roman"/>
                <w:sz w:val="24"/>
                <w:szCs w:val="24"/>
                <w:lang w:val="es-DO"/>
              </w:rPr>
            </w:pPr>
            <w:r w:rsidRPr="00943FA5">
              <w:rPr>
                <w:rFonts w:ascii="Times New Roman" w:eastAsia="Times New Roman" w:hAnsi="Times New Roman" w:cs="Times New Roman"/>
                <w:color w:val="767171"/>
                <w:sz w:val="24"/>
                <w:szCs w:val="24"/>
                <w:lang w:val="es-DO"/>
              </w:rPr>
              <w:t> </w:t>
            </w:r>
          </w:p>
        </w:tc>
      </w:tr>
    </w:tbl>
    <w:p w14:paraId="075D0083" w14:textId="23764F8A" w:rsidR="008A2756" w:rsidRPr="00C62BB6" w:rsidRDefault="008A2756" w:rsidP="004836B7">
      <w:pPr>
        <w:spacing w:before="240" w:after="0" w:line="240" w:lineRule="auto"/>
        <w:textAlignment w:val="baseline"/>
        <w:rPr>
          <w:rFonts w:ascii="Segoe UI" w:eastAsia="Times New Roman" w:hAnsi="Segoe UI" w:cs="Segoe UI"/>
          <w:color w:val="4C4747"/>
          <w:sz w:val="18"/>
          <w:szCs w:val="18"/>
          <w:lang w:val="es-DO"/>
        </w:rPr>
      </w:pPr>
      <w:r w:rsidRPr="00C62BB6">
        <w:rPr>
          <w:rFonts w:ascii="Times New Roman" w:eastAsia="Times New Roman" w:hAnsi="Times New Roman" w:cs="Times New Roman"/>
          <w:b/>
          <w:bCs/>
          <w:color w:val="4C4747"/>
          <w:sz w:val="18"/>
          <w:szCs w:val="18"/>
          <w:lang w:val="es-DO"/>
        </w:rPr>
        <w:t>Fuente</w:t>
      </w:r>
      <w:r w:rsidRPr="00C62BB6">
        <w:rPr>
          <w:rFonts w:ascii="Times New Roman" w:eastAsia="Times New Roman" w:hAnsi="Times New Roman" w:cs="Times New Roman"/>
          <w:color w:val="4C4747"/>
          <w:sz w:val="18"/>
          <w:szCs w:val="18"/>
          <w:lang w:val="es-DO"/>
        </w:rPr>
        <w:t>: Sistema de Gestión Interna (SGI) </w:t>
      </w:r>
    </w:p>
    <w:p w14:paraId="5B9FD161" w14:textId="77777777" w:rsidR="00BE6A84" w:rsidRDefault="00BE6A84" w:rsidP="008A2756">
      <w:pPr>
        <w:spacing w:line="360" w:lineRule="auto"/>
        <w:jc w:val="both"/>
        <w:rPr>
          <w:rFonts w:ascii="Times New Roman" w:eastAsia="Calibri" w:hAnsi="Times New Roman" w:cs="Times New Roman"/>
          <w:color w:val="FF0000"/>
          <w:spacing w:val="20"/>
          <w:sz w:val="24"/>
          <w:szCs w:val="24"/>
          <w:lang w:val="es-DO"/>
        </w:rPr>
      </w:pPr>
    </w:p>
    <w:p w14:paraId="1232AE69" w14:textId="77777777" w:rsidR="004836B7" w:rsidRDefault="004836B7" w:rsidP="008A2756">
      <w:pPr>
        <w:spacing w:line="360" w:lineRule="auto"/>
        <w:jc w:val="both"/>
        <w:rPr>
          <w:rFonts w:ascii="Times New Roman" w:eastAsia="Calibri" w:hAnsi="Times New Roman" w:cs="Times New Roman"/>
          <w:color w:val="FF0000"/>
          <w:spacing w:val="20"/>
          <w:sz w:val="24"/>
          <w:szCs w:val="24"/>
          <w:lang w:val="es-DO"/>
        </w:rPr>
      </w:pPr>
    </w:p>
    <w:p w14:paraId="3D59A818" w14:textId="77777777" w:rsidR="004836B7" w:rsidRDefault="004836B7" w:rsidP="008A2756">
      <w:pPr>
        <w:spacing w:line="360" w:lineRule="auto"/>
        <w:jc w:val="both"/>
        <w:rPr>
          <w:rFonts w:ascii="Times New Roman" w:eastAsia="Calibri" w:hAnsi="Times New Roman" w:cs="Times New Roman"/>
          <w:color w:val="FF0000"/>
          <w:spacing w:val="20"/>
          <w:sz w:val="24"/>
          <w:szCs w:val="24"/>
          <w:lang w:val="es-DO"/>
        </w:rPr>
      </w:pPr>
    </w:p>
    <w:p w14:paraId="3392722B" w14:textId="77777777" w:rsidR="004836B7" w:rsidRDefault="004836B7" w:rsidP="008A2756">
      <w:pPr>
        <w:spacing w:line="360" w:lineRule="auto"/>
        <w:jc w:val="both"/>
        <w:rPr>
          <w:rFonts w:ascii="Times New Roman" w:eastAsia="Calibri" w:hAnsi="Times New Roman" w:cs="Times New Roman"/>
          <w:color w:val="FF0000"/>
          <w:spacing w:val="20"/>
          <w:sz w:val="24"/>
          <w:szCs w:val="24"/>
          <w:lang w:val="es-DO"/>
        </w:rPr>
      </w:pPr>
    </w:p>
    <w:p w14:paraId="1432A01C" w14:textId="77777777" w:rsidR="004836B7" w:rsidRDefault="004836B7" w:rsidP="008A2756">
      <w:pPr>
        <w:spacing w:line="360" w:lineRule="auto"/>
        <w:jc w:val="both"/>
        <w:rPr>
          <w:rFonts w:ascii="Times New Roman" w:eastAsia="Calibri" w:hAnsi="Times New Roman" w:cs="Times New Roman"/>
          <w:color w:val="FF0000"/>
          <w:spacing w:val="20"/>
          <w:sz w:val="24"/>
          <w:szCs w:val="24"/>
          <w:lang w:val="es-DO"/>
        </w:rPr>
      </w:pPr>
    </w:p>
    <w:p w14:paraId="3ADDFAC6" w14:textId="70EA4269" w:rsidR="009A6D07" w:rsidRPr="007C16C5" w:rsidRDefault="009A6D07" w:rsidP="009A6D07">
      <w:pPr>
        <w:keepNext/>
        <w:spacing w:before="240" w:after="60" w:line="360" w:lineRule="auto"/>
        <w:contextualSpacing/>
        <w:jc w:val="both"/>
        <w:outlineLvl w:val="2"/>
        <w:rPr>
          <w:rFonts w:ascii="Times New Roman" w:eastAsia="Calibri" w:hAnsi="Times New Roman" w:cs="Times New Roman"/>
          <w:b/>
          <w:color w:val="4C4747"/>
          <w:spacing w:val="20"/>
          <w:sz w:val="24"/>
          <w:szCs w:val="24"/>
          <w:lang w:val="es-DO"/>
        </w:rPr>
      </w:pPr>
      <w:bookmarkStart w:id="16" w:name="_Toc122425238"/>
      <w:r w:rsidRPr="00C62BB6">
        <w:rPr>
          <w:rFonts w:ascii="Times New Roman" w:eastAsia="Calibri" w:hAnsi="Times New Roman" w:cs="Times New Roman"/>
          <w:b/>
          <w:color w:val="4C4747"/>
          <w:spacing w:val="20"/>
          <w:sz w:val="24"/>
          <w:szCs w:val="24"/>
          <w:lang w:val="es-DO"/>
        </w:rPr>
        <w:lastRenderedPageBreak/>
        <w:t xml:space="preserve">3.5 </w:t>
      </w:r>
      <w:r w:rsidR="0057321D" w:rsidRPr="007C16C5">
        <w:rPr>
          <w:rFonts w:ascii="Times New Roman" w:eastAsia="Calibri" w:hAnsi="Times New Roman" w:cs="Times New Roman"/>
          <w:b/>
          <w:color w:val="4C4747"/>
          <w:spacing w:val="20"/>
          <w:sz w:val="24"/>
          <w:szCs w:val="24"/>
          <w:lang w:val="es-DO"/>
        </w:rPr>
        <w:t>Dirección Unidad Ejecutoria BID</w:t>
      </w:r>
      <w:bookmarkEnd w:id="16"/>
    </w:p>
    <w:p w14:paraId="6602B718" w14:textId="77777777" w:rsidR="009A6D07" w:rsidRPr="007C16C5" w:rsidRDefault="009A6D07" w:rsidP="009A6D07">
      <w:pPr>
        <w:pStyle w:val="Sinespaciado"/>
        <w:rPr>
          <w:color w:val="4C4747"/>
          <w:lang w:val="es-DO"/>
        </w:rPr>
      </w:pPr>
    </w:p>
    <w:p w14:paraId="5EFAE065" w14:textId="657E5BCD" w:rsidR="00374E11"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El Gobierno </w:t>
      </w:r>
      <w:r w:rsidR="00747C96" w:rsidRPr="007C16C5">
        <w:rPr>
          <w:rFonts w:ascii="Times New Roman" w:eastAsia="Calibri" w:hAnsi="Times New Roman" w:cs="Times New Roman"/>
          <w:color w:val="4C4747"/>
          <w:spacing w:val="20"/>
          <w:sz w:val="24"/>
          <w:szCs w:val="24"/>
          <w:lang w:val="es-DO"/>
        </w:rPr>
        <w:t xml:space="preserve">Dominicano </w:t>
      </w:r>
      <w:r w:rsidRPr="007C16C5">
        <w:rPr>
          <w:rFonts w:ascii="Times New Roman" w:eastAsia="Calibri" w:hAnsi="Times New Roman" w:cs="Times New Roman"/>
          <w:color w:val="4C4747"/>
          <w:spacing w:val="20"/>
          <w:sz w:val="24"/>
          <w:szCs w:val="24"/>
          <w:lang w:val="es-DO"/>
        </w:rPr>
        <w:t xml:space="preserve">se embarcó en un préstamo con el Banco Interamericano de Desarrollo (BID), para la ejecución del “Programa para Mejorar la Conectividad para la Transformación Digital en la República Dominicana” (DR-L1147), su objetivo general es transformar digitalmente a la República Dominicana </w:t>
      </w:r>
      <w:r w:rsidR="00747C96" w:rsidRPr="007C16C5">
        <w:rPr>
          <w:rFonts w:ascii="Times New Roman" w:eastAsia="Calibri" w:hAnsi="Times New Roman" w:cs="Times New Roman"/>
          <w:color w:val="4C4747"/>
          <w:spacing w:val="20"/>
          <w:sz w:val="24"/>
          <w:szCs w:val="24"/>
          <w:lang w:val="es-DO"/>
        </w:rPr>
        <w:t xml:space="preserve">proveyéndola </w:t>
      </w:r>
      <w:r w:rsidRPr="007C16C5">
        <w:rPr>
          <w:rFonts w:ascii="Times New Roman" w:eastAsia="Calibri" w:hAnsi="Times New Roman" w:cs="Times New Roman"/>
          <w:color w:val="4C4747"/>
          <w:spacing w:val="20"/>
          <w:sz w:val="24"/>
          <w:szCs w:val="24"/>
          <w:lang w:val="es-DO"/>
        </w:rPr>
        <w:t>con un servicio de internet de calidad y asequible con una inversión de US$115</w:t>
      </w:r>
      <w:r w:rsidR="003C1326" w:rsidRPr="007C16C5">
        <w:rPr>
          <w:rFonts w:ascii="Times New Roman" w:eastAsia="Calibri" w:hAnsi="Times New Roman" w:cs="Times New Roman"/>
          <w:color w:val="4C4747"/>
          <w:spacing w:val="20"/>
          <w:sz w:val="24"/>
          <w:szCs w:val="24"/>
          <w:lang w:val="es-DO"/>
        </w:rPr>
        <w:t xml:space="preserve"> </w:t>
      </w:r>
      <w:r w:rsidRPr="007C16C5">
        <w:rPr>
          <w:rFonts w:ascii="Times New Roman" w:eastAsia="Calibri" w:hAnsi="Times New Roman" w:cs="Times New Roman"/>
          <w:color w:val="4C4747"/>
          <w:spacing w:val="20"/>
          <w:sz w:val="24"/>
          <w:szCs w:val="24"/>
          <w:lang w:val="es-DO"/>
        </w:rPr>
        <w:t xml:space="preserve">millones de dólares; para dichos fines </w:t>
      </w:r>
      <w:r w:rsidR="003C1326" w:rsidRPr="007C16C5">
        <w:rPr>
          <w:rFonts w:ascii="Times New Roman" w:eastAsia="Calibri" w:hAnsi="Times New Roman" w:cs="Times New Roman"/>
          <w:color w:val="4C4747"/>
          <w:spacing w:val="20"/>
          <w:sz w:val="24"/>
          <w:szCs w:val="24"/>
          <w:lang w:val="es-DO"/>
        </w:rPr>
        <w:t xml:space="preserve">se creó </w:t>
      </w:r>
      <w:r w:rsidRPr="007C16C5">
        <w:rPr>
          <w:rFonts w:ascii="Times New Roman" w:eastAsia="Calibri" w:hAnsi="Times New Roman" w:cs="Times New Roman"/>
          <w:color w:val="4C4747"/>
          <w:spacing w:val="20"/>
          <w:sz w:val="24"/>
          <w:szCs w:val="24"/>
          <w:lang w:val="es-DO"/>
        </w:rPr>
        <w:t>la Dirección de la Unidad Ejecutora del Proyecto BID, la cual es responsable de la ejecución del préstamo.</w:t>
      </w:r>
    </w:p>
    <w:p w14:paraId="597F679E" w14:textId="77777777" w:rsidR="00374E11"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planificaron tres áreas de ejecución, cada una es abordada por un componente específico. </w:t>
      </w:r>
    </w:p>
    <w:p w14:paraId="07B70BF1" w14:textId="356D2D56" w:rsidR="00374E11" w:rsidRPr="00A93998" w:rsidRDefault="00374E11" w:rsidP="00A02BDE">
      <w:pPr>
        <w:pStyle w:val="Prrafodelista"/>
        <w:numPr>
          <w:ilvl w:val="0"/>
          <w:numId w:val="52"/>
        </w:numPr>
        <w:spacing w:line="360" w:lineRule="auto"/>
        <w:jc w:val="both"/>
        <w:rPr>
          <w:rFonts w:ascii="Times New Roman" w:eastAsia="Calibri" w:hAnsi="Times New Roman" w:cs="Times New Roman"/>
          <w:color w:val="4C4747"/>
          <w:spacing w:val="20"/>
          <w:sz w:val="24"/>
          <w:szCs w:val="24"/>
          <w:lang w:val="es-DO"/>
        </w:rPr>
      </w:pPr>
      <w:r w:rsidRPr="00A93998">
        <w:rPr>
          <w:rFonts w:ascii="Times New Roman" w:eastAsia="Calibri" w:hAnsi="Times New Roman" w:cs="Times New Roman"/>
          <w:color w:val="4C4747"/>
          <w:spacing w:val="20"/>
          <w:sz w:val="24"/>
          <w:szCs w:val="24"/>
          <w:lang w:val="es-DO"/>
        </w:rPr>
        <w:t xml:space="preserve">Componente 1. Garantizar que la transición de </w:t>
      </w:r>
      <w:r w:rsidR="00747C96" w:rsidRPr="00A93998">
        <w:rPr>
          <w:rFonts w:ascii="Times New Roman" w:eastAsia="Calibri" w:hAnsi="Times New Roman" w:cs="Times New Roman"/>
          <w:color w:val="4C4747"/>
          <w:spacing w:val="20"/>
          <w:sz w:val="24"/>
          <w:szCs w:val="24"/>
          <w:lang w:val="es-DO"/>
        </w:rPr>
        <w:t xml:space="preserve">la </w:t>
      </w:r>
      <w:r w:rsidRPr="00A93998">
        <w:rPr>
          <w:rFonts w:ascii="Times New Roman" w:eastAsia="Calibri" w:hAnsi="Times New Roman" w:cs="Times New Roman"/>
          <w:color w:val="4C4747"/>
          <w:spacing w:val="20"/>
          <w:sz w:val="24"/>
          <w:szCs w:val="24"/>
          <w:lang w:val="es-DO"/>
        </w:rPr>
        <w:t xml:space="preserve">televisión análoga a digital tenga un carácter socialmente incluyente. </w:t>
      </w:r>
    </w:p>
    <w:p w14:paraId="1451D37A" w14:textId="3870FF9A" w:rsidR="00374E11" w:rsidRPr="00A93998" w:rsidRDefault="00374E11" w:rsidP="00A02BDE">
      <w:pPr>
        <w:pStyle w:val="Prrafodelista"/>
        <w:numPr>
          <w:ilvl w:val="0"/>
          <w:numId w:val="52"/>
        </w:numPr>
        <w:spacing w:line="360" w:lineRule="auto"/>
        <w:jc w:val="both"/>
        <w:rPr>
          <w:rFonts w:ascii="Times New Roman" w:eastAsia="Calibri" w:hAnsi="Times New Roman" w:cs="Times New Roman"/>
          <w:color w:val="4C4747"/>
          <w:spacing w:val="20"/>
          <w:sz w:val="24"/>
          <w:szCs w:val="24"/>
          <w:lang w:val="es-DO"/>
        </w:rPr>
      </w:pPr>
      <w:r w:rsidRPr="00A93998">
        <w:rPr>
          <w:rFonts w:ascii="Times New Roman" w:eastAsia="Calibri" w:hAnsi="Times New Roman" w:cs="Times New Roman"/>
          <w:color w:val="4C4747"/>
          <w:spacing w:val="20"/>
          <w:sz w:val="24"/>
          <w:szCs w:val="24"/>
          <w:lang w:val="es-DO"/>
        </w:rPr>
        <w:t xml:space="preserve">Componente 2. Ampliar las redes alámbricas de acceso a internet, expandir la Red Nacional de Fibra Óptica (RNFO) y garantizar la disponibilidad de conectividad internacional. </w:t>
      </w:r>
    </w:p>
    <w:p w14:paraId="222AA845" w14:textId="620A9C19" w:rsidR="00374E11" w:rsidRPr="00A93998" w:rsidRDefault="00374E11" w:rsidP="00A02BDE">
      <w:pPr>
        <w:pStyle w:val="Prrafodelista"/>
        <w:numPr>
          <w:ilvl w:val="0"/>
          <w:numId w:val="52"/>
        </w:numPr>
        <w:spacing w:line="360" w:lineRule="auto"/>
        <w:jc w:val="both"/>
        <w:rPr>
          <w:rFonts w:ascii="Times New Roman" w:eastAsia="Calibri" w:hAnsi="Times New Roman" w:cs="Times New Roman"/>
          <w:color w:val="4C4747"/>
          <w:spacing w:val="20"/>
          <w:sz w:val="24"/>
          <w:szCs w:val="24"/>
          <w:lang w:val="es-DO"/>
        </w:rPr>
      </w:pPr>
      <w:r w:rsidRPr="00A93998">
        <w:rPr>
          <w:rFonts w:ascii="Times New Roman" w:eastAsia="Calibri" w:hAnsi="Times New Roman" w:cs="Times New Roman"/>
          <w:color w:val="4C4747"/>
          <w:spacing w:val="20"/>
          <w:sz w:val="24"/>
          <w:szCs w:val="24"/>
          <w:lang w:val="es-DO"/>
        </w:rPr>
        <w:t>Componente 3. Capacitar a la ciudadanía en el uso productivo de las TIC.</w:t>
      </w:r>
    </w:p>
    <w:p w14:paraId="59861457" w14:textId="77777777" w:rsidR="00374E11" w:rsidRPr="007C16C5" w:rsidRDefault="00374E11" w:rsidP="00374E11">
      <w:pPr>
        <w:spacing w:line="360" w:lineRule="auto"/>
        <w:jc w:val="both"/>
        <w:rPr>
          <w:rFonts w:ascii="Times New Roman" w:eastAsia="Calibri" w:hAnsi="Times New Roman" w:cs="Times New Roman"/>
          <w:b/>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Detalles de acciones más relevantes</w:t>
      </w:r>
    </w:p>
    <w:p w14:paraId="07C72D11" w14:textId="77777777" w:rsidR="00374E11"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Componente 1. Transición de televisión análoga a digital. </w:t>
      </w:r>
    </w:p>
    <w:p w14:paraId="7F18A862" w14:textId="77777777" w:rsidR="00374E11" w:rsidRPr="007C16C5" w:rsidRDefault="00374E11" w:rsidP="00A02BDE">
      <w:pPr>
        <w:pStyle w:val="Prrafodelista"/>
        <w:numPr>
          <w:ilvl w:val="0"/>
          <w:numId w:val="13"/>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realizó una consulta preliminar al mercado para obtener retroalimentación del sector y posibles interesados en los aspectos claves del proyecto. </w:t>
      </w:r>
    </w:p>
    <w:p w14:paraId="7000B52E" w14:textId="03B28CA1" w:rsidR="00374E11" w:rsidRPr="007C16C5" w:rsidRDefault="00374E11" w:rsidP="00A02BDE">
      <w:pPr>
        <w:pStyle w:val="Prrafodelista"/>
        <w:numPr>
          <w:ilvl w:val="0"/>
          <w:numId w:val="13"/>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elaboraron los términos de referencia y documentos de solicitud de oferta, que fueron aprobados </w:t>
      </w:r>
      <w:r w:rsidR="00747C96" w:rsidRPr="007C16C5">
        <w:rPr>
          <w:rFonts w:ascii="Times New Roman" w:eastAsia="Calibri" w:hAnsi="Times New Roman" w:cs="Times New Roman"/>
          <w:color w:val="4C4747"/>
          <w:spacing w:val="20"/>
          <w:sz w:val="24"/>
          <w:szCs w:val="24"/>
          <w:lang w:val="es-DO"/>
        </w:rPr>
        <w:t xml:space="preserve">por el Banco Interamericano de Desarrollo (BID) y el Consejo Directivo del INDOTEL  </w:t>
      </w:r>
      <w:r w:rsidR="004203CF" w:rsidRPr="007C16C5">
        <w:rPr>
          <w:rFonts w:ascii="Times New Roman" w:eastAsia="Calibri" w:hAnsi="Times New Roman" w:cs="Times New Roman"/>
          <w:color w:val="4C4747"/>
          <w:spacing w:val="20"/>
          <w:sz w:val="24"/>
          <w:szCs w:val="24"/>
          <w:lang w:val="es-DO"/>
        </w:rPr>
        <w:t>mediante la Resolución número 042-2022</w:t>
      </w:r>
      <w:r w:rsidR="00747C96" w:rsidRPr="007C16C5">
        <w:rPr>
          <w:rFonts w:ascii="Times New Roman" w:eastAsia="Calibri" w:hAnsi="Times New Roman" w:cs="Times New Roman"/>
          <w:color w:val="4C4747"/>
          <w:spacing w:val="20"/>
          <w:sz w:val="24"/>
          <w:szCs w:val="24"/>
          <w:lang w:val="es-DO"/>
        </w:rPr>
        <w:t>.</w:t>
      </w:r>
    </w:p>
    <w:p w14:paraId="66339008" w14:textId="7B06DA34" w:rsidR="00374E11" w:rsidRPr="007C16C5" w:rsidRDefault="00374E11" w:rsidP="00A02BDE">
      <w:pPr>
        <w:pStyle w:val="Prrafodelista"/>
        <w:numPr>
          <w:ilvl w:val="0"/>
          <w:numId w:val="13"/>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lastRenderedPageBreak/>
        <w:t xml:space="preserve">Se publicó la licitación pública internacional INDOTEL-BID-LPI-001-2022 para la adquisición y entrega de cajas convertidoras de señal de televisión digital, a los hogares seleccionados, </w:t>
      </w:r>
      <w:r w:rsidR="009131DC" w:rsidRPr="007C16C5">
        <w:rPr>
          <w:rFonts w:ascii="Times New Roman" w:eastAsia="Calibri" w:hAnsi="Times New Roman" w:cs="Times New Roman"/>
          <w:color w:val="4C4747"/>
          <w:spacing w:val="20"/>
          <w:sz w:val="24"/>
          <w:szCs w:val="24"/>
          <w:lang w:val="es-DO"/>
        </w:rPr>
        <w:t>resultando</w:t>
      </w:r>
      <w:r w:rsidR="00747C96" w:rsidRPr="007C16C5">
        <w:rPr>
          <w:rFonts w:ascii="Times New Roman" w:eastAsia="Calibri" w:hAnsi="Times New Roman" w:cs="Times New Roman"/>
          <w:color w:val="4C4747"/>
          <w:spacing w:val="20"/>
          <w:sz w:val="24"/>
          <w:szCs w:val="24"/>
          <w:lang w:val="es-DO"/>
        </w:rPr>
        <w:t xml:space="preserve"> adjudicatario</w:t>
      </w:r>
      <w:r w:rsidRPr="007C16C5">
        <w:rPr>
          <w:rFonts w:ascii="Times New Roman" w:eastAsia="Calibri" w:hAnsi="Times New Roman" w:cs="Times New Roman"/>
          <w:color w:val="4C4747"/>
          <w:spacing w:val="20"/>
          <w:sz w:val="24"/>
          <w:szCs w:val="24"/>
          <w:lang w:val="es-DO"/>
        </w:rPr>
        <w:t xml:space="preserve"> el CONSORCIO DIGITAL TV CBOX con el que se firmó </w:t>
      </w:r>
      <w:r w:rsidR="008E0A32" w:rsidRPr="007C16C5">
        <w:rPr>
          <w:rFonts w:ascii="Times New Roman" w:eastAsia="Calibri" w:hAnsi="Times New Roman" w:cs="Times New Roman"/>
          <w:color w:val="4C4747"/>
          <w:spacing w:val="20"/>
          <w:sz w:val="24"/>
          <w:szCs w:val="24"/>
          <w:lang w:val="es-DO"/>
        </w:rPr>
        <w:t xml:space="preserve">un </w:t>
      </w:r>
      <w:r w:rsidRPr="007C16C5">
        <w:rPr>
          <w:rFonts w:ascii="Times New Roman" w:eastAsia="Calibri" w:hAnsi="Times New Roman" w:cs="Times New Roman"/>
          <w:color w:val="4C4747"/>
          <w:spacing w:val="20"/>
          <w:sz w:val="24"/>
          <w:szCs w:val="24"/>
          <w:lang w:val="es-DO"/>
        </w:rPr>
        <w:t>contrato para la distribución y entrega de 450,000 mil cajas convertidoras.</w:t>
      </w:r>
    </w:p>
    <w:p w14:paraId="63297984" w14:textId="53B5D883" w:rsidR="00374E11" w:rsidRPr="007C16C5" w:rsidRDefault="003C1326" w:rsidP="00A02BDE">
      <w:pPr>
        <w:pStyle w:val="Prrafodelista"/>
        <w:numPr>
          <w:ilvl w:val="0"/>
          <w:numId w:val="13"/>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firmó un</w:t>
      </w:r>
      <w:r w:rsidR="00374E11" w:rsidRPr="007C16C5">
        <w:rPr>
          <w:rFonts w:ascii="Times New Roman" w:eastAsia="Calibri" w:hAnsi="Times New Roman" w:cs="Times New Roman"/>
          <w:color w:val="4C4747"/>
          <w:spacing w:val="20"/>
          <w:sz w:val="24"/>
          <w:szCs w:val="24"/>
          <w:lang w:val="es-DO"/>
        </w:rPr>
        <w:t xml:space="preserve"> convenio de cooperación entre INDOTEL y SUPERATE, para trabajar de manera conjunta en el levantamiento y supervisión del proceso de entrega de las cajas convertidoras. </w:t>
      </w:r>
    </w:p>
    <w:p w14:paraId="4927AB66" w14:textId="77777777" w:rsidR="00374E11"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Componente 2. Ampliar las redes alámbricas de acceso a internet. </w:t>
      </w:r>
    </w:p>
    <w:p w14:paraId="11E737DB" w14:textId="25060D3D" w:rsidR="00374E11" w:rsidRPr="007C16C5" w:rsidRDefault="003C1326"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hizo una c</w:t>
      </w:r>
      <w:r w:rsidR="00374E11" w:rsidRPr="007C16C5">
        <w:rPr>
          <w:rFonts w:ascii="Times New Roman" w:eastAsia="Calibri" w:hAnsi="Times New Roman" w:cs="Times New Roman"/>
          <w:color w:val="4C4747"/>
          <w:spacing w:val="20"/>
          <w:sz w:val="24"/>
          <w:szCs w:val="24"/>
          <w:lang w:val="es-DO"/>
        </w:rPr>
        <w:t xml:space="preserve">onsulta preliminar al mercado para obtener retroalimentación del sector y posibles interesados en los aspectos claves del proyecto. </w:t>
      </w:r>
    </w:p>
    <w:p w14:paraId="6E569131" w14:textId="77777777" w:rsidR="00374E11" w:rsidRPr="007C16C5" w:rsidRDefault="00374E11"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solicitó información a 29 proveedores de servicios de internet relativo a sus servicios y áreas de coberturas. </w:t>
      </w:r>
    </w:p>
    <w:p w14:paraId="0A0CED54" w14:textId="762F8026" w:rsidR="00374E11" w:rsidRPr="007C16C5" w:rsidRDefault="003C1326"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hizo un </w:t>
      </w:r>
      <w:r w:rsidR="00374E11" w:rsidRPr="007C16C5">
        <w:rPr>
          <w:rFonts w:ascii="Times New Roman" w:eastAsia="Calibri" w:hAnsi="Times New Roman" w:cs="Times New Roman"/>
          <w:color w:val="4C4747"/>
          <w:spacing w:val="20"/>
          <w:sz w:val="24"/>
          <w:szCs w:val="24"/>
          <w:lang w:val="es-DO"/>
        </w:rPr>
        <w:t>acercamiento con Edesur Dominicana para validar la cobertura de servicio energético en las comunidades del proyecto y viabilizar un acuerdo para estandarizar las tarifas y acuerdos comerciales de uso de los postes en dichas comunidades.</w:t>
      </w:r>
    </w:p>
    <w:p w14:paraId="2CF971FA" w14:textId="142C072F" w:rsidR="00374E11" w:rsidRPr="007C16C5" w:rsidRDefault="00374E11"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w:t>
      </w:r>
      <w:r w:rsidR="008E0A32" w:rsidRPr="007C16C5">
        <w:rPr>
          <w:rFonts w:ascii="Times New Roman" w:eastAsia="Calibri" w:hAnsi="Times New Roman" w:cs="Times New Roman"/>
          <w:color w:val="4C4747"/>
          <w:spacing w:val="20"/>
          <w:sz w:val="24"/>
          <w:szCs w:val="24"/>
          <w:lang w:val="es-DO"/>
        </w:rPr>
        <w:t xml:space="preserve">hizo </w:t>
      </w:r>
      <w:r w:rsidRPr="007C16C5">
        <w:rPr>
          <w:rFonts w:ascii="Times New Roman" w:eastAsia="Calibri" w:hAnsi="Times New Roman" w:cs="Times New Roman"/>
          <w:color w:val="4C4747"/>
          <w:spacing w:val="20"/>
          <w:sz w:val="24"/>
          <w:szCs w:val="24"/>
          <w:lang w:val="es-DO"/>
        </w:rPr>
        <w:t>un acercamiento con los alcaldes de los municipios identificados para ser beneficiados con el proyecto, incluyendo la elaboración por parte de los Ayuntamientos de ordenanzas para exonerar los pagos de los arbitrios correspondientes a los despliegues de infraestructura asociados con el proyecto.</w:t>
      </w:r>
    </w:p>
    <w:p w14:paraId="37E86287" w14:textId="77777777" w:rsidR="002A40D6" w:rsidRPr="007C16C5" w:rsidRDefault="00374E11"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creó una comisión </w:t>
      </w:r>
      <w:r w:rsidR="008E0A32" w:rsidRPr="007C16C5">
        <w:rPr>
          <w:rFonts w:ascii="Times New Roman" w:eastAsia="Calibri" w:hAnsi="Times New Roman" w:cs="Times New Roman"/>
          <w:color w:val="4C4747"/>
          <w:spacing w:val="20"/>
          <w:sz w:val="24"/>
          <w:szCs w:val="24"/>
          <w:lang w:val="es-DO"/>
        </w:rPr>
        <w:t xml:space="preserve">con la finalidad de elaborar </w:t>
      </w:r>
      <w:r w:rsidRPr="007C16C5">
        <w:rPr>
          <w:rFonts w:ascii="Times New Roman" w:eastAsia="Calibri" w:hAnsi="Times New Roman" w:cs="Times New Roman"/>
          <w:color w:val="4C4747"/>
          <w:spacing w:val="20"/>
          <w:sz w:val="24"/>
          <w:szCs w:val="24"/>
          <w:lang w:val="es-DO"/>
        </w:rPr>
        <w:t xml:space="preserve">los términos </w:t>
      </w:r>
    </w:p>
    <w:p w14:paraId="78966214" w14:textId="69189B66" w:rsidR="00374E11" w:rsidRPr="007C16C5" w:rsidRDefault="00374E11" w:rsidP="002A40D6">
      <w:pPr>
        <w:spacing w:line="360" w:lineRule="auto"/>
        <w:ind w:left="720"/>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lastRenderedPageBreak/>
        <w:t xml:space="preserve">de referencia de </w:t>
      </w:r>
      <w:r w:rsidR="008E0A32" w:rsidRPr="007C16C5">
        <w:rPr>
          <w:rFonts w:ascii="Times New Roman" w:eastAsia="Calibri" w:hAnsi="Times New Roman" w:cs="Times New Roman"/>
          <w:color w:val="4C4747"/>
          <w:spacing w:val="20"/>
          <w:sz w:val="24"/>
          <w:szCs w:val="24"/>
          <w:lang w:val="es-DO"/>
        </w:rPr>
        <w:t xml:space="preserve">la </w:t>
      </w:r>
      <w:r w:rsidRPr="007C16C5">
        <w:rPr>
          <w:rFonts w:ascii="Times New Roman" w:eastAsia="Calibri" w:hAnsi="Times New Roman" w:cs="Times New Roman"/>
          <w:color w:val="4C4747"/>
          <w:spacing w:val="20"/>
          <w:sz w:val="24"/>
          <w:szCs w:val="24"/>
          <w:lang w:val="es-DO"/>
        </w:rPr>
        <w:t>licitación para la contratación de una empresa para llevar acceso a 23 municipios y 63 distritos municipales.</w:t>
      </w:r>
    </w:p>
    <w:p w14:paraId="3C3D8670" w14:textId="0AAE5ABF" w:rsidR="00374E11" w:rsidRPr="007C16C5" w:rsidRDefault="00374E11"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realizaron reuniones bilaterales con </w:t>
      </w:r>
      <w:r w:rsidR="008E0A32" w:rsidRPr="007C16C5">
        <w:rPr>
          <w:rFonts w:ascii="Times New Roman" w:eastAsia="Calibri" w:hAnsi="Times New Roman" w:cs="Times New Roman"/>
          <w:color w:val="4C4747"/>
          <w:spacing w:val="20"/>
          <w:sz w:val="24"/>
          <w:szCs w:val="24"/>
          <w:lang w:val="es-DO"/>
        </w:rPr>
        <w:t xml:space="preserve">representantes de los </w:t>
      </w:r>
      <w:r w:rsidRPr="007C16C5">
        <w:rPr>
          <w:rFonts w:ascii="Times New Roman" w:eastAsia="Calibri" w:hAnsi="Times New Roman" w:cs="Times New Roman"/>
          <w:color w:val="4C4747"/>
          <w:spacing w:val="20"/>
          <w:sz w:val="24"/>
          <w:szCs w:val="24"/>
          <w:lang w:val="es-DO"/>
        </w:rPr>
        <w:t>gobiernos de España, Perú y México para conocer experiencias similares en despliegue de infraestructura digital.</w:t>
      </w:r>
    </w:p>
    <w:p w14:paraId="1F5B4331" w14:textId="5AEA5885" w:rsidR="00374E11" w:rsidRPr="007C16C5" w:rsidRDefault="00374E11" w:rsidP="00A02BDE">
      <w:pPr>
        <w:pStyle w:val="Prrafodelista"/>
        <w:numPr>
          <w:ilvl w:val="0"/>
          <w:numId w:val="14"/>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Se contrató </w:t>
      </w:r>
      <w:r w:rsidR="008E0A32" w:rsidRPr="007C16C5">
        <w:rPr>
          <w:rFonts w:ascii="Times New Roman" w:eastAsia="Calibri" w:hAnsi="Times New Roman" w:cs="Times New Roman"/>
          <w:color w:val="4C4747"/>
          <w:spacing w:val="20"/>
          <w:sz w:val="24"/>
          <w:szCs w:val="24"/>
          <w:lang w:val="es-DO"/>
        </w:rPr>
        <w:t xml:space="preserve">un </w:t>
      </w:r>
      <w:r w:rsidRPr="007C16C5">
        <w:rPr>
          <w:rFonts w:ascii="Times New Roman" w:eastAsia="Calibri" w:hAnsi="Times New Roman" w:cs="Times New Roman"/>
          <w:color w:val="4C4747"/>
          <w:spacing w:val="20"/>
          <w:sz w:val="24"/>
          <w:szCs w:val="24"/>
          <w:lang w:val="es-DO"/>
        </w:rPr>
        <w:t xml:space="preserve">consultor internacional para elaborar </w:t>
      </w:r>
      <w:r w:rsidR="008E0A32" w:rsidRPr="007C16C5">
        <w:rPr>
          <w:rFonts w:ascii="Times New Roman" w:eastAsia="Calibri" w:hAnsi="Times New Roman" w:cs="Times New Roman"/>
          <w:color w:val="4C4747"/>
          <w:spacing w:val="20"/>
          <w:sz w:val="24"/>
          <w:szCs w:val="24"/>
          <w:lang w:val="es-DO"/>
        </w:rPr>
        <w:t xml:space="preserve">un </w:t>
      </w:r>
      <w:r w:rsidRPr="007C16C5">
        <w:rPr>
          <w:rFonts w:ascii="Times New Roman" w:eastAsia="Calibri" w:hAnsi="Times New Roman" w:cs="Times New Roman"/>
          <w:color w:val="4C4747"/>
          <w:spacing w:val="20"/>
          <w:sz w:val="24"/>
          <w:szCs w:val="24"/>
          <w:lang w:val="es-DO"/>
        </w:rPr>
        <w:t>estudio de conectividad internacional en la República Dominicana, el cual fue concluido en Diciembre 2022.</w:t>
      </w:r>
    </w:p>
    <w:p w14:paraId="0B2D73BD" w14:textId="77777777" w:rsidR="00374E11"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Componente 3. Capacitar a la ciudadanía en el uso productivo de las TIC. </w:t>
      </w:r>
    </w:p>
    <w:p w14:paraId="69BDD154" w14:textId="6E7473FE" w:rsidR="00374E11" w:rsidRPr="007C16C5" w:rsidRDefault="003C1326" w:rsidP="00A02BDE">
      <w:pPr>
        <w:pStyle w:val="Prrafodelista"/>
        <w:numPr>
          <w:ilvl w:val="0"/>
          <w:numId w:val="15"/>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realizó una c</w:t>
      </w:r>
      <w:r w:rsidR="00374E11" w:rsidRPr="007C16C5">
        <w:rPr>
          <w:rFonts w:ascii="Times New Roman" w:eastAsia="Calibri" w:hAnsi="Times New Roman" w:cs="Times New Roman"/>
          <w:color w:val="4C4747"/>
          <w:spacing w:val="20"/>
          <w:sz w:val="24"/>
          <w:szCs w:val="24"/>
          <w:lang w:val="es-DO"/>
        </w:rPr>
        <w:t xml:space="preserve">onsulta preliminar al mercado para obtener retroalimentación del sector académico y posibles interesados en los aspectos claves del proyecto. </w:t>
      </w:r>
    </w:p>
    <w:p w14:paraId="57D19E3B" w14:textId="5EFE884F" w:rsidR="00374E11" w:rsidRPr="007C16C5" w:rsidRDefault="00374E11" w:rsidP="00A02BDE">
      <w:pPr>
        <w:pStyle w:val="Prrafodelista"/>
        <w:numPr>
          <w:ilvl w:val="0"/>
          <w:numId w:val="15"/>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realizaron reuniones con instituciones y organizaciones locales e internacionales,  tales como Cincinnatus, Salesforce, ISOC, LinkedIn y Corporación Ruta N Medellín, para conocer sus ofertas académicas y experiencias en proceso de formación.</w:t>
      </w:r>
    </w:p>
    <w:p w14:paraId="1FB020A4" w14:textId="27D0DA05" w:rsidR="00374E11" w:rsidRPr="007C16C5" w:rsidRDefault="00374E11" w:rsidP="008152C5">
      <w:pPr>
        <w:spacing w:before="240" w:line="360" w:lineRule="auto"/>
        <w:jc w:val="both"/>
        <w:rPr>
          <w:rFonts w:ascii="Times New Roman" w:eastAsia="Calibri" w:hAnsi="Times New Roman" w:cs="Times New Roman"/>
          <w:b/>
          <w:color w:val="4C4747"/>
          <w:spacing w:val="20"/>
          <w:sz w:val="24"/>
          <w:szCs w:val="24"/>
          <w:lang w:val="es-DO"/>
        </w:rPr>
      </w:pPr>
      <w:r w:rsidRPr="007C16C5">
        <w:rPr>
          <w:rFonts w:ascii="Times New Roman" w:eastAsia="Calibri" w:hAnsi="Times New Roman" w:cs="Times New Roman"/>
          <w:b/>
          <w:color w:val="4C4747"/>
          <w:spacing w:val="20"/>
          <w:sz w:val="24"/>
          <w:szCs w:val="24"/>
          <w:lang w:val="es-DO"/>
        </w:rPr>
        <w:t>A</w:t>
      </w:r>
      <w:r w:rsidR="006C3675" w:rsidRPr="007C16C5">
        <w:rPr>
          <w:rFonts w:ascii="Times New Roman" w:eastAsia="Calibri" w:hAnsi="Times New Roman" w:cs="Times New Roman"/>
          <w:b/>
          <w:color w:val="4C4747"/>
          <w:spacing w:val="20"/>
          <w:sz w:val="24"/>
          <w:szCs w:val="24"/>
          <w:lang w:val="es-DO"/>
        </w:rPr>
        <w:t>spectos financieros y a</w:t>
      </w:r>
      <w:r w:rsidRPr="007C16C5">
        <w:rPr>
          <w:rFonts w:ascii="Times New Roman" w:eastAsia="Calibri" w:hAnsi="Times New Roman" w:cs="Times New Roman"/>
          <w:b/>
          <w:color w:val="4C4747"/>
          <w:spacing w:val="20"/>
          <w:sz w:val="24"/>
          <w:szCs w:val="24"/>
          <w:lang w:val="es-DO"/>
        </w:rPr>
        <w:t xml:space="preserve">dministrativos </w:t>
      </w:r>
    </w:p>
    <w:p w14:paraId="42E0F9F0" w14:textId="77777777" w:rsidR="00374E11" w:rsidRPr="007C16C5" w:rsidRDefault="00374E11" w:rsidP="00374E11">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realizaron todas las actividades para cumplir las condiciones previas al primer desembolso con el BID.</w:t>
      </w:r>
    </w:p>
    <w:p w14:paraId="4BE1352B"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Emisión de Informe Jurídico sobre las Normas Generales del Contrato de Préstamo. </w:t>
      </w:r>
    </w:p>
    <w:p w14:paraId="19C18951"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Creación de la Dirección del Programa y Designación de Personal Clave.  </w:t>
      </w:r>
    </w:p>
    <w:p w14:paraId="30BDA1F9"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Aprobación del Reglamento Operativo del Programa. </w:t>
      </w:r>
    </w:p>
    <w:p w14:paraId="75FB941D"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Designación de las Firmas Autorizadas.  </w:t>
      </w:r>
    </w:p>
    <w:p w14:paraId="4F6E0163"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lastRenderedPageBreak/>
        <w:t xml:space="preserve">Suscripción del Convenio Subsidiario entre el INDOTEL y el Ministerio de Hacienda. </w:t>
      </w:r>
    </w:p>
    <w:p w14:paraId="4A381FAF"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Apertura de cuenta bancaria para los desembolsos.  </w:t>
      </w:r>
    </w:p>
    <w:p w14:paraId="66246BEA" w14:textId="77777777" w:rsidR="00374E11" w:rsidRPr="007C16C5" w:rsidRDefault="00374E11" w:rsidP="00A02BDE">
      <w:pPr>
        <w:pStyle w:val="Prrafodelista"/>
        <w:numPr>
          <w:ilvl w:val="0"/>
          <w:numId w:val="16"/>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Habilitación del Sistema de Información Financiera y Estructura de Control Interno.</w:t>
      </w:r>
    </w:p>
    <w:p w14:paraId="1E4CED11" w14:textId="144EC94F" w:rsidR="00374E11" w:rsidRPr="007C16C5" w:rsidRDefault="00374E11" w:rsidP="006C3675">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realizaron todas las actividades para op</w:t>
      </w:r>
      <w:r w:rsidR="00FE3633" w:rsidRPr="007C16C5">
        <w:rPr>
          <w:rFonts w:ascii="Times New Roman" w:eastAsia="Calibri" w:hAnsi="Times New Roman" w:cs="Times New Roman"/>
          <w:color w:val="4C4747"/>
          <w:spacing w:val="20"/>
          <w:sz w:val="24"/>
          <w:szCs w:val="24"/>
          <w:lang w:val="es-DO"/>
        </w:rPr>
        <w:t>eratividad de la recién creada d</w:t>
      </w:r>
      <w:r w:rsidRPr="007C16C5">
        <w:rPr>
          <w:rFonts w:ascii="Times New Roman" w:eastAsia="Calibri" w:hAnsi="Times New Roman" w:cs="Times New Roman"/>
          <w:color w:val="4C4747"/>
          <w:spacing w:val="20"/>
          <w:sz w:val="24"/>
          <w:szCs w:val="24"/>
          <w:lang w:val="es-DO"/>
        </w:rPr>
        <w:t xml:space="preserve">irección ante las distintas </w:t>
      </w:r>
      <w:r w:rsidR="002677EC" w:rsidRPr="007C16C5">
        <w:rPr>
          <w:rFonts w:ascii="Times New Roman" w:eastAsia="Calibri" w:hAnsi="Times New Roman" w:cs="Times New Roman"/>
          <w:color w:val="4C4747"/>
          <w:spacing w:val="20"/>
          <w:sz w:val="24"/>
          <w:szCs w:val="24"/>
          <w:lang w:val="es-DO"/>
        </w:rPr>
        <w:t>i</w:t>
      </w:r>
      <w:r w:rsidRPr="007C16C5">
        <w:rPr>
          <w:rFonts w:ascii="Times New Roman" w:eastAsia="Calibri" w:hAnsi="Times New Roman" w:cs="Times New Roman"/>
          <w:color w:val="4C4747"/>
          <w:spacing w:val="20"/>
          <w:sz w:val="24"/>
          <w:szCs w:val="24"/>
          <w:lang w:val="es-DO"/>
        </w:rPr>
        <w:t xml:space="preserve">nstituciones </w:t>
      </w:r>
      <w:r w:rsidR="002677EC" w:rsidRPr="007C16C5">
        <w:rPr>
          <w:rFonts w:ascii="Times New Roman" w:eastAsia="Calibri" w:hAnsi="Times New Roman" w:cs="Times New Roman"/>
          <w:color w:val="4C4747"/>
          <w:spacing w:val="20"/>
          <w:sz w:val="24"/>
          <w:szCs w:val="24"/>
          <w:lang w:val="es-DO"/>
        </w:rPr>
        <w:t>p</w:t>
      </w:r>
      <w:r w:rsidRPr="007C16C5">
        <w:rPr>
          <w:rFonts w:ascii="Times New Roman" w:eastAsia="Calibri" w:hAnsi="Times New Roman" w:cs="Times New Roman"/>
          <w:color w:val="4C4747"/>
          <w:spacing w:val="20"/>
          <w:sz w:val="24"/>
          <w:szCs w:val="24"/>
          <w:lang w:val="es-DO"/>
        </w:rPr>
        <w:t xml:space="preserve">úblicas, como son el Ministerio de Economía, Planificación y Desarrollo, Ministerio de Hacienda, Tesorería  Nacional, Dirección General de Presupuesto y el Banco Central. Entre las actividades más relevantes están: </w:t>
      </w:r>
    </w:p>
    <w:p w14:paraId="082F5EB9" w14:textId="1C917980" w:rsidR="00374E11" w:rsidRPr="007C16C5"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Firma del acuerdo subsidiario entre el Ministerio de Hacienda y </w:t>
      </w:r>
      <w:r w:rsidR="00FE3633" w:rsidRPr="007C16C5">
        <w:rPr>
          <w:rFonts w:ascii="Times New Roman" w:eastAsia="Calibri" w:hAnsi="Times New Roman" w:cs="Times New Roman"/>
          <w:color w:val="4C4747"/>
          <w:spacing w:val="20"/>
          <w:sz w:val="24"/>
          <w:szCs w:val="24"/>
          <w:lang w:val="es-DO"/>
        </w:rPr>
        <w:t>el INDOTEL</w:t>
      </w:r>
      <w:r w:rsidRPr="007C16C5">
        <w:rPr>
          <w:rFonts w:ascii="Times New Roman" w:eastAsia="Calibri" w:hAnsi="Times New Roman" w:cs="Times New Roman"/>
          <w:color w:val="4C4747"/>
          <w:spacing w:val="20"/>
          <w:sz w:val="24"/>
          <w:szCs w:val="24"/>
          <w:lang w:val="es-DO"/>
        </w:rPr>
        <w:t xml:space="preserve">. </w:t>
      </w:r>
    </w:p>
    <w:p w14:paraId="1C51A5DE" w14:textId="74171F1B" w:rsidR="00374E11" w:rsidRPr="007C16C5"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Firma de convenio para la gestión de los recursos d</w:t>
      </w:r>
      <w:r w:rsidR="00FE3633" w:rsidRPr="007C16C5">
        <w:rPr>
          <w:rFonts w:ascii="Times New Roman" w:eastAsia="Calibri" w:hAnsi="Times New Roman" w:cs="Times New Roman"/>
          <w:color w:val="4C4747"/>
          <w:spacing w:val="20"/>
          <w:sz w:val="24"/>
          <w:szCs w:val="24"/>
          <w:lang w:val="es-DO"/>
        </w:rPr>
        <w:t>el préstamo 5297/OC-DR en Cuenta</w:t>
      </w:r>
      <w:r w:rsidRPr="007C16C5">
        <w:rPr>
          <w:rFonts w:ascii="Times New Roman" w:eastAsia="Calibri" w:hAnsi="Times New Roman" w:cs="Times New Roman"/>
          <w:color w:val="4C4747"/>
          <w:spacing w:val="20"/>
          <w:sz w:val="24"/>
          <w:szCs w:val="24"/>
          <w:lang w:val="es-DO"/>
        </w:rPr>
        <w:t xml:space="preserve"> Única del Tesoro (CUT) entre la Tesorería Nacional y </w:t>
      </w:r>
      <w:r w:rsidR="00FE3633" w:rsidRPr="007C16C5">
        <w:rPr>
          <w:rFonts w:ascii="Times New Roman" w:eastAsia="Calibri" w:hAnsi="Times New Roman" w:cs="Times New Roman"/>
          <w:color w:val="4C4747"/>
          <w:spacing w:val="20"/>
          <w:sz w:val="24"/>
          <w:szCs w:val="24"/>
          <w:lang w:val="es-DO"/>
        </w:rPr>
        <w:t>INDOTEL</w:t>
      </w:r>
      <w:r w:rsidRPr="007C16C5">
        <w:rPr>
          <w:rFonts w:ascii="Times New Roman" w:eastAsia="Calibri" w:hAnsi="Times New Roman" w:cs="Times New Roman"/>
          <w:color w:val="4C4747"/>
          <w:spacing w:val="20"/>
          <w:sz w:val="24"/>
          <w:szCs w:val="24"/>
          <w:lang w:val="es-DO"/>
        </w:rPr>
        <w:t xml:space="preserve">. </w:t>
      </w:r>
    </w:p>
    <w:p w14:paraId="0354F425" w14:textId="257F5399" w:rsidR="00374E11" w:rsidRPr="007C16C5" w:rsidRDefault="00FE3633"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realizaron dos revisiones de c</w:t>
      </w:r>
      <w:r w:rsidR="00374E11" w:rsidRPr="007C16C5">
        <w:rPr>
          <w:rFonts w:ascii="Times New Roman" w:eastAsia="Calibri" w:hAnsi="Times New Roman" w:cs="Times New Roman"/>
          <w:color w:val="4C4747"/>
          <w:spacing w:val="20"/>
          <w:sz w:val="24"/>
          <w:szCs w:val="24"/>
          <w:lang w:val="es-DO"/>
        </w:rPr>
        <w:t>artera con Ministerio de Hacienda y BID, correspondientes al 1er y 2do semestre del año 2022.</w:t>
      </w:r>
    </w:p>
    <w:p w14:paraId="6D26CF49" w14:textId="1FB85287" w:rsidR="00374E11" w:rsidRPr="007C16C5"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El personal de la </w:t>
      </w:r>
      <w:r w:rsidR="00FE3633" w:rsidRPr="007C16C5">
        <w:rPr>
          <w:rFonts w:ascii="Times New Roman" w:eastAsia="Calibri" w:hAnsi="Times New Roman" w:cs="Times New Roman"/>
          <w:color w:val="4C4747"/>
          <w:spacing w:val="20"/>
          <w:sz w:val="24"/>
          <w:szCs w:val="24"/>
          <w:lang w:val="es-DO"/>
        </w:rPr>
        <w:t>unidad ejecutora de proyectos</w:t>
      </w:r>
      <w:r w:rsidRPr="007C16C5">
        <w:rPr>
          <w:rFonts w:ascii="Times New Roman" w:eastAsia="Calibri" w:hAnsi="Times New Roman" w:cs="Times New Roman"/>
          <w:color w:val="4C4747"/>
          <w:spacing w:val="20"/>
          <w:sz w:val="24"/>
          <w:szCs w:val="24"/>
          <w:lang w:val="es-DO"/>
        </w:rPr>
        <w:t xml:space="preserve"> recibió entrenamiento en el  subsistema de Unidades Ejecutoras de Proyectos con Financiamiento Externo,  UEPEX.</w:t>
      </w:r>
    </w:p>
    <w:p w14:paraId="04EB04EF" w14:textId="5696FAEB" w:rsidR="00374E11" w:rsidRPr="007C16C5" w:rsidRDefault="00FE3633"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El personal también</w:t>
      </w:r>
      <w:r w:rsidR="00374E11" w:rsidRPr="007C16C5">
        <w:rPr>
          <w:rFonts w:ascii="Times New Roman" w:eastAsia="Calibri" w:hAnsi="Times New Roman" w:cs="Times New Roman"/>
          <w:color w:val="4C4747"/>
          <w:spacing w:val="20"/>
          <w:sz w:val="24"/>
          <w:szCs w:val="24"/>
          <w:lang w:val="es-DO"/>
        </w:rPr>
        <w:t xml:space="preserve"> recibió entrenamiento en el sistema WEB Online Disbursement del Banco Interamericano de Desarrollo (BID</w:t>
      </w:r>
      <w:r w:rsidRPr="007C16C5">
        <w:rPr>
          <w:rFonts w:ascii="Times New Roman" w:eastAsia="Calibri" w:hAnsi="Times New Roman" w:cs="Times New Roman"/>
          <w:color w:val="4C4747"/>
          <w:spacing w:val="20"/>
          <w:sz w:val="24"/>
          <w:szCs w:val="24"/>
          <w:lang w:val="es-DO"/>
        </w:rPr>
        <w:t>)</w:t>
      </w:r>
      <w:r w:rsidR="00374E11" w:rsidRPr="007C16C5">
        <w:rPr>
          <w:rFonts w:ascii="Times New Roman" w:eastAsia="Calibri" w:hAnsi="Times New Roman" w:cs="Times New Roman"/>
          <w:color w:val="4C4747"/>
          <w:spacing w:val="20"/>
          <w:sz w:val="24"/>
          <w:szCs w:val="24"/>
          <w:lang w:val="es-DO"/>
        </w:rPr>
        <w:t>.</w:t>
      </w:r>
    </w:p>
    <w:p w14:paraId="4728EE1C" w14:textId="77777777" w:rsidR="00374E11" w:rsidRPr="007C16C5"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Se solicitó y se recibió  el  primer desembolso del préstamos con el BID, por un monto de US$8,500,000.00.</w:t>
      </w:r>
    </w:p>
    <w:p w14:paraId="0843853D" w14:textId="163BEB28" w:rsidR="00374E11" w:rsidRPr="007C16C5"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Elaboración y envío a la Tesorería</w:t>
      </w:r>
      <w:r w:rsidR="00FE3633" w:rsidRPr="007C16C5">
        <w:rPr>
          <w:rFonts w:ascii="Times New Roman" w:eastAsia="Calibri" w:hAnsi="Times New Roman" w:cs="Times New Roman"/>
          <w:color w:val="4C4747"/>
          <w:spacing w:val="20"/>
          <w:sz w:val="24"/>
          <w:szCs w:val="24"/>
          <w:lang w:val="es-DO"/>
        </w:rPr>
        <w:t xml:space="preserve"> de las p</w:t>
      </w:r>
      <w:r w:rsidRPr="007C16C5">
        <w:rPr>
          <w:rFonts w:ascii="Times New Roman" w:eastAsia="Calibri" w:hAnsi="Times New Roman" w:cs="Times New Roman"/>
          <w:color w:val="4C4747"/>
          <w:spacing w:val="20"/>
          <w:sz w:val="24"/>
          <w:szCs w:val="24"/>
          <w:lang w:val="es-DO"/>
        </w:rPr>
        <w:t xml:space="preserve">rogramaciones mensuales y trimestrales del año 2022.  </w:t>
      </w:r>
    </w:p>
    <w:p w14:paraId="215B1934" w14:textId="77777777" w:rsidR="00374E11" w:rsidRPr="00C62BB6"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lastRenderedPageBreak/>
        <w:t>Elaboración y envío del presupuesto 2023 a Crédito Público y Dirección General de Presupuesto.</w:t>
      </w:r>
    </w:p>
    <w:p w14:paraId="3EE2A187" w14:textId="051CA244" w:rsidR="00374E11" w:rsidRPr="00C62BB6"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Actualización de la programación presupuestaria del  3er y 4to trimestre en el Sistem</w:t>
      </w:r>
      <w:r w:rsidR="00FE3633" w:rsidRPr="00C62BB6">
        <w:rPr>
          <w:rFonts w:ascii="Times New Roman" w:eastAsia="Calibri" w:hAnsi="Times New Roman" w:cs="Times New Roman"/>
          <w:color w:val="4C4747"/>
          <w:spacing w:val="20"/>
          <w:sz w:val="24"/>
          <w:szCs w:val="24"/>
          <w:lang w:val="es-DO"/>
        </w:rPr>
        <w:t xml:space="preserve">a Nacional de Inversión Pública, </w:t>
      </w:r>
      <w:r w:rsidRPr="00C62BB6">
        <w:rPr>
          <w:rFonts w:ascii="Times New Roman" w:eastAsia="Calibri" w:hAnsi="Times New Roman" w:cs="Times New Roman"/>
          <w:color w:val="4C4747"/>
          <w:spacing w:val="20"/>
          <w:sz w:val="24"/>
          <w:szCs w:val="24"/>
          <w:lang w:val="es-DO"/>
        </w:rPr>
        <w:t>SNIP.</w:t>
      </w:r>
    </w:p>
    <w:p w14:paraId="175B9661" w14:textId="77777777" w:rsidR="00374E11" w:rsidRPr="00C62BB6"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Autorización  al Banco Central a transferir desembolso por valor de US$8, 500,000.00  a la Cuenta Única del Tesoro (CUT).</w:t>
      </w:r>
    </w:p>
    <w:p w14:paraId="2FA4D504" w14:textId="77777777" w:rsidR="00374E11" w:rsidRPr="00C62BB6"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Elaboración de los TDR  para contratación  de la auditoria del proyecto.</w:t>
      </w:r>
    </w:p>
    <w:p w14:paraId="618CC2C2" w14:textId="77777777" w:rsidR="00374E11" w:rsidRPr="00C62BB6" w:rsidRDefault="00374E11" w:rsidP="00A02BDE">
      <w:pPr>
        <w:pStyle w:val="Prrafodelista"/>
        <w:numPr>
          <w:ilvl w:val="0"/>
          <w:numId w:val="17"/>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Elaboración del informe semestral correspondiente al periodo enero-junio 2022, según política de supervisión del BID.</w:t>
      </w:r>
    </w:p>
    <w:p w14:paraId="43CD3118" w14:textId="77777777" w:rsidR="00E60DA4" w:rsidRPr="00C62BB6" w:rsidRDefault="00E60DA4" w:rsidP="00943FA5">
      <w:pPr>
        <w:spacing w:line="360" w:lineRule="auto"/>
        <w:jc w:val="both"/>
        <w:rPr>
          <w:rFonts w:ascii="Times New Roman" w:eastAsia="Calibri" w:hAnsi="Times New Roman" w:cs="Times New Roman"/>
          <w:color w:val="4C4747"/>
          <w:spacing w:val="20"/>
          <w:sz w:val="24"/>
          <w:szCs w:val="24"/>
          <w:lang w:val="es-DO"/>
        </w:rPr>
      </w:pPr>
    </w:p>
    <w:p w14:paraId="0BECC0B4"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14A97410"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43D645E8"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0E44A2AF"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7A21DF66"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0084455E"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6D65DD9E"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77F3F89F"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3689BA49" w14:textId="77777777" w:rsidR="00FE3633" w:rsidRPr="00C62BB6" w:rsidRDefault="00FE3633" w:rsidP="00943FA5">
      <w:pPr>
        <w:spacing w:line="360" w:lineRule="auto"/>
        <w:jc w:val="both"/>
        <w:rPr>
          <w:rFonts w:ascii="Times New Roman" w:eastAsia="Calibri" w:hAnsi="Times New Roman" w:cs="Times New Roman"/>
          <w:color w:val="4C4747"/>
          <w:spacing w:val="20"/>
          <w:sz w:val="24"/>
          <w:szCs w:val="24"/>
          <w:lang w:val="es-DO"/>
        </w:rPr>
      </w:pPr>
    </w:p>
    <w:p w14:paraId="5CBC431B" w14:textId="77777777" w:rsidR="00FE3633" w:rsidRPr="00C62BB6" w:rsidRDefault="00FE3633" w:rsidP="00943FA5">
      <w:pPr>
        <w:spacing w:line="360" w:lineRule="auto"/>
        <w:jc w:val="both"/>
        <w:rPr>
          <w:rFonts w:ascii="Times New Roman" w:eastAsia="Calibri" w:hAnsi="Times New Roman" w:cs="Times New Roman"/>
          <w:color w:val="4C4747"/>
          <w:spacing w:val="20"/>
          <w:sz w:val="24"/>
          <w:szCs w:val="24"/>
          <w:lang w:val="es-DO"/>
        </w:rPr>
      </w:pPr>
    </w:p>
    <w:p w14:paraId="3D6752AD" w14:textId="77777777" w:rsidR="00FE3633" w:rsidRPr="00C62BB6" w:rsidRDefault="00FE3633" w:rsidP="00943FA5">
      <w:pPr>
        <w:spacing w:line="360" w:lineRule="auto"/>
        <w:jc w:val="both"/>
        <w:rPr>
          <w:rFonts w:ascii="Times New Roman" w:eastAsia="Calibri" w:hAnsi="Times New Roman" w:cs="Times New Roman"/>
          <w:color w:val="4C4747"/>
          <w:spacing w:val="20"/>
          <w:sz w:val="24"/>
          <w:szCs w:val="24"/>
          <w:lang w:val="es-DO"/>
        </w:rPr>
      </w:pPr>
    </w:p>
    <w:p w14:paraId="6EF2651D"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641DF881" w14:textId="77777777" w:rsidR="00BE6A84" w:rsidRPr="00C62BB6" w:rsidRDefault="00BE6A84" w:rsidP="00943FA5">
      <w:pPr>
        <w:spacing w:line="360" w:lineRule="auto"/>
        <w:jc w:val="both"/>
        <w:rPr>
          <w:rFonts w:ascii="Times New Roman" w:eastAsia="Calibri" w:hAnsi="Times New Roman" w:cs="Times New Roman"/>
          <w:color w:val="4C4747"/>
          <w:spacing w:val="20"/>
          <w:sz w:val="24"/>
          <w:szCs w:val="24"/>
          <w:lang w:val="es-DO"/>
        </w:rPr>
      </w:pPr>
    </w:p>
    <w:p w14:paraId="6D5DEF03" w14:textId="151DB641" w:rsidR="00650DCD" w:rsidRPr="007C16C5" w:rsidRDefault="009A6D07" w:rsidP="00943FA5">
      <w:pPr>
        <w:keepNext/>
        <w:spacing w:before="240" w:after="60" w:line="360" w:lineRule="auto"/>
        <w:contextualSpacing/>
        <w:jc w:val="both"/>
        <w:outlineLvl w:val="2"/>
        <w:rPr>
          <w:rFonts w:ascii="Times New Roman" w:hAnsi="Times New Roman" w:cs="Times New Roman"/>
          <w:color w:val="4C4747"/>
          <w:lang w:val="es-DO" w:eastAsia="es-DO"/>
        </w:rPr>
      </w:pPr>
      <w:bookmarkStart w:id="17" w:name="_Toc122425239"/>
      <w:r w:rsidRPr="007C16C5">
        <w:rPr>
          <w:rFonts w:ascii="Times New Roman" w:eastAsia="Times New Roman" w:hAnsi="Times New Roman" w:cs="Times New Roman"/>
          <w:b/>
          <w:bCs/>
          <w:color w:val="4C4747"/>
          <w:sz w:val="24"/>
          <w:szCs w:val="26"/>
          <w:lang w:val="es-DO" w:eastAsia="es-DO"/>
        </w:rPr>
        <w:lastRenderedPageBreak/>
        <w:t>3.6</w:t>
      </w:r>
      <w:r w:rsidR="006D62FE" w:rsidRPr="007C16C5">
        <w:rPr>
          <w:rFonts w:ascii="Times New Roman" w:eastAsia="Times New Roman" w:hAnsi="Times New Roman" w:cs="Times New Roman"/>
          <w:b/>
          <w:bCs/>
          <w:color w:val="4C4747"/>
          <w:sz w:val="24"/>
          <w:szCs w:val="26"/>
          <w:lang w:val="es-DO" w:eastAsia="es-DO"/>
        </w:rPr>
        <w:t xml:space="preserve"> </w:t>
      </w:r>
      <w:r w:rsidR="00650DCD" w:rsidRPr="007C16C5">
        <w:rPr>
          <w:rFonts w:ascii="Times New Roman" w:eastAsia="Times New Roman" w:hAnsi="Times New Roman" w:cs="Times New Roman"/>
          <w:b/>
          <w:bCs/>
          <w:color w:val="4C4747"/>
          <w:sz w:val="24"/>
          <w:szCs w:val="26"/>
          <w:lang w:val="es-DO" w:eastAsia="es-DO"/>
        </w:rPr>
        <w:t>Protección al Usuario</w:t>
      </w:r>
      <w:bookmarkEnd w:id="17"/>
    </w:p>
    <w:p w14:paraId="3FD36A4B" w14:textId="77777777" w:rsidR="00731A43" w:rsidRPr="007C16C5" w:rsidRDefault="00731A43" w:rsidP="00731A43">
      <w:pPr>
        <w:spacing w:before="240"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Desde el INDOTEL se emiten normas y acciones regulatorias tendentes a garantizar el respeto a los derechos de los usuarios finales de los servicios públicos de telecomunicaciones; así como también se ofrece al público orientación y asistencia sobre los derechos, obligaciones y reclamaciones vinculadas a los servicios públicos de telecomunicaciones.</w:t>
      </w:r>
    </w:p>
    <w:p w14:paraId="2CA19FAE" w14:textId="0C7BC1DF" w:rsidR="00731A43" w:rsidRPr="007C16C5" w:rsidRDefault="00731A43" w:rsidP="00731A43">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Asimismo, el INDOTEL funge como mediador en las controversias que se presentan entre usuarios y prestadoras de servicios públicos de telecomunicaciones y lleva a cabo </w:t>
      </w:r>
      <w:r w:rsidR="008E0A32" w:rsidRPr="007C16C5">
        <w:rPr>
          <w:rFonts w:ascii="Times New Roman" w:eastAsia="Calibri" w:hAnsi="Times New Roman" w:cs="Times New Roman"/>
          <w:color w:val="4C4747"/>
          <w:spacing w:val="20"/>
          <w:sz w:val="24"/>
          <w:szCs w:val="24"/>
          <w:lang w:val="es-DO"/>
        </w:rPr>
        <w:t xml:space="preserve">un </w:t>
      </w:r>
      <w:r w:rsidRPr="007C16C5">
        <w:rPr>
          <w:rFonts w:ascii="Times New Roman" w:eastAsia="Calibri" w:hAnsi="Times New Roman" w:cs="Times New Roman"/>
          <w:color w:val="4C4747"/>
          <w:spacing w:val="20"/>
          <w:sz w:val="24"/>
          <w:szCs w:val="24"/>
          <w:lang w:val="es-DO"/>
        </w:rPr>
        <w:t xml:space="preserve">proceso de negociación con el objetivo de que ambas partes lleguen a un acuerdo.               </w:t>
      </w:r>
    </w:p>
    <w:p w14:paraId="4F77A748" w14:textId="205E546C" w:rsidR="00731A43" w:rsidRPr="007C16C5" w:rsidRDefault="00F96777" w:rsidP="00731A43">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En </w:t>
      </w:r>
      <w:r w:rsidR="00731A43" w:rsidRPr="007C16C5">
        <w:rPr>
          <w:rFonts w:ascii="Times New Roman" w:eastAsia="Calibri" w:hAnsi="Times New Roman" w:cs="Times New Roman"/>
          <w:color w:val="4C4747"/>
          <w:spacing w:val="20"/>
          <w:sz w:val="24"/>
          <w:szCs w:val="24"/>
          <w:lang w:val="es-DO"/>
        </w:rPr>
        <w:t>INDOTEL se</w:t>
      </w:r>
      <w:r w:rsidR="003C1326" w:rsidRPr="007C16C5">
        <w:rPr>
          <w:rFonts w:ascii="Times New Roman" w:eastAsia="Calibri" w:hAnsi="Times New Roman" w:cs="Times New Roman"/>
          <w:color w:val="4C4747"/>
          <w:spacing w:val="20"/>
          <w:sz w:val="24"/>
          <w:szCs w:val="24"/>
          <w:lang w:val="es-DO"/>
        </w:rPr>
        <w:t xml:space="preserve"> reciben, registran y dan curso a </w:t>
      </w:r>
      <w:r w:rsidR="00731A43" w:rsidRPr="007C16C5">
        <w:rPr>
          <w:rFonts w:ascii="Times New Roman" w:eastAsia="Calibri" w:hAnsi="Times New Roman" w:cs="Times New Roman"/>
          <w:color w:val="4C4747"/>
          <w:spacing w:val="20"/>
          <w:sz w:val="24"/>
          <w:szCs w:val="24"/>
          <w:lang w:val="es-DO"/>
        </w:rPr>
        <w:t xml:space="preserve">las reclamaciones de los usuarios a través de diferentes vías, tales como: telefónica, presencial, correo electrónico, formulario web, chat en línea, correspondencia y redes sociales. </w:t>
      </w:r>
    </w:p>
    <w:p w14:paraId="6321B9B6" w14:textId="24BAC0A2" w:rsidR="008E447D" w:rsidRPr="007C16C5" w:rsidRDefault="00731A43" w:rsidP="00F96777">
      <w:pPr>
        <w:spacing w:line="360" w:lineRule="auto"/>
        <w:jc w:val="both"/>
        <w:rPr>
          <w:rFonts w:ascii="Times New Roman" w:eastAsia="Calibri" w:hAnsi="Times New Roman" w:cs="Times New Roman"/>
          <w:color w:val="4C4747"/>
          <w:spacing w:val="20"/>
          <w:sz w:val="24"/>
          <w:szCs w:val="24"/>
          <w:lang w:val="es-DO"/>
        </w:rPr>
      </w:pPr>
      <w:r w:rsidRPr="007C16C5">
        <w:rPr>
          <w:rFonts w:ascii="Times New Roman" w:eastAsia="Calibri" w:hAnsi="Times New Roman" w:cs="Times New Roman"/>
          <w:color w:val="4C4747"/>
          <w:spacing w:val="20"/>
          <w:sz w:val="24"/>
          <w:szCs w:val="24"/>
          <w:lang w:val="es-DO"/>
        </w:rPr>
        <w:t xml:space="preserve">Desde el mes de enero </w:t>
      </w:r>
      <w:r w:rsidR="008E0A32" w:rsidRPr="007C16C5">
        <w:rPr>
          <w:rFonts w:ascii="Times New Roman" w:eastAsia="Calibri" w:hAnsi="Times New Roman" w:cs="Times New Roman"/>
          <w:color w:val="4C4747"/>
          <w:spacing w:val="20"/>
          <w:sz w:val="24"/>
          <w:szCs w:val="24"/>
          <w:lang w:val="es-DO"/>
        </w:rPr>
        <w:t>a</w:t>
      </w:r>
      <w:r w:rsidRPr="007C16C5">
        <w:rPr>
          <w:rFonts w:ascii="Times New Roman" w:eastAsia="Calibri" w:hAnsi="Times New Roman" w:cs="Times New Roman"/>
          <w:color w:val="4C4747"/>
          <w:spacing w:val="20"/>
          <w:sz w:val="24"/>
          <w:szCs w:val="24"/>
          <w:lang w:val="es-DO"/>
        </w:rPr>
        <w:t xml:space="preserve"> </w:t>
      </w:r>
      <w:r w:rsidR="008E0A32" w:rsidRPr="007C16C5">
        <w:rPr>
          <w:rFonts w:ascii="Times New Roman" w:eastAsia="Calibri" w:hAnsi="Times New Roman" w:cs="Times New Roman"/>
          <w:color w:val="4C4747"/>
          <w:spacing w:val="20"/>
          <w:sz w:val="24"/>
          <w:szCs w:val="24"/>
          <w:lang w:val="es-DO"/>
        </w:rPr>
        <w:t>noviembre</w:t>
      </w:r>
      <w:r w:rsidRPr="007C16C5">
        <w:rPr>
          <w:rFonts w:ascii="Times New Roman" w:eastAsia="Calibri" w:hAnsi="Times New Roman" w:cs="Times New Roman"/>
          <w:color w:val="4C4747"/>
          <w:spacing w:val="20"/>
          <w:sz w:val="24"/>
          <w:szCs w:val="24"/>
          <w:lang w:val="es-DO"/>
        </w:rPr>
        <w:t xml:space="preserve">, </w:t>
      </w:r>
      <w:r w:rsidR="003C1326" w:rsidRPr="007C16C5">
        <w:rPr>
          <w:rFonts w:ascii="Times New Roman" w:eastAsia="Calibri" w:hAnsi="Times New Roman" w:cs="Times New Roman"/>
          <w:color w:val="4C4747"/>
          <w:spacing w:val="20"/>
          <w:sz w:val="24"/>
          <w:szCs w:val="24"/>
          <w:lang w:val="es-DO"/>
        </w:rPr>
        <w:t xml:space="preserve">se recibieron </w:t>
      </w:r>
      <w:r w:rsidRPr="007C16C5">
        <w:rPr>
          <w:rFonts w:ascii="Times New Roman" w:eastAsia="Calibri" w:hAnsi="Times New Roman" w:cs="Times New Roman"/>
          <w:color w:val="4C4747"/>
          <w:spacing w:val="20"/>
          <w:sz w:val="24"/>
          <w:szCs w:val="24"/>
          <w:lang w:val="es-DO"/>
        </w:rPr>
        <w:t xml:space="preserve">un total de </w:t>
      </w:r>
      <w:r w:rsidR="008E447D" w:rsidRPr="007C16C5">
        <w:rPr>
          <w:rFonts w:ascii="Times New Roman" w:eastAsia="Calibri" w:hAnsi="Times New Roman" w:cs="Times New Roman"/>
          <w:color w:val="4C4747"/>
          <w:spacing w:val="20"/>
          <w:sz w:val="24"/>
          <w:szCs w:val="24"/>
          <w:lang w:val="es-DO"/>
        </w:rPr>
        <w:t>6,628</w:t>
      </w:r>
      <w:r w:rsidRPr="007C16C5">
        <w:rPr>
          <w:rFonts w:ascii="Times New Roman" w:eastAsia="Calibri" w:hAnsi="Times New Roman" w:cs="Times New Roman"/>
          <w:color w:val="4C4747"/>
          <w:spacing w:val="20"/>
          <w:sz w:val="24"/>
          <w:szCs w:val="24"/>
          <w:lang w:val="es-DO"/>
        </w:rPr>
        <w:t xml:space="preserve"> reclamaciones, para un promedio mensual de </w:t>
      </w:r>
      <w:r w:rsidR="008E447D" w:rsidRPr="007C16C5">
        <w:rPr>
          <w:rFonts w:ascii="Times New Roman" w:eastAsia="Calibri" w:hAnsi="Times New Roman" w:cs="Times New Roman"/>
          <w:color w:val="4C4747"/>
          <w:spacing w:val="20"/>
          <w:sz w:val="24"/>
          <w:szCs w:val="24"/>
          <w:lang w:val="es-DO"/>
        </w:rPr>
        <w:t>603</w:t>
      </w:r>
      <w:r w:rsidRPr="007C16C5">
        <w:rPr>
          <w:rFonts w:ascii="Times New Roman" w:eastAsia="Calibri" w:hAnsi="Times New Roman" w:cs="Times New Roman"/>
          <w:color w:val="4C4747"/>
          <w:spacing w:val="20"/>
          <w:sz w:val="24"/>
          <w:szCs w:val="24"/>
          <w:lang w:val="es-DO"/>
        </w:rPr>
        <w:t>, las cuales se clasifican según las normativas y procesos establecidos en los diferentes tipos de casos, detallados en la siguiente tabla:</w:t>
      </w:r>
    </w:p>
    <w:p w14:paraId="4C9A9831" w14:textId="412BC1E5" w:rsidR="00DD5A1B" w:rsidRPr="00C62BB6" w:rsidRDefault="008E447D" w:rsidP="00F96777">
      <w:pPr>
        <w:spacing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hAnsi="Times New Roman" w:cs="Times New Roman"/>
          <w:noProof/>
          <w:color w:val="4C4747"/>
        </w:rPr>
        <w:drawing>
          <wp:inline distT="0" distB="0" distL="0" distR="0" wp14:anchorId="5C22474E" wp14:editId="1CD14E6F">
            <wp:extent cx="5029200" cy="2221767"/>
            <wp:effectExtent l="0" t="0" r="0" b="7620"/>
            <wp:docPr id="26" name="Gráfico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r w:rsidR="00DD5A1B" w:rsidRPr="00C62BB6">
        <w:rPr>
          <w:rFonts w:ascii="Times New Roman" w:eastAsia="Calibri" w:hAnsi="Times New Roman" w:cs="Times New Roman"/>
          <w:b/>
          <w:color w:val="4C4747"/>
          <w:spacing w:val="20"/>
          <w:sz w:val="18"/>
          <w:szCs w:val="24"/>
          <w:lang w:val="es-DO"/>
        </w:rPr>
        <w:t>Fuente</w:t>
      </w:r>
      <w:r w:rsidR="00DD5A1B" w:rsidRPr="00C62BB6">
        <w:rPr>
          <w:rFonts w:ascii="Times New Roman" w:eastAsia="Calibri" w:hAnsi="Times New Roman" w:cs="Times New Roman"/>
          <w:color w:val="4C4747"/>
          <w:spacing w:val="20"/>
          <w:sz w:val="18"/>
          <w:szCs w:val="24"/>
          <w:lang w:val="es-DO"/>
        </w:rPr>
        <w:t>: Sistema de Gestión (WebDau)</w:t>
      </w:r>
    </w:p>
    <w:p w14:paraId="61CD7A32" w14:textId="4D36BC21" w:rsidR="00DD5A1B" w:rsidRPr="00C62BB6"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lastRenderedPageBreak/>
        <w:t>Del total de reclamaciones recibidas en el DAU, podemos identificar las diferentes vías de solicitud por las cuales han acudido los usuario</w:t>
      </w:r>
      <w:r w:rsidR="00F537C4" w:rsidRPr="00C62BB6">
        <w:rPr>
          <w:rFonts w:ascii="Times New Roman" w:eastAsia="Calibri" w:hAnsi="Times New Roman" w:cs="Times New Roman"/>
          <w:color w:val="4C4747"/>
          <w:spacing w:val="20"/>
          <w:sz w:val="24"/>
          <w:szCs w:val="24"/>
          <w:lang w:val="es-DO"/>
        </w:rPr>
        <w:t>s. A continuación, la gráfica:</w:t>
      </w:r>
    </w:p>
    <w:p w14:paraId="54C5A89D" w14:textId="7BD1B865" w:rsidR="00DD5A1B" w:rsidRPr="00C62BB6" w:rsidRDefault="008E447D" w:rsidP="00F96777">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hAnsi="Times New Roman" w:cs="Times New Roman"/>
          <w:noProof/>
          <w:color w:val="4C4747"/>
        </w:rPr>
        <w:drawing>
          <wp:inline distT="0" distB="0" distL="0" distR="0" wp14:anchorId="6CA90DB2" wp14:editId="2BEFFF24">
            <wp:extent cx="5029200" cy="2419350"/>
            <wp:effectExtent l="0" t="0" r="0" b="0"/>
            <wp:docPr id="2062" name="Gráfico 2062"/>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r w:rsidR="00DD5A1B" w:rsidRPr="00C62BB6">
        <w:rPr>
          <w:rFonts w:ascii="Times New Roman" w:eastAsia="Calibri" w:hAnsi="Times New Roman" w:cs="Times New Roman"/>
          <w:b/>
          <w:color w:val="4C4747"/>
          <w:spacing w:val="20"/>
          <w:sz w:val="18"/>
          <w:szCs w:val="24"/>
          <w:lang w:val="es-DO"/>
        </w:rPr>
        <w:t>Fuente</w:t>
      </w:r>
      <w:r w:rsidR="00DD5A1B" w:rsidRPr="00C62BB6">
        <w:rPr>
          <w:rFonts w:ascii="Times New Roman" w:eastAsia="Calibri" w:hAnsi="Times New Roman" w:cs="Times New Roman"/>
          <w:color w:val="4C4747"/>
          <w:spacing w:val="20"/>
          <w:sz w:val="18"/>
          <w:szCs w:val="24"/>
          <w:lang w:val="es-DO"/>
        </w:rPr>
        <w:t>: Sistema de Gestión (WebDau)</w:t>
      </w:r>
    </w:p>
    <w:p w14:paraId="3DE27636" w14:textId="77777777" w:rsidR="00DD5A1B" w:rsidRPr="00C62BB6" w:rsidRDefault="00DD5A1B" w:rsidP="00F96777">
      <w:pPr>
        <w:spacing w:before="240"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Acorde con nuestras estadísticas, podemos mencionar que los principales motivos de reclamos presentados por los usuarios durante el presente año son: </w:t>
      </w:r>
    </w:p>
    <w:p w14:paraId="33DDD407" w14:textId="6C2BF9BF" w:rsidR="00DD5A1B" w:rsidRPr="00C62BB6" w:rsidRDefault="00F729D3" w:rsidP="00A02BDE">
      <w:pPr>
        <w:numPr>
          <w:ilvl w:val="0"/>
          <w:numId w:val="5"/>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Facturación. Un promedio de </w:t>
      </w:r>
      <w:r w:rsidR="00DD5A1B" w:rsidRPr="00C62BB6">
        <w:rPr>
          <w:rFonts w:ascii="Times New Roman" w:eastAsia="Calibri" w:hAnsi="Times New Roman" w:cs="Times New Roman"/>
          <w:color w:val="4C4747"/>
          <w:spacing w:val="20"/>
          <w:sz w:val="24"/>
          <w:szCs w:val="24"/>
          <w:lang w:val="es-DO"/>
        </w:rPr>
        <w:t>17 casos mensuales de inconvenientes con la factura.</w:t>
      </w:r>
    </w:p>
    <w:p w14:paraId="601BE549" w14:textId="1DD2FCB3" w:rsidR="00DD5A1B" w:rsidRPr="00C62BB6" w:rsidRDefault="00F729D3" w:rsidP="00A02BDE">
      <w:pPr>
        <w:numPr>
          <w:ilvl w:val="0"/>
          <w:numId w:val="5"/>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Cargos de penalidad.</w:t>
      </w:r>
      <w:r w:rsidR="00DD5A1B" w:rsidRPr="00C62BB6">
        <w:rPr>
          <w:rFonts w:ascii="Times New Roman" w:eastAsia="Calibri" w:hAnsi="Times New Roman" w:cs="Times New Roman"/>
          <w:color w:val="4C4747"/>
          <w:spacing w:val="20"/>
          <w:sz w:val="24"/>
          <w:szCs w:val="24"/>
          <w:lang w:val="es-DO"/>
        </w:rPr>
        <w:t xml:space="preserve"> </w:t>
      </w:r>
      <w:r w:rsidRPr="00C62BB6">
        <w:rPr>
          <w:rFonts w:ascii="Times New Roman" w:eastAsia="Calibri" w:hAnsi="Times New Roman" w:cs="Times New Roman"/>
          <w:color w:val="4C4747"/>
          <w:spacing w:val="20"/>
          <w:sz w:val="24"/>
          <w:szCs w:val="24"/>
          <w:lang w:val="es-DO"/>
        </w:rPr>
        <w:t>Un</w:t>
      </w:r>
      <w:r w:rsidR="00DD5A1B" w:rsidRPr="00C62BB6">
        <w:rPr>
          <w:rFonts w:ascii="Times New Roman" w:eastAsia="Calibri" w:hAnsi="Times New Roman" w:cs="Times New Roman"/>
          <w:color w:val="4C4747"/>
          <w:spacing w:val="20"/>
          <w:sz w:val="24"/>
          <w:szCs w:val="24"/>
          <w:lang w:val="es-DO"/>
        </w:rPr>
        <w:t xml:space="preserve"> promedio mensual aproximado de 55 casos.</w:t>
      </w:r>
    </w:p>
    <w:p w14:paraId="29380C12" w14:textId="1938629C" w:rsidR="00DD5A1B" w:rsidRPr="00C62BB6" w:rsidRDefault="00F729D3" w:rsidP="00A02BDE">
      <w:pPr>
        <w:numPr>
          <w:ilvl w:val="0"/>
          <w:numId w:val="5"/>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Calidad en el servicio.</w:t>
      </w:r>
      <w:r w:rsidR="00DD5A1B" w:rsidRPr="00C62BB6">
        <w:rPr>
          <w:rFonts w:ascii="Times New Roman" w:eastAsia="Calibri" w:hAnsi="Times New Roman" w:cs="Times New Roman"/>
          <w:color w:val="4C4747"/>
          <w:spacing w:val="20"/>
          <w:sz w:val="24"/>
          <w:szCs w:val="24"/>
          <w:lang w:val="es-DO"/>
        </w:rPr>
        <w:t xml:space="preserve"> </w:t>
      </w:r>
      <w:r w:rsidRPr="00C62BB6">
        <w:rPr>
          <w:rFonts w:ascii="Times New Roman" w:eastAsia="Calibri" w:hAnsi="Times New Roman" w:cs="Times New Roman"/>
          <w:color w:val="4C4747"/>
          <w:spacing w:val="20"/>
          <w:sz w:val="24"/>
          <w:szCs w:val="24"/>
          <w:lang w:val="es-DO"/>
        </w:rPr>
        <w:t>Un</w:t>
      </w:r>
      <w:r w:rsidR="00DD5A1B" w:rsidRPr="00C62BB6">
        <w:rPr>
          <w:rFonts w:ascii="Times New Roman" w:eastAsia="Calibri" w:hAnsi="Times New Roman" w:cs="Times New Roman"/>
          <w:color w:val="4C4747"/>
          <w:spacing w:val="20"/>
          <w:sz w:val="24"/>
          <w:szCs w:val="24"/>
          <w:lang w:val="es-DO"/>
        </w:rPr>
        <w:t xml:space="preserve"> promedio de 22 casos por mes. </w:t>
      </w:r>
    </w:p>
    <w:p w14:paraId="6633CD41" w14:textId="193CC337" w:rsidR="00DD5A1B" w:rsidRPr="00C62BB6" w:rsidRDefault="00F729D3" w:rsidP="00A02BDE">
      <w:pPr>
        <w:numPr>
          <w:ilvl w:val="0"/>
          <w:numId w:val="5"/>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Avería.</w:t>
      </w:r>
      <w:r w:rsidR="00DD5A1B" w:rsidRPr="00C62BB6">
        <w:rPr>
          <w:rFonts w:ascii="Times New Roman" w:eastAsia="Calibri" w:hAnsi="Times New Roman" w:cs="Times New Roman"/>
          <w:color w:val="4C4747"/>
          <w:spacing w:val="20"/>
          <w:sz w:val="24"/>
          <w:szCs w:val="24"/>
          <w:lang w:val="es-DO"/>
        </w:rPr>
        <w:t xml:space="preserve"> </w:t>
      </w:r>
      <w:r w:rsidRPr="00C62BB6">
        <w:rPr>
          <w:rFonts w:ascii="Times New Roman" w:eastAsia="Calibri" w:hAnsi="Times New Roman" w:cs="Times New Roman"/>
          <w:color w:val="4C4747"/>
          <w:spacing w:val="20"/>
          <w:sz w:val="24"/>
          <w:szCs w:val="24"/>
          <w:lang w:val="es-DO"/>
        </w:rPr>
        <w:t>Un</w:t>
      </w:r>
      <w:r w:rsidR="00DD5A1B" w:rsidRPr="00C62BB6">
        <w:rPr>
          <w:rFonts w:ascii="Times New Roman" w:eastAsia="Calibri" w:hAnsi="Times New Roman" w:cs="Times New Roman"/>
          <w:color w:val="4C4747"/>
          <w:spacing w:val="20"/>
          <w:sz w:val="24"/>
          <w:szCs w:val="24"/>
          <w:lang w:val="es-DO"/>
        </w:rPr>
        <w:t xml:space="preserve"> promedio de 30 casos por mes.</w:t>
      </w:r>
    </w:p>
    <w:p w14:paraId="6C5611B9" w14:textId="77777777" w:rsidR="00DD5A1B" w:rsidRPr="00C62BB6"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Más abajo se detalla la gráfica con los principales motivos de reclamos:</w:t>
      </w:r>
    </w:p>
    <w:p w14:paraId="68020066" w14:textId="137E6A7A" w:rsidR="001300D0" w:rsidRPr="00C62BB6" w:rsidRDefault="009B1422" w:rsidP="009B1422">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hAnsi="Times New Roman" w:cs="Times New Roman"/>
          <w:noProof/>
          <w:color w:val="4C4747"/>
        </w:rPr>
        <w:lastRenderedPageBreak/>
        <w:drawing>
          <wp:inline distT="0" distB="0" distL="0" distR="0" wp14:anchorId="2EDFBFEA" wp14:editId="278A74CE">
            <wp:extent cx="5029200" cy="2713990"/>
            <wp:effectExtent l="0" t="0" r="0" b="10160"/>
            <wp:docPr id="24" name="Gráfico 24"/>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00DD5A1B" w:rsidRPr="00C62BB6">
        <w:rPr>
          <w:rFonts w:ascii="Times New Roman" w:eastAsia="Calibri" w:hAnsi="Times New Roman" w:cs="Times New Roman"/>
          <w:b/>
          <w:color w:val="4C4747"/>
          <w:spacing w:val="20"/>
          <w:sz w:val="18"/>
          <w:szCs w:val="24"/>
          <w:lang w:val="es-DO"/>
        </w:rPr>
        <w:t>Fuente:</w:t>
      </w:r>
      <w:r w:rsidR="00DD5A1B" w:rsidRPr="00C62BB6">
        <w:rPr>
          <w:rFonts w:ascii="Times New Roman" w:eastAsia="Calibri" w:hAnsi="Times New Roman" w:cs="Times New Roman"/>
          <w:color w:val="4C4747"/>
          <w:spacing w:val="20"/>
          <w:sz w:val="18"/>
          <w:szCs w:val="24"/>
          <w:lang w:val="es-DO"/>
        </w:rPr>
        <w:t xml:space="preserve"> Sistema de Gestión (WebDau)</w:t>
      </w:r>
    </w:p>
    <w:p w14:paraId="3AAB2091" w14:textId="475FCAB6" w:rsidR="00DD5A1B" w:rsidRPr="008C2B22" w:rsidRDefault="009B1422" w:rsidP="009B1422">
      <w:pPr>
        <w:spacing w:before="240"/>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Asistencia al u</w:t>
      </w:r>
      <w:r w:rsidR="00DD5A1B" w:rsidRPr="008C2B22">
        <w:rPr>
          <w:rFonts w:ascii="Times New Roman" w:eastAsia="Calibri" w:hAnsi="Times New Roman" w:cs="Times New Roman"/>
          <w:b/>
          <w:color w:val="4C4747"/>
          <w:spacing w:val="20"/>
          <w:sz w:val="24"/>
          <w:szCs w:val="24"/>
          <w:lang w:val="es-DO"/>
        </w:rPr>
        <w:t xml:space="preserve">suario </w:t>
      </w:r>
    </w:p>
    <w:p w14:paraId="520D2202" w14:textId="5792D7A3" w:rsidR="00DD5A1B"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Podemos resaltar el acercamiento que se ha realizado con las diferentes prestadoras logrando crear lazos de cooperación, lo</w:t>
      </w:r>
      <w:r w:rsidR="000D5B00" w:rsidRPr="008C2B22">
        <w:rPr>
          <w:rFonts w:ascii="Times New Roman" w:eastAsia="Calibri" w:hAnsi="Times New Roman" w:cs="Times New Roman"/>
          <w:color w:val="4C4747"/>
          <w:spacing w:val="20"/>
          <w:sz w:val="24"/>
          <w:szCs w:val="24"/>
          <w:lang w:val="es-DO"/>
        </w:rPr>
        <w:t xml:space="preserve"> que ha </w:t>
      </w:r>
      <w:r w:rsidRPr="008C2B22">
        <w:rPr>
          <w:rFonts w:ascii="Times New Roman" w:eastAsia="Calibri" w:hAnsi="Times New Roman" w:cs="Times New Roman"/>
          <w:color w:val="4C4747"/>
          <w:spacing w:val="20"/>
          <w:sz w:val="24"/>
          <w:szCs w:val="24"/>
          <w:lang w:val="es-DO"/>
        </w:rPr>
        <w:t xml:space="preserve">ayudado a tener una mejor comunicación con los soportes </w:t>
      </w:r>
      <w:r w:rsidR="000D5B00" w:rsidRPr="008C2B22">
        <w:rPr>
          <w:rFonts w:ascii="Times New Roman" w:eastAsia="Calibri" w:hAnsi="Times New Roman" w:cs="Times New Roman"/>
          <w:color w:val="4C4747"/>
          <w:spacing w:val="20"/>
          <w:sz w:val="24"/>
          <w:szCs w:val="24"/>
          <w:lang w:val="es-DO"/>
        </w:rPr>
        <w:t>de las prestadoras de servicios</w:t>
      </w:r>
      <w:r w:rsidRPr="008C2B22">
        <w:rPr>
          <w:rFonts w:ascii="Times New Roman" w:eastAsia="Calibri" w:hAnsi="Times New Roman" w:cs="Times New Roman"/>
          <w:color w:val="4C4747"/>
          <w:spacing w:val="20"/>
          <w:sz w:val="24"/>
          <w:szCs w:val="24"/>
          <w:lang w:val="es-DO"/>
        </w:rPr>
        <w:t xml:space="preserve"> </w:t>
      </w:r>
      <w:r w:rsidR="003C1326" w:rsidRPr="008C2B22">
        <w:rPr>
          <w:rFonts w:ascii="Times New Roman" w:eastAsia="Calibri" w:hAnsi="Times New Roman" w:cs="Times New Roman"/>
          <w:color w:val="4C4747"/>
          <w:spacing w:val="20"/>
          <w:sz w:val="24"/>
          <w:szCs w:val="24"/>
          <w:lang w:val="es-DO"/>
        </w:rPr>
        <w:t xml:space="preserve">lo que </w:t>
      </w:r>
      <w:r w:rsidRPr="008C2B22">
        <w:rPr>
          <w:rFonts w:ascii="Times New Roman" w:eastAsia="Calibri" w:hAnsi="Times New Roman" w:cs="Times New Roman"/>
          <w:color w:val="4C4747"/>
          <w:spacing w:val="20"/>
          <w:sz w:val="24"/>
          <w:szCs w:val="24"/>
          <w:lang w:val="es-DO"/>
        </w:rPr>
        <w:t xml:space="preserve">se ha traducido en respuestas más efectivas y oportunas para tratar los casos que son presentados por los usuarios. Con estas medidas </w:t>
      </w:r>
      <w:r w:rsidR="00FA36CC" w:rsidRPr="008C2B22">
        <w:rPr>
          <w:rFonts w:ascii="Times New Roman" w:eastAsia="Calibri" w:hAnsi="Times New Roman" w:cs="Times New Roman"/>
          <w:color w:val="4C4747"/>
          <w:spacing w:val="20"/>
          <w:sz w:val="24"/>
          <w:szCs w:val="24"/>
          <w:lang w:val="es-DO"/>
        </w:rPr>
        <w:t>se ha</w:t>
      </w:r>
      <w:r w:rsidRPr="008C2B22">
        <w:rPr>
          <w:rFonts w:ascii="Times New Roman" w:eastAsia="Calibri" w:hAnsi="Times New Roman" w:cs="Times New Roman"/>
          <w:color w:val="4C4747"/>
          <w:spacing w:val="20"/>
          <w:sz w:val="24"/>
          <w:szCs w:val="24"/>
          <w:lang w:val="es-DO"/>
        </w:rPr>
        <w:t xml:space="preserve"> logrado </w:t>
      </w:r>
      <w:r w:rsidR="0062386F" w:rsidRPr="008C2B22">
        <w:rPr>
          <w:rFonts w:ascii="Times New Roman" w:eastAsia="Calibri" w:hAnsi="Times New Roman" w:cs="Times New Roman"/>
          <w:color w:val="4C4747"/>
          <w:spacing w:val="20"/>
          <w:sz w:val="24"/>
          <w:szCs w:val="24"/>
          <w:lang w:val="es-DO"/>
        </w:rPr>
        <w:t>finalizar casos</w:t>
      </w:r>
      <w:r w:rsidR="00A161D3" w:rsidRPr="008C2B22">
        <w:rPr>
          <w:rFonts w:ascii="Times New Roman" w:eastAsia="Calibri" w:hAnsi="Times New Roman" w:cs="Times New Roman"/>
          <w:color w:val="4C4747"/>
          <w:spacing w:val="20"/>
          <w:sz w:val="24"/>
          <w:szCs w:val="24"/>
          <w:lang w:val="es-DO"/>
        </w:rPr>
        <w:t xml:space="preserve"> de manera más eficiente</w:t>
      </w:r>
      <w:r w:rsidR="0062386F"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est</w:t>
      </w:r>
      <w:r w:rsidR="0062386F" w:rsidRPr="008C2B22">
        <w:rPr>
          <w:rFonts w:ascii="Times New Roman" w:eastAsia="Calibri" w:hAnsi="Times New Roman" w:cs="Times New Roman"/>
          <w:color w:val="4C4747"/>
          <w:spacing w:val="20"/>
          <w:sz w:val="24"/>
          <w:szCs w:val="24"/>
          <w:lang w:val="es-DO"/>
        </w:rPr>
        <w:t>o se traduce en menos casos de Recursos de Q</w:t>
      </w:r>
      <w:r w:rsidRPr="008C2B22">
        <w:rPr>
          <w:rFonts w:ascii="Times New Roman" w:eastAsia="Calibri" w:hAnsi="Times New Roman" w:cs="Times New Roman"/>
          <w:color w:val="4C4747"/>
          <w:spacing w:val="20"/>
          <w:sz w:val="24"/>
          <w:szCs w:val="24"/>
          <w:lang w:val="es-DO"/>
        </w:rPr>
        <w:t>uejas (RDQ) y a su vez en menos casos a ser apoderados a los cuerpos colegiados</w:t>
      </w:r>
      <w:r w:rsidR="0062386F" w:rsidRPr="008C2B22">
        <w:rPr>
          <w:rFonts w:ascii="Times New Roman" w:eastAsia="Calibri" w:hAnsi="Times New Roman" w:cs="Times New Roman"/>
          <w:color w:val="4C4747"/>
          <w:spacing w:val="20"/>
          <w:sz w:val="24"/>
          <w:szCs w:val="24"/>
          <w:lang w:val="es-DO"/>
        </w:rPr>
        <w:t>,</w:t>
      </w:r>
      <w:r w:rsidR="00FA36CC" w:rsidRPr="008C2B22">
        <w:rPr>
          <w:rFonts w:ascii="Times New Roman" w:eastAsia="Calibri" w:hAnsi="Times New Roman" w:cs="Times New Roman"/>
          <w:color w:val="4C4747"/>
          <w:spacing w:val="20"/>
          <w:sz w:val="24"/>
          <w:szCs w:val="24"/>
          <w:lang w:val="es-DO"/>
        </w:rPr>
        <w:t xml:space="preserve"> por los resultados que se han logra</w:t>
      </w:r>
      <w:r w:rsidRPr="008C2B22">
        <w:rPr>
          <w:rFonts w:ascii="Times New Roman" w:eastAsia="Calibri" w:hAnsi="Times New Roman" w:cs="Times New Roman"/>
          <w:color w:val="4C4747"/>
          <w:spacing w:val="20"/>
          <w:sz w:val="24"/>
          <w:szCs w:val="24"/>
          <w:lang w:val="es-DO"/>
        </w:rPr>
        <w:t xml:space="preserve">do. </w:t>
      </w:r>
    </w:p>
    <w:p w14:paraId="5CDE7D91" w14:textId="147A0124" w:rsidR="00DD5A1B" w:rsidRPr="008C2B22" w:rsidRDefault="0062386F"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el siguiente gráfico</w:t>
      </w:r>
      <w:r w:rsidR="00A161D3" w:rsidRPr="008C2B22">
        <w:rPr>
          <w:rFonts w:ascii="Times New Roman" w:eastAsia="Calibri" w:hAnsi="Times New Roman" w:cs="Times New Roman"/>
          <w:color w:val="4C4747"/>
          <w:spacing w:val="20"/>
          <w:sz w:val="24"/>
          <w:szCs w:val="24"/>
          <w:lang w:val="es-DO"/>
        </w:rPr>
        <w:t xml:space="preserve"> </w:t>
      </w:r>
      <w:r w:rsidR="00FA36CC" w:rsidRPr="008C2B22">
        <w:rPr>
          <w:rFonts w:ascii="Times New Roman" w:eastAsia="Calibri" w:hAnsi="Times New Roman" w:cs="Times New Roman"/>
          <w:color w:val="4C4747"/>
          <w:spacing w:val="20"/>
          <w:sz w:val="24"/>
          <w:szCs w:val="24"/>
          <w:lang w:val="es-DO"/>
        </w:rPr>
        <w:t>se muestra</w:t>
      </w:r>
      <w:r w:rsidR="00A161D3" w:rsidRPr="008C2B22">
        <w:rPr>
          <w:rFonts w:ascii="Times New Roman" w:eastAsia="Calibri" w:hAnsi="Times New Roman" w:cs="Times New Roman"/>
          <w:color w:val="4C4747"/>
          <w:spacing w:val="20"/>
          <w:sz w:val="24"/>
          <w:szCs w:val="24"/>
          <w:lang w:val="es-DO"/>
        </w:rPr>
        <w:t xml:space="preserve"> los casos de P</w:t>
      </w:r>
      <w:r w:rsidR="003C1326" w:rsidRPr="008C2B22">
        <w:rPr>
          <w:rFonts w:ascii="Times New Roman" w:eastAsia="Calibri" w:hAnsi="Times New Roman" w:cs="Times New Roman"/>
          <w:color w:val="4C4747"/>
          <w:spacing w:val="20"/>
          <w:sz w:val="24"/>
          <w:szCs w:val="24"/>
          <w:lang w:val="es-DO"/>
        </w:rPr>
        <w:t>re-F</w:t>
      </w:r>
      <w:r w:rsidR="00DD5A1B" w:rsidRPr="008C2B22">
        <w:rPr>
          <w:rFonts w:ascii="Times New Roman" w:eastAsia="Calibri" w:hAnsi="Times New Roman" w:cs="Times New Roman"/>
          <w:color w:val="4C4747"/>
          <w:spacing w:val="20"/>
          <w:sz w:val="24"/>
          <w:szCs w:val="24"/>
          <w:lang w:val="es-DO"/>
        </w:rPr>
        <w:t xml:space="preserve">ormalización que fueron trabajados en los meses de enero – </w:t>
      </w:r>
      <w:r w:rsidR="00C941A5" w:rsidRPr="008C2B22">
        <w:rPr>
          <w:rFonts w:ascii="Times New Roman" w:eastAsia="Calibri" w:hAnsi="Times New Roman" w:cs="Times New Roman"/>
          <w:color w:val="4C4747"/>
          <w:spacing w:val="20"/>
          <w:sz w:val="24"/>
          <w:szCs w:val="24"/>
          <w:lang w:val="es-DO"/>
        </w:rPr>
        <w:t xml:space="preserve">noviembre </w:t>
      </w:r>
      <w:r w:rsidR="00DD5A1B" w:rsidRPr="008C2B22">
        <w:rPr>
          <w:rFonts w:ascii="Times New Roman" w:eastAsia="Calibri" w:hAnsi="Times New Roman" w:cs="Times New Roman"/>
          <w:color w:val="4C4747"/>
          <w:spacing w:val="20"/>
          <w:sz w:val="24"/>
          <w:szCs w:val="24"/>
          <w:lang w:val="es-DO"/>
        </w:rPr>
        <w:t>2022</w:t>
      </w:r>
      <w:r w:rsidR="00C941A5" w:rsidRPr="008C2B22">
        <w:rPr>
          <w:rFonts w:ascii="Times New Roman" w:eastAsia="Calibri" w:hAnsi="Times New Roman" w:cs="Times New Roman"/>
          <w:color w:val="4C4747"/>
          <w:spacing w:val="20"/>
          <w:sz w:val="24"/>
          <w:szCs w:val="24"/>
          <w:lang w:val="es-DO"/>
        </w:rPr>
        <w:t>.</w:t>
      </w:r>
    </w:p>
    <w:p w14:paraId="5E841185" w14:textId="77777777" w:rsidR="00DD5A1B" w:rsidRPr="00C62BB6" w:rsidRDefault="00DD5A1B" w:rsidP="00DD5A1B">
      <w:pPr>
        <w:spacing w:before="100" w:beforeAutospacing="1"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lastRenderedPageBreak/>
        <w:drawing>
          <wp:inline distT="0" distB="0" distL="0" distR="0" wp14:anchorId="38165A5C" wp14:editId="6D7F56A2">
            <wp:extent cx="5038725" cy="3162300"/>
            <wp:effectExtent l="0" t="0" r="9525" b="0"/>
            <wp:docPr id="61" name="Gráfico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0BA10019" w14:textId="77777777" w:rsidR="00DD5A1B" w:rsidRPr="00C62BB6" w:rsidRDefault="00DD5A1B" w:rsidP="00DD5A1B">
      <w:pPr>
        <w:spacing w:after="0"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Sistema de Gestión Interna (SGI)</w:t>
      </w:r>
    </w:p>
    <w:p w14:paraId="215702FD" w14:textId="77777777" w:rsidR="00DD5A1B" w:rsidRPr="00C62BB6" w:rsidRDefault="00DD5A1B" w:rsidP="00DD5A1B">
      <w:pPr>
        <w:jc w:val="both"/>
        <w:rPr>
          <w:rFonts w:ascii="Times New Roman" w:eastAsia="Calibri" w:hAnsi="Times New Roman" w:cs="Times New Roman"/>
          <w:color w:val="4C4747"/>
          <w:spacing w:val="20"/>
          <w:sz w:val="24"/>
          <w:szCs w:val="24"/>
          <w:lang w:val="es-DO"/>
        </w:rPr>
      </w:pPr>
    </w:p>
    <w:p w14:paraId="221A603B" w14:textId="7269A584" w:rsidR="00DD5A1B" w:rsidRPr="008C2B22" w:rsidRDefault="001300D0" w:rsidP="00DD5A1B">
      <w:pPr>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Tramitación de denuncias y c</w:t>
      </w:r>
      <w:r w:rsidR="00DD5A1B" w:rsidRPr="008C2B22">
        <w:rPr>
          <w:rFonts w:ascii="Times New Roman" w:eastAsia="Calibri" w:hAnsi="Times New Roman" w:cs="Times New Roman"/>
          <w:b/>
          <w:color w:val="4C4747"/>
          <w:spacing w:val="20"/>
          <w:sz w:val="24"/>
          <w:szCs w:val="24"/>
          <w:lang w:val="es-DO"/>
        </w:rPr>
        <w:t>onciliación</w:t>
      </w:r>
    </w:p>
    <w:p w14:paraId="05590FB5" w14:textId="15EA4E7C" w:rsidR="00DD5A1B" w:rsidRPr="008C2B22" w:rsidRDefault="00DD5A1B" w:rsidP="00DD5A1B">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Los tipos de casos que se trabajan desde el INDOTEL para conciliación de los mismos</w:t>
      </w:r>
      <w:r w:rsidR="0062386F"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son Casos de Denuncia (CD)</w:t>
      </w:r>
      <w:r w:rsidR="003C1326" w:rsidRPr="008C2B22">
        <w:rPr>
          <w:rFonts w:ascii="Times New Roman" w:eastAsia="Calibri" w:hAnsi="Times New Roman" w:cs="Times New Roman"/>
          <w:color w:val="4C4747"/>
          <w:spacing w:val="20"/>
          <w:sz w:val="24"/>
          <w:szCs w:val="24"/>
          <w:lang w:val="es-DO"/>
        </w:rPr>
        <w:t>, Casos de Quejas (CQ)</w:t>
      </w:r>
      <w:r w:rsidRPr="008C2B22">
        <w:rPr>
          <w:rFonts w:ascii="Times New Roman" w:eastAsia="Calibri" w:hAnsi="Times New Roman" w:cs="Times New Roman"/>
          <w:color w:val="4C4747"/>
          <w:spacing w:val="20"/>
          <w:sz w:val="24"/>
          <w:szCs w:val="24"/>
          <w:lang w:val="es-DO"/>
        </w:rPr>
        <w:t xml:space="preserve"> y Recursos de Quejas (RDQ).</w:t>
      </w:r>
    </w:p>
    <w:p w14:paraId="44BC4076" w14:textId="6E639FE7" w:rsidR="00DD5A1B" w:rsidRPr="008C2B22" w:rsidRDefault="00DD5A1B" w:rsidP="00DD5A1B">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Los Casos de Denuncia (CD)</w:t>
      </w:r>
      <w:r w:rsidR="006C48A5"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son los requerimientos interpuestos por el usuario titular o su representante autorizado por ante el Departamento de Asistencia al Usuario (DAU), por alegada violación a una disposición establecida en la Ley General de </w:t>
      </w:r>
      <w:r w:rsidR="006C48A5" w:rsidRPr="008C2B22">
        <w:rPr>
          <w:rFonts w:ascii="Times New Roman" w:eastAsia="Calibri" w:hAnsi="Times New Roman" w:cs="Times New Roman"/>
          <w:color w:val="4C4747"/>
          <w:spacing w:val="20"/>
          <w:sz w:val="24"/>
          <w:szCs w:val="24"/>
          <w:lang w:val="es-DO"/>
        </w:rPr>
        <w:t xml:space="preserve">Telecomunicaciones número 153-98, </w:t>
      </w:r>
      <w:r w:rsidRPr="008C2B22">
        <w:rPr>
          <w:rFonts w:ascii="Times New Roman" w:eastAsia="Calibri" w:hAnsi="Times New Roman" w:cs="Times New Roman"/>
          <w:color w:val="4C4747"/>
          <w:spacing w:val="20"/>
          <w:sz w:val="24"/>
          <w:szCs w:val="24"/>
          <w:lang w:val="es-DO"/>
        </w:rPr>
        <w:t>reglamentos, resoluciones o disposiciones emitidas por el INDOTEL, así como también las reclamaciones no solucionadas en Casos de Pre-Formalización (CPF)</w:t>
      </w:r>
      <w:r w:rsidR="006C48A5"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por motivos de avería y calidad en el servicio.</w:t>
      </w:r>
    </w:p>
    <w:p w14:paraId="0501C111" w14:textId="500A2D3B" w:rsidR="00DD5A1B" w:rsidRPr="008C2B22" w:rsidRDefault="00DD5A1B" w:rsidP="00DD5A1B">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período enero – </w:t>
      </w:r>
      <w:r w:rsidR="00C941A5" w:rsidRPr="008C2B22">
        <w:rPr>
          <w:rFonts w:ascii="Times New Roman" w:eastAsia="Calibri" w:hAnsi="Times New Roman" w:cs="Times New Roman"/>
          <w:color w:val="4C4747"/>
          <w:spacing w:val="20"/>
          <w:sz w:val="24"/>
          <w:szCs w:val="24"/>
          <w:lang w:val="es-DO"/>
        </w:rPr>
        <w:t>noviembre</w:t>
      </w:r>
      <w:r w:rsidRPr="008C2B22">
        <w:rPr>
          <w:rFonts w:ascii="Times New Roman" w:eastAsia="Calibri" w:hAnsi="Times New Roman" w:cs="Times New Roman"/>
          <w:color w:val="4C4747"/>
          <w:spacing w:val="20"/>
          <w:sz w:val="24"/>
          <w:szCs w:val="24"/>
          <w:lang w:val="es-DO"/>
        </w:rPr>
        <w:t xml:space="preserve"> de 2022 se recibieron un total de 169 Casos de Denuncia (CD), cuyos principales motivos fueron cobro de deuda, avería, calidad en el servicio, serie bloqueada, portabilidad </w:t>
      </w:r>
      <w:r w:rsidRPr="008C2B22">
        <w:rPr>
          <w:rFonts w:ascii="Times New Roman" w:eastAsia="Calibri" w:hAnsi="Times New Roman" w:cs="Times New Roman"/>
          <w:color w:val="4C4747"/>
          <w:spacing w:val="20"/>
          <w:sz w:val="24"/>
          <w:szCs w:val="24"/>
          <w:lang w:val="es-DO"/>
        </w:rPr>
        <w:lastRenderedPageBreak/>
        <w:t>numérica y código de subsidio.</w:t>
      </w:r>
    </w:p>
    <w:p w14:paraId="2F58669E" w14:textId="2A770DCE" w:rsidR="00DD5A1B" w:rsidRPr="008C2B22" w:rsidRDefault="006C48A5" w:rsidP="00DD5A1B">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 la fecha </w:t>
      </w:r>
      <w:r w:rsidR="00C941A5" w:rsidRPr="008C2B22">
        <w:rPr>
          <w:rFonts w:ascii="Times New Roman" w:eastAsia="Calibri" w:hAnsi="Times New Roman" w:cs="Times New Roman"/>
          <w:color w:val="4C4747"/>
          <w:spacing w:val="20"/>
          <w:sz w:val="24"/>
          <w:szCs w:val="24"/>
          <w:lang w:val="es-DO"/>
        </w:rPr>
        <w:t>189</w:t>
      </w:r>
      <w:r w:rsidRPr="008C2B22">
        <w:rPr>
          <w:rFonts w:ascii="Times New Roman" w:eastAsia="Calibri" w:hAnsi="Times New Roman" w:cs="Times New Roman"/>
          <w:color w:val="4C4747"/>
          <w:spacing w:val="20"/>
          <w:sz w:val="24"/>
          <w:szCs w:val="24"/>
          <w:lang w:val="es-DO"/>
        </w:rPr>
        <w:t xml:space="preserve"> </w:t>
      </w:r>
      <w:r w:rsidR="00DD5A1B" w:rsidRPr="008C2B22">
        <w:rPr>
          <w:rFonts w:ascii="Times New Roman" w:eastAsia="Calibri" w:hAnsi="Times New Roman" w:cs="Times New Roman"/>
          <w:color w:val="4C4747"/>
          <w:spacing w:val="20"/>
          <w:sz w:val="24"/>
          <w:szCs w:val="24"/>
          <w:lang w:val="es-DO"/>
        </w:rPr>
        <w:t>se encuentran debidamente concluidos</w:t>
      </w:r>
      <w:r w:rsidRPr="008C2B22">
        <w:rPr>
          <w:rFonts w:ascii="Times New Roman" w:eastAsia="Calibri" w:hAnsi="Times New Roman" w:cs="Times New Roman"/>
          <w:color w:val="4C4747"/>
          <w:spacing w:val="20"/>
          <w:sz w:val="24"/>
          <w:szCs w:val="24"/>
          <w:lang w:val="es-DO"/>
        </w:rPr>
        <w:t>,</w:t>
      </w:r>
      <w:r w:rsidR="00DD5A1B" w:rsidRPr="008C2B22">
        <w:rPr>
          <w:rFonts w:ascii="Times New Roman" w:eastAsia="Calibri" w:hAnsi="Times New Roman" w:cs="Times New Roman"/>
          <w:color w:val="4C4747"/>
          <w:spacing w:val="20"/>
          <w:sz w:val="24"/>
          <w:szCs w:val="24"/>
          <w:lang w:val="es-DO"/>
        </w:rPr>
        <w:t xml:space="preserve"> esto incluye casos finalizados que pasan de un mes a otro y </w:t>
      </w:r>
      <w:r w:rsidR="003D6DB6" w:rsidRPr="008C2B22">
        <w:rPr>
          <w:rFonts w:ascii="Times New Roman" w:eastAsia="Calibri" w:hAnsi="Times New Roman" w:cs="Times New Roman"/>
          <w:color w:val="4C4747"/>
          <w:spacing w:val="20"/>
          <w:sz w:val="24"/>
          <w:szCs w:val="24"/>
          <w:lang w:val="es-DO"/>
        </w:rPr>
        <w:t>8</w:t>
      </w:r>
      <w:r w:rsidRPr="008C2B22">
        <w:rPr>
          <w:rFonts w:ascii="Times New Roman" w:eastAsia="Calibri" w:hAnsi="Times New Roman" w:cs="Times New Roman"/>
          <w:color w:val="4C4747"/>
          <w:spacing w:val="20"/>
          <w:sz w:val="24"/>
          <w:szCs w:val="24"/>
          <w:lang w:val="es-DO"/>
        </w:rPr>
        <w:t xml:space="preserve"> casos </w:t>
      </w:r>
      <w:r w:rsidR="00DD5A1B" w:rsidRPr="008C2B22">
        <w:rPr>
          <w:rFonts w:ascii="Times New Roman" w:eastAsia="Calibri" w:hAnsi="Times New Roman" w:cs="Times New Roman"/>
          <w:color w:val="4C4747"/>
          <w:spacing w:val="20"/>
          <w:sz w:val="24"/>
          <w:szCs w:val="24"/>
          <w:lang w:val="es-DO"/>
        </w:rPr>
        <w:t>en proceso.</w:t>
      </w:r>
    </w:p>
    <w:p w14:paraId="6D659323" w14:textId="77777777" w:rsidR="00DD5A1B" w:rsidRPr="00C62BB6" w:rsidRDefault="00DD5A1B" w:rsidP="00DD5A1B">
      <w:pPr>
        <w:spacing w:before="240" w:after="0" w:line="24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drawing>
          <wp:inline distT="0" distB="0" distL="0" distR="0" wp14:anchorId="152EBCF5" wp14:editId="255A1EBC">
            <wp:extent cx="4981575" cy="2314575"/>
            <wp:effectExtent l="0" t="0" r="9525" b="9525"/>
            <wp:docPr id="62" name="Gráfico 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44649505" w14:textId="77777777" w:rsidR="00BE6A84" w:rsidRPr="00C62BB6" w:rsidRDefault="00BE6A84" w:rsidP="00DD5A1B">
      <w:pPr>
        <w:spacing w:after="0" w:line="240" w:lineRule="auto"/>
        <w:rPr>
          <w:rFonts w:ascii="Times New Roman" w:eastAsia="Calibri" w:hAnsi="Times New Roman" w:cs="Times New Roman"/>
          <w:b/>
          <w:color w:val="4C4747"/>
          <w:spacing w:val="20"/>
          <w:sz w:val="18"/>
          <w:szCs w:val="24"/>
          <w:lang w:val="es-DO"/>
        </w:rPr>
      </w:pPr>
    </w:p>
    <w:p w14:paraId="6CCA9A73" w14:textId="77777777" w:rsidR="00DD5A1B" w:rsidRPr="00C62BB6" w:rsidRDefault="00DD5A1B" w:rsidP="00DD5A1B">
      <w:pPr>
        <w:spacing w:after="0"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Sistema de Gestión Interna (SGI)</w:t>
      </w:r>
    </w:p>
    <w:p w14:paraId="33942DFB" w14:textId="77777777" w:rsidR="00DD5A1B" w:rsidRPr="00C62BB6" w:rsidRDefault="00DD5A1B" w:rsidP="00DD5A1B">
      <w:pPr>
        <w:spacing w:line="360" w:lineRule="auto"/>
        <w:jc w:val="both"/>
        <w:rPr>
          <w:rFonts w:ascii="Times New Roman" w:eastAsia="Calibri" w:hAnsi="Times New Roman" w:cs="Times New Roman"/>
          <w:color w:val="4C4747"/>
          <w:spacing w:val="20"/>
          <w:sz w:val="18"/>
          <w:szCs w:val="24"/>
          <w:lang w:val="es-DO"/>
        </w:rPr>
      </w:pPr>
    </w:p>
    <w:p w14:paraId="56B4C7EE" w14:textId="3FB137A4" w:rsidR="00DD5A1B" w:rsidRPr="00C62BB6" w:rsidRDefault="009E6779" w:rsidP="00DD5A1B">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En el perí</w:t>
      </w:r>
      <w:r w:rsidR="00DD5A1B" w:rsidRPr="00C62BB6">
        <w:rPr>
          <w:rFonts w:ascii="Times New Roman" w:eastAsia="Calibri" w:hAnsi="Times New Roman" w:cs="Times New Roman"/>
          <w:color w:val="4C4747"/>
          <w:spacing w:val="20"/>
          <w:sz w:val="24"/>
          <w:szCs w:val="24"/>
          <w:lang w:val="es-DO"/>
        </w:rPr>
        <w:t xml:space="preserve">odo enero – </w:t>
      </w:r>
      <w:r w:rsidR="003D6DB6" w:rsidRPr="00C62BB6">
        <w:rPr>
          <w:rFonts w:ascii="Times New Roman" w:eastAsia="Calibri" w:hAnsi="Times New Roman" w:cs="Times New Roman"/>
          <w:color w:val="4C4747"/>
          <w:spacing w:val="20"/>
          <w:sz w:val="24"/>
          <w:szCs w:val="24"/>
          <w:lang w:val="es-DO"/>
        </w:rPr>
        <w:t>noviembre</w:t>
      </w:r>
      <w:r w:rsidR="00DD5A1B" w:rsidRPr="00C62BB6">
        <w:rPr>
          <w:rFonts w:ascii="Times New Roman" w:eastAsia="Calibri" w:hAnsi="Times New Roman" w:cs="Times New Roman"/>
          <w:color w:val="4C4747"/>
          <w:spacing w:val="20"/>
          <w:sz w:val="24"/>
          <w:szCs w:val="24"/>
          <w:lang w:val="es-DO"/>
        </w:rPr>
        <w:t xml:space="preserve"> </w:t>
      </w:r>
      <w:r w:rsidR="004628C3" w:rsidRPr="00C62BB6">
        <w:rPr>
          <w:rFonts w:ascii="Times New Roman" w:eastAsia="Calibri" w:hAnsi="Times New Roman" w:cs="Times New Roman"/>
          <w:color w:val="4C4747"/>
          <w:spacing w:val="20"/>
          <w:sz w:val="24"/>
          <w:szCs w:val="24"/>
          <w:lang w:val="es-DO"/>
        </w:rPr>
        <w:t>se ha</w:t>
      </w:r>
      <w:r w:rsidR="003D6DB6" w:rsidRPr="00C62BB6">
        <w:rPr>
          <w:rFonts w:ascii="Times New Roman" w:eastAsia="Calibri" w:hAnsi="Times New Roman" w:cs="Times New Roman"/>
          <w:color w:val="4C4747"/>
          <w:spacing w:val="20"/>
          <w:sz w:val="24"/>
          <w:szCs w:val="24"/>
          <w:lang w:val="es-DO"/>
        </w:rPr>
        <w:t xml:space="preserve"> recibido 11</w:t>
      </w:r>
      <w:r w:rsidR="00A161D3" w:rsidRPr="00C62BB6">
        <w:rPr>
          <w:rFonts w:ascii="Times New Roman" w:eastAsia="Calibri" w:hAnsi="Times New Roman" w:cs="Times New Roman"/>
          <w:color w:val="4C4747"/>
          <w:spacing w:val="20"/>
          <w:sz w:val="24"/>
          <w:szCs w:val="24"/>
          <w:lang w:val="es-DO"/>
        </w:rPr>
        <w:t xml:space="preserve"> Casos de Q</w:t>
      </w:r>
      <w:r w:rsidR="00DD5A1B" w:rsidRPr="00C62BB6">
        <w:rPr>
          <w:rFonts w:ascii="Times New Roman" w:eastAsia="Calibri" w:hAnsi="Times New Roman" w:cs="Times New Roman"/>
          <w:color w:val="4C4747"/>
          <w:spacing w:val="20"/>
          <w:sz w:val="24"/>
          <w:szCs w:val="24"/>
          <w:lang w:val="es-DO"/>
        </w:rPr>
        <w:t>uejas</w:t>
      </w:r>
      <w:r w:rsidR="00A161D3" w:rsidRPr="00C62BB6">
        <w:rPr>
          <w:rFonts w:ascii="Times New Roman" w:eastAsia="Calibri" w:hAnsi="Times New Roman" w:cs="Times New Roman"/>
          <w:color w:val="4C4747"/>
          <w:spacing w:val="20"/>
          <w:sz w:val="24"/>
          <w:szCs w:val="24"/>
          <w:lang w:val="es-DO"/>
        </w:rPr>
        <w:t xml:space="preserve"> (CQ)</w:t>
      </w:r>
      <w:r w:rsidRPr="00C62BB6">
        <w:rPr>
          <w:rFonts w:ascii="Times New Roman" w:eastAsia="Calibri" w:hAnsi="Times New Roman" w:cs="Times New Roman"/>
          <w:color w:val="4C4747"/>
          <w:spacing w:val="20"/>
          <w:sz w:val="24"/>
          <w:szCs w:val="24"/>
          <w:lang w:val="es-DO"/>
        </w:rPr>
        <w:t xml:space="preserve"> y </w:t>
      </w:r>
      <w:r w:rsidR="00DD5A1B" w:rsidRPr="00C62BB6">
        <w:rPr>
          <w:rFonts w:ascii="Times New Roman" w:eastAsia="Calibri" w:hAnsi="Times New Roman" w:cs="Times New Roman"/>
          <w:color w:val="4C4747"/>
          <w:spacing w:val="20"/>
          <w:sz w:val="24"/>
          <w:szCs w:val="24"/>
          <w:lang w:val="es-DO"/>
        </w:rPr>
        <w:t>fueron concluidos en su total</w:t>
      </w:r>
      <w:r w:rsidRPr="00C62BB6">
        <w:rPr>
          <w:rFonts w:ascii="Times New Roman" w:eastAsia="Calibri" w:hAnsi="Times New Roman" w:cs="Times New Roman"/>
          <w:color w:val="4C4747"/>
          <w:spacing w:val="20"/>
          <w:sz w:val="24"/>
          <w:szCs w:val="24"/>
          <w:lang w:val="es-DO"/>
        </w:rPr>
        <w:t>idad en los plazos establecidos;</w:t>
      </w:r>
      <w:r w:rsidR="00DD5A1B" w:rsidRPr="00C62BB6">
        <w:rPr>
          <w:rFonts w:ascii="Times New Roman" w:eastAsia="Calibri" w:hAnsi="Times New Roman" w:cs="Times New Roman"/>
          <w:color w:val="4C4747"/>
          <w:spacing w:val="20"/>
          <w:sz w:val="24"/>
          <w:szCs w:val="24"/>
          <w:lang w:val="es-DO"/>
        </w:rPr>
        <w:t xml:space="preserve"> los mismos se detallan en el gráfico de más abajo:</w:t>
      </w:r>
    </w:p>
    <w:p w14:paraId="7066D5D1" w14:textId="77777777" w:rsidR="00DD5A1B" w:rsidRPr="00C62BB6" w:rsidRDefault="00DD5A1B" w:rsidP="00DD5A1B">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lastRenderedPageBreak/>
        <w:drawing>
          <wp:inline distT="0" distB="0" distL="0" distR="0" wp14:anchorId="3B4BDBD3" wp14:editId="23F3FFDE">
            <wp:extent cx="5114925" cy="3362325"/>
            <wp:effectExtent l="0" t="0" r="9525" b="9525"/>
            <wp:docPr id="63" name="Gráfico 63"/>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3425A365" w14:textId="77777777" w:rsidR="00DD5A1B" w:rsidRPr="00C62BB6" w:rsidRDefault="00DD5A1B" w:rsidP="00DD5A1B">
      <w:pPr>
        <w:spacing w:after="0" w:line="24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Sistema de Gestión Interna (SGI)</w:t>
      </w:r>
    </w:p>
    <w:p w14:paraId="718C919D" w14:textId="7CCE953C" w:rsidR="00DD5A1B" w:rsidRPr="008C2B22" w:rsidRDefault="00A342CB" w:rsidP="004628C3">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Asimismo</w:t>
      </w:r>
      <w:r w:rsidR="00DD5A1B" w:rsidRPr="008C2B22">
        <w:rPr>
          <w:rFonts w:ascii="Times New Roman" w:eastAsia="Calibri" w:hAnsi="Times New Roman" w:cs="Times New Roman"/>
          <w:color w:val="4C4747"/>
          <w:spacing w:val="20"/>
          <w:sz w:val="24"/>
          <w:szCs w:val="24"/>
          <w:lang w:val="es-DO"/>
        </w:rPr>
        <w:t xml:space="preserve">, en el periodo enero – </w:t>
      </w:r>
      <w:r w:rsidR="003D6DB6" w:rsidRPr="008C2B22">
        <w:rPr>
          <w:rFonts w:ascii="Times New Roman" w:eastAsia="Calibri" w:hAnsi="Times New Roman" w:cs="Times New Roman"/>
          <w:color w:val="4C4747"/>
          <w:spacing w:val="20"/>
          <w:sz w:val="24"/>
          <w:szCs w:val="24"/>
          <w:lang w:val="es-DO"/>
        </w:rPr>
        <w:t>noviembre</w:t>
      </w:r>
      <w:r w:rsidR="00DD5A1B" w:rsidRPr="008C2B22">
        <w:rPr>
          <w:rFonts w:ascii="Times New Roman" w:eastAsia="Calibri" w:hAnsi="Times New Roman" w:cs="Times New Roman"/>
          <w:color w:val="4C4747"/>
          <w:spacing w:val="20"/>
          <w:sz w:val="24"/>
          <w:szCs w:val="24"/>
          <w:lang w:val="es-DO"/>
        </w:rPr>
        <w:t xml:space="preserve"> de 2022 </w:t>
      </w:r>
      <w:r w:rsidR="00A161D3" w:rsidRPr="008C2B22">
        <w:rPr>
          <w:rFonts w:ascii="Times New Roman" w:eastAsia="Calibri" w:hAnsi="Times New Roman" w:cs="Times New Roman"/>
          <w:color w:val="4C4747"/>
          <w:spacing w:val="20"/>
          <w:sz w:val="24"/>
          <w:szCs w:val="24"/>
          <w:lang w:val="es-DO"/>
        </w:rPr>
        <w:t>se recibieron</w:t>
      </w:r>
      <w:r w:rsidR="00DD5A1B" w:rsidRPr="008C2B22">
        <w:rPr>
          <w:rFonts w:ascii="Times New Roman" w:eastAsia="Calibri" w:hAnsi="Times New Roman" w:cs="Times New Roman"/>
          <w:color w:val="4C4747"/>
          <w:spacing w:val="20"/>
          <w:sz w:val="24"/>
          <w:szCs w:val="24"/>
          <w:lang w:val="es-DO"/>
        </w:rPr>
        <w:t xml:space="preserve"> un total de 8</w:t>
      </w:r>
      <w:r w:rsidR="004A0947" w:rsidRPr="008C2B22">
        <w:rPr>
          <w:rFonts w:ascii="Times New Roman" w:eastAsia="Calibri" w:hAnsi="Times New Roman" w:cs="Times New Roman"/>
          <w:color w:val="4C4747"/>
          <w:spacing w:val="20"/>
          <w:sz w:val="24"/>
          <w:szCs w:val="24"/>
          <w:lang w:val="es-DO"/>
        </w:rPr>
        <w:t xml:space="preserve"> Recursos de Quejas (RDQ);</w:t>
      </w:r>
      <w:r w:rsidR="00DD5A1B" w:rsidRPr="008C2B22">
        <w:rPr>
          <w:rFonts w:ascii="Times New Roman" w:eastAsia="Calibri" w:hAnsi="Times New Roman" w:cs="Times New Roman"/>
          <w:color w:val="4C4747"/>
          <w:spacing w:val="20"/>
          <w:sz w:val="24"/>
          <w:szCs w:val="24"/>
          <w:lang w:val="es-DO"/>
        </w:rPr>
        <w:t xml:space="preserve"> 0 se encuentran en proceso de conciliación; 10 fueron concluidos; estos incluyen casos que pasaron de un mes a otro y 1 fue remitido a los Cuerpos Colegiados, detallados en la siguiente tabla:</w:t>
      </w:r>
    </w:p>
    <w:p w14:paraId="38BB228E" w14:textId="77777777" w:rsidR="00DD5A1B" w:rsidRPr="00C62BB6" w:rsidRDefault="00DD5A1B" w:rsidP="00DD5A1B">
      <w:pPr>
        <w:spacing w:after="0" w:line="24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drawing>
          <wp:inline distT="0" distB="0" distL="0" distR="0" wp14:anchorId="0A188A25" wp14:editId="09A5A73B">
            <wp:extent cx="5086350" cy="2409825"/>
            <wp:effectExtent l="0" t="0" r="0" b="9525"/>
            <wp:docPr id="2048" name="Gráfico 2048"/>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139DC855" w14:textId="77777777" w:rsidR="002A40D6" w:rsidRPr="00C62BB6" w:rsidRDefault="002A40D6" w:rsidP="00DD5A1B">
      <w:pPr>
        <w:spacing w:after="0" w:line="240" w:lineRule="auto"/>
        <w:rPr>
          <w:rFonts w:ascii="Times New Roman" w:eastAsia="Calibri" w:hAnsi="Times New Roman" w:cs="Times New Roman"/>
          <w:b/>
          <w:color w:val="4C4747"/>
          <w:spacing w:val="20"/>
          <w:sz w:val="18"/>
          <w:szCs w:val="24"/>
          <w:lang w:val="es-DO"/>
        </w:rPr>
      </w:pPr>
    </w:p>
    <w:p w14:paraId="7E29786D" w14:textId="77777777" w:rsidR="00DD5A1B" w:rsidRPr="00C62BB6" w:rsidRDefault="00DD5A1B" w:rsidP="00DD5A1B">
      <w:pPr>
        <w:spacing w:after="0"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Sistema de Gestión Interna (SGI)</w:t>
      </w:r>
    </w:p>
    <w:p w14:paraId="443952C4" w14:textId="77777777" w:rsidR="00BE6A84" w:rsidRPr="00C62BB6" w:rsidRDefault="00BE6A84" w:rsidP="00DD5A1B">
      <w:pPr>
        <w:spacing w:after="0" w:line="360" w:lineRule="auto"/>
        <w:jc w:val="both"/>
        <w:rPr>
          <w:rFonts w:ascii="Times New Roman" w:eastAsia="Calibri" w:hAnsi="Times New Roman" w:cs="Times New Roman"/>
          <w:color w:val="4C4747"/>
          <w:spacing w:val="20"/>
          <w:sz w:val="24"/>
          <w:szCs w:val="24"/>
          <w:lang w:val="es-DO"/>
        </w:rPr>
      </w:pPr>
    </w:p>
    <w:p w14:paraId="00D862FC" w14:textId="4D98E006" w:rsidR="00DD5A1B" w:rsidRPr="00C62BB6" w:rsidRDefault="00DD5A1B" w:rsidP="00DD5A1B">
      <w:pPr>
        <w:spacing w:line="360" w:lineRule="auto"/>
        <w:jc w:val="both"/>
        <w:rPr>
          <w:rFonts w:ascii="Times New Roman" w:eastAsia="Calibri" w:hAnsi="Times New Roman" w:cs="Times New Roman"/>
          <w:strike/>
          <w:color w:val="4C4747"/>
          <w:spacing w:val="20"/>
          <w:sz w:val="24"/>
          <w:szCs w:val="24"/>
          <w:lang w:val="es-DO"/>
        </w:rPr>
      </w:pPr>
      <w:r w:rsidRPr="00C62BB6">
        <w:rPr>
          <w:rFonts w:ascii="Times New Roman" w:eastAsia="Calibri" w:hAnsi="Times New Roman" w:cs="Times New Roman"/>
          <w:color w:val="4C4747"/>
          <w:spacing w:val="20"/>
          <w:sz w:val="24"/>
          <w:szCs w:val="24"/>
          <w:lang w:val="es-DO"/>
        </w:rPr>
        <w:lastRenderedPageBreak/>
        <w:t>La mayoría de los Re</w:t>
      </w:r>
      <w:r w:rsidR="006E4F40" w:rsidRPr="00C62BB6">
        <w:rPr>
          <w:rFonts w:ascii="Times New Roman" w:eastAsia="Calibri" w:hAnsi="Times New Roman" w:cs="Times New Roman"/>
          <w:color w:val="4C4747"/>
          <w:spacing w:val="20"/>
          <w:sz w:val="24"/>
          <w:szCs w:val="24"/>
          <w:lang w:val="es-DO"/>
        </w:rPr>
        <w:t>cursos de Quejas (RDQ) recibidos,</w:t>
      </w:r>
      <w:r w:rsidRPr="00C62BB6">
        <w:rPr>
          <w:rFonts w:ascii="Times New Roman" w:eastAsia="Calibri" w:hAnsi="Times New Roman" w:cs="Times New Roman"/>
          <w:color w:val="4C4747"/>
          <w:spacing w:val="20"/>
          <w:sz w:val="24"/>
          <w:szCs w:val="24"/>
          <w:lang w:val="es-DO"/>
        </w:rPr>
        <w:t xml:space="preserve"> corresponden a temas relacionados con la facturación en el servicio. En la gráfica siguiente se muestra una comparación del total monetario reclamado versus el total monetario acreditad</w:t>
      </w:r>
      <w:r w:rsidR="00A161D3" w:rsidRPr="00C62BB6">
        <w:rPr>
          <w:rFonts w:ascii="Times New Roman" w:eastAsia="Calibri" w:hAnsi="Times New Roman" w:cs="Times New Roman"/>
          <w:color w:val="4C4747"/>
          <w:spacing w:val="20"/>
          <w:sz w:val="24"/>
          <w:szCs w:val="24"/>
          <w:lang w:val="es-DO"/>
        </w:rPr>
        <w:t>o a los usuarios, tanto de los Recursos de Quejas como  de los casos de Pre-F</w:t>
      </w:r>
      <w:r w:rsidRPr="00C62BB6">
        <w:rPr>
          <w:rFonts w:ascii="Times New Roman" w:eastAsia="Calibri" w:hAnsi="Times New Roman" w:cs="Times New Roman"/>
          <w:color w:val="4C4747"/>
          <w:spacing w:val="20"/>
          <w:sz w:val="24"/>
          <w:szCs w:val="24"/>
          <w:lang w:val="es-DO"/>
        </w:rPr>
        <w:t>ormalización</w:t>
      </w:r>
      <w:r w:rsidR="006E4F40" w:rsidRPr="00C62BB6">
        <w:rPr>
          <w:rFonts w:ascii="Times New Roman" w:eastAsia="Calibri" w:hAnsi="Times New Roman" w:cs="Times New Roman"/>
          <w:color w:val="4C4747"/>
          <w:spacing w:val="20"/>
          <w:sz w:val="24"/>
          <w:szCs w:val="24"/>
          <w:lang w:val="es-DO"/>
        </w:rPr>
        <w:t>,</w:t>
      </w:r>
      <w:r w:rsidRPr="00C62BB6">
        <w:rPr>
          <w:rFonts w:ascii="Times New Roman" w:eastAsia="Calibri" w:hAnsi="Times New Roman" w:cs="Times New Roman"/>
          <w:color w:val="4C4747"/>
          <w:spacing w:val="20"/>
          <w:sz w:val="24"/>
          <w:szCs w:val="24"/>
          <w:lang w:val="es-DO"/>
        </w:rPr>
        <w:t xml:space="preserve"> luego de haber terminado el proceso de concilia</w:t>
      </w:r>
      <w:r w:rsidR="006E4F40" w:rsidRPr="00C62BB6">
        <w:rPr>
          <w:rFonts w:ascii="Times New Roman" w:eastAsia="Calibri" w:hAnsi="Times New Roman" w:cs="Times New Roman"/>
          <w:color w:val="4C4747"/>
          <w:spacing w:val="20"/>
          <w:sz w:val="24"/>
          <w:szCs w:val="24"/>
          <w:lang w:val="es-DO"/>
        </w:rPr>
        <w:t>ción</w:t>
      </w:r>
      <w:r w:rsidR="00A161D3" w:rsidRPr="00C62BB6">
        <w:rPr>
          <w:rFonts w:ascii="Times New Roman" w:eastAsia="Calibri" w:hAnsi="Times New Roman" w:cs="Times New Roman"/>
          <w:color w:val="4C4747"/>
          <w:spacing w:val="20"/>
          <w:sz w:val="24"/>
          <w:szCs w:val="24"/>
          <w:lang w:val="es-DO"/>
        </w:rPr>
        <w:t>.</w:t>
      </w:r>
      <w:r w:rsidR="006E4F40" w:rsidRPr="00C62BB6">
        <w:rPr>
          <w:rFonts w:ascii="Times New Roman" w:eastAsia="Calibri" w:hAnsi="Times New Roman" w:cs="Times New Roman"/>
          <w:color w:val="4C4747"/>
          <w:spacing w:val="20"/>
          <w:sz w:val="24"/>
          <w:szCs w:val="24"/>
          <w:lang w:val="es-DO"/>
        </w:rPr>
        <w:t xml:space="preserve"> </w:t>
      </w:r>
    </w:p>
    <w:p w14:paraId="085A045D" w14:textId="77777777" w:rsidR="00DD5A1B" w:rsidRPr="00C62BB6" w:rsidRDefault="00DD5A1B" w:rsidP="00DD5A1B">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drawing>
          <wp:inline distT="0" distB="0" distL="0" distR="0" wp14:anchorId="27E000E6" wp14:editId="73DA2BBD">
            <wp:extent cx="4991100" cy="1933575"/>
            <wp:effectExtent l="0" t="0" r="0" b="9525"/>
            <wp:docPr id="2049" name="Gráfico 2049"/>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00661AB7" w14:textId="77777777" w:rsidR="00DD5A1B" w:rsidRPr="00C62BB6" w:rsidRDefault="00DD5A1B" w:rsidP="00DD5A1B">
      <w:pPr>
        <w:spacing w:after="0"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Sistema de Gestión Interna (SGI)</w:t>
      </w:r>
    </w:p>
    <w:p w14:paraId="681B7C90" w14:textId="77777777" w:rsidR="00DD5A1B" w:rsidRPr="00C62BB6" w:rsidRDefault="00DD5A1B" w:rsidP="00DD5A1B">
      <w:pPr>
        <w:spacing w:after="0" w:line="240" w:lineRule="auto"/>
        <w:rPr>
          <w:rFonts w:ascii="Times New Roman" w:eastAsia="Calibri" w:hAnsi="Times New Roman" w:cs="Times New Roman"/>
          <w:color w:val="4C4747"/>
          <w:spacing w:val="20"/>
          <w:sz w:val="18"/>
          <w:szCs w:val="24"/>
          <w:lang w:val="es-DO"/>
        </w:rPr>
      </w:pPr>
    </w:p>
    <w:p w14:paraId="7CD71EBE" w14:textId="77777777" w:rsidR="003C1326" w:rsidRPr="00C62BB6" w:rsidRDefault="003C1326" w:rsidP="00DD5A1B">
      <w:pPr>
        <w:spacing w:after="0" w:line="360" w:lineRule="auto"/>
        <w:jc w:val="both"/>
        <w:rPr>
          <w:rFonts w:ascii="Times New Roman" w:eastAsia="Calibri" w:hAnsi="Times New Roman" w:cs="Times New Roman"/>
          <w:color w:val="4C4747"/>
          <w:spacing w:val="20"/>
          <w:sz w:val="24"/>
          <w:szCs w:val="24"/>
          <w:lang w:val="es-DO"/>
        </w:rPr>
      </w:pPr>
    </w:p>
    <w:p w14:paraId="217FFDCE" w14:textId="6483D381" w:rsidR="00DD5A1B" w:rsidRPr="00C62BB6" w:rsidRDefault="00DD5A1B" w:rsidP="00C163DA">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 balance detallado en este gráfico como acreditado, se refiere al monto que las prestadoras reconocieron a favor del usuario en la etapa de conciliación del procedimiento de solución de controversias. Es válido resaltar, que la diferencia entre ambos montos corresponde a la gestión realizada en el Departamento de Tramitación de Denuncia y Conciliación; logrando en ocasiones conseguir más crédito</w:t>
      </w:r>
      <w:r w:rsidR="00C163DA" w:rsidRPr="00C62BB6">
        <w:rPr>
          <w:rFonts w:ascii="Times New Roman" w:eastAsia="Calibri" w:hAnsi="Times New Roman" w:cs="Times New Roman"/>
          <w:color w:val="4C4747"/>
          <w:spacing w:val="20"/>
          <w:sz w:val="24"/>
          <w:szCs w:val="24"/>
          <w:lang w:val="es-DO"/>
        </w:rPr>
        <w:t xml:space="preserve"> del solicitado por el usuario.</w:t>
      </w:r>
    </w:p>
    <w:p w14:paraId="463882BB" w14:textId="77777777" w:rsidR="00DD5A1B" w:rsidRPr="008C2B22" w:rsidRDefault="00DD5A1B" w:rsidP="00C163DA">
      <w:pPr>
        <w:spacing w:before="240"/>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Cuerpos Colegiados</w:t>
      </w:r>
    </w:p>
    <w:p w14:paraId="040FF594" w14:textId="77777777" w:rsidR="00C163DA"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virtud del artículo 79 de la Le</w:t>
      </w:r>
      <w:r w:rsidR="000B3B41" w:rsidRPr="008C2B22">
        <w:rPr>
          <w:rFonts w:ascii="Times New Roman" w:eastAsia="Calibri" w:hAnsi="Times New Roman" w:cs="Times New Roman"/>
          <w:color w:val="4C4747"/>
          <w:spacing w:val="20"/>
          <w:sz w:val="24"/>
          <w:szCs w:val="24"/>
          <w:lang w:val="es-DO"/>
        </w:rPr>
        <w:t>y General de Telecomunicaciones</w:t>
      </w:r>
      <w:r w:rsidRPr="008C2B22">
        <w:rPr>
          <w:rFonts w:ascii="Times New Roman" w:eastAsia="Calibri" w:hAnsi="Times New Roman" w:cs="Times New Roman"/>
          <w:color w:val="4C4747"/>
          <w:spacing w:val="20"/>
          <w:sz w:val="24"/>
          <w:szCs w:val="24"/>
          <w:lang w:val="es-DO"/>
        </w:rPr>
        <w:t xml:space="preserve"> </w:t>
      </w:r>
      <w:r w:rsidR="000B3B41" w:rsidRPr="008C2B22">
        <w:rPr>
          <w:rFonts w:ascii="Times New Roman" w:eastAsia="Calibri" w:hAnsi="Times New Roman" w:cs="Times New Roman"/>
          <w:color w:val="4C4747"/>
          <w:spacing w:val="20"/>
          <w:sz w:val="24"/>
          <w:szCs w:val="24"/>
          <w:lang w:val="es-DO"/>
        </w:rPr>
        <w:t>número</w:t>
      </w:r>
      <w:r w:rsidRPr="008C2B22">
        <w:rPr>
          <w:rFonts w:ascii="Times New Roman" w:eastAsia="Calibri" w:hAnsi="Times New Roman" w:cs="Times New Roman"/>
          <w:color w:val="4C4747"/>
          <w:spacing w:val="20"/>
          <w:sz w:val="24"/>
          <w:szCs w:val="24"/>
          <w:lang w:val="es-DO"/>
        </w:rPr>
        <w:t xml:space="preserve"> 153-98 y de las disposiciones contenidas en el Reglamento para la Solución de Controversias entre Usuarios y las Prestadoras de Servicios Públicos de Telecomunicaciones, los Cuerpos Colegiados son los facultados para conocer y resolver los Recursos de Queja </w:t>
      </w:r>
    </w:p>
    <w:p w14:paraId="00FC1C70" w14:textId="734CE037" w:rsidR="00DD5A1B"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(RDQ) que sean sometidos por los usuarios de los servicios públicos de telecomunicaciones, en contra de las prestadoras y que no hayan logrado un acuerdo previo en la fase de conciliación.</w:t>
      </w:r>
    </w:p>
    <w:p w14:paraId="62DB9E0C" w14:textId="77777777" w:rsidR="00DD5A1B" w:rsidRPr="008C2B22" w:rsidRDefault="00DD5A1B" w:rsidP="00DD5A1B">
      <w:pPr>
        <w:spacing w:after="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 continuación, se muestran los casos que devinieron en decisiones favorables para el usuario y aquellos casos que fueron fallados a favor de la prestadora.</w:t>
      </w:r>
    </w:p>
    <w:p w14:paraId="1E4B1664" w14:textId="010ECA96" w:rsidR="00DD5A1B" w:rsidRPr="00C62BB6" w:rsidRDefault="00D74FA9" w:rsidP="00C163DA">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hAnsi="Times New Roman" w:cs="Times New Roman"/>
          <w:noProof/>
          <w:color w:val="4C4747"/>
        </w:rPr>
        <w:drawing>
          <wp:inline distT="0" distB="0" distL="0" distR="0" wp14:anchorId="0C5EA46B" wp14:editId="674299AF">
            <wp:extent cx="5029200" cy="2400300"/>
            <wp:effectExtent l="0" t="0" r="0" b="0"/>
            <wp:docPr id="2065" name="Gráfico 2065"/>
            <wp:cNvGraphicFramePr/>
            <a:graphic xmlns:a="http://schemas.openxmlformats.org/drawingml/2006/main">
              <a:graphicData uri="http://schemas.openxmlformats.org/drawingml/2006/chart">
                <c:chart xmlns:c="http://schemas.openxmlformats.org/drawingml/2006/chart" xmlns:r="http://schemas.openxmlformats.org/officeDocument/2006/relationships" r:id="rId24"/>
              </a:graphicData>
            </a:graphic>
          </wp:inline>
        </w:drawing>
      </w:r>
    </w:p>
    <w:p w14:paraId="7F9320E5" w14:textId="232FA83F" w:rsidR="00244AE2" w:rsidRPr="00C62BB6" w:rsidRDefault="00DD5A1B" w:rsidP="00C163DA">
      <w:pPr>
        <w:spacing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S</w:t>
      </w:r>
      <w:r w:rsidR="00C163DA" w:rsidRPr="00C62BB6">
        <w:rPr>
          <w:rFonts w:ascii="Times New Roman" w:eastAsia="Calibri" w:hAnsi="Times New Roman" w:cs="Times New Roman"/>
          <w:color w:val="4C4747"/>
          <w:spacing w:val="20"/>
          <w:sz w:val="18"/>
          <w:szCs w:val="24"/>
          <w:lang w:val="es-DO"/>
        </w:rPr>
        <w:t>istema de Gestión Interna (SGI)</w:t>
      </w:r>
    </w:p>
    <w:p w14:paraId="36EFD543" w14:textId="327E9910" w:rsidR="00DD5A1B" w:rsidRPr="00C62BB6"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 balance detallado en este gráfico fallado a favor del usuario, se refiere al monto que la prestadora acreditó en beneficio de los mismos, a propósito de una decisión de los Cuerpos Colegiados del INDOTEL.</w:t>
      </w:r>
    </w:p>
    <w:p w14:paraId="4A61F5F7" w14:textId="22B70C89" w:rsidR="00244AE2" w:rsidRPr="00C62BB6" w:rsidRDefault="00D74FA9" w:rsidP="00C163DA">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C62BB6">
        <w:rPr>
          <w:rFonts w:ascii="Times New Roman" w:hAnsi="Times New Roman" w:cs="Times New Roman"/>
          <w:noProof/>
          <w:color w:val="4C4747"/>
        </w:rPr>
        <w:lastRenderedPageBreak/>
        <w:drawing>
          <wp:inline distT="0" distB="0" distL="0" distR="0" wp14:anchorId="23EA5642" wp14:editId="052A7F48">
            <wp:extent cx="5029200" cy="2609215"/>
            <wp:effectExtent l="0" t="0" r="0" b="635"/>
            <wp:docPr id="2066" name="Gráfico 2066"/>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r w:rsidR="00DD5A1B" w:rsidRPr="00C62BB6">
        <w:rPr>
          <w:rFonts w:ascii="Times New Roman" w:eastAsia="Calibri" w:hAnsi="Times New Roman" w:cs="Times New Roman"/>
          <w:b/>
          <w:color w:val="4C4747"/>
          <w:spacing w:val="20"/>
          <w:sz w:val="18"/>
          <w:szCs w:val="24"/>
          <w:lang w:val="es-DO"/>
        </w:rPr>
        <w:t>Fuente:</w:t>
      </w:r>
      <w:r w:rsidR="00DD5A1B" w:rsidRPr="00C62BB6">
        <w:rPr>
          <w:rFonts w:ascii="Times New Roman" w:eastAsia="Calibri" w:hAnsi="Times New Roman" w:cs="Times New Roman"/>
          <w:color w:val="4C4747"/>
          <w:spacing w:val="20"/>
          <w:sz w:val="18"/>
          <w:szCs w:val="24"/>
          <w:lang w:val="es-DO"/>
        </w:rPr>
        <w:t xml:space="preserve"> S</w:t>
      </w:r>
      <w:r w:rsidR="00C163DA" w:rsidRPr="00C62BB6">
        <w:rPr>
          <w:rFonts w:ascii="Times New Roman" w:eastAsia="Calibri" w:hAnsi="Times New Roman" w:cs="Times New Roman"/>
          <w:color w:val="4C4747"/>
          <w:spacing w:val="20"/>
          <w:sz w:val="18"/>
          <w:szCs w:val="24"/>
          <w:lang w:val="es-DO"/>
        </w:rPr>
        <w:t>istema de Gestión Interna (SGI)</w:t>
      </w:r>
    </w:p>
    <w:p w14:paraId="2FE9F6F4" w14:textId="5864B755" w:rsidR="00DD5A1B"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Es bueno resaltar que en la unidad de Cuerpos Colegiados </w:t>
      </w:r>
      <w:r w:rsidR="006D33E6" w:rsidRPr="008C2B22">
        <w:rPr>
          <w:rFonts w:ascii="Times New Roman" w:eastAsia="Calibri" w:hAnsi="Times New Roman" w:cs="Times New Roman"/>
          <w:color w:val="4C4747"/>
          <w:spacing w:val="20"/>
          <w:sz w:val="24"/>
          <w:szCs w:val="24"/>
          <w:lang w:val="es-DO"/>
        </w:rPr>
        <w:t>se ha</w:t>
      </w:r>
      <w:r w:rsidRPr="008C2B22">
        <w:rPr>
          <w:rFonts w:ascii="Times New Roman" w:eastAsia="Calibri" w:hAnsi="Times New Roman" w:cs="Times New Roman"/>
          <w:color w:val="4C4747"/>
          <w:spacing w:val="20"/>
          <w:sz w:val="24"/>
          <w:szCs w:val="24"/>
          <w:lang w:val="es-DO"/>
        </w:rPr>
        <w:t xml:space="preserve"> logrado</w:t>
      </w:r>
      <w:r w:rsidR="006D33E6" w:rsidRPr="008C2B22">
        <w:rPr>
          <w:rFonts w:ascii="Times New Roman" w:eastAsia="Calibri" w:hAnsi="Times New Roman" w:cs="Times New Roman"/>
          <w:color w:val="4C4747"/>
          <w:spacing w:val="20"/>
          <w:sz w:val="24"/>
          <w:szCs w:val="24"/>
          <w:lang w:val="es-DO"/>
        </w:rPr>
        <w:t xml:space="preserve"> ahorros en el presupuesto destinado</w:t>
      </w:r>
      <w:r w:rsidRPr="008C2B22">
        <w:rPr>
          <w:rFonts w:ascii="Times New Roman" w:eastAsia="Calibri" w:hAnsi="Times New Roman" w:cs="Times New Roman"/>
          <w:color w:val="4C4747"/>
          <w:spacing w:val="20"/>
          <w:sz w:val="24"/>
          <w:szCs w:val="24"/>
          <w:lang w:val="es-DO"/>
        </w:rPr>
        <w:t xml:space="preserve"> para la atención de casos que llegan a esta unidad</w:t>
      </w:r>
      <w:r w:rsidR="006D33E6"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por un monto de un millón setenta y ocho mil pesos dominicanos con 00/100 (RD$1,788,000.00). Esto gracias a los cambios realizados en el procedimiento para el manejo de las reclamaciones de los usuarios.</w:t>
      </w:r>
    </w:p>
    <w:p w14:paraId="636897D8" w14:textId="77777777" w:rsidR="00C163DA"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INDOTEL en materia de asistencia al usuario, ha hecho mejoras que </w:t>
      </w:r>
      <w:r w:rsidR="006A60A6" w:rsidRPr="008C2B22">
        <w:rPr>
          <w:rFonts w:ascii="Times New Roman" w:eastAsia="Calibri" w:hAnsi="Times New Roman" w:cs="Times New Roman"/>
          <w:color w:val="4C4747"/>
          <w:spacing w:val="20"/>
          <w:sz w:val="24"/>
          <w:szCs w:val="24"/>
          <w:lang w:val="es-DO"/>
        </w:rPr>
        <w:t>ayuda</w:t>
      </w:r>
      <w:r w:rsidR="00633C9F" w:rsidRPr="008C2B22">
        <w:rPr>
          <w:rFonts w:ascii="Times New Roman" w:eastAsia="Calibri" w:hAnsi="Times New Roman" w:cs="Times New Roman"/>
          <w:color w:val="4C4747"/>
          <w:spacing w:val="20"/>
          <w:sz w:val="24"/>
          <w:szCs w:val="24"/>
          <w:lang w:val="es-DO"/>
        </w:rPr>
        <w:t>n</w:t>
      </w:r>
      <w:r w:rsidR="006A60A6" w:rsidRPr="008C2B22">
        <w:rPr>
          <w:rFonts w:ascii="Times New Roman" w:eastAsia="Calibri" w:hAnsi="Times New Roman" w:cs="Times New Roman"/>
          <w:color w:val="4C4747"/>
          <w:spacing w:val="20"/>
          <w:sz w:val="24"/>
          <w:szCs w:val="24"/>
          <w:lang w:val="es-DO"/>
        </w:rPr>
        <w:t xml:space="preserve"> </w:t>
      </w:r>
      <w:r w:rsidR="006D33E6" w:rsidRPr="008C2B22">
        <w:rPr>
          <w:rFonts w:ascii="Times New Roman" w:eastAsia="Calibri" w:hAnsi="Times New Roman" w:cs="Times New Roman"/>
          <w:color w:val="4C4747"/>
          <w:spacing w:val="20"/>
          <w:sz w:val="24"/>
          <w:szCs w:val="24"/>
          <w:lang w:val="es-DO"/>
        </w:rPr>
        <w:t xml:space="preserve">a </w:t>
      </w:r>
      <w:r w:rsidRPr="008C2B22">
        <w:rPr>
          <w:rFonts w:ascii="Times New Roman" w:eastAsia="Calibri" w:hAnsi="Times New Roman" w:cs="Times New Roman"/>
          <w:color w:val="4C4747"/>
          <w:spacing w:val="20"/>
          <w:sz w:val="24"/>
          <w:szCs w:val="24"/>
          <w:lang w:val="es-DO"/>
        </w:rPr>
        <w:t>abordar a las prestadoras de servicios públicos de telecomunicaciones desde el primer contacto</w:t>
      </w:r>
      <w:r w:rsidR="006D33E6"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haciendo el planteamiento del caso expuesto por el usuario a los soportes para el análisis del caso y tratar de tener una respuesta en ese primer acercamiento.</w:t>
      </w:r>
      <w:r w:rsidR="00F91343" w:rsidRPr="008C2B22">
        <w:rPr>
          <w:rFonts w:ascii="Times New Roman" w:eastAsia="Calibri" w:hAnsi="Times New Roman" w:cs="Times New Roman"/>
          <w:color w:val="4C4747"/>
          <w:spacing w:val="20"/>
          <w:sz w:val="24"/>
          <w:szCs w:val="24"/>
          <w:lang w:val="es-DO"/>
        </w:rPr>
        <w:t xml:space="preserve"> </w:t>
      </w:r>
    </w:p>
    <w:p w14:paraId="3DB3BAFE" w14:textId="34B0E974" w:rsidR="00DD5A1B"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Así como también dando respuestas correctas y educando a los usuarios cuando </w:t>
      </w:r>
      <w:r w:rsidR="00F91343" w:rsidRPr="008C2B22">
        <w:rPr>
          <w:rFonts w:ascii="Times New Roman" w:eastAsia="Calibri" w:hAnsi="Times New Roman" w:cs="Times New Roman"/>
          <w:color w:val="4C4747"/>
          <w:spacing w:val="20"/>
          <w:sz w:val="24"/>
          <w:szCs w:val="24"/>
          <w:lang w:val="es-DO"/>
        </w:rPr>
        <w:t>se</w:t>
      </w:r>
      <w:r w:rsidRPr="008C2B22">
        <w:rPr>
          <w:rFonts w:ascii="Times New Roman" w:eastAsia="Calibri" w:hAnsi="Times New Roman" w:cs="Times New Roman"/>
          <w:color w:val="4C4747"/>
          <w:spacing w:val="20"/>
          <w:sz w:val="24"/>
          <w:szCs w:val="24"/>
          <w:lang w:val="es-DO"/>
        </w:rPr>
        <w:t xml:space="preserve"> presentan casos que ya están regulados en</w:t>
      </w:r>
      <w:r w:rsidR="006D33E6" w:rsidRPr="008C2B22">
        <w:rPr>
          <w:rFonts w:ascii="Times New Roman" w:eastAsia="Calibri" w:hAnsi="Times New Roman" w:cs="Times New Roman"/>
          <w:color w:val="4C4747"/>
          <w:spacing w:val="20"/>
          <w:sz w:val="24"/>
          <w:szCs w:val="24"/>
          <w:lang w:val="es-DO"/>
        </w:rPr>
        <w:t xml:space="preserve"> algunas de</w:t>
      </w:r>
      <w:r w:rsidR="00C163DA" w:rsidRPr="008C2B22">
        <w:rPr>
          <w:rFonts w:ascii="Times New Roman" w:eastAsia="Calibri" w:hAnsi="Times New Roman" w:cs="Times New Roman"/>
          <w:color w:val="4C4747"/>
          <w:spacing w:val="20"/>
          <w:sz w:val="24"/>
          <w:szCs w:val="24"/>
          <w:lang w:val="es-DO"/>
        </w:rPr>
        <w:t xml:space="preserve"> las</w:t>
      </w:r>
      <w:r w:rsidR="006D33E6" w:rsidRPr="008C2B22">
        <w:rPr>
          <w:rFonts w:ascii="Times New Roman" w:eastAsia="Calibri" w:hAnsi="Times New Roman" w:cs="Times New Roman"/>
          <w:color w:val="4C4747"/>
          <w:spacing w:val="20"/>
          <w:sz w:val="24"/>
          <w:szCs w:val="24"/>
          <w:lang w:val="es-DO"/>
        </w:rPr>
        <w:t xml:space="preserve"> normativas;</w:t>
      </w:r>
      <w:r w:rsidRPr="008C2B22">
        <w:rPr>
          <w:rFonts w:ascii="Times New Roman" w:eastAsia="Calibri" w:hAnsi="Times New Roman" w:cs="Times New Roman"/>
          <w:color w:val="4C4747"/>
          <w:spacing w:val="20"/>
          <w:sz w:val="24"/>
          <w:szCs w:val="24"/>
          <w:lang w:val="es-DO"/>
        </w:rPr>
        <w:t xml:space="preserve"> estos cambios se han visto reflejados en la cantidad de casos recibidos, logrando que los casos que se fo</w:t>
      </w:r>
      <w:r w:rsidR="00633C9F" w:rsidRPr="008C2B22">
        <w:rPr>
          <w:rFonts w:ascii="Times New Roman" w:eastAsia="Calibri" w:hAnsi="Times New Roman" w:cs="Times New Roman"/>
          <w:color w:val="4C4747"/>
          <w:spacing w:val="20"/>
          <w:sz w:val="24"/>
          <w:szCs w:val="24"/>
          <w:lang w:val="es-DO"/>
        </w:rPr>
        <w:t xml:space="preserve">rmalizan se reduzcan en más de </w:t>
      </w:r>
      <w:r w:rsidRPr="008C2B22">
        <w:rPr>
          <w:rFonts w:ascii="Times New Roman" w:eastAsia="Calibri" w:hAnsi="Times New Roman" w:cs="Times New Roman"/>
          <w:color w:val="4C4747"/>
          <w:spacing w:val="20"/>
          <w:sz w:val="24"/>
          <w:szCs w:val="24"/>
          <w:lang w:val="es-DO"/>
        </w:rPr>
        <w:t xml:space="preserve">un 70%. </w:t>
      </w:r>
    </w:p>
    <w:p w14:paraId="1E63A37E" w14:textId="77777777" w:rsidR="006D33E6" w:rsidRPr="008C2B22" w:rsidRDefault="006D33E6"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C</w:t>
      </w:r>
      <w:r w:rsidR="00DD5A1B" w:rsidRPr="008C2B22">
        <w:rPr>
          <w:rFonts w:ascii="Times New Roman" w:eastAsia="Calibri" w:hAnsi="Times New Roman" w:cs="Times New Roman"/>
          <w:color w:val="4C4747"/>
          <w:spacing w:val="20"/>
          <w:sz w:val="24"/>
          <w:szCs w:val="24"/>
          <w:lang w:val="es-DO"/>
        </w:rPr>
        <w:t xml:space="preserve">omo parte de la labor de </w:t>
      </w:r>
      <w:r w:rsidRPr="008C2B22">
        <w:rPr>
          <w:rFonts w:ascii="Times New Roman" w:eastAsia="Calibri" w:hAnsi="Times New Roman" w:cs="Times New Roman"/>
          <w:color w:val="4C4747"/>
          <w:spacing w:val="20"/>
          <w:sz w:val="24"/>
          <w:szCs w:val="24"/>
          <w:lang w:val="es-DO"/>
        </w:rPr>
        <w:t xml:space="preserve">la </w:t>
      </w:r>
      <w:r w:rsidR="00DD5A1B" w:rsidRPr="008C2B22">
        <w:rPr>
          <w:rFonts w:ascii="Times New Roman" w:eastAsia="Calibri" w:hAnsi="Times New Roman" w:cs="Times New Roman"/>
          <w:color w:val="4C4747"/>
          <w:spacing w:val="20"/>
          <w:sz w:val="24"/>
          <w:szCs w:val="24"/>
          <w:lang w:val="es-DO"/>
        </w:rPr>
        <w:t xml:space="preserve">protección a los usuarios se realizan </w:t>
      </w:r>
      <w:r w:rsidRPr="008C2B22">
        <w:rPr>
          <w:rFonts w:ascii="Times New Roman" w:eastAsia="Calibri" w:hAnsi="Times New Roman" w:cs="Times New Roman"/>
          <w:color w:val="4C4747"/>
          <w:spacing w:val="20"/>
          <w:sz w:val="24"/>
          <w:szCs w:val="24"/>
          <w:lang w:val="es-DO"/>
        </w:rPr>
        <w:t xml:space="preserve">además, </w:t>
      </w:r>
      <w:r w:rsidR="00DD5A1B" w:rsidRPr="008C2B22">
        <w:rPr>
          <w:rFonts w:ascii="Times New Roman" w:eastAsia="Calibri" w:hAnsi="Times New Roman" w:cs="Times New Roman"/>
          <w:color w:val="4C4747"/>
          <w:spacing w:val="20"/>
          <w:sz w:val="24"/>
          <w:szCs w:val="24"/>
          <w:lang w:val="es-DO"/>
        </w:rPr>
        <w:t xml:space="preserve">fiscalizaciones todo el año a los dealers y tiendas de las prestadoras para velar por el cumplimiento de las diferentes normas establecidas. </w:t>
      </w:r>
    </w:p>
    <w:p w14:paraId="33197FA3" w14:textId="756815CF" w:rsidR="00DD5A1B" w:rsidRPr="008C2B22" w:rsidRDefault="006D33E6"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el perí</w:t>
      </w:r>
      <w:r w:rsidR="00DD5A1B" w:rsidRPr="008C2B22">
        <w:rPr>
          <w:rFonts w:ascii="Times New Roman" w:eastAsia="Calibri" w:hAnsi="Times New Roman" w:cs="Times New Roman"/>
          <w:color w:val="4C4747"/>
          <w:spacing w:val="20"/>
          <w:sz w:val="24"/>
          <w:szCs w:val="24"/>
          <w:lang w:val="es-DO"/>
        </w:rPr>
        <w:t xml:space="preserve">odo enero – </w:t>
      </w:r>
      <w:r w:rsidR="007D0AAE" w:rsidRPr="008C2B22">
        <w:rPr>
          <w:rFonts w:ascii="Times New Roman" w:eastAsia="Calibri" w:hAnsi="Times New Roman" w:cs="Times New Roman"/>
          <w:color w:val="4C4747"/>
          <w:spacing w:val="20"/>
          <w:sz w:val="24"/>
          <w:szCs w:val="24"/>
          <w:lang w:val="es-DO"/>
        </w:rPr>
        <w:t>noviembre</w:t>
      </w:r>
      <w:r w:rsidR="00DD5A1B" w:rsidRPr="008C2B22">
        <w:rPr>
          <w:rFonts w:ascii="Times New Roman" w:eastAsia="Calibri" w:hAnsi="Times New Roman" w:cs="Times New Roman"/>
          <w:color w:val="4C4747"/>
          <w:spacing w:val="20"/>
          <w:sz w:val="24"/>
          <w:szCs w:val="24"/>
          <w:lang w:val="es-DO"/>
        </w:rPr>
        <w:t xml:space="preserve"> de 2022, se han realizado 111 inspecciones en diferentes puntos del país, donde </w:t>
      </w:r>
      <w:r w:rsidR="005F7DD0" w:rsidRPr="008C2B22">
        <w:rPr>
          <w:rFonts w:ascii="Times New Roman" w:eastAsia="Calibri" w:hAnsi="Times New Roman" w:cs="Times New Roman"/>
          <w:color w:val="4C4747"/>
          <w:spacing w:val="20"/>
          <w:sz w:val="24"/>
          <w:szCs w:val="24"/>
          <w:lang w:val="es-DO"/>
        </w:rPr>
        <w:t xml:space="preserve">se identificaron </w:t>
      </w:r>
      <w:r w:rsidR="00DD5A1B" w:rsidRPr="008C2B22">
        <w:rPr>
          <w:rFonts w:ascii="Times New Roman" w:eastAsia="Calibri" w:hAnsi="Times New Roman" w:cs="Times New Roman"/>
          <w:color w:val="4C4747"/>
          <w:spacing w:val="20"/>
          <w:sz w:val="24"/>
          <w:szCs w:val="24"/>
          <w:lang w:val="es-DO"/>
        </w:rPr>
        <w:t xml:space="preserve">debilidades tomadas </w:t>
      </w:r>
      <w:r w:rsidR="00F91343" w:rsidRPr="008C2B22">
        <w:rPr>
          <w:rFonts w:ascii="Times New Roman" w:eastAsia="Calibri" w:hAnsi="Times New Roman" w:cs="Times New Roman"/>
          <w:color w:val="4C4747"/>
          <w:spacing w:val="20"/>
          <w:sz w:val="24"/>
          <w:szCs w:val="24"/>
          <w:lang w:val="es-DO"/>
        </w:rPr>
        <w:t>en c</w:t>
      </w:r>
      <w:r w:rsidR="005F7DD0" w:rsidRPr="008C2B22">
        <w:rPr>
          <w:rFonts w:ascii="Times New Roman" w:eastAsia="Calibri" w:hAnsi="Times New Roman" w:cs="Times New Roman"/>
          <w:color w:val="4C4747"/>
          <w:spacing w:val="20"/>
          <w:sz w:val="24"/>
          <w:szCs w:val="24"/>
          <w:lang w:val="es-DO"/>
        </w:rPr>
        <w:t>onsideración</w:t>
      </w:r>
      <w:r w:rsidR="00F91343" w:rsidRPr="008C2B22">
        <w:rPr>
          <w:rFonts w:ascii="Times New Roman" w:eastAsia="Calibri" w:hAnsi="Times New Roman" w:cs="Times New Roman"/>
          <w:color w:val="4C4747"/>
          <w:spacing w:val="20"/>
          <w:sz w:val="24"/>
          <w:szCs w:val="24"/>
          <w:lang w:val="es-DO"/>
        </w:rPr>
        <w:t xml:space="preserve"> </w:t>
      </w:r>
      <w:r w:rsidR="00DD5A1B" w:rsidRPr="008C2B22">
        <w:rPr>
          <w:rFonts w:ascii="Times New Roman" w:eastAsia="Calibri" w:hAnsi="Times New Roman" w:cs="Times New Roman"/>
          <w:color w:val="4C4747"/>
          <w:spacing w:val="20"/>
          <w:sz w:val="24"/>
          <w:szCs w:val="24"/>
          <w:lang w:val="es-DO"/>
        </w:rPr>
        <w:t xml:space="preserve">para la creación de campañas educativas a favor de los usuarios, así como también se </w:t>
      </w:r>
      <w:r w:rsidR="005F7DD0" w:rsidRPr="008C2B22">
        <w:rPr>
          <w:rFonts w:ascii="Times New Roman" w:eastAsia="Calibri" w:hAnsi="Times New Roman" w:cs="Times New Roman"/>
          <w:color w:val="4C4747"/>
          <w:spacing w:val="20"/>
          <w:sz w:val="24"/>
          <w:szCs w:val="24"/>
          <w:lang w:val="es-DO"/>
        </w:rPr>
        <w:t>realizaron</w:t>
      </w:r>
      <w:r w:rsidR="00DD5A1B" w:rsidRPr="008C2B22">
        <w:rPr>
          <w:rFonts w:ascii="Times New Roman" w:eastAsia="Calibri" w:hAnsi="Times New Roman" w:cs="Times New Roman"/>
          <w:color w:val="4C4747"/>
          <w:spacing w:val="20"/>
          <w:sz w:val="24"/>
          <w:szCs w:val="24"/>
          <w:lang w:val="es-DO"/>
        </w:rPr>
        <w:t xml:space="preserve"> fiscalizaciones a las prestadoras para hacer cumplir con la obligación de cancelar el servicio en las tiendas en las que realizan activaciones.</w:t>
      </w:r>
    </w:p>
    <w:p w14:paraId="74425020" w14:textId="01F8DD16" w:rsidR="00DD5A1B"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Por la cantidad de fi</w:t>
      </w:r>
      <w:r w:rsidR="008A02DD" w:rsidRPr="008C2B22">
        <w:rPr>
          <w:rFonts w:ascii="Times New Roman" w:eastAsia="Calibri" w:hAnsi="Times New Roman" w:cs="Times New Roman"/>
          <w:color w:val="4C4747"/>
          <w:spacing w:val="20"/>
          <w:sz w:val="24"/>
          <w:szCs w:val="24"/>
          <w:lang w:val="es-DO"/>
        </w:rPr>
        <w:t xml:space="preserve">scalizaciones </w:t>
      </w:r>
      <w:r w:rsidR="00F027E9" w:rsidRPr="008C2B22">
        <w:rPr>
          <w:rFonts w:ascii="Times New Roman" w:eastAsia="Calibri" w:hAnsi="Times New Roman" w:cs="Times New Roman"/>
          <w:color w:val="4C4747"/>
          <w:spacing w:val="20"/>
          <w:sz w:val="24"/>
          <w:szCs w:val="24"/>
          <w:lang w:val="es-DO"/>
        </w:rPr>
        <w:t>logradas</w:t>
      </w:r>
      <w:r w:rsidR="008A02DD" w:rsidRPr="008C2B22">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color w:val="4C4747"/>
          <w:spacing w:val="20"/>
          <w:sz w:val="24"/>
          <w:szCs w:val="24"/>
          <w:lang w:val="es-DO"/>
        </w:rPr>
        <w:t xml:space="preserve">este año, se </w:t>
      </w:r>
      <w:r w:rsidR="00F027E9" w:rsidRPr="008C2B22">
        <w:rPr>
          <w:rFonts w:ascii="Times New Roman" w:eastAsia="Calibri" w:hAnsi="Times New Roman" w:cs="Times New Roman"/>
          <w:color w:val="4C4747"/>
          <w:spacing w:val="20"/>
          <w:sz w:val="24"/>
          <w:szCs w:val="24"/>
          <w:lang w:val="es-DO"/>
        </w:rPr>
        <w:t>realizaron</w:t>
      </w:r>
      <w:r w:rsidR="008A02DD" w:rsidRPr="008C2B22">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color w:val="4C4747"/>
          <w:spacing w:val="20"/>
          <w:sz w:val="24"/>
          <w:szCs w:val="24"/>
          <w:lang w:val="es-DO"/>
        </w:rPr>
        <w:t>más visitas a las prestadoras</w:t>
      </w:r>
      <w:r w:rsidR="00F027E9"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de lo que se había programado en el POA 2022, gracias a la </w:t>
      </w:r>
      <w:r w:rsidR="00F027E9" w:rsidRPr="008C2B22">
        <w:rPr>
          <w:rFonts w:ascii="Times New Roman" w:eastAsia="Calibri" w:hAnsi="Times New Roman" w:cs="Times New Roman"/>
          <w:color w:val="4C4747"/>
          <w:spacing w:val="20"/>
          <w:sz w:val="24"/>
          <w:szCs w:val="24"/>
          <w:lang w:val="es-DO"/>
        </w:rPr>
        <w:t>eficientizació</w:t>
      </w:r>
      <w:r w:rsidRPr="008C2B22">
        <w:rPr>
          <w:rFonts w:ascii="Times New Roman" w:eastAsia="Calibri" w:hAnsi="Times New Roman" w:cs="Times New Roman"/>
          <w:color w:val="4C4747"/>
          <w:spacing w:val="20"/>
          <w:sz w:val="24"/>
          <w:szCs w:val="24"/>
          <w:lang w:val="es-DO"/>
        </w:rPr>
        <w:t xml:space="preserve">n en las programaciones de las </w:t>
      </w:r>
      <w:r w:rsidR="008A02DD" w:rsidRPr="008C2B22">
        <w:rPr>
          <w:rFonts w:ascii="Times New Roman" w:eastAsia="Calibri" w:hAnsi="Times New Roman" w:cs="Times New Roman"/>
          <w:color w:val="4C4747"/>
          <w:spacing w:val="20"/>
          <w:sz w:val="24"/>
          <w:szCs w:val="24"/>
          <w:lang w:val="es-DO"/>
        </w:rPr>
        <w:t xml:space="preserve">mismas </w:t>
      </w:r>
      <w:r w:rsidRPr="008C2B22">
        <w:rPr>
          <w:rFonts w:ascii="Times New Roman" w:eastAsia="Calibri" w:hAnsi="Times New Roman" w:cs="Times New Roman"/>
          <w:color w:val="4C4747"/>
          <w:spacing w:val="20"/>
          <w:sz w:val="24"/>
          <w:szCs w:val="24"/>
          <w:lang w:val="es-DO"/>
        </w:rPr>
        <w:t xml:space="preserve">desde </w:t>
      </w:r>
      <w:r w:rsidR="008A02DD" w:rsidRPr="008C2B22">
        <w:rPr>
          <w:rFonts w:ascii="Times New Roman" w:eastAsia="Calibri" w:hAnsi="Times New Roman" w:cs="Times New Roman"/>
          <w:color w:val="4C4747"/>
          <w:spacing w:val="20"/>
          <w:sz w:val="24"/>
          <w:szCs w:val="24"/>
          <w:lang w:val="es-DO"/>
        </w:rPr>
        <w:t>la</w:t>
      </w:r>
      <w:r w:rsidRPr="008C2B22">
        <w:rPr>
          <w:rFonts w:ascii="Times New Roman" w:eastAsia="Calibri" w:hAnsi="Times New Roman" w:cs="Times New Roman"/>
          <w:color w:val="4C4747"/>
          <w:spacing w:val="20"/>
          <w:sz w:val="24"/>
          <w:szCs w:val="24"/>
          <w:lang w:val="es-DO"/>
        </w:rPr>
        <w:t xml:space="preserve"> unidad de calidad. </w:t>
      </w:r>
    </w:p>
    <w:p w14:paraId="2F08D982" w14:textId="54A26F65" w:rsidR="00DD5A1B" w:rsidRPr="008C2B22" w:rsidRDefault="00B41B8D" w:rsidP="00DD5A1B">
      <w:pPr>
        <w:spacing w:before="100" w:beforeAutospacing="1" w:after="100" w:afterAutospacing="1"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 xml:space="preserve">Proyecto de comunicación a los usuarios y usuarias </w:t>
      </w:r>
    </w:p>
    <w:p w14:paraId="018D09B3" w14:textId="2B924AF2" w:rsidR="00DD5A1B" w:rsidRPr="008C2B22" w:rsidRDefault="008A02DD"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Este</w:t>
      </w:r>
      <w:r w:rsidR="00DD5A1B" w:rsidRPr="008C2B22">
        <w:rPr>
          <w:rFonts w:ascii="Times New Roman" w:eastAsia="Calibri" w:hAnsi="Times New Roman" w:cs="Times New Roman"/>
          <w:color w:val="4C4747"/>
          <w:spacing w:val="20"/>
          <w:sz w:val="24"/>
          <w:szCs w:val="24"/>
          <w:lang w:val="es-DO"/>
        </w:rPr>
        <w:t xml:space="preserve"> año </w:t>
      </w:r>
      <w:r w:rsidRPr="008C2B22">
        <w:rPr>
          <w:rFonts w:ascii="Times New Roman" w:eastAsia="Calibri" w:hAnsi="Times New Roman" w:cs="Times New Roman"/>
          <w:color w:val="4C4747"/>
          <w:spacing w:val="20"/>
          <w:sz w:val="24"/>
          <w:szCs w:val="24"/>
          <w:lang w:val="es-DO"/>
        </w:rPr>
        <w:t>se realizó el</w:t>
      </w:r>
      <w:r w:rsidR="00DD5A1B" w:rsidRPr="008C2B22">
        <w:rPr>
          <w:rFonts w:ascii="Times New Roman" w:eastAsia="Calibri" w:hAnsi="Times New Roman" w:cs="Times New Roman"/>
          <w:color w:val="4C4747"/>
          <w:spacing w:val="20"/>
          <w:sz w:val="24"/>
          <w:szCs w:val="24"/>
          <w:lang w:val="es-DO"/>
        </w:rPr>
        <w:t xml:space="preserve"> lanzamiento del proyecto INDOTEL TE INCLUYE</w:t>
      </w:r>
      <w:r w:rsidR="008D7EF9" w:rsidRPr="008C2B22">
        <w:rPr>
          <w:rFonts w:ascii="Times New Roman" w:eastAsia="Calibri" w:hAnsi="Times New Roman" w:cs="Times New Roman"/>
          <w:color w:val="4C4747"/>
          <w:spacing w:val="20"/>
          <w:sz w:val="24"/>
          <w:szCs w:val="24"/>
          <w:lang w:val="es-DO"/>
        </w:rPr>
        <w:t>, que</w:t>
      </w:r>
      <w:r w:rsidR="00DD5A1B" w:rsidRPr="008C2B22">
        <w:rPr>
          <w:rFonts w:ascii="Times New Roman" w:eastAsia="Calibri" w:hAnsi="Times New Roman" w:cs="Times New Roman"/>
          <w:color w:val="4C4747"/>
          <w:spacing w:val="20"/>
          <w:sz w:val="24"/>
          <w:szCs w:val="24"/>
          <w:lang w:val="es-DO"/>
        </w:rPr>
        <w:t xml:space="preserve"> </w:t>
      </w:r>
      <w:r w:rsidR="008D7EF9" w:rsidRPr="008C2B22">
        <w:rPr>
          <w:rFonts w:ascii="Times New Roman" w:eastAsia="Calibri" w:hAnsi="Times New Roman" w:cs="Times New Roman"/>
          <w:color w:val="4C4747"/>
          <w:spacing w:val="20"/>
          <w:sz w:val="24"/>
          <w:szCs w:val="24"/>
          <w:lang w:val="es-DO"/>
        </w:rPr>
        <w:t>permite a los usuario</w:t>
      </w:r>
      <w:r w:rsidR="00F027E9" w:rsidRPr="008C2B22">
        <w:rPr>
          <w:rFonts w:ascii="Times New Roman" w:eastAsia="Calibri" w:hAnsi="Times New Roman" w:cs="Times New Roman"/>
          <w:color w:val="4C4747"/>
          <w:spacing w:val="20"/>
          <w:sz w:val="24"/>
          <w:szCs w:val="24"/>
          <w:lang w:val="es-DO"/>
        </w:rPr>
        <w:t>s</w:t>
      </w:r>
      <w:r w:rsidR="008D7EF9" w:rsidRPr="008C2B22">
        <w:rPr>
          <w:rFonts w:ascii="Times New Roman" w:eastAsia="Calibri" w:hAnsi="Times New Roman" w:cs="Times New Roman"/>
          <w:color w:val="4C4747"/>
          <w:spacing w:val="20"/>
          <w:sz w:val="24"/>
          <w:szCs w:val="24"/>
          <w:lang w:val="es-DO"/>
        </w:rPr>
        <w:t>, usuarias</w:t>
      </w:r>
      <w:r w:rsidR="00DD5A1B" w:rsidRPr="008C2B22">
        <w:rPr>
          <w:rFonts w:ascii="Times New Roman" w:eastAsia="Calibri" w:hAnsi="Times New Roman" w:cs="Times New Roman"/>
          <w:color w:val="4C4747"/>
          <w:spacing w:val="20"/>
          <w:sz w:val="24"/>
          <w:szCs w:val="24"/>
          <w:lang w:val="es-DO"/>
        </w:rPr>
        <w:t xml:space="preserve"> </w:t>
      </w:r>
      <w:r w:rsidR="008D7EF9" w:rsidRPr="008C2B22">
        <w:rPr>
          <w:rFonts w:ascii="Times New Roman" w:eastAsia="Calibri" w:hAnsi="Times New Roman" w:cs="Times New Roman"/>
          <w:color w:val="4C4747"/>
          <w:spacing w:val="20"/>
          <w:sz w:val="24"/>
          <w:szCs w:val="24"/>
          <w:lang w:val="es-DO"/>
        </w:rPr>
        <w:t>y</w:t>
      </w:r>
      <w:r w:rsidR="00DD5A1B" w:rsidRPr="008C2B22">
        <w:rPr>
          <w:rFonts w:ascii="Times New Roman" w:eastAsia="Calibri" w:hAnsi="Times New Roman" w:cs="Times New Roman"/>
          <w:color w:val="4C4747"/>
          <w:spacing w:val="20"/>
          <w:sz w:val="24"/>
          <w:szCs w:val="24"/>
          <w:lang w:val="es-DO"/>
        </w:rPr>
        <w:t xml:space="preserve"> a las prestadoras </w:t>
      </w:r>
      <w:r w:rsidR="008D7EF9" w:rsidRPr="008C2B22">
        <w:rPr>
          <w:rFonts w:ascii="Times New Roman" w:eastAsia="Calibri" w:hAnsi="Times New Roman" w:cs="Times New Roman"/>
          <w:color w:val="4C4747"/>
          <w:spacing w:val="20"/>
          <w:sz w:val="24"/>
          <w:szCs w:val="24"/>
          <w:lang w:val="es-DO"/>
        </w:rPr>
        <w:t>tener</w:t>
      </w:r>
      <w:r w:rsidR="00DD5A1B" w:rsidRPr="008C2B22">
        <w:rPr>
          <w:rFonts w:ascii="Times New Roman" w:eastAsia="Calibri" w:hAnsi="Times New Roman" w:cs="Times New Roman"/>
          <w:color w:val="4C4747"/>
          <w:spacing w:val="20"/>
          <w:sz w:val="24"/>
          <w:szCs w:val="24"/>
          <w:lang w:val="es-DO"/>
        </w:rPr>
        <w:t xml:space="preserve"> acceso al servicio e informa</w:t>
      </w:r>
      <w:r w:rsidR="008D7EF9" w:rsidRPr="008C2B22">
        <w:rPr>
          <w:rFonts w:ascii="Times New Roman" w:eastAsia="Calibri" w:hAnsi="Times New Roman" w:cs="Times New Roman"/>
          <w:color w:val="4C4747"/>
          <w:spacing w:val="20"/>
          <w:sz w:val="24"/>
          <w:szCs w:val="24"/>
          <w:lang w:val="es-DO"/>
        </w:rPr>
        <w:t>ción en igualdad de condiciones, incluyendo</w:t>
      </w:r>
      <w:r w:rsidR="00DD5A1B" w:rsidRPr="008C2B22">
        <w:rPr>
          <w:rFonts w:ascii="Times New Roman" w:eastAsia="Calibri" w:hAnsi="Times New Roman" w:cs="Times New Roman"/>
          <w:color w:val="4C4747"/>
          <w:spacing w:val="20"/>
          <w:sz w:val="24"/>
          <w:szCs w:val="24"/>
          <w:lang w:val="es-DO"/>
        </w:rPr>
        <w:t xml:space="preserve"> </w:t>
      </w:r>
      <w:r w:rsidR="008D7EF9" w:rsidRPr="008C2B22">
        <w:rPr>
          <w:rFonts w:ascii="Times New Roman" w:eastAsia="Calibri" w:hAnsi="Times New Roman" w:cs="Times New Roman"/>
          <w:color w:val="4C4747"/>
          <w:spacing w:val="20"/>
          <w:sz w:val="24"/>
          <w:szCs w:val="24"/>
          <w:lang w:val="es-DO"/>
        </w:rPr>
        <w:t>a</w:t>
      </w:r>
      <w:r w:rsidR="00DD5A1B" w:rsidRPr="008C2B22">
        <w:rPr>
          <w:rFonts w:ascii="Times New Roman" w:eastAsia="Calibri" w:hAnsi="Times New Roman" w:cs="Times New Roman"/>
          <w:color w:val="4C4747"/>
          <w:spacing w:val="20"/>
          <w:sz w:val="24"/>
          <w:szCs w:val="24"/>
          <w:lang w:val="es-DO"/>
        </w:rPr>
        <w:t xml:space="preserve"> los usuarios y usuarias con discapacidad visual y auditiva.</w:t>
      </w:r>
    </w:p>
    <w:p w14:paraId="1AB9D7B8" w14:textId="1DF0E26C" w:rsidR="00DD5A1B" w:rsidRPr="008C2B22" w:rsidRDefault="00DD5A1B" w:rsidP="00DD5A1B">
      <w:p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 continuación</w:t>
      </w:r>
      <w:r w:rsidR="00C163DA"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las campañas realizadas entre enero – </w:t>
      </w:r>
      <w:r w:rsidR="00A911D8" w:rsidRPr="008C2B22">
        <w:rPr>
          <w:rFonts w:ascii="Times New Roman" w:eastAsia="Calibri" w:hAnsi="Times New Roman" w:cs="Times New Roman"/>
          <w:color w:val="4C4747"/>
          <w:spacing w:val="20"/>
          <w:sz w:val="24"/>
          <w:szCs w:val="24"/>
          <w:lang w:val="es-DO"/>
        </w:rPr>
        <w:t>noviembre</w:t>
      </w:r>
      <w:r w:rsidRPr="008C2B22">
        <w:rPr>
          <w:rFonts w:ascii="Times New Roman" w:eastAsia="Calibri" w:hAnsi="Times New Roman" w:cs="Times New Roman"/>
          <w:color w:val="4C4747"/>
          <w:spacing w:val="20"/>
          <w:sz w:val="24"/>
          <w:szCs w:val="24"/>
          <w:lang w:val="es-DO"/>
        </w:rPr>
        <w:t xml:space="preserve"> 2022</w:t>
      </w:r>
      <w:r w:rsidR="008C2B22">
        <w:rPr>
          <w:rFonts w:ascii="Times New Roman" w:eastAsia="Calibri" w:hAnsi="Times New Roman" w:cs="Times New Roman"/>
          <w:color w:val="4C4747"/>
          <w:spacing w:val="20"/>
          <w:sz w:val="24"/>
          <w:szCs w:val="24"/>
          <w:lang w:val="es-DO"/>
        </w:rPr>
        <w:t>:</w:t>
      </w:r>
    </w:p>
    <w:p w14:paraId="66957074" w14:textId="535FFB95" w:rsidR="00DD5A1B" w:rsidRPr="008C2B22" w:rsidRDefault="00DD5A1B" w:rsidP="00A02BDE">
      <w:pPr>
        <w:pStyle w:val="Prrafodelista"/>
        <w:numPr>
          <w:ilvl w:val="0"/>
          <w:numId w:val="6"/>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Optimiza tu paquetico; el mismo consistía en enseñar a los usuarios distintos tips para </w:t>
      </w:r>
      <w:r w:rsidR="008C2B22">
        <w:rPr>
          <w:rFonts w:ascii="Times New Roman" w:eastAsia="Calibri" w:hAnsi="Times New Roman" w:cs="Times New Roman"/>
          <w:color w:val="4C4747"/>
          <w:spacing w:val="20"/>
          <w:sz w:val="24"/>
          <w:szCs w:val="24"/>
          <w:lang w:val="es-DO"/>
        </w:rPr>
        <w:t>la optimización de la data.</w:t>
      </w:r>
    </w:p>
    <w:p w14:paraId="0E0809D8" w14:textId="244360B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Campaña sobre apagón 2G y 3 G </w:t>
      </w:r>
      <w:r w:rsidR="008C2B22">
        <w:rPr>
          <w:rFonts w:ascii="Times New Roman" w:eastAsia="Calibri" w:hAnsi="Times New Roman" w:cs="Times New Roman"/>
          <w:color w:val="4C4747"/>
          <w:spacing w:val="20"/>
          <w:sz w:val="24"/>
          <w:szCs w:val="24"/>
          <w:lang w:val="es-DO"/>
        </w:rPr>
        <w:t>en los Estados Unidos (Roaming).</w:t>
      </w:r>
    </w:p>
    <w:p w14:paraId="656E4A48" w14:textId="47E2214D"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Campaña sobre deberes de los usu</w:t>
      </w:r>
      <w:r w:rsidR="008C2B22">
        <w:rPr>
          <w:rFonts w:ascii="Times New Roman" w:eastAsia="Calibri" w:hAnsi="Times New Roman" w:cs="Times New Roman"/>
          <w:color w:val="4C4747"/>
          <w:spacing w:val="20"/>
          <w:sz w:val="24"/>
          <w:szCs w:val="24"/>
          <w:lang w:val="es-DO"/>
        </w:rPr>
        <w:t>arios de las telecomunicaciones.</w:t>
      </w:r>
    </w:p>
    <w:p w14:paraId="53248971" w14:textId="3DC94C87" w:rsidR="00DD5A1B" w:rsidRPr="008C2B22" w:rsidRDefault="008C2B22"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Campaña en conjunto de la R</w:t>
      </w:r>
      <w:r w:rsidR="00DD5A1B" w:rsidRPr="008C2B22">
        <w:rPr>
          <w:rFonts w:ascii="Times New Roman" w:eastAsia="Calibri" w:hAnsi="Times New Roman" w:cs="Times New Roman"/>
          <w:color w:val="4C4747"/>
          <w:spacing w:val="20"/>
          <w:sz w:val="24"/>
          <w:szCs w:val="24"/>
          <w:lang w:val="es-DO"/>
        </w:rPr>
        <w:t xml:space="preserve">es. </w:t>
      </w:r>
      <w:r>
        <w:rPr>
          <w:rFonts w:ascii="Times New Roman" w:eastAsia="Calibri" w:hAnsi="Times New Roman" w:cs="Times New Roman"/>
          <w:color w:val="4C4747"/>
          <w:spacing w:val="20"/>
          <w:sz w:val="24"/>
          <w:szCs w:val="24"/>
          <w:lang w:val="es-DO"/>
        </w:rPr>
        <w:t xml:space="preserve">Núm. </w:t>
      </w:r>
      <w:r w:rsidR="00DD5A1B" w:rsidRPr="008C2B22">
        <w:rPr>
          <w:rFonts w:ascii="Times New Roman" w:eastAsia="Calibri" w:hAnsi="Times New Roman" w:cs="Times New Roman"/>
          <w:color w:val="4C4747"/>
          <w:spacing w:val="20"/>
          <w:sz w:val="24"/>
          <w:szCs w:val="24"/>
          <w:lang w:val="es-DO"/>
        </w:rPr>
        <w:t>041-2020</w:t>
      </w:r>
    </w:p>
    <w:p w14:paraId="3BB9935C" w14:textId="133A2AE4" w:rsidR="00DD5A1B" w:rsidRPr="008C2B22" w:rsidRDefault="008C2B22"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Ciberseguridad</w:t>
      </w:r>
    </w:p>
    <w:p w14:paraId="59570C0F"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Réplicas de contenido de ciberacoso @indotelrd</w:t>
      </w:r>
    </w:p>
    <w:p w14:paraId="7B767AE8" w14:textId="1C7CD69A"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Preguntas frecuentes sobre la</w:t>
      </w:r>
      <w:r w:rsidR="008C2B22">
        <w:rPr>
          <w:rFonts w:ascii="Times New Roman" w:eastAsia="Calibri" w:hAnsi="Times New Roman" w:cs="Times New Roman"/>
          <w:color w:val="4C4747"/>
          <w:spacing w:val="20"/>
          <w:sz w:val="24"/>
          <w:szCs w:val="24"/>
          <w:lang w:val="es-DO"/>
        </w:rPr>
        <w:t xml:space="preserve"> Res. Núm. </w:t>
      </w:r>
      <w:r w:rsidRPr="008C2B22">
        <w:rPr>
          <w:rFonts w:ascii="Times New Roman" w:eastAsia="Calibri" w:hAnsi="Times New Roman" w:cs="Times New Roman"/>
          <w:color w:val="4C4747"/>
          <w:spacing w:val="20"/>
          <w:sz w:val="24"/>
          <w:szCs w:val="24"/>
          <w:lang w:val="es-DO"/>
        </w:rPr>
        <w:t xml:space="preserve"> 041-2020</w:t>
      </w:r>
    </w:p>
    <w:p w14:paraId="0B55FFDC"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Seguimiento Ciberacoso</w:t>
      </w:r>
    </w:p>
    <w:p w14:paraId="7D454BD9" w14:textId="4AA29E78" w:rsidR="00DD5A1B" w:rsidRPr="008C2B22" w:rsidRDefault="008C2B22"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Créditos por averías</w:t>
      </w:r>
    </w:p>
    <w:p w14:paraId="667BB51F" w14:textId="764515BD" w:rsidR="00DD5A1B" w:rsidRPr="008C2B22" w:rsidRDefault="008C2B22"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Campaña conoce tus facturas</w:t>
      </w:r>
    </w:p>
    <w:p w14:paraId="32E058AE"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Aniversario de @apoyoindotelrd y publicación del día de las telecomunicaciones.</w:t>
      </w:r>
    </w:p>
    <w:p w14:paraId="63B6CCB2"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Qué hacer si recibes el SMS de IMEI inválido.</w:t>
      </w:r>
    </w:p>
    <w:p w14:paraId="76D7BF6C"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Campaña de concientización y sobre inclusión.</w:t>
      </w:r>
    </w:p>
    <w:p w14:paraId="4DD78E9D"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Lanzamiento de la carta de Derechos y Deberes de los usuarios y usuarias de los servicios de telecomunicaciones para personas con discapacidad visual y auditiva.</w:t>
      </w:r>
    </w:p>
    <w:p w14:paraId="61870AF4"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Tecnología inclusiva</w:t>
      </w:r>
    </w:p>
    <w:p w14:paraId="14BC1E64" w14:textId="77777777" w:rsidR="00DD5A1B" w:rsidRPr="008C2B22" w:rsidRDefault="00DD5A1B" w:rsidP="00A02BDE">
      <w:pPr>
        <w:pStyle w:val="Prrafodelista"/>
        <w:numPr>
          <w:ilvl w:val="0"/>
          <w:numId w:val="4"/>
        </w:numPr>
        <w:spacing w:before="100" w:beforeAutospacing="1" w:after="100" w:afterAutospacing="1"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¿Cómo saber si tengo líneas activadas sin mi consentimiento?</w:t>
      </w:r>
    </w:p>
    <w:p w14:paraId="654B8441" w14:textId="26B9716E" w:rsidR="00BE6A84" w:rsidRPr="008C2B22" w:rsidRDefault="00DD5A1B" w:rsidP="00650DCD">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transcurso </w:t>
      </w:r>
      <w:r w:rsidR="00904AC5" w:rsidRPr="008C2B22">
        <w:rPr>
          <w:rFonts w:ascii="Times New Roman" w:eastAsia="Calibri" w:hAnsi="Times New Roman" w:cs="Times New Roman"/>
          <w:color w:val="4C4747"/>
          <w:spacing w:val="20"/>
          <w:sz w:val="24"/>
          <w:szCs w:val="24"/>
          <w:lang w:val="es-DO"/>
        </w:rPr>
        <w:t>del año</w:t>
      </w:r>
      <w:r w:rsidRPr="008C2B22">
        <w:rPr>
          <w:rFonts w:ascii="Times New Roman" w:eastAsia="Calibri" w:hAnsi="Times New Roman" w:cs="Times New Roman"/>
          <w:color w:val="4C4747"/>
          <w:spacing w:val="20"/>
          <w:sz w:val="24"/>
          <w:szCs w:val="24"/>
          <w:lang w:val="es-DO"/>
        </w:rPr>
        <w:t xml:space="preserve"> 2022 </w:t>
      </w:r>
      <w:r w:rsidR="008C2B22">
        <w:rPr>
          <w:rFonts w:ascii="Times New Roman" w:eastAsia="Calibri" w:hAnsi="Times New Roman" w:cs="Times New Roman"/>
          <w:color w:val="4C4747"/>
          <w:spacing w:val="20"/>
          <w:sz w:val="24"/>
          <w:szCs w:val="24"/>
          <w:lang w:val="es-DO"/>
        </w:rPr>
        <w:t>fueron realizadas</w:t>
      </w:r>
      <w:r w:rsidRPr="008C2B22">
        <w:rPr>
          <w:rFonts w:ascii="Times New Roman" w:eastAsia="Calibri" w:hAnsi="Times New Roman" w:cs="Times New Roman"/>
          <w:color w:val="4C4747"/>
          <w:spacing w:val="20"/>
          <w:sz w:val="24"/>
          <w:szCs w:val="24"/>
          <w:lang w:val="es-DO"/>
        </w:rPr>
        <w:t xml:space="preserve"> 24</w:t>
      </w:r>
      <w:r w:rsidR="00904AC5" w:rsidRPr="008C2B22">
        <w:rPr>
          <w:rFonts w:ascii="Times New Roman" w:eastAsia="Calibri" w:hAnsi="Times New Roman" w:cs="Times New Roman"/>
          <w:color w:val="4C4747"/>
          <w:spacing w:val="20"/>
          <w:sz w:val="24"/>
          <w:szCs w:val="24"/>
          <w:lang w:val="es-DO"/>
        </w:rPr>
        <w:t xml:space="preserve"> charlas sobre: </w:t>
      </w:r>
      <w:r w:rsidR="008C2B22">
        <w:rPr>
          <w:rFonts w:ascii="Times New Roman" w:eastAsia="Calibri" w:hAnsi="Times New Roman" w:cs="Times New Roman"/>
          <w:color w:val="4C4747"/>
          <w:spacing w:val="20"/>
          <w:sz w:val="24"/>
          <w:szCs w:val="24"/>
          <w:lang w:val="es-DO"/>
        </w:rPr>
        <w:t xml:space="preserve">La </w:t>
      </w:r>
      <w:r w:rsidR="00904AC5" w:rsidRPr="008C2B22">
        <w:rPr>
          <w:rFonts w:ascii="Times New Roman" w:eastAsia="Calibri" w:hAnsi="Times New Roman" w:cs="Times New Roman"/>
          <w:color w:val="4C4747"/>
          <w:spacing w:val="20"/>
          <w:sz w:val="24"/>
          <w:szCs w:val="24"/>
          <w:lang w:val="es-DO"/>
        </w:rPr>
        <w:t xml:space="preserve">Resolución </w:t>
      </w:r>
      <w:r w:rsidR="00C163DA" w:rsidRPr="008C2B22">
        <w:rPr>
          <w:rFonts w:ascii="Times New Roman" w:eastAsia="Calibri" w:hAnsi="Times New Roman" w:cs="Times New Roman"/>
          <w:color w:val="4C4747"/>
          <w:spacing w:val="20"/>
          <w:sz w:val="24"/>
          <w:szCs w:val="24"/>
          <w:lang w:val="es-DO"/>
        </w:rPr>
        <w:t xml:space="preserve">número </w:t>
      </w:r>
      <w:r w:rsidR="00904AC5" w:rsidRPr="008C2B22">
        <w:rPr>
          <w:rFonts w:ascii="Times New Roman" w:eastAsia="Calibri" w:hAnsi="Times New Roman" w:cs="Times New Roman"/>
          <w:color w:val="4C4747"/>
          <w:spacing w:val="20"/>
          <w:sz w:val="24"/>
          <w:szCs w:val="24"/>
          <w:lang w:val="es-DO"/>
        </w:rPr>
        <w:t>04</w:t>
      </w:r>
      <w:r w:rsidR="00C163DA" w:rsidRPr="008C2B22">
        <w:rPr>
          <w:rFonts w:ascii="Times New Roman" w:eastAsia="Calibri" w:hAnsi="Times New Roman" w:cs="Times New Roman"/>
          <w:color w:val="4C4747"/>
          <w:spacing w:val="20"/>
          <w:sz w:val="24"/>
          <w:szCs w:val="24"/>
          <w:lang w:val="es-DO"/>
        </w:rPr>
        <w:t>1-2020 (sobre series negadas), t</w:t>
      </w:r>
      <w:r w:rsidR="008C2B22">
        <w:rPr>
          <w:rFonts w:ascii="Times New Roman" w:eastAsia="Calibri" w:hAnsi="Times New Roman" w:cs="Times New Roman"/>
          <w:color w:val="4C4747"/>
          <w:spacing w:val="20"/>
          <w:sz w:val="24"/>
          <w:szCs w:val="24"/>
          <w:lang w:val="es-DO"/>
        </w:rPr>
        <w:t>aller de tecnología 5G, derechos y d</w:t>
      </w:r>
      <w:r w:rsidR="00904AC5" w:rsidRPr="008C2B22">
        <w:rPr>
          <w:rFonts w:ascii="Times New Roman" w:eastAsia="Calibri" w:hAnsi="Times New Roman" w:cs="Times New Roman"/>
          <w:color w:val="4C4747"/>
          <w:spacing w:val="20"/>
          <w:sz w:val="24"/>
          <w:szCs w:val="24"/>
          <w:lang w:val="es-DO"/>
        </w:rPr>
        <w:t>eberes</w:t>
      </w:r>
      <w:r w:rsidR="00B00E23" w:rsidRPr="008C2B22">
        <w:rPr>
          <w:rFonts w:ascii="Times New Roman" w:eastAsia="Calibri" w:hAnsi="Times New Roman" w:cs="Times New Roman"/>
          <w:color w:val="4C4747"/>
          <w:spacing w:val="20"/>
          <w:sz w:val="24"/>
          <w:szCs w:val="24"/>
          <w:lang w:val="es-DO"/>
        </w:rPr>
        <w:t xml:space="preserve"> de los usuarios, contratación y activación de servicios de telecomunicaciones, </w:t>
      </w:r>
      <w:r w:rsidR="00904AC5" w:rsidRPr="008C2B22">
        <w:rPr>
          <w:rFonts w:ascii="Times New Roman" w:eastAsia="Calibri" w:hAnsi="Times New Roman" w:cs="Times New Roman"/>
          <w:color w:val="4C4747"/>
          <w:spacing w:val="20"/>
          <w:sz w:val="24"/>
          <w:szCs w:val="24"/>
          <w:lang w:val="es-DO"/>
        </w:rPr>
        <w:t>procesos de recl</w:t>
      </w:r>
      <w:r w:rsidR="008C2B22">
        <w:rPr>
          <w:rFonts w:ascii="Times New Roman" w:eastAsia="Calibri" w:hAnsi="Times New Roman" w:cs="Times New Roman"/>
          <w:color w:val="4C4747"/>
          <w:spacing w:val="20"/>
          <w:sz w:val="24"/>
          <w:szCs w:val="24"/>
          <w:lang w:val="es-DO"/>
        </w:rPr>
        <w:t>amo y redes sociales, entre otra</w:t>
      </w:r>
      <w:r w:rsidR="00904AC5" w:rsidRPr="008C2B22">
        <w:rPr>
          <w:rFonts w:ascii="Times New Roman" w:eastAsia="Calibri" w:hAnsi="Times New Roman" w:cs="Times New Roman"/>
          <w:color w:val="4C4747"/>
          <w:spacing w:val="20"/>
          <w:sz w:val="24"/>
          <w:szCs w:val="24"/>
          <w:lang w:val="es-DO"/>
        </w:rPr>
        <w:t>s</w:t>
      </w:r>
      <w:r w:rsidRPr="008C2B22">
        <w:rPr>
          <w:rFonts w:ascii="Times New Roman" w:eastAsia="Calibri" w:hAnsi="Times New Roman" w:cs="Times New Roman"/>
          <w:color w:val="4C4747"/>
          <w:spacing w:val="20"/>
          <w:sz w:val="24"/>
          <w:szCs w:val="24"/>
          <w:lang w:val="es-DO"/>
        </w:rPr>
        <w:t xml:space="preserve">. </w:t>
      </w:r>
    </w:p>
    <w:p w14:paraId="1707B2EE" w14:textId="77777777" w:rsidR="00BE6A84" w:rsidRPr="00C62BB6" w:rsidRDefault="00BE6A84" w:rsidP="00650DCD">
      <w:pPr>
        <w:spacing w:line="360" w:lineRule="auto"/>
        <w:jc w:val="both"/>
        <w:rPr>
          <w:rFonts w:ascii="Times New Roman" w:eastAsia="Calibri" w:hAnsi="Times New Roman" w:cs="Times New Roman"/>
          <w:color w:val="4C4747"/>
          <w:spacing w:val="20"/>
          <w:sz w:val="24"/>
          <w:szCs w:val="24"/>
          <w:lang w:val="es-DO"/>
        </w:rPr>
      </w:pPr>
    </w:p>
    <w:p w14:paraId="79BF490F" w14:textId="77777777" w:rsidR="00BE6A84" w:rsidRPr="00C62BB6" w:rsidRDefault="00BE6A84" w:rsidP="00650DCD">
      <w:pPr>
        <w:spacing w:line="360" w:lineRule="auto"/>
        <w:jc w:val="both"/>
        <w:rPr>
          <w:rFonts w:ascii="Times New Roman" w:eastAsia="Calibri" w:hAnsi="Times New Roman" w:cs="Times New Roman"/>
          <w:color w:val="4C4747"/>
          <w:spacing w:val="20"/>
          <w:sz w:val="24"/>
          <w:szCs w:val="24"/>
          <w:lang w:val="es-DO"/>
        </w:rPr>
      </w:pPr>
    </w:p>
    <w:p w14:paraId="3A62B61E" w14:textId="77777777" w:rsidR="00BE6A84" w:rsidRPr="00C62BB6" w:rsidRDefault="00BE6A84" w:rsidP="00650DCD">
      <w:pPr>
        <w:spacing w:line="360" w:lineRule="auto"/>
        <w:jc w:val="both"/>
        <w:rPr>
          <w:rFonts w:ascii="Times New Roman" w:eastAsia="Calibri" w:hAnsi="Times New Roman" w:cs="Times New Roman"/>
          <w:color w:val="4C4747"/>
          <w:spacing w:val="20"/>
          <w:sz w:val="24"/>
          <w:szCs w:val="24"/>
          <w:lang w:val="es-DO"/>
        </w:rPr>
      </w:pPr>
    </w:p>
    <w:p w14:paraId="77F16580" w14:textId="77777777" w:rsidR="00BE6A84" w:rsidRPr="00C62BB6" w:rsidRDefault="00BE6A84" w:rsidP="00650DCD">
      <w:pPr>
        <w:spacing w:line="360" w:lineRule="auto"/>
        <w:jc w:val="both"/>
        <w:rPr>
          <w:rFonts w:ascii="Times New Roman" w:eastAsia="Calibri" w:hAnsi="Times New Roman" w:cs="Times New Roman"/>
          <w:color w:val="4C4747"/>
          <w:spacing w:val="20"/>
          <w:sz w:val="24"/>
          <w:szCs w:val="24"/>
          <w:lang w:val="es-DO"/>
        </w:rPr>
      </w:pPr>
    </w:p>
    <w:p w14:paraId="73169DD8" w14:textId="77777777" w:rsidR="00F93F63" w:rsidRPr="00C62BB6" w:rsidRDefault="00F93F63" w:rsidP="00650DCD">
      <w:pPr>
        <w:spacing w:line="360" w:lineRule="auto"/>
        <w:jc w:val="both"/>
        <w:rPr>
          <w:rFonts w:ascii="Times New Roman" w:eastAsia="Calibri" w:hAnsi="Times New Roman" w:cs="Times New Roman"/>
          <w:color w:val="4C4747"/>
          <w:spacing w:val="20"/>
          <w:sz w:val="24"/>
          <w:szCs w:val="24"/>
          <w:lang w:val="es-DO"/>
        </w:rPr>
      </w:pPr>
    </w:p>
    <w:p w14:paraId="5A0E05FA" w14:textId="422CEEE0" w:rsidR="00650DCD" w:rsidRPr="00C62BB6" w:rsidRDefault="009A6D07" w:rsidP="00943FA5">
      <w:pPr>
        <w:keepNext/>
        <w:spacing w:before="240" w:after="60" w:line="360" w:lineRule="auto"/>
        <w:contextualSpacing/>
        <w:jc w:val="both"/>
        <w:outlineLvl w:val="2"/>
        <w:rPr>
          <w:rFonts w:ascii="Times New Roman" w:hAnsi="Times New Roman" w:cs="Times New Roman"/>
          <w:color w:val="4C4747"/>
          <w:lang w:val="es-DO"/>
        </w:rPr>
      </w:pPr>
      <w:bookmarkStart w:id="18" w:name="_Toc122425240"/>
      <w:r w:rsidRPr="00C62BB6">
        <w:rPr>
          <w:rFonts w:ascii="Times New Roman" w:eastAsia="Times New Roman" w:hAnsi="Times New Roman" w:cs="Times New Roman"/>
          <w:b/>
          <w:bCs/>
          <w:color w:val="4C4747"/>
          <w:sz w:val="24"/>
          <w:szCs w:val="26"/>
          <w:lang w:val="es-DO" w:eastAsia="es-DO"/>
        </w:rPr>
        <w:lastRenderedPageBreak/>
        <w:t>3.7</w:t>
      </w:r>
      <w:r w:rsidR="006D62FE" w:rsidRPr="00C62BB6">
        <w:rPr>
          <w:rFonts w:ascii="Times New Roman" w:eastAsia="Times New Roman" w:hAnsi="Times New Roman" w:cs="Times New Roman"/>
          <w:b/>
          <w:bCs/>
          <w:color w:val="4C4747"/>
          <w:sz w:val="24"/>
          <w:szCs w:val="26"/>
          <w:lang w:val="es-DO" w:eastAsia="es-DO"/>
        </w:rPr>
        <w:t xml:space="preserve"> </w:t>
      </w:r>
      <w:r w:rsidR="00650DCD" w:rsidRPr="00C62BB6">
        <w:rPr>
          <w:rFonts w:ascii="Times New Roman" w:eastAsia="Times New Roman" w:hAnsi="Times New Roman" w:cs="Times New Roman"/>
          <w:b/>
          <w:bCs/>
          <w:color w:val="4C4747"/>
          <w:sz w:val="24"/>
          <w:szCs w:val="26"/>
          <w:lang w:val="es-DO" w:eastAsia="es-DO"/>
        </w:rPr>
        <w:t>Fondo para el Desarrollo de las Telecomunicaciones</w:t>
      </w:r>
      <w:bookmarkEnd w:id="18"/>
    </w:p>
    <w:p w14:paraId="1BF13D97" w14:textId="77777777" w:rsidR="00731A43" w:rsidRPr="00C62BB6" w:rsidRDefault="00731A43" w:rsidP="00943FA5">
      <w:pPr>
        <w:spacing w:before="24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 INDOTEL gestiona a través del Fondo de Desarrollo de las Telecomunicaciones (FDT), proyectos de bajos ingresos o de interés social en áreas rurales y urbanas, que promueven el servicio universal y el desarrollo de las telecomunicaciones/TIC.</w:t>
      </w:r>
    </w:p>
    <w:p w14:paraId="10D478B0" w14:textId="678BDF73"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De acuerdo con los lineamientos de la Política Social sobre el Servicio Universal aprobada mediante la Resolución número 024-10, el INDOTEL tiene el compromiso de contribuir a la integración de la sociedad dominicana, promoviendo la inclusión social y el crecimiento económico del país, con el aprovechamiento de las tecnologías de la información y la comunicación. Para alcanzar estos objetivos se financian proyectos para subsidiar e</w:t>
      </w:r>
      <w:r w:rsidR="006E08C1" w:rsidRPr="00C62BB6">
        <w:rPr>
          <w:rFonts w:ascii="Times New Roman" w:eastAsia="Calibri" w:hAnsi="Times New Roman" w:cs="Times New Roman"/>
          <w:color w:val="4C4747"/>
          <w:spacing w:val="20"/>
          <w:sz w:val="24"/>
          <w:szCs w:val="24"/>
          <w:lang w:val="es-DO"/>
        </w:rPr>
        <w:t xml:space="preserve">l despliegue de infraestructura </w:t>
      </w:r>
      <w:r w:rsidRPr="00C62BB6">
        <w:rPr>
          <w:rFonts w:ascii="Times New Roman" w:eastAsia="Calibri" w:hAnsi="Times New Roman" w:cs="Times New Roman"/>
          <w:color w:val="4C4747"/>
          <w:spacing w:val="20"/>
          <w:sz w:val="24"/>
          <w:szCs w:val="24"/>
          <w:lang w:val="es-DO"/>
        </w:rPr>
        <w:t xml:space="preserve">digital para ofrecer servicios de telecomunicaciones/TIC y proyectos de subsidio a la demanda. </w:t>
      </w:r>
    </w:p>
    <w:p w14:paraId="4226BF92" w14:textId="77777777" w:rsidR="00731A43" w:rsidRPr="00C62BB6"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Plan Bianual de Proyectos de Desarrollo 2021-2022 </w:t>
      </w:r>
    </w:p>
    <w:p w14:paraId="63901064" w14:textId="77777777"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Mediante la Resolución número 010-21 de fecha 18 de febrero de 2021, el Consejo Directivo del INDOTEL aprobó de manera definitiva el Plan Bianual de Proyectos de Desarrollo 2021-2022 del Fondo de Desarrollo de las Telecomunicaciones (FDT), el cual consiste en un proyecto integral para “Conectar a los no Conectados”, que dota del acceso y conectividad a la banda ancha de calidad a comunidades rurales no servidas y a mujeres jefas de hogar con bajos niveles de penetración de internet y que viven bajo línea de pobreza, con el objetivo de reducir la brecha digital de la República Dominicana.  </w:t>
      </w:r>
    </w:p>
    <w:p w14:paraId="28D1A9B1" w14:textId="77777777"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El proyecto está conformado por tres (3) componentes:  </w:t>
      </w:r>
    </w:p>
    <w:p w14:paraId="0E67AB38" w14:textId="77777777" w:rsidR="00731A43" w:rsidRPr="00C62BB6" w:rsidRDefault="00731A43" w:rsidP="00A02BDE">
      <w:pPr>
        <w:pStyle w:val="Prrafodelista"/>
        <w:numPr>
          <w:ilvl w:val="0"/>
          <w:numId w:val="1"/>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Componente de Acceso e Infraestructura  </w:t>
      </w:r>
    </w:p>
    <w:p w14:paraId="3A20347F" w14:textId="77777777" w:rsidR="00731A43" w:rsidRPr="00C62BB6" w:rsidRDefault="00731A43" w:rsidP="00A02BDE">
      <w:pPr>
        <w:pStyle w:val="Prrafodelista"/>
        <w:numPr>
          <w:ilvl w:val="0"/>
          <w:numId w:val="1"/>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Componente de Subsidio a la Demanda</w:t>
      </w:r>
    </w:p>
    <w:p w14:paraId="008ACBF9" w14:textId="77777777" w:rsidR="00731A43" w:rsidRPr="00C62BB6" w:rsidRDefault="00731A43" w:rsidP="00A02BDE">
      <w:pPr>
        <w:pStyle w:val="Prrafodelista"/>
        <w:numPr>
          <w:ilvl w:val="0"/>
          <w:numId w:val="1"/>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lastRenderedPageBreak/>
        <w:t xml:space="preserve">Componente de Apropiación Social y Desarrollo de Habilidades </w:t>
      </w:r>
    </w:p>
    <w:p w14:paraId="67BFCF25" w14:textId="77777777" w:rsidR="00731A43" w:rsidRPr="008C2B22"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 xml:space="preserve">Componente de Acceso e Infraestructura </w:t>
      </w:r>
    </w:p>
    <w:p w14:paraId="447AA76B"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Componente de Acceso e Infraestructura consiste en el diseño e implementación para el despliegue de infraestructura digital en zonas rurales y sub-urbanas de la República Dominicana donde a la fecha, no hay un servicio de internet de banda ancha de calidad o el mismo sea precario, acompañado de un subsidio al servicio de internet fijo y de un celular inteligente para los hogares de las comunidades priorizadas por el componente.  </w:t>
      </w:r>
    </w:p>
    <w:p w14:paraId="3075852B"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primer semestre del año 2022, se actualizó el informe de especificaciones técnicas que sirvió de base para la elaboración de los nuevos términos de referencia para la Licitación Pública Nacional número CCC-LPN-2022-0002 publicada en fecha 26 de abril de 2022, en sustitución de la Licitación Pública Nacional número CCC-LPN-2021-0002 publicada en fecha 2 de noviembre de 2021, que fue declarada desierta debido a que las empresas participantes no cumplieron con la documentación solicitada en el pliego de condiciones. </w:t>
      </w:r>
    </w:p>
    <w:p w14:paraId="27829F89"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fecha 5 de septiembre se emitió la Resolución número CCC-058-2022: “Que declara Desierto el proceso de Licitación Pública Nacional INDOTEL-CCC-LPN-2022-0002”.</w:t>
      </w:r>
    </w:p>
    <w:p w14:paraId="592F073C" w14:textId="330D2E1E"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Producto del análisis de las licitaciones número CCC-LPN-2021-0002 y número CCC-LPN-2022-0002 declaradas desiertas, se decidió relanzar el proceso de compras y contrataciones únicamente para la adquisición de una red de acceso comunitaria, a  partir de la obtención del servicio de internet provisto por el INDOTEL, como resultado de las obligaciones de hacer compromisos con algunas de las empresas de servicios de telecomunicaciones. </w:t>
      </w:r>
    </w:p>
    <w:p w14:paraId="7C357909" w14:textId="77777777" w:rsidR="00731A43" w:rsidRPr="008C2B22"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lastRenderedPageBreak/>
        <w:t>Componente de Subsidio a la Demanda</w:t>
      </w:r>
    </w:p>
    <w:p w14:paraId="2A715238" w14:textId="778F9006"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Componente Subsidio a la Demanda consiste en dotar de una “Canasta Digital Social”, compuesta de un subsidio parcial al servicio de internet de banda ancha durante 24 meses y de un dispositivo de acceso, a 2,000 mujeres jefas de hogares con Índices de Calidad de Vida (</w:t>
      </w:r>
      <w:r w:rsidR="00C163DA" w:rsidRPr="008C2B22">
        <w:rPr>
          <w:rFonts w:ascii="Times New Roman" w:eastAsia="Calibri" w:hAnsi="Times New Roman" w:cs="Times New Roman"/>
          <w:color w:val="4C4747"/>
          <w:spacing w:val="20"/>
          <w:sz w:val="24"/>
          <w:szCs w:val="24"/>
          <w:lang w:val="es-DO"/>
        </w:rPr>
        <w:t xml:space="preserve">ICV1, </w:t>
      </w:r>
      <w:r w:rsidRPr="008C2B22">
        <w:rPr>
          <w:rFonts w:ascii="Times New Roman" w:eastAsia="Calibri" w:hAnsi="Times New Roman" w:cs="Times New Roman"/>
          <w:color w:val="4C4747"/>
          <w:spacing w:val="20"/>
          <w:sz w:val="24"/>
          <w:szCs w:val="24"/>
          <w:lang w:val="es-DO"/>
        </w:rPr>
        <w:t>ICV2 e ICV3), en 16 municipios de 11 provincias.</w:t>
      </w:r>
    </w:p>
    <w:p w14:paraId="586C033D"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fecha 1 de febrero de 2022, se adjudicó la Licitación Pública Nacional número CCC- LPN-2021-0001 objeto de este componente, publicado en fecha 19 de octubre de 2021 para la contratación de una empresa de telecomunicaciones para la provisión de una canasta digital social que incluye un servicio de internet y un teléfono inteligente.  </w:t>
      </w:r>
    </w:p>
    <w:p w14:paraId="42C50D48"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los primeros dos meses del semestre se identificaron y seleccionaron las 2,000 beneficiarias del proyecto. El 1 de abril de 2022 se firmó el contrato de adjudicación con Altice Dominicana, empresa que resultó adjudicataria de la licitación. </w:t>
      </w:r>
    </w:p>
    <w:p w14:paraId="1C9B5FFF"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Al mes de junio se realizó la entrega de la Canasta Digital a 1,965 beneficiarias en 15 municipios de la República Dominicana quedando 35 beneficiarias del municipio de Juan Santiago, provincia Elías Piña a la espera de cobertura de servicio por parte de la adjudicataria. Estas fueron entregadas en fecha 24 de octubre completando las 2,000 beneficiarias.</w:t>
      </w:r>
    </w:p>
    <w:p w14:paraId="64C14EDF" w14:textId="77777777" w:rsidR="00C163DA"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De las 2,000 mujeres beneficiadas por la Canasta Digital Social el 75% se corresponden a hogares del ICV 2</w:t>
      </w:r>
      <w:r w:rsidR="00C163DA" w:rsidRPr="008C2B22">
        <w:rPr>
          <w:rFonts w:ascii="Times New Roman" w:eastAsia="Calibri" w:hAnsi="Times New Roman" w:cs="Times New Roman"/>
          <w:color w:val="4C4747"/>
          <w:spacing w:val="20"/>
          <w:sz w:val="24"/>
          <w:szCs w:val="24"/>
          <w:lang w:val="es-DO"/>
        </w:rPr>
        <w:t>, 1% ICV3</w:t>
      </w:r>
      <w:r w:rsidRPr="008C2B22">
        <w:rPr>
          <w:rFonts w:ascii="Times New Roman" w:eastAsia="Calibri" w:hAnsi="Times New Roman" w:cs="Times New Roman"/>
          <w:color w:val="4C4747"/>
          <w:spacing w:val="20"/>
          <w:sz w:val="24"/>
          <w:szCs w:val="24"/>
          <w:lang w:val="es-DO"/>
        </w:rPr>
        <w:t xml:space="preserve"> y el 24% al ICV 1. </w:t>
      </w:r>
    </w:p>
    <w:p w14:paraId="64D00041" w14:textId="77777777" w:rsidR="002A40D6"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Asimismo, el 47% de las mujeres realiza trabajos ocasionales por paga, el 18% realiza trabajos domésticos y un 14% tiene algún nivel </w:t>
      </w:r>
    </w:p>
    <w:p w14:paraId="0FBE6F24" w14:textId="1AA6BCC5"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de</w:t>
      </w:r>
      <w:r w:rsidR="002A40D6" w:rsidRPr="008C2B22">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color w:val="4C4747"/>
          <w:spacing w:val="20"/>
          <w:sz w:val="24"/>
          <w:szCs w:val="24"/>
          <w:lang w:val="es-DO"/>
        </w:rPr>
        <w:t>emprendimiento. El 48% de las mujeres impactadas no tenían acuerdos de conectividad con las empresas prestadoras de servicios de telecomunicaciones.</w:t>
      </w:r>
    </w:p>
    <w:p w14:paraId="17BA5FB8" w14:textId="77777777" w:rsidR="00731A43" w:rsidRPr="008C2B22" w:rsidRDefault="00731A43" w:rsidP="00943FA5">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 xml:space="preserve">Componente de Apropiación Social y Desarrollo de Habilidades Digitales </w:t>
      </w:r>
    </w:p>
    <w:p w14:paraId="63F6CCB0"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Componente de Apropiación Social y Desarrollo de Habilidades Digitales consta del subcomponente de Alfabetización Digital dirigido a las 2,000 beneficiarias del componente Subsidio a la Demanda para dotarlas de las habilidades y competencias tecnológicas básicas adecuadas a su realidad socioeconómica y niveles educativos, que las prepare para hacer un uso más productivo de las tecnologías digitales y del internet y el subcomponente Programa de becas para el Centro Tetelo Vargas-Extensión ITLA, en San Pedro de Macorís que consiste en la entrega de 800 becas dirigidas a jóvenes, estudiantes, hombres y mujeres de la Región Este, incluida personas con capacidades distintas.  </w:t>
      </w:r>
    </w:p>
    <w:p w14:paraId="0E177AA5"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primer semestre del año se elaboró el Plan de Alfabetización Digital con Enfoque de Género en coordinación con SUPERATE y con el Centro de Investigación para la Acción Femenina (CIPAF), empresa que resultó adjudicataria de la Comparación de Precios número CCC-CP-2021-0016, publicada el 2 de noviembre de 2021 para la elaboración de un programa de Alfabetización Digital Básica con enfoque de género y un programa de capacitación para la red de facilitadores que impartirían dicho programa a las beneficiarias de la Canasta Digital Social. </w:t>
      </w:r>
    </w:p>
    <w:p w14:paraId="35C8C556"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Asimismo, fueron seleccionados y capacitados los facilitadores/as de los cuales 71 completaron el programa, 69% son mujeres y 31% hombres. Estos hombres y mujeres fueron contratados temporalmente </w:t>
      </w:r>
      <w:r w:rsidRPr="008C2B22">
        <w:rPr>
          <w:rFonts w:ascii="Times New Roman" w:eastAsia="Calibri" w:hAnsi="Times New Roman" w:cs="Times New Roman"/>
          <w:color w:val="4C4747"/>
          <w:spacing w:val="20"/>
          <w:sz w:val="24"/>
          <w:szCs w:val="24"/>
          <w:lang w:val="es-DO"/>
        </w:rPr>
        <w:lastRenderedPageBreak/>
        <w:t>por el INDOTEL para replicar el Programa de Alfabetización a las beneficiarias de la canasta digital social.</w:t>
      </w:r>
    </w:p>
    <w:p w14:paraId="72475353"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segundo semestre del año se avanzó en la coordinación de los encuentros para la creación de los grupos de capacitación del Programa de Alfabetización Digital con Enfoque de Género. </w:t>
      </w:r>
    </w:p>
    <w:p w14:paraId="35548440" w14:textId="3ACD21D1"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Al cierre del año, se conformaron 46 grupos que representan un 49.9% del total de beneficiarias para un total de 997 beneficiarias capacitad</w:t>
      </w:r>
      <w:r w:rsidR="00C163DA" w:rsidRPr="008C2B22">
        <w:rPr>
          <w:rFonts w:ascii="Times New Roman" w:eastAsia="Calibri" w:hAnsi="Times New Roman" w:cs="Times New Roman"/>
          <w:color w:val="4C4747"/>
          <w:spacing w:val="20"/>
          <w:sz w:val="24"/>
          <w:szCs w:val="24"/>
          <w:lang w:val="es-DO"/>
        </w:rPr>
        <w:t>as.</w:t>
      </w:r>
    </w:p>
    <w:p w14:paraId="066250B6"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Para el Subcomponente programa de becas en el Centro Tetelo Vargas-Extensión ITLA se otorgaron un total de 976 becas a lo largo de 4 trimestres o periodos de estudios. </w:t>
      </w:r>
    </w:p>
    <w:p w14:paraId="04BF1835"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primer trimestre se otorgaron 104 becas de las cuales 79% fueron hombres y un 21% mujeres. </w:t>
      </w:r>
    </w:p>
    <w:p w14:paraId="321064AC"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Para el segundo trimestre se benefició con una beca a 295 estudiantes de los cuales un 55% son hombres y el 45% mujeres. </w:t>
      </w:r>
    </w:p>
    <w:p w14:paraId="39F2F5E6"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Para el tercer trimestre se beneficiaron con una beca un total de 221 estudiantes de los cuales el 64% eran hombres y 36% mujeres. </w:t>
      </w:r>
    </w:p>
    <w:p w14:paraId="38D0431C"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Asimismo, en el cuarto trimestre se beneficiaron con una beca 356 estudiantes de los cuales el 63% son hombres y el 37% mujeres.  </w:t>
      </w:r>
    </w:p>
    <w:p w14:paraId="28AB58BF"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Los cursos que se impartieron fueron los siguientes: </w:t>
      </w:r>
    </w:p>
    <w:p w14:paraId="50786D7B"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Administración de Bases de Datos </w:t>
      </w:r>
    </w:p>
    <w:p w14:paraId="370CD636"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CCNA</w:t>
      </w:r>
    </w:p>
    <w:p w14:paraId="028296E2"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Curso en Redes de la Información </w:t>
      </w:r>
    </w:p>
    <w:p w14:paraId="66E31798"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Excel Básico </w:t>
      </w:r>
    </w:p>
    <w:p w14:paraId="310D049A"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Excel Avanzado</w:t>
      </w:r>
    </w:p>
    <w:p w14:paraId="5B766561"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Fundamentos Técnicos del Computador Básico y Avanzado </w:t>
      </w:r>
    </w:p>
    <w:p w14:paraId="681C277B"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Introducción a la Programación </w:t>
      </w:r>
    </w:p>
    <w:p w14:paraId="1B239372"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 xml:space="preserve">Manejo de Base de Datos con Excel </w:t>
      </w:r>
    </w:p>
    <w:p w14:paraId="3EDC3642"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Taller de Introducción a la Ciberseguridad </w:t>
      </w:r>
    </w:p>
    <w:p w14:paraId="211A6482"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Taller de Seguridad de Sistema Operativos</w:t>
      </w:r>
    </w:p>
    <w:p w14:paraId="0C8EA399"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Ofimática</w:t>
      </w:r>
    </w:p>
    <w:p w14:paraId="5726EC4A"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Comunicación Digital</w:t>
      </w:r>
    </w:p>
    <w:p w14:paraId="0B43A635"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Diseño e Ilustración Digital</w:t>
      </w:r>
    </w:p>
    <w:p w14:paraId="3D4BF221"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Electrónica Básica</w:t>
      </w:r>
    </w:p>
    <w:p w14:paraId="2594C2A4"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Sistema Operativo</w:t>
      </w:r>
    </w:p>
    <w:p w14:paraId="56FBE192"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Taller de Redes Sociales, facebook e instagram</w:t>
      </w:r>
    </w:p>
    <w:p w14:paraId="18098FA2" w14:textId="77777777" w:rsidR="00731A43" w:rsidRPr="008C2B22" w:rsidRDefault="00731A43" w:rsidP="00A02BDE">
      <w:pPr>
        <w:pStyle w:val="Prrafodelista"/>
        <w:numPr>
          <w:ilvl w:val="0"/>
          <w:numId w:val="30"/>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 Básico</w:t>
      </w:r>
    </w:p>
    <w:p w14:paraId="41D7FB6A" w14:textId="77777777" w:rsidR="00731A43" w:rsidRPr="00C62BB6" w:rsidRDefault="00731A43" w:rsidP="00731A43">
      <w:pPr>
        <w:pStyle w:val="paragraph"/>
        <w:spacing w:before="0" w:beforeAutospacing="0" w:after="0" w:afterAutospacing="0"/>
        <w:jc w:val="both"/>
        <w:textAlignment w:val="baseline"/>
        <w:rPr>
          <w:rFonts w:eastAsia="Calibri"/>
          <w:b/>
          <w:color w:val="4C4747"/>
          <w:spacing w:val="20"/>
          <w:lang w:val="es-DO"/>
        </w:rPr>
      </w:pPr>
    </w:p>
    <w:p w14:paraId="15D4E8E1" w14:textId="77777777" w:rsidR="00731A43" w:rsidRPr="008C2B22"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El proyecto de puntos Wi-Fi / Redes Wi-Fi de acceso en lugares públicos “Dominicana Conectada”</w:t>
      </w:r>
    </w:p>
    <w:p w14:paraId="23F6AB46"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objetivo del proyecto redes Wi-Fi de acceso en lugares públicos “Dominicana Conectada” es proveer a la población de las localidades beneficiadas de cobertura inalámbrica para acceder al servicio de internet de banda ancha, cumpliendo con el mandato de la Estrategia Nacional de Desarrollo de "lograr acceso universal y uso productivo de las Tecnologías de la Información y Comunicación (TIC)".</w:t>
      </w:r>
    </w:p>
    <w:p w14:paraId="4915645C" w14:textId="262CE43F"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la actualidad están en funcionamiento 1,121 puntos Wi-Fi distribuidos en toda la geografía nacional e instalados en universidades, escuelas, hospitales, alcaldías, parques, casas de cultura, iglesias, unidades de atención</w:t>
      </w:r>
      <w:r w:rsidR="00C163DA" w:rsidRPr="008C2B22">
        <w:rPr>
          <w:rFonts w:ascii="Times New Roman" w:eastAsia="Calibri" w:hAnsi="Times New Roman" w:cs="Times New Roman"/>
          <w:color w:val="4C4747"/>
          <w:spacing w:val="20"/>
          <w:sz w:val="24"/>
          <w:szCs w:val="24"/>
          <w:lang w:val="es-DO"/>
        </w:rPr>
        <w:t xml:space="preserve"> primarias, centros deportivos, </w:t>
      </w:r>
      <w:r w:rsidRPr="008C2B22">
        <w:rPr>
          <w:rFonts w:ascii="Times New Roman" w:eastAsia="Calibri" w:hAnsi="Times New Roman" w:cs="Times New Roman"/>
          <w:color w:val="4C4747"/>
          <w:spacing w:val="20"/>
          <w:sz w:val="24"/>
          <w:szCs w:val="24"/>
          <w:lang w:val="es-DO"/>
        </w:rPr>
        <w:t>estaciones del Metro de Santo Domingo, Teleférico, etc.</w:t>
      </w:r>
    </w:p>
    <w:p w14:paraId="54B805A5"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el segundo semestre, están en proceso de instalación y entrega 41 puntos Wi-Fi nuevos. </w:t>
      </w:r>
    </w:p>
    <w:p w14:paraId="32BD7E2F"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este año se logró la continuidad del programa puntos Wi-Fi subsidiados por dos de las principales empresas de telecomunicaciones hasta el 2024 como parte de las obligaciones de </w:t>
      </w:r>
      <w:r w:rsidRPr="008C2B22">
        <w:rPr>
          <w:rFonts w:ascii="Times New Roman" w:eastAsia="Calibri" w:hAnsi="Times New Roman" w:cs="Times New Roman"/>
          <w:color w:val="4C4747"/>
          <w:spacing w:val="20"/>
          <w:sz w:val="24"/>
          <w:szCs w:val="24"/>
          <w:lang w:val="es-DO"/>
        </w:rPr>
        <w:lastRenderedPageBreak/>
        <w:t>hacer acordadas entre dichas empresas y el INDOTEL; dentro de los cuales se encuentra la reinstalación de 150 puntos Wi-Fi en autobuses de la OMSA principalmente en la ciudad de Santo Domingo, como resultado del acuerdo para la expansión de dichos puntos para las empresas ALTICE Dominicana y WIND TELECOM como parte de las obligaciones acordadas en la renovación de los contratos de dichas empresas.</w:t>
      </w:r>
    </w:p>
    <w:p w14:paraId="2A9E927D" w14:textId="77777777"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Los puntos Wi-Fi instalados durante el año son los siguientes:</w:t>
      </w:r>
    </w:p>
    <w:p w14:paraId="20668ED8"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Extensión del ITLA- Centro Tételo Vargas (Centro de Capacitación en Informática, CCI).</w:t>
      </w:r>
    </w:p>
    <w:p w14:paraId="1982A83F"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Parque Los Restauradores.</w:t>
      </w:r>
    </w:p>
    <w:p w14:paraId="447D4012"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Batey Alemán.</w:t>
      </w:r>
    </w:p>
    <w:p w14:paraId="140FBB73"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Extensión Batey Monte Cristi.</w:t>
      </w:r>
    </w:p>
    <w:p w14:paraId="3A96D423"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Estaciones de Bombero X-2, X-3, X-5, X-6, X-7, X-9, X-10, X-11, X-12, X-13, X-14, X-15</w:t>
      </w:r>
    </w:p>
    <w:p w14:paraId="475526BE"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Gobernación de San Pedro de Macorís</w:t>
      </w:r>
    </w:p>
    <w:p w14:paraId="28BC33AC"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Centro HUB de Desarrollo Social San Cristóbal</w:t>
      </w:r>
    </w:p>
    <w:p w14:paraId="57170F7F"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Área Bulevar de Villa Riva</w:t>
      </w:r>
    </w:p>
    <w:p w14:paraId="2ABA55F4"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Hospital Rodolfo de la Cruz Lora</w:t>
      </w:r>
    </w:p>
    <w:p w14:paraId="49802AD0"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Local Comité Nacional Desarrollo Integral y Comunitario Inc. (CONDIC)</w:t>
      </w:r>
    </w:p>
    <w:p w14:paraId="54F737BE"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Club Deportivo de Cabarete</w:t>
      </w:r>
    </w:p>
    <w:p w14:paraId="2B22471F"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Parque Bulevar de Quisqueya</w:t>
      </w:r>
    </w:p>
    <w:p w14:paraId="5D0F3498"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Ayuntamiento Municipal de Quisqueya</w:t>
      </w:r>
    </w:p>
    <w:p w14:paraId="2B619E3C" w14:textId="77777777" w:rsidR="00731A43" w:rsidRPr="00C62BB6" w:rsidRDefault="00731A43" w:rsidP="00A02BDE">
      <w:pPr>
        <w:pStyle w:val="Prrafodelista"/>
        <w:numPr>
          <w:ilvl w:val="0"/>
          <w:numId w:val="29"/>
        </w:numP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Domingo Savio Fe y Alegría Politécnico</w:t>
      </w:r>
    </w:p>
    <w:p w14:paraId="5B0036AB"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Domingo Savio Fe y Alegría Primaria</w:t>
      </w:r>
    </w:p>
    <w:p w14:paraId="323E13EA"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Hogar Pituca Flores</w:t>
      </w:r>
    </w:p>
    <w:p w14:paraId="128ED107"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Escuela Primaria El Túnel</w:t>
      </w:r>
    </w:p>
    <w:p w14:paraId="0BF5A4EE"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Solidaridad Entre Hermanos – SOLHER</w:t>
      </w:r>
    </w:p>
    <w:p w14:paraId="69C4F874"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Club Deportivo y Cultural Los Pioneros</w:t>
      </w:r>
    </w:p>
    <w:p w14:paraId="447C6A9C"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lastRenderedPageBreak/>
        <w:t>Club Deportivo y Cultural Santa Filomena</w:t>
      </w:r>
    </w:p>
    <w:p w14:paraId="7412AECC"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Club Bomberito</w:t>
      </w:r>
    </w:p>
    <w:p w14:paraId="0BC8B6EF"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Centro Sanitario Dr. Francisco González Hardy</w:t>
      </w:r>
    </w:p>
    <w:p w14:paraId="2E1E94D0"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Parque Municipal Monción</w:t>
      </w:r>
    </w:p>
    <w:p w14:paraId="663FCCEC"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Parque Municipal Villa Los Almácigos</w:t>
      </w:r>
    </w:p>
    <w:p w14:paraId="38A56003"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Play de Softbol Rafael Robles</w:t>
      </w:r>
    </w:p>
    <w:p w14:paraId="3B612A9B"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Parque Duarte de Quisqueya</w:t>
      </w:r>
    </w:p>
    <w:p w14:paraId="19AC5C25" w14:textId="77777777" w:rsidR="00731A43" w:rsidRPr="00C62BB6" w:rsidRDefault="00731A43"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rPr>
      </w:pPr>
      <w:r w:rsidRPr="00C62BB6">
        <w:rPr>
          <w:rFonts w:ascii="Times New Roman" w:eastAsia="Calibri" w:hAnsi="Times New Roman" w:cs="Times New Roman"/>
          <w:color w:val="4C4747"/>
          <w:spacing w:val="20"/>
          <w:sz w:val="24"/>
          <w:szCs w:val="24"/>
          <w:lang w:val="es-DO"/>
        </w:rPr>
        <w:t>Centro Padre Luis Rosario</w:t>
      </w:r>
    </w:p>
    <w:p w14:paraId="6614E181" w14:textId="77777777" w:rsidR="00244AE2" w:rsidRPr="00C62BB6" w:rsidRDefault="00244AE2" w:rsidP="00731A43">
      <w:pPr>
        <w:spacing w:line="360" w:lineRule="auto"/>
        <w:jc w:val="both"/>
        <w:rPr>
          <w:rFonts w:ascii="Times New Roman" w:eastAsia="Calibri" w:hAnsi="Times New Roman" w:cs="Times New Roman"/>
          <w:b/>
          <w:color w:val="4C4747"/>
          <w:spacing w:val="20"/>
          <w:sz w:val="24"/>
          <w:szCs w:val="24"/>
          <w:lang w:val="es-DO"/>
        </w:rPr>
      </w:pPr>
    </w:p>
    <w:p w14:paraId="66B33B3D" w14:textId="77777777"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Estrategia Regional Digital para el Desarrollo de la Sociedad de la Información y el Conocimiento en el SICA, ERDI </w:t>
      </w:r>
      <w:r w:rsidRPr="00C62BB6">
        <w:rPr>
          <w:rFonts w:ascii="Times New Roman" w:eastAsia="Calibri" w:hAnsi="Times New Roman" w:cs="Times New Roman"/>
          <w:color w:val="4C4747"/>
          <w:spacing w:val="20"/>
          <w:sz w:val="24"/>
          <w:szCs w:val="24"/>
          <w:lang w:val="es-DO"/>
        </w:rPr>
        <w:t xml:space="preserve">  </w:t>
      </w:r>
    </w:p>
    <w:p w14:paraId="04F486B4" w14:textId="77777777"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El INDOTEL es el punto focal del Grupo Ad Hoc para el Desarrollo de la Sociedad de la Información y el Conocimiento en el SICA.  En el marco de dicha estrategia, se consolidó, preparó y sometió a consideración del Comité Técnico del ERDI el proyecto Carta de Principios Éticos para el uso de la inteligencia artificial que tiene por objetivo la implementación de la inteligencia artificial para la mejora de los servicios digitales, mediante la creación de herramientas que impulsen el desarrollo sostenible, en la región del SIC. </w:t>
      </w:r>
    </w:p>
    <w:p w14:paraId="33E05E50" w14:textId="77777777" w:rsidR="00731A43" w:rsidRPr="00C62BB6" w:rsidRDefault="00731A43" w:rsidP="00731A43">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Dicha propuesta fue aprobada el 29 de septiembre del 2021, en la reunión ordinaria del Grupo Ad Hoc, por lo que fue creada la Mesa Técnica Interinstitucional, a fin de definir una hoja de ruta que conduzca a la elaboración de la mencionada Carta. La Mesa está integrada por representantes de la República Dominicana, Panamá y El Salvador.</w:t>
      </w:r>
    </w:p>
    <w:p w14:paraId="5F9E600C" w14:textId="77777777" w:rsidR="00BE6A84" w:rsidRPr="00C62BB6" w:rsidRDefault="00BE6A84" w:rsidP="00E60DA4">
      <w:pPr>
        <w:spacing w:line="360" w:lineRule="auto"/>
        <w:jc w:val="both"/>
        <w:rPr>
          <w:rFonts w:ascii="Times New Roman" w:eastAsia="Calibri" w:hAnsi="Times New Roman" w:cs="Times New Roman"/>
          <w:color w:val="4C4747"/>
          <w:spacing w:val="20"/>
          <w:sz w:val="24"/>
          <w:szCs w:val="24"/>
          <w:lang w:val="es-DO"/>
        </w:rPr>
      </w:pPr>
    </w:p>
    <w:p w14:paraId="61FE9126" w14:textId="77777777" w:rsidR="00291C2D" w:rsidRPr="00C62BB6" w:rsidRDefault="00291C2D" w:rsidP="00E60DA4">
      <w:pPr>
        <w:spacing w:line="360" w:lineRule="auto"/>
        <w:jc w:val="both"/>
        <w:rPr>
          <w:rFonts w:ascii="Times New Roman" w:eastAsia="Calibri" w:hAnsi="Times New Roman" w:cs="Times New Roman"/>
          <w:color w:val="4C4747"/>
          <w:spacing w:val="20"/>
          <w:sz w:val="24"/>
          <w:szCs w:val="24"/>
          <w:lang w:val="es-DO"/>
        </w:rPr>
      </w:pPr>
    </w:p>
    <w:p w14:paraId="2ECBF83A" w14:textId="67585CB0" w:rsidR="00291C2D" w:rsidRPr="008C2B22" w:rsidRDefault="009A6D07" w:rsidP="00033CEE">
      <w:pPr>
        <w:keepNext/>
        <w:spacing w:before="240" w:after="60" w:line="360" w:lineRule="auto"/>
        <w:contextualSpacing/>
        <w:jc w:val="both"/>
        <w:outlineLvl w:val="2"/>
        <w:rPr>
          <w:rFonts w:ascii="Times New Roman" w:hAnsi="Times New Roman" w:cs="Times New Roman"/>
          <w:color w:val="4C4747"/>
          <w:lang w:val="es-DO"/>
        </w:rPr>
      </w:pPr>
      <w:bookmarkStart w:id="19" w:name="_Toc122425241"/>
      <w:r w:rsidRPr="00C62BB6">
        <w:rPr>
          <w:rFonts w:ascii="Times New Roman" w:eastAsia="Calibri" w:hAnsi="Times New Roman" w:cs="Times New Roman"/>
          <w:b/>
          <w:color w:val="4C4747"/>
          <w:spacing w:val="20"/>
          <w:sz w:val="24"/>
          <w:szCs w:val="24"/>
          <w:lang w:val="es-DO"/>
        </w:rPr>
        <w:lastRenderedPageBreak/>
        <w:t>3.8</w:t>
      </w:r>
      <w:r w:rsidR="006D62FE" w:rsidRPr="00C62BB6">
        <w:rPr>
          <w:rFonts w:ascii="Times New Roman" w:eastAsia="Calibri" w:hAnsi="Times New Roman" w:cs="Times New Roman"/>
          <w:b/>
          <w:color w:val="4C4747"/>
          <w:spacing w:val="20"/>
          <w:sz w:val="24"/>
          <w:szCs w:val="24"/>
          <w:lang w:val="es-DO"/>
        </w:rPr>
        <w:t xml:space="preserve"> </w:t>
      </w:r>
      <w:r w:rsidR="00D47D5A" w:rsidRPr="008C2B22">
        <w:rPr>
          <w:rFonts w:ascii="Times New Roman" w:eastAsia="Calibri" w:hAnsi="Times New Roman" w:cs="Times New Roman"/>
          <w:b/>
          <w:color w:val="4C4747"/>
          <w:spacing w:val="20"/>
          <w:sz w:val="24"/>
          <w:szCs w:val="24"/>
          <w:lang w:val="es-DO"/>
        </w:rPr>
        <w:t>Ciberseguridad, Comercio Electrónico y Firma Digital</w:t>
      </w:r>
      <w:bookmarkEnd w:id="19"/>
    </w:p>
    <w:p w14:paraId="3F4EDCB6" w14:textId="77777777" w:rsidR="00731A43" w:rsidRPr="008C2B22" w:rsidRDefault="00731A43" w:rsidP="00033CEE">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INDOTEL crea una cultura de ciberseguridad en el sector de las telecomunicaciones, con el objetivo de proteger los sistemas de información, infraestructura, impulsa y promueve a nivel nacional el comercio electrónico y el uso de la firma digital para contribuir al desarrollo de la economía digital en la República Dominicana.  </w:t>
      </w:r>
    </w:p>
    <w:p w14:paraId="4F760476"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Para la consecución de este objetivo, en el 2022 fueron coordinadas las siguientes actividades:</w:t>
      </w:r>
    </w:p>
    <w:p w14:paraId="7D96149B" w14:textId="77777777" w:rsidR="00731A43" w:rsidRPr="008C2B22"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 xml:space="preserve">Aprobación de las políticas de Ciberseguridad </w:t>
      </w:r>
    </w:p>
    <w:p w14:paraId="01A1742D" w14:textId="1903A7E2"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Como mecanismo para fortalecer la ciberseguridad a nivel </w:t>
      </w:r>
      <w:r w:rsidR="00383BFA" w:rsidRPr="008C2B22">
        <w:rPr>
          <w:rFonts w:ascii="Times New Roman" w:eastAsia="Calibri" w:hAnsi="Times New Roman" w:cs="Times New Roman"/>
          <w:color w:val="4C4747"/>
          <w:spacing w:val="20"/>
          <w:sz w:val="24"/>
          <w:szCs w:val="24"/>
          <w:lang w:val="es-DO"/>
        </w:rPr>
        <w:t>interno de la institución se ha</w:t>
      </w:r>
      <w:r w:rsidRPr="008C2B22">
        <w:rPr>
          <w:rFonts w:ascii="Times New Roman" w:eastAsia="Calibri" w:hAnsi="Times New Roman" w:cs="Times New Roman"/>
          <w:color w:val="4C4747"/>
          <w:spacing w:val="20"/>
          <w:sz w:val="24"/>
          <w:szCs w:val="24"/>
          <w:lang w:val="es-DO"/>
        </w:rPr>
        <w:t xml:space="preserve"> elaborado una serie de políticas para gestionar eficazmente la integridad, privacidad y confidencialidad de la información del INDOTEL, basada en las mejores prácticas en ciberseguridad. </w:t>
      </w:r>
    </w:p>
    <w:p w14:paraId="29F28B2F"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Dichas políticas fueron presentadas al Consejo Directivo de INDOTEL y aprobadas mediante sesión número 066-22 el 17 de febrero 2022.  </w:t>
      </w:r>
    </w:p>
    <w:p w14:paraId="58D263B0"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Las políticas aprobadas fueron: </w:t>
      </w:r>
    </w:p>
    <w:p w14:paraId="1A474592"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institucional gobierno de tecnología.  </w:t>
      </w:r>
    </w:p>
    <w:p w14:paraId="3B44C01D"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general de correo electrónico.  </w:t>
      </w:r>
    </w:p>
    <w:p w14:paraId="578AFCB7"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institucional de control de acceso e identidad.  </w:t>
      </w:r>
    </w:p>
    <w:p w14:paraId="0A0DCCB4"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institucional de gestión de cambios en la infraestructura tecnológica.  </w:t>
      </w:r>
    </w:p>
    <w:p w14:paraId="4E72CF29"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institucional gestión de incidencias tecnológicas.  </w:t>
      </w:r>
    </w:p>
    <w:p w14:paraId="25823375"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institucional gestión de la infraestructura tecnológica.  </w:t>
      </w:r>
    </w:p>
    <w:p w14:paraId="0EFCE7FF" w14:textId="77777777" w:rsidR="00731A43" w:rsidRPr="008C2B22" w:rsidRDefault="00731A43" w:rsidP="00A02BDE">
      <w:pPr>
        <w:pStyle w:val="Prrafodelista"/>
        <w:numPr>
          <w:ilvl w:val="0"/>
          <w:numId w:val="2"/>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Política institucional tecnológica de utilización de antivirus.  </w:t>
      </w:r>
    </w:p>
    <w:p w14:paraId="175CE8F9" w14:textId="77777777" w:rsidR="00731A43" w:rsidRPr="008C2B22" w:rsidRDefault="00731A43" w:rsidP="00731A43">
      <w:pPr>
        <w:tabs>
          <w:tab w:val="left" w:pos="6611"/>
        </w:tabs>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b/>
      </w:r>
    </w:p>
    <w:p w14:paraId="626248EF" w14:textId="77777777" w:rsidR="00731A43" w:rsidRPr="008C2B22"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lastRenderedPageBreak/>
        <w:t xml:space="preserve">Talleres al personal de INDOTEL sobre las Políticas de Ciberseguridad </w:t>
      </w:r>
    </w:p>
    <w:p w14:paraId="4A1BF6F1" w14:textId="35712E2E" w:rsidR="00244AE2"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vista de que la aprobación de las políticas es solo un paso para fortalecer la ciberseguridad en la institución, además es necesario que estas políticas sean conocidas y aplicadas por todos los empleados del INDOTEL. A través del Departamento de Ciberseguridad se realizó talleres para dar a conocer a todo el per</w:t>
      </w:r>
      <w:r w:rsidR="00383BFA" w:rsidRPr="008C2B22">
        <w:rPr>
          <w:rFonts w:ascii="Times New Roman" w:eastAsia="Calibri" w:hAnsi="Times New Roman" w:cs="Times New Roman"/>
          <w:color w:val="4C4747"/>
          <w:spacing w:val="20"/>
          <w:sz w:val="24"/>
          <w:szCs w:val="24"/>
          <w:lang w:val="es-DO"/>
        </w:rPr>
        <w:t xml:space="preserve">sonal las políticas aprobadas. </w:t>
      </w:r>
    </w:p>
    <w:p w14:paraId="3E6212E6" w14:textId="77777777" w:rsidR="00731A43" w:rsidRPr="008C2B22" w:rsidRDefault="00731A43" w:rsidP="00383BFA">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 xml:space="preserve">Desarrollo del Plan de Auditoría para el Reglamento de Ciberseguridad para la prestación de servicios de acceso a internet  </w:t>
      </w:r>
    </w:p>
    <w:p w14:paraId="537BE73B"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Como parte del proceso de implementación del reglamento de ciberseguridad para la prestación del servicio de acceso a internet, se ha elaborado un plan de auditoría que se ajusta a las disposiciones del referido reglamento de ciberseguridad. Este plan servirá como base para auditar el cumplimiento y aplicación de dicho reglamento, tomado en cuenta las principales obligaciones que deben cumplir las prestadoras que otorgan servicios de acceso a internet.</w:t>
      </w:r>
    </w:p>
    <w:p w14:paraId="5362AEEE" w14:textId="77777777"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Inauguración del Centro de Cibercapacidades de Latinoamérica y el Caribe (LAC4)</w:t>
      </w:r>
    </w:p>
    <w:p w14:paraId="0BDDBAE7"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Centro de Cibercapacidades de Latinoamérica y el Caribe (LAC4) fue inaugurado con la  misión de actuar como un centro regional de conocimiento y capacitación para mejorar la educación y las habilidades en ciberseguridad, mejorar la interoperabilidad y las capacidades en el ciberespacio, incluida la investigación y el desarrollo, así como ayudar en la creación de normas nacionales. </w:t>
      </w:r>
    </w:p>
    <w:p w14:paraId="4C1CFB75" w14:textId="4B5FE209"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Servirá como un centro para compartir la experiencia colectiva de la Unión Europea a través de cursos y talleres especializados</w:t>
      </w:r>
      <w:r w:rsidRPr="00C62BB6">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color w:val="4C4747"/>
          <w:spacing w:val="20"/>
          <w:sz w:val="24"/>
          <w:szCs w:val="24"/>
          <w:lang w:val="es-DO"/>
        </w:rPr>
        <w:lastRenderedPageBreak/>
        <w:t>desarrollar la</w:t>
      </w:r>
      <w:r w:rsidR="00291C2D" w:rsidRPr="008C2B22">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color w:val="4C4747"/>
          <w:spacing w:val="20"/>
          <w:sz w:val="24"/>
          <w:szCs w:val="24"/>
          <w:lang w:val="es-DO"/>
        </w:rPr>
        <w:t>capacidad local basada en los principios de Train-the-Trainer facilitar la colaboración práctica entre la región y la UE y promover los beneficios de un ciberespacio libre e inclusivo.</w:t>
      </w:r>
    </w:p>
    <w:p w14:paraId="63751D83" w14:textId="2D8EE26E"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Durante el mes de mayo se celebró la semana inaugural del LAC4, donde se llevaron a cabo varios seminarios de expertos para mejorar la conciencia cibernética e impulsar las capacidades cibernéticas en la región, como la capacitación en seguridad de la información para CISOs, el Seminario Nacional de Implementación de la Estrategia de Ciberseguridad en colaboración con el proyecto de la UE Cyber4Dev y la formación de ciberconcientización para diplomáticos, organizado en cooperación con la </w:t>
      </w:r>
      <w:r w:rsidR="002677EC" w:rsidRPr="008C2B22">
        <w:rPr>
          <w:rFonts w:ascii="Times New Roman" w:eastAsia="Calibri" w:hAnsi="Times New Roman" w:cs="Times New Roman"/>
          <w:color w:val="4C4747"/>
          <w:spacing w:val="20"/>
          <w:sz w:val="24"/>
          <w:szCs w:val="24"/>
          <w:lang w:val="es-DO"/>
        </w:rPr>
        <w:t>d</w:t>
      </w:r>
      <w:r w:rsidRPr="008C2B22">
        <w:rPr>
          <w:rFonts w:ascii="Times New Roman" w:eastAsia="Calibri" w:hAnsi="Times New Roman" w:cs="Times New Roman"/>
          <w:color w:val="4C4747"/>
          <w:spacing w:val="20"/>
          <w:sz w:val="24"/>
          <w:szCs w:val="24"/>
          <w:lang w:val="es-DO"/>
        </w:rPr>
        <w:t>elegación de la UE en la República Dominicana, así como la Conferencia Inaugural del Centro de Cibercapacidades de L</w:t>
      </w:r>
      <w:r w:rsidR="00D33B06" w:rsidRPr="008C2B22">
        <w:rPr>
          <w:rFonts w:ascii="Times New Roman" w:eastAsia="Calibri" w:hAnsi="Times New Roman" w:cs="Times New Roman"/>
          <w:color w:val="4C4747"/>
          <w:spacing w:val="20"/>
          <w:sz w:val="24"/>
          <w:szCs w:val="24"/>
          <w:lang w:val="es-DO"/>
        </w:rPr>
        <w:t>atinoamérica y el Caribe (LAC4).</w:t>
      </w:r>
    </w:p>
    <w:p w14:paraId="1EFA118B" w14:textId="77777777"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Desarrollo e implementación de la Plataforma Web para el Sello de Confianza de Comercio Electrónico de la República Dominicana</w:t>
      </w:r>
    </w:p>
    <w:p w14:paraId="7A7FCAFF"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rol del INDOTEL en torno al Comercio Electrónico, prevé dotar a este tipo de comercio de reglas claras sobre el perfeccionamiento de los compromisos asumidos a través de expresiones de la voluntad por la vía electrónica, lo cual brindará un marco de seguridad y confianza para el desarrollo de transacciones electrónicas con plena identificación de sus participantes y certeza respecto de la integridad del contenido de los documentos digitales y mensajes de datos emitidos por estos. </w:t>
      </w:r>
    </w:p>
    <w:p w14:paraId="139BA01C"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Como parte del plan de trabajo para este año 2022 se estableció la creación e implementación de un Sello de Confianza de Comercio Electrónico de la República Dominicana. </w:t>
      </w:r>
    </w:p>
    <w:p w14:paraId="545A153B"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Este proyecto tiene como finalidad favorecer crear la normalización, reglamentación técnica y acreditación que garantice el cumplimiento de los requisitos de los mercados globales y un compromiso con la excelencia; según lo establece el EJE 3 (3.5.2) de la Estrategia Nacional de Desarrollo 2030 (END), para lo cual se implementará un portal web para promover mecanismos que generen confianza a los usuarios finales y empresas mediante la presentación de mejores prácticas.</w:t>
      </w:r>
    </w:p>
    <w:p w14:paraId="140F81D3" w14:textId="74FCA75D" w:rsidR="00A77640" w:rsidRPr="008C2B22" w:rsidRDefault="00731A43" w:rsidP="00D33B06">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proyecto propone la transformación digital mediante la implementación de nuevos servicios de auditorías a las empresas que soliciten ser acreditadas con el Sello de Confianza. Se realizarán proceso de validación de cumplimiento de buenas prácticas en materia de comercio electrónico de estos sitios web usando diverso mecanismos y herramientas. </w:t>
      </w:r>
    </w:p>
    <w:p w14:paraId="14BE9378" w14:textId="77777777"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 xml:space="preserve">Actualización la Ley 126-02 de Comercio Electrónico, Documentos y Firmas Digitales </w:t>
      </w:r>
    </w:p>
    <w:p w14:paraId="6E2C3204"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proceso de actualización normativa del comercio electrónico requiere de una exhaustiva revisión y actualización. En ese sentido, en virtud de lo dispuesto en el artículo 56, numeral 11, de la Ley número 126-02 sobre Comercio Electrónico Documentos y Firmas Digitales, el INDOTEL está facultado a proponer al Poder Ejecutivo la implementación de políticas en relación con la regulación de las actividades de las entidades de certificación y la adaptación de los avances tecnológicos para la generación de firmas digitales, la emisión de certificados, la conservación y archivo de documentos en soporte electrónico.</w:t>
      </w:r>
    </w:p>
    <w:p w14:paraId="1413D63B" w14:textId="4395A595" w:rsidR="00A77640" w:rsidRPr="008C2B22" w:rsidRDefault="00731A43" w:rsidP="00D33B06">
      <w:pPr>
        <w:spacing w:after="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El proyecto de actualización de la Ley </w:t>
      </w:r>
      <w:r w:rsidR="00D33B06" w:rsidRPr="008C2B22">
        <w:rPr>
          <w:rFonts w:ascii="Times New Roman" w:eastAsia="Calibri" w:hAnsi="Times New Roman" w:cs="Times New Roman"/>
          <w:color w:val="4C4747"/>
          <w:spacing w:val="20"/>
          <w:sz w:val="24"/>
          <w:szCs w:val="24"/>
          <w:lang w:val="es-DO"/>
        </w:rPr>
        <w:t xml:space="preserve">número </w:t>
      </w:r>
      <w:r w:rsidRPr="008C2B22">
        <w:rPr>
          <w:rFonts w:ascii="Times New Roman" w:eastAsia="Calibri" w:hAnsi="Times New Roman" w:cs="Times New Roman"/>
          <w:color w:val="4C4747"/>
          <w:spacing w:val="20"/>
          <w:sz w:val="24"/>
          <w:szCs w:val="24"/>
          <w:lang w:val="es-DO"/>
        </w:rPr>
        <w:t xml:space="preserve">126-02 de Comercio Electrónico, Documentos y Firmas Digitales está motivado en la necesidad de adecuar la normativa dominicana con la regulación </w:t>
      </w:r>
      <w:r w:rsidRPr="008C2B22">
        <w:rPr>
          <w:rFonts w:ascii="Times New Roman" w:eastAsia="Calibri" w:hAnsi="Times New Roman" w:cs="Times New Roman"/>
          <w:color w:val="4C4747"/>
          <w:spacing w:val="20"/>
          <w:sz w:val="24"/>
          <w:szCs w:val="24"/>
          <w:lang w:val="es-DO"/>
        </w:rPr>
        <w:lastRenderedPageBreak/>
        <w:t>internacional actual, sobre servicios de confianza y certificación digital conforme al desarrollo de los estándares tecnológicos vigentes, aplicables a las firmas digitales, identidades digit</w:t>
      </w:r>
      <w:r w:rsidR="00D33B06" w:rsidRPr="008C2B22">
        <w:rPr>
          <w:rFonts w:ascii="Times New Roman" w:eastAsia="Calibri" w:hAnsi="Times New Roman" w:cs="Times New Roman"/>
          <w:color w:val="4C4747"/>
          <w:spacing w:val="20"/>
          <w:sz w:val="24"/>
          <w:szCs w:val="24"/>
          <w:lang w:val="es-DO"/>
        </w:rPr>
        <w:t>ales y al comercio electrónico.</w:t>
      </w:r>
    </w:p>
    <w:p w14:paraId="60C3744C" w14:textId="77777777"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Proyecto de desarrollo de habilidades para politécnicos de la República Dominicana</w:t>
      </w:r>
    </w:p>
    <w:p w14:paraId="45517574"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Como parte de los esfuerzos del INDOTEL por mejorar la transformación digital se ha diseñado una iniciativa que comprende el desarrollo de un proyecto piloto de concienciación sobre ciberseguridad dirigida a los politécnicos de la República Dominicana, junto a la colaboración de la Unión Europea.  </w:t>
      </w:r>
    </w:p>
    <w:p w14:paraId="5B315EF4" w14:textId="17EBFC13" w:rsidR="00A77640" w:rsidRPr="008C2B22" w:rsidRDefault="00731A43" w:rsidP="00D33B06">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Este proyecto además comp</w:t>
      </w:r>
      <w:r w:rsidR="00D33B06" w:rsidRPr="008C2B22">
        <w:rPr>
          <w:rFonts w:ascii="Times New Roman" w:eastAsia="Calibri" w:hAnsi="Times New Roman" w:cs="Times New Roman"/>
          <w:color w:val="4C4747"/>
          <w:spacing w:val="20"/>
          <w:sz w:val="24"/>
          <w:szCs w:val="24"/>
          <w:lang w:val="es-DO"/>
        </w:rPr>
        <w:t xml:space="preserve">rende </w:t>
      </w:r>
      <w:r w:rsidRPr="008C2B22">
        <w:rPr>
          <w:rFonts w:ascii="Times New Roman" w:eastAsia="Calibri" w:hAnsi="Times New Roman" w:cs="Times New Roman"/>
          <w:color w:val="4C4747"/>
          <w:spacing w:val="20"/>
          <w:sz w:val="24"/>
          <w:szCs w:val="24"/>
          <w:lang w:val="es-DO"/>
        </w:rPr>
        <w:t>el primer ejercicio a nivel nacional tipo “Capture de Flag” dirigido a técnicos en TIC de los politécnicos de la República Dominicana, como mecanismo de fortalecer las habilidades requeridas por los estudiantes para avanzar sus conocimientos técnicos sobre la materia.</w:t>
      </w:r>
    </w:p>
    <w:p w14:paraId="4EE967F9" w14:textId="77777777"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Plan de auditorías y controles de sujetos regulados</w:t>
      </w:r>
    </w:p>
    <w:p w14:paraId="6B46A0FC"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su rol de vigilancia y control, se elaboró un Plan de Auditorías y Controles de Sujetos Regulados correspondiente al año 2022, a fin de comprobar el funcionamiento adecuado de los servicios de certificación digital. Con esto, se realizan las auditorías correspondientes para verificar el cumplimiento por parte de los sujetos regulados de acuerdo con la Ley número 126-02 sobre Comercio Electrónico, Documentos y Firmas Digitales, su Reglamento de Aplicación y sus Normas Complementarias vigentes. </w:t>
      </w:r>
    </w:p>
    <w:p w14:paraId="3F1568A4" w14:textId="2F022294"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En este año se realizaron 6 </w:t>
      </w:r>
      <w:r w:rsidR="002677EC" w:rsidRPr="008C2B22">
        <w:rPr>
          <w:rFonts w:ascii="Times New Roman" w:eastAsia="Calibri" w:hAnsi="Times New Roman" w:cs="Times New Roman"/>
          <w:color w:val="4C4747"/>
          <w:spacing w:val="20"/>
          <w:sz w:val="24"/>
          <w:szCs w:val="24"/>
          <w:lang w:val="es-DO"/>
        </w:rPr>
        <w:t>a</w:t>
      </w:r>
      <w:r w:rsidRPr="008C2B22">
        <w:rPr>
          <w:rFonts w:ascii="Times New Roman" w:eastAsia="Calibri" w:hAnsi="Times New Roman" w:cs="Times New Roman"/>
          <w:color w:val="4C4747"/>
          <w:spacing w:val="20"/>
          <w:sz w:val="24"/>
          <w:szCs w:val="24"/>
          <w:lang w:val="es-DO"/>
        </w:rPr>
        <w:t>uditorías de infraestructuras de claves públicas sobre seguridad de la información en los procedimientos vinculados a la prestación de servicios electrónicos de confianza,</w:t>
      </w:r>
      <w:r w:rsidR="00A77640" w:rsidRPr="00C62BB6">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color w:val="4C4747"/>
          <w:spacing w:val="20"/>
          <w:sz w:val="24"/>
          <w:szCs w:val="24"/>
          <w:lang w:val="es-DO"/>
        </w:rPr>
        <w:lastRenderedPageBreak/>
        <w:t>todas con resultados favorables, oportunidades de mejoras y pocas no conformidades; a saber:</w:t>
      </w:r>
    </w:p>
    <w:p w14:paraId="335C2575" w14:textId="77777777" w:rsidR="00731A43" w:rsidRPr="008C2B22" w:rsidRDefault="00731A43" w:rsidP="00731A43">
      <w:pPr>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w:t>
      </w:r>
      <w:r w:rsidRPr="008C2B22">
        <w:rPr>
          <w:rFonts w:ascii="Times New Roman" w:eastAsia="Calibri" w:hAnsi="Times New Roman" w:cs="Times New Roman"/>
          <w:b/>
          <w:color w:val="4C4747"/>
          <w:spacing w:val="20"/>
          <w:sz w:val="24"/>
          <w:szCs w:val="24"/>
          <w:lang w:val="es-DO"/>
        </w:rPr>
        <w:t>Entidades de Certificación:</w:t>
      </w:r>
    </w:p>
    <w:p w14:paraId="7115D716" w14:textId="77777777" w:rsidR="00731A43" w:rsidRPr="00F65C89" w:rsidRDefault="00731A43" w:rsidP="00A02BDE">
      <w:pPr>
        <w:pStyle w:val="Prrafodelista"/>
        <w:numPr>
          <w:ilvl w:val="0"/>
          <w:numId w:val="53"/>
        </w:numPr>
        <w:spacing w:line="360" w:lineRule="auto"/>
        <w:jc w:val="both"/>
        <w:rPr>
          <w:rFonts w:ascii="Times New Roman" w:eastAsia="Calibri" w:hAnsi="Times New Roman" w:cs="Times New Roman"/>
          <w:color w:val="4C4747"/>
          <w:spacing w:val="20"/>
          <w:sz w:val="24"/>
          <w:szCs w:val="24"/>
          <w:lang w:val="es-DO"/>
        </w:rPr>
      </w:pPr>
      <w:r w:rsidRPr="00F65C89">
        <w:rPr>
          <w:rFonts w:ascii="Times New Roman" w:eastAsia="Calibri" w:hAnsi="Times New Roman" w:cs="Times New Roman"/>
          <w:color w:val="4C4747"/>
          <w:spacing w:val="20"/>
          <w:sz w:val="24"/>
          <w:szCs w:val="24"/>
          <w:lang w:val="es-DO"/>
        </w:rPr>
        <w:t xml:space="preserve">Avansi S.R.L.; </w:t>
      </w:r>
    </w:p>
    <w:p w14:paraId="6DE9622C" w14:textId="77777777" w:rsidR="00731A43" w:rsidRPr="00F65C89" w:rsidRDefault="00731A43" w:rsidP="00A02BDE">
      <w:pPr>
        <w:pStyle w:val="Prrafodelista"/>
        <w:numPr>
          <w:ilvl w:val="0"/>
          <w:numId w:val="53"/>
        </w:numPr>
        <w:spacing w:line="360" w:lineRule="auto"/>
        <w:jc w:val="both"/>
        <w:rPr>
          <w:rFonts w:ascii="Times New Roman" w:eastAsia="Calibri" w:hAnsi="Times New Roman" w:cs="Times New Roman"/>
          <w:color w:val="4C4747"/>
          <w:spacing w:val="20"/>
          <w:sz w:val="24"/>
          <w:szCs w:val="24"/>
          <w:lang w:val="es-DO"/>
        </w:rPr>
      </w:pPr>
      <w:r w:rsidRPr="00F65C89">
        <w:rPr>
          <w:rFonts w:ascii="Times New Roman" w:eastAsia="Calibri" w:hAnsi="Times New Roman" w:cs="Times New Roman"/>
          <w:color w:val="4C4747"/>
          <w:spacing w:val="20"/>
          <w:sz w:val="24"/>
          <w:szCs w:val="24"/>
          <w:lang w:val="es-DO"/>
        </w:rPr>
        <w:t>Lleidanet Dominicana S.R.L; y</w:t>
      </w:r>
    </w:p>
    <w:p w14:paraId="2D682381" w14:textId="77777777" w:rsidR="00731A43" w:rsidRPr="00F65C89" w:rsidRDefault="00731A43" w:rsidP="00A02BDE">
      <w:pPr>
        <w:pStyle w:val="Prrafodelista"/>
        <w:numPr>
          <w:ilvl w:val="0"/>
          <w:numId w:val="53"/>
        </w:numPr>
        <w:spacing w:line="360" w:lineRule="auto"/>
        <w:jc w:val="both"/>
        <w:rPr>
          <w:rFonts w:ascii="Times New Roman" w:eastAsia="Calibri" w:hAnsi="Times New Roman" w:cs="Times New Roman"/>
          <w:color w:val="4C4747"/>
          <w:spacing w:val="20"/>
          <w:sz w:val="24"/>
          <w:szCs w:val="24"/>
          <w:lang w:val="es-DO"/>
        </w:rPr>
      </w:pPr>
      <w:r w:rsidRPr="00F65C89">
        <w:rPr>
          <w:rFonts w:ascii="Times New Roman" w:eastAsia="Calibri" w:hAnsi="Times New Roman" w:cs="Times New Roman"/>
          <w:color w:val="4C4747"/>
          <w:spacing w:val="20"/>
          <w:sz w:val="24"/>
          <w:szCs w:val="24"/>
          <w:lang w:val="es-DO"/>
        </w:rPr>
        <w:t>Oficina Gubernamental de Tecnologías de la Información y Comunicación (OGTIC).</w:t>
      </w:r>
    </w:p>
    <w:p w14:paraId="0F26C689"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Unidades de Registro:</w:t>
      </w:r>
    </w:p>
    <w:p w14:paraId="5D9B31DC" w14:textId="77777777" w:rsidR="00731A43" w:rsidRPr="00F65C89" w:rsidRDefault="00731A43" w:rsidP="00A02BDE">
      <w:pPr>
        <w:pStyle w:val="Prrafodelista"/>
        <w:numPr>
          <w:ilvl w:val="0"/>
          <w:numId w:val="54"/>
        </w:numPr>
        <w:spacing w:line="360" w:lineRule="auto"/>
        <w:jc w:val="both"/>
        <w:rPr>
          <w:rFonts w:ascii="Times New Roman" w:eastAsia="Calibri" w:hAnsi="Times New Roman" w:cs="Times New Roman"/>
          <w:color w:val="4C4747"/>
          <w:spacing w:val="20"/>
          <w:sz w:val="24"/>
          <w:szCs w:val="24"/>
          <w:lang w:val="es-DO"/>
        </w:rPr>
      </w:pPr>
      <w:r w:rsidRPr="00F65C89">
        <w:rPr>
          <w:rFonts w:ascii="Times New Roman" w:eastAsia="Calibri" w:hAnsi="Times New Roman" w:cs="Times New Roman"/>
          <w:color w:val="4C4747"/>
          <w:spacing w:val="20"/>
          <w:sz w:val="24"/>
          <w:szCs w:val="24"/>
          <w:lang w:val="es-DO"/>
        </w:rPr>
        <w:t>Dirección General de Impuestos Internos;</w:t>
      </w:r>
    </w:p>
    <w:p w14:paraId="25D4B8B0" w14:textId="77777777" w:rsidR="00731A43" w:rsidRPr="00F65C89" w:rsidRDefault="00731A43" w:rsidP="00A02BDE">
      <w:pPr>
        <w:pStyle w:val="Prrafodelista"/>
        <w:numPr>
          <w:ilvl w:val="0"/>
          <w:numId w:val="54"/>
        </w:numPr>
        <w:spacing w:line="360" w:lineRule="auto"/>
        <w:jc w:val="both"/>
        <w:rPr>
          <w:rFonts w:ascii="Times New Roman" w:eastAsia="Calibri" w:hAnsi="Times New Roman" w:cs="Times New Roman"/>
          <w:color w:val="4C4747"/>
          <w:spacing w:val="20"/>
          <w:sz w:val="24"/>
          <w:szCs w:val="24"/>
          <w:lang w:val="es-DO"/>
        </w:rPr>
      </w:pPr>
      <w:r w:rsidRPr="00F65C89">
        <w:rPr>
          <w:rFonts w:ascii="Times New Roman" w:eastAsia="Calibri" w:hAnsi="Times New Roman" w:cs="Times New Roman"/>
          <w:color w:val="4C4747"/>
          <w:spacing w:val="20"/>
          <w:sz w:val="24"/>
          <w:szCs w:val="24"/>
          <w:lang w:val="es-DO"/>
        </w:rPr>
        <w:t>Dirección General de Aduanas;</w:t>
      </w:r>
    </w:p>
    <w:p w14:paraId="293C3DDE" w14:textId="099CAED0" w:rsidR="00A77640" w:rsidRPr="00F65C89" w:rsidRDefault="00731A43" w:rsidP="00A02BDE">
      <w:pPr>
        <w:pStyle w:val="Prrafodelista"/>
        <w:numPr>
          <w:ilvl w:val="0"/>
          <w:numId w:val="54"/>
        </w:numPr>
        <w:spacing w:line="360" w:lineRule="auto"/>
        <w:jc w:val="both"/>
        <w:rPr>
          <w:rFonts w:ascii="Times New Roman" w:eastAsia="Calibri" w:hAnsi="Times New Roman" w:cs="Times New Roman"/>
          <w:color w:val="4C4747"/>
          <w:spacing w:val="20"/>
          <w:sz w:val="24"/>
          <w:szCs w:val="24"/>
          <w:lang w:val="es-DO"/>
        </w:rPr>
      </w:pPr>
      <w:r w:rsidRPr="00F65C89">
        <w:rPr>
          <w:rFonts w:ascii="Times New Roman" w:eastAsia="Calibri" w:hAnsi="Times New Roman" w:cs="Times New Roman"/>
          <w:color w:val="4C4747"/>
          <w:spacing w:val="20"/>
          <w:sz w:val="24"/>
          <w:szCs w:val="24"/>
          <w:lang w:val="es-DO"/>
        </w:rPr>
        <w:t>Banco del Reservas de la República Dominicana</w:t>
      </w:r>
    </w:p>
    <w:p w14:paraId="50A34926" w14:textId="77777777"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Procedimientos de acreditación y autorización para la prestación de servicios de confianza en la República Dominicana</w:t>
      </w:r>
    </w:p>
    <w:p w14:paraId="233A13A5" w14:textId="5F1E17BE"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Durante este período se realizó un procedimiento de autorización para la ampliación de los servicios electrónicos de confianza prestados por la entidad de certificación LLEIDANET DOMINICANA mediante la Resolución </w:t>
      </w:r>
      <w:r w:rsidR="00D33B06" w:rsidRPr="008C2B22">
        <w:rPr>
          <w:rFonts w:ascii="Times New Roman" w:eastAsia="Calibri" w:hAnsi="Times New Roman" w:cs="Times New Roman"/>
          <w:color w:val="4C4747"/>
          <w:spacing w:val="20"/>
          <w:sz w:val="24"/>
          <w:szCs w:val="24"/>
          <w:lang w:val="es-DO"/>
        </w:rPr>
        <w:t xml:space="preserve">número </w:t>
      </w:r>
      <w:r w:rsidRPr="008C2B22">
        <w:rPr>
          <w:rFonts w:ascii="Times New Roman" w:eastAsia="Calibri" w:hAnsi="Times New Roman" w:cs="Times New Roman"/>
          <w:color w:val="4C4747"/>
          <w:spacing w:val="20"/>
          <w:sz w:val="24"/>
          <w:szCs w:val="24"/>
          <w:lang w:val="es-DO"/>
        </w:rPr>
        <w:t>038-2022 de fecha 7 de abril de 2022. El INDOTEL tiene otro proceso para la autorización de constitución como entidad de certificación a la sociedad THOMAS SIGNED COPPEL con un 90% de desarrollo.</w:t>
      </w:r>
    </w:p>
    <w:p w14:paraId="79CFBEBB" w14:textId="2AD7FEDF" w:rsidR="00A77640"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Además, se renovó la autorización a la entidad de certificación  AVANSI mediante la resolución 070</w:t>
      </w:r>
      <w:r w:rsidR="00D33B06" w:rsidRPr="008C2B22">
        <w:rPr>
          <w:rFonts w:ascii="Times New Roman" w:eastAsia="Calibri" w:hAnsi="Times New Roman" w:cs="Times New Roman"/>
          <w:color w:val="4C4747"/>
          <w:spacing w:val="20"/>
          <w:sz w:val="24"/>
          <w:szCs w:val="24"/>
          <w:lang w:val="es-DO"/>
        </w:rPr>
        <w:t>-2022 de fecha 4 de julio 2022.</w:t>
      </w:r>
    </w:p>
    <w:p w14:paraId="3BD0FB0D"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Procedimientos de inscripción en el Registro Especial de Proveedores de Firma Electrónica, se ejecutaron cuatro procedimientos de inscripción en el Registro Especial de Proveedores de Firma Electrónica, a favor de las empresas Ghostwriter Ventures, GSI International, VIAFIRMA y QIK BANCO DIGITAL DOMINICANO.</w:t>
      </w:r>
    </w:p>
    <w:p w14:paraId="5B3BFEEF" w14:textId="77777777" w:rsidR="00731A43" w:rsidRPr="008C2B22" w:rsidRDefault="00731A43" w:rsidP="00731A43">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Procedimientos de renovación en el Registro Especial de Proveedores de Firma Electrónica, se renovó una sociedad en el registro especial de PFE a favor de: Onespam NorthAmerica y tenemos otra solicitud en proceso a nombre de Ivnosys S.U.</w:t>
      </w:r>
    </w:p>
    <w:p w14:paraId="31D5022C" w14:textId="72F1B8BB" w:rsidR="00A77640" w:rsidRPr="008C2B22" w:rsidRDefault="00731A43" w:rsidP="00D33B06">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Revisión de marco legal de los servicios electrónicos de confianza y certificación digital, se ha llevado una extensa labor de revisión de iniciativas que tienen como finalidad coadyuvar a la implementación de la transformación digital del país, en consonancia</w:t>
      </w:r>
      <w:r w:rsidR="00D33B06" w:rsidRPr="008C2B22">
        <w:rPr>
          <w:rFonts w:ascii="Times New Roman" w:eastAsia="Calibri" w:hAnsi="Times New Roman" w:cs="Times New Roman"/>
          <w:color w:val="4C4747"/>
          <w:spacing w:val="20"/>
          <w:sz w:val="24"/>
          <w:szCs w:val="24"/>
          <w:lang w:val="es-DO"/>
        </w:rPr>
        <w:t xml:space="preserve"> con la Agenda Digital 2030.</w:t>
      </w:r>
    </w:p>
    <w:p w14:paraId="2376FE05" w14:textId="722693ED" w:rsidR="00731A43" w:rsidRPr="008C2B22" w:rsidRDefault="00731A43" w:rsidP="00D33B06">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Entre los principa</w:t>
      </w:r>
      <w:r w:rsidR="008C2B22">
        <w:rPr>
          <w:rFonts w:ascii="Times New Roman" w:eastAsia="Calibri" w:hAnsi="Times New Roman" w:cs="Times New Roman"/>
          <w:b/>
          <w:color w:val="4C4747"/>
          <w:spacing w:val="20"/>
          <w:sz w:val="24"/>
          <w:szCs w:val="24"/>
          <w:lang w:val="es-DO"/>
        </w:rPr>
        <w:t xml:space="preserve">les proyectos con los que se colaboró </w:t>
      </w:r>
      <w:r w:rsidRPr="008C2B22">
        <w:rPr>
          <w:rFonts w:ascii="Times New Roman" w:eastAsia="Calibri" w:hAnsi="Times New Roman" w:cs="Times New Roman"/>
          <w:b/>
          <w:color w:val="4C4747"/>
          <w:spacing w:val="20"/>
          <w:sz w:val="24"/>
          <w:szCs w:val="24"/>
          <w:lang w:val="es-DO"/>
        </w:rPr>
        <w:t>se encuentran:</w:t>
      </w:r>
    </w:p>
    <w:p w14:paraId="26FBBE8A"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Cuatro mesas técnicas de transformación digital sobre procesos financieros del Estado dominicano</w:t>
      </w:r>
    </w:p>
    <w:p w14:paraId="22C97ADE"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Asesoría al proyecto de facturación electrónica de la DGII, colaboración con la negociación del acuerdo entre ambas entidades (INDOTEL y DGII). </w:t>
      </w:r>
    </w:p>
    <w:p w14:paraId="267B5C1C"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Proceso de compras y contrataciones del portal web validador de servicios de confianza en la República Dominicana, el mismo tiene un 70% de desarrollo y estará listo en enero 2023.</w:t>
      </w:r>
    </w:p>
    <w:p w14:paraId="65896042"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Representación Internacional de la Republica Dominicana en el ID DAY 2022 Costa Rica.</w:t>
      </w:r>
    </w:p>
    <w:p w14:paraId="623EA5C2"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Revisión anteproyecto de la ley de innovación y desarrollo digital.</w:t>
      </w:r>
    </w:p>
    <w:p w14:paraId="1869DEE4"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Revisión anteproyecto de ley de uso de medios digitales en el Poder Judicial.</w:t>
      </w:r>
    </w:p>
    <w:p w14:paraId="30989B62"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Revisión reglamento de aplicación de la ley de uso de medios digitales en el Poder Judicial.</w:t>
      </w:r>
    </w:p>
    <w:p w14:paraId="698DCE2C"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Colaboración con la negociación y elaboración del acuerdo institucional de INDOTEL con el Poder Judicial.</w:t>
      </w:r>
    </w:p>
    <w:p w14:paraId="002B6A72"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Revisión y participación en delegación Dominicana ante LACNUDMI para la elaboración de la ley modelo de uso de Identidad Digital y reconocimiento transfronterizo de Servicios Electrónicos de Confianza.</w:t>
      </w:r>
    </w:p>
    <w:p w14:paraId="1C9F3F94"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Acercamiento proyecto de colaboración con Tribunal Constitucional. </w:t>
      </w:r>
    </w:p>
    <w:p w14:paraId="2456D208"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Acercamiento proyecto de colaboración con Colegio Dominicano de Abogados</w:t>
      </w:r>
    </w:p>
    <w:p w14:paraId="31C446C9"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Acercamiento proyecto de colaboración con MESCYT.</w:t>
      </w:r>
    </w:p>
    <w:p w14:paraId="51DC6A9B"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Revisión de Diagnóstico sobre Identidad del Banco Mundial.</w:t>
      </w:r>
    </w:p>
    <w:p w14:paraId="0FF29121"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Revisión y colaboración para la elaboración de la Circular sobre uso de Firma Digital del Ministerio de Administración Pública. </w:t>
      </w:r>
    </w:p>
    <w:p w14:paraId="67B66A24"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Revisión ley modelo de uso de identidad digital y reconocimiento transfronterizo de servicios electrónicos de confianza.</w:t>
      </w:r>
    </w:p>
    <w:p w14:paraId="5C12C809"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Revisión marco legal de la firma digital en República Dominicana.</w:t>
      </w:r>
    </w:p>
    <w:p w14:paraId="5790DCC2" w14:textId="77777777"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Coordinación y organización del evento internacional IDFORO 2022.</w:t>
      </w:r>
    </w:p>
    <w:p w14:paraId="0914D68D" w14:textId="23D24106" w:rsidR="00731A43" w:rsidRPr="008C2B22" w:rsidRDefault="00731A43" w:rsidP="00A02BDE">
      <w:pPr>
        <w:pStyle w:val="Prrafodelista"/>
        <w:numPr>
          <w:ilvl w:val="0"/>
          <w:numId w:val="31"/>
        </w:num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 Participación en la revisión del proyecto de Modernización del Merco Legal para la economía digital y el Comercio Electrónico en Colaboración con el Ministerio de Industria y Comercio. </w:t>
      </w:r>
    </w:p>
    <w:p w14:paraId="6454B237" w14:textId="77777777" w:rsidR="00A77640" w:rsidRPr="008C2B22" w:rsidRDefault="00A77640" w:rsidP="00D33A54">
      <w:pPr>
        <w:spacing w:line="360" w:lineRule="auto"/>
        <w:jc w:val="both"/>
        <w:rPr>
          <w:rFonts w:ascii="Times New Roman" w:eastAsia="Calibri" w:hAnsi="Times New Roman" w:cs="Times New Roman"/>
          <w:color w:val="4C4747"/>
          <w:spacing w:val="20"/>
          <w:sz w:val="24"/>
          <w:szCs w:val="24"/>
          <w:lang w:val="es-DO"/>
        </w:rPr>
      </w:pPr>
    </w:p>
    <w:p w14:paraId="3A1FC2F1" w14:textId="77777777" w:rsidR="00D33B06" w:rsidRPr="008C2B22" w:rsidRDefault="00D33B06" w:rsidP="00D33A54">
      <w:pPr>
        <w:spacing w:line="360" w:lineRule="auto"/>
        <w:jc w:val="both"/>
        <w:rPr>
          <w:rFonts w:ascii="Times New Roman" w:eastAsia="Calibri" w:hAnsi="Times New Roman" w:cs="Times New Roman"/>
          <w:color w:val="4C4747"/>
          <w:spacing w:val="20"/>
          <w:sz w:val="24"/>
          <w:szCs w:val="24"/>
          <w:lang w:val="es-DO"/>
        </w:rPr>
      </w:pPr>
    </w:p>
    <w:p w14:paraId="2045DCE0" w14:textId="77777777" w:rsidR="00A77640" w:rsidRDefault="00A77640" w:rsidP="00D33A54">
      <w:pPr>
        <w:spacing w:line="360" w:lineRule="auto"/>
        <w:jc w:val="both"/>
        <w:rPr>
          <w:rFonts w:ascii="Times New Roman" w:eastAsia="Calibri" w:hAnsi="Times New Roman" w:cs="Times New Roman"/>
          <w:color w:val="FF0000"/>
          <w:spacing w:val="20"/>
          <w:sz w:val="24"/>
          <w:szCs w:val="24"/>
          <w:lang w:val="es-DO"/>
        </w:rPr>
      </w:pPr>
    </w:p>
    <w:p w14:paraId="33372F47" w14:textId="77777777" w:rsidR="00A77640" w:rsidRDefault="00A77640" w:rsidP="00D33A54">
      <w:pPr>
        <w:spacing w:line="360" w:lineRule="auto"/>
        <w:jc w:val="both"/>
        <w:rPr>
          <w:rFonts w:ascii="Times New Roman" w:eastAsia="Calibri" w:hAnsi="Times New Roman" w:cs="Times New Roman"/>
          <w:color w:val="FF0000"/>
          <w:spacing w:val="20"/>
          <w:sz w:val="24"/>
          <w:szCs w:val="24"/>
          <w:lang w:val="es-DO"/>
        </w:rPr>
      </w:pPr>
    </w:p>
    <w:p w14:paraId="51AEF25D" w14:textId="6999734B" w:rsidR="00FA019C" w:rsidRPr="00C62BB6" w:rsidRDefault="00FA019C" w:rsidP="00A02BDE">
      <w:pPr>
        <w:pStyle w:val="Ttulo1"/>
        <w:numPr>
          <w:ilvl w:val="0"/>
          <w:numId w:val="27"/>
        </w:numPr>
        <w:jc w:val="center"/>
        <w:rPr>
          <w:b/>
          <w:color w:val="4C4747"/>
          <w:lang w:val="es-DO"/>
        </w:rPr>
      </w:pPr>
      <w:bookmarkStart w:id="20" w:name="_Toc122425242"/>
      <w:r w:rsidRPr="00C62BB6">
        <w:rPr>
          <w:b/>
          <w:color w:val="4C4747"/>
          <w:lang w:val="es-DO"/>
        </w:rPr>
        <w:lastRenderedPageBreak/>
        <w:t xml:space="preserve">RESULTADOS ÁREAS TRANSVERSALES </w:t>
      </w:r>
      <w:r w:rsidRPr="00C62BB6">
        <w:rPr>
          <w:b/>
          <w:color w:val="4C4747"/>
          <w:lang w:val="es-DO"/>
        </w:rPr>
        <w:br/>
        <w:t>Y DE APOYO</w:t>
      </w:r>
      <w:bookmarkEnd w:id="20"/>
    </w:p>
    <w:p w14:paraId="3F94A889" w14:textId="77777777" w:rsidR="00FA019C" w:rsidRPr="00C62BB6" w:rsidRDefault="00FA019C" w:rsidP="00FA019C">
      <w:pPr>
        <w:jc w:val="both"/>
        <w:rPr>
          <w:rFonts w:ascii="Times New Roman" w:eastAsia="Calibri" w:hAnsi="Times New Roman" w:cs="Times New Roman"/>
          <w:color w:val="4C4747"/>
          <w:sz w:val="18"/>
          <w:lang w:val="es-DO"/>
        </w:rPr>
      </w:pPr>
      <w:r w:rsidRPr="00C62BB6">
        <w:rPr>
          <w:rFonts w:ascii="Times New Roman" w:eastAsia="Calibri" w:hAnsi="Times New Roman" w:cs="Times New Roman"/>
          <w:noProof/>
          <w:color w:val="4C4747"/>
          <w:sz w:val="18"/>
        </w:rPr>
        <mc:AlternateContent>
          <mc:Choice Requires="wps">
            <w:drawing>
              <wp:anchor distT="0" distB="0" distL="114300" distR="114300" simplePos="0" relativeHeight="251715584" behindDoc="0" locked="0" layoutInCell="1" allowOverlap="1" wp14:anchorId="7F8150E8" wp14:editId="1F09E1F9">
                <wp:simplePos x="0" y="0"/>
                <wp:positionH relativeFrom="margin">
                  <wp:posOffset>2254250</wp:posOffset>
                </wp:positionH>
                <wp:positionV relativeFrom="paragraph">
                  <wp:posOffset>36830</wp:posOffset>
                </wp:positionV>
                <wp:extent cx="463550" cy="0"/>
                <wp:effectExtent l="22860" t="15875" r="18415" b="22225"/>
                <wp:wrapNone/>
                <wp:docPr id="8"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035C63" id="Straight Connector 21" o:spid="_x0000_s1026" style="position:absolute;z-index:2517155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tPaMwIAAE8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" strokecolor="#ee2a24" strokeweight="2.25pt">
                <v:stroke joinstyle="miter"/>
                <w10:wrap anchorx="margin"/>
              </v:line>
            </w:pict>
          </mc:Fallback>
        </mc:AlternateContent>
      </w:r>
    </w:p>
    <w:p w14:paraId="451265F0" w14:textId="42C224A5" w:rsidR="00FA019C" w:rsidRPr="00C62BB6" w:rsidRDefault="00591C1B" w:rsidP="00FA019C">
      <w:pPr>
        <w:jc w:val="center"/>
        <w:rPr>
          <w:rFonts w:ascii="Times New Roman" w:eastAsia="Calibri" w:hAnsi="Times New Roman" w:cs="Times New Roman"/>
          <w:color w:val="4C4747"/>
          <w:spacing w:val="20"/>
          <w:sz w:val="24"/>
          <w:szCs w:val="36"/>
          <w:lang w:val="es-DO"/>
        </w:rPr>
      </w:pPr>
      <w:r w:rsidRPr="00C62BB6">
        <w:rPr>
          <w:rFonts w:ascii="Times New Roman" w:eastAsia="Calibri" w:hAnsi="Times New Roman" w:cs="Times New Roman"/>
          <w:color w:val="4C4747"/>
          <w:spacing w:val="20"/>
          <w:sz w:val="24"/>
          <w:szCs w:val="36"/>
          <w:lang w:val="es-DO"/>
        </w:rPr>
        <w:t>Memoria Institucion</w:t>
      </w:r>
      <w:r w:rsidR="00FA019C" w:rsidRPr="00C62BB6">
        <w:rPr>
          <w:rFonts w:ascii="Times New Roman" w:eastAsia="Calibri" w:hAnsi="Times New Roman" w:cs="Times New Roman"/>
          <w:color w:val="4C4747"/>
          <w:spacing w:val="20"/>
          <w:sz w:val="24"/>
          <w:szCs w:val="36"/>
          <w:lang w:val="es-DO"/>
        </w:rPr>
        <w:t>al 2022</w:t>
      </w:r>
    </w:p>
    <w:p w14:paraId="6DDD7DAE" w14:textId="77777777" w:rsidR="00FA019C" w:rsidRPr="00C62BB6" w:rsidRDefault="00FA019C" w:rsidP="00FA019C">
      <w:pPr>
        <w:spacing w:line="360" w:lineRule="auto"/>
        <w:jc w:val="both"/>
        <w:rPr>
          <w:rFonts w:ascii="Times New Roman" w:eastAsia="Calibri" w:hAnsi="Times New Roman" w:cs="Times New Roman"/>
          <w:color w:val="4C4747"/>
          <w:spacing w:val="20"/>
          <w:sz w:val="24"/>
          <w:szCs w:val="24"/>
          <w:lang w:val="es-DO"/>
        </w:rPr>
      </w:pPr>
    </w:p>
    <w:p w14:paraId="029CFCAD" w14:textId="1EB1850C" w:rsidR="00A71A82" w:rsidRPr="00C62BB6" w:rsidRDefault="00A75CDE" w:rsidP="00A71A82">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21" w:name="_Toc79678420"/>
      <w:bookmarkStart w:id="22" w:name="_Toc122425243"/>
      <w:r w:rsidRPr="00C62BB6">
        <w:rPr>
          <w:rFonts w:ascii="Times New Roman" w:hAnsi="Times New Roman" w:cs="Times New Roman"/>
          <w:b/>
          <w:color w:val="4C4747"/>
          <w:sz w:val="24"/>
          <w:szCs w:val="24"/>
          <w:lang w:val="es-DO" w:eastAsia="es-DO"/>
        </w:rPr>
        <w:t>4.1</w:t>
      </w:r>
      <w:r w:rsidRPr="00C62BB6">
        <w:rPr>
          <w:rFonts w:ascii="Times New Roman" w:hAnsi="Times New Roman" w:cs="Times New Roman"/>
          <w:b/>
          <w:i/>
          <w:color w:val="4C4747"/>
          <w:sz w:val="24"/>
          <w:szCs w:val="24"/>
          <w:lang w:val="es-DO" w:eastAsia="es-DO"/>
        </w:rPr>
        <w:t xml:space="preserve">  </w:t>
      </w:r>
      <w:r w:rsidR="00A71A82" w:rsidRPr="00C62BB6">
        <w:rPr>
          <w:rFonts w:ascii="Times New Roman" w:eastAsia="Times New Roman" w:hAnsi="Times New Roman" w:cs="Times New Roman"/>
          <w:b/>
          <w:bCs/>
          <w:color w:val="4C4747"/>
          <w:sz w:val="24"/>
          <w:szCs w:val="28"/>
          <w:lang w:val="es-DO" w:eastAsia="es-DO"/>
        </w:rPr>
        <w:t>Desempeño Administrativo y Financiero</w:t>
      </w:r>
      <w:bookmarkEnd w:id="21"/>
      <w:bookmarkEnd w:id="22"/>
    </w:p>
    <w:p w14:paraId="40D0237F" w14:textId="77777777" w:rsidR="00A71A82" w:rsidRPr="00C62BB6" w:rsidRDefault="00A71A82" w:rsidP="00A71A82">
      <w:pPr>
        <w:pStyle w:val="Sinespaciado"/>
        <w:rPr>
          <w:color w:val="4C4747"/>
          <w:lang w:val="es-DO"/>
        </w:rPr>
      </w:pPr>
    </w:p>
    <w:p w14:paraId="1244EBDD" w14:textId="450AB7E2" w:rsidR="00A71A82" w:rsidRPr="00C62BB6" w:rsidRDefault="006D62FE" w:rsidP="00A75CDE">
      <w:pPr>
        <w:pStyle w:val="Ttulo4"/>
        <w:rPr>
          <w:rFonts w:ascii="Times New Roman" w:hAnsi="Times New Roman" w:cs="Times New Roman"/>
          <w:b/>
          <w:color w:val="4C4747"/>
          <w:sz w:val="24"/>
          <w:szCs w:val="24"/>
          <w:lang w:val="es-DO" w:eastAsia="es-DO"/>
        </w:rPr>
      </w:pPr>
      <w:r w:rsidRPr="00C62BB6">
        <w:rPr>
          <w:rFonts w:ascii="Times New Roman" w:hAnsi="Times New Roman" w:cs="Times New Roman"/>
          <w:b/>
          <w:i w:val="0"/>
          <w:color w:val="4C4747"/>
          <w:sz w:val="24"/>
          <w:szCs w:val="24"/>
          <w:lang w:val="es-DO" w:eastAsia="es-DO"/>
        </w:rPr>
        <w:t xml:space="preserve">4.1.1 </w:t>
      </w:r>
      <w:r w:rsidR="00A71A82" w:rsidRPr="00C62BB6">
        <w:rPr>
          <w:rFonts w:ascii="Times New Roman" w:hAnsi="Times New Roman" w:cs="Times New Roman"/>
          <w:b/>
          <w:i w:val="0"/>
          <w:color w:val="4C4747"/>
          <w:sz w:val="24"/>
          <w:szCs w:val="24"/>
          <w:lang w:val="es-DO" w:eastAsia="es-DO"/>
        </w:rPr>
        <w:t>Desempeño Administrativo</w:t>
      </w:r>
    </w:p>
    <w:p w14:paraId="112C5DD5" w14:textId="77777777" w:rsidR="00A75CDE" w:rsidRPr="00C62BB6" w:rsidRDefault="00A75CDE" w:rsidP="00A75CDE">
      <w:pPr>
        <w:rPr>
          <w:color w:val="4C4747"/>
          <w:lang w:val="es-DO" w:eastAsia="es-DO"/>
        </w:rPr>
      </w:pPr>
    </w:p>
    <w:p w14:paraId="2A8C0951" w14:textId="77777777" w:rsidR="00731A43" w:rsidRPr="008C2B22" w:rsidRDefault="00731A43"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área Administrativa es la responsable de coordinar, organizar y dirigir todas aquellas actividades que conllevan los procesos operativos-administrativos de la institución, velando por la optimización del uso de los recursos, el buen funcionamiento y mantenimiento de las áreas físicas y equipos de la institución.</w:t>
      </w:r>
    </w:p>
    <w:p w14:paraId="594E4257" w14:textId="77777777" w:rsidR="00731A43" w:rsidRPr="008C2B22" w:rsidRDefault="00731A43"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Se encarga además de tramitar y gestionar los pagos de los servicios básicos, combustibles, pólizas de seguros (riesgo y vehículos), contratos de arrendamiento, servicios de mantenimientos de infraestructura y vehículos; actividades relacionadas al Plan Anual de Compras y Contrataciones, control y asignación de parqueos, control y asignación de equipos de telefonía móvil, entre otros.</w:t>
      </w:r>
    </w:p>
    <w:p w14:paraId="2A53DC3F" w14:textId="77777777" w:rsidR="00731A43" w:rsidRPr="008C2B22" w:rsidRDefault="00731A43"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Por otro lado se encarga de la administración del nuevo Centro Tetelo Vargas-Extensión ITLA, San Pedro de Macorís donde anualmente se están beneficiando más de 1000 estudiantes con cursos cortos, diplomados y carreras técnicas que van en beneficio y desarrollo de la provincia San Pedro de Macorís y sus habitantes. </w:t>
      </w:r>
    </w:p>
    <w:p w14:paraId="6E353227" w14:textId="77777777" w:rsidR="00731A43" w:rsidRPr="008C2B22" w:rsidRDefault="00731A43"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La gestión realizada de revisión, supervisión y control ha permitido eficientizar los gastos de la institución en la sede y todas sus dependencias, manteniendo un servicio oportuno y ofreciendo soluciones eficientes a los requerimientos de la institución, acorde se detalla en la siguiente tabla:</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3685"/>
        <w:gridCol w:w="2070"/>
        <w:gridCol w:w="2160"/>
      </w:tblGrid>
      <w:tr w:rsidR="008860AC" w:rsidRPr="008860AC" w14:paraId="1D5CC477" w14:textId="77777777" w:rsidTr="00C62BB6">
        <w:trPr>
          <w:trHeight w:val="530"/>
        </w:trPr>
        <w:tc>
          <w:tcPr>
            <w:tcW w:w="7915" w:type="dxa"/>
            <w:gridSpan w:val="3"/>
            <w:shd w:val="clear" w:color="auto" w:fill="002060"/>
            <w:noWrap/>
            <w:vAlign w:val="center"/>
          </w:tcPr>
          <w:p w14:paraId="41C0D29E" w14:textId="77777777" w:rsidR="008860AC" w:rsidRPr="00C62BB6" w:rsidRDefault="008860AC" w:rsidP="00C62BB6">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lastRenderedPageBreak/>
              <w:t>Servicios</w:t>
            </w:r>
          </w:p>
        </w:tc>
      </w:tr>
      <w:tr w:rsidR="008860AC" w:rsidRPr="008860AC" w14:paraId="028BC42B" w14:textId="77777777" w:rsidTr="00C62BB6">
        <w:trPr>
          <w:trHeight w:val="420"/>
        </w:trPr>
        <w:tc>
          <w:tcPr>
            <w:tcW w:w="3685" w:type="dxa"/>
            <w:shd w:val="clear" w:color="auto" w:fill="002060"/>
            <w:noWrap/>
            <w:vAlign w:val="center"/>
          </w:tcPr>
          <w:p w14:paraId="0AE9C8EC" w14:textId="77777777" w:rsidR="008860AC" w:rsidRPr="00C62BB6" w:rsidRDefault="008860AC" w:rsidP="00C62BB6">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Año 2022</w:t>
            </w:r>
          </w:p>
        </w:tc>
        <w:tc>
          <w:tcPr>
            <w:tcW w:w="4230" w:type="dxa"/>
            <w:gridSpan w:val="2"/>
            <w:shd w:val="clear" w:color="auto" w:fill="002060"/>
            <w:noWrap/>
            <w:vAlign w:val="center"/>
          </w:tcPr>
          <w:p w14:paraId="45CDC858" w14:textId="531E826A" w:rsidR="008860AC" w:rsidRPr="00C62BB6" w:rsidRDefault="008860AC" w:rsidP="00C62BB6">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Monto en RD$</w:t>
            </w:r>
          </w:p>
        </w:tc>
      </w:tr>
      <w:tr w:rsidR="008860AC" w:rsidRPr="008860AC" w14:paraId="4DAB5765" w14:textId="77777777" w:rsidTr="00C62BB6">
        <w:trPr>
          <w:trHeight w:val="420"/>
        </w:trPr>
        <w:tc>
          <w:tcPr>
            <w:tcW w:w="3685" w:type="dxa"/>
            <w:shd w:val="clear" w:color="auto" w:fill="002060"/>
            <w:noWrap/>
            <w:vAlign w:val="center"/>
            <w:hideMark/>
          </w:tcPr>
          <w:p w14:paraId="46F16430" w14:textId="77777777" w:rsidR="008860AC" w:rsidRPr="00C62BB6" w:rsidRDefault="008860AC" w:rsidP="00C62BB6">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Concepto</w:t>
            </w:r>
          </w:p>
        </w:tc>
        <w:tc>
          <w:tcPr>
            <w:tcW w:w="2070" w:type="dxa"/>
            <w:shd w:val="clear" w:color="auto" w:fill="002060"/>
            <w:noWrap/>
            <w:vAlign w:val="center"/>
            <w:hideMark/>
          </w:tcPr>
          <w:p w14:paraId="359D529E" w14:textId="77777777" w:rsidR="008860AC" w:rsidRPr="00C62BB6" w:rsidRDefault="008860AC" w:rsidP="00C62BB6">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Ejecutado</w:t>
            </w:r>
          </w:p>
        </w:tc>
        <w:tc>
          <w:tcPr>
            <w:tcW w:w="2160" w:type="dxa"/>
            <w:shd w:val="clear" w:color="auto" w:fill="002060"/>
            <w:noWrap/>
            <w:vAlign w:val="center"/>
            <w:hideMark/>
          </w:tcPr>
          <w:p w14:paraId="6F774552" w14:textId="77777777" w:rsidR="008860AC" w:rsidRPr="00C62BB6" w:rsidRDefault="008860AC" w:rsidP="00C62BB6">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Presupuestado</w:t>
            </w:r>
          </w:p>
        </w:tc>
      </w:tr>
      <w:tr w:rsidR="000E66D4" w:rsidRPr="00C62BB6" w14:paraId="6EB9B8A1" w14:textId="77777777" w:rsidTr="00943FA5">
        <w:trPr>
          <w:trHeight w:val="375"/>
        </w:trPr>
        <w:tc>
          <w:tcPr>
            <w:tcW w:w="3685" w:type="dxa"/>
            <w:shd w:val="clear" w:color="auto" w:fill="auto"/>
            <w:noWrap/>
            <w:vAlign w:val="center"/>
            <w:hideMark/>
          </w:tcPr>
          <w:p w14:paraId="41449A3A"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Alquiler Edificio Principal</w:t>
            </w:r>
          </w:p>
        </w:tc>
        <w:tc>
          <w:tcPr>
            <w:tcW w:w="207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DD896B" w14:textId="0F948CDB"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$ 47,259,096.24 </w:t>
            </w:r>
          </w:p>
        </w:tc>
        <w:tc>
          <w:tcPr>
            <w:tcW w:w="2160" w:type="dxa"/>
            <w:shd w:val="clear" w:color="auto" w:fill="auto"/>
            <w:noWrap/>
            <w:vAlign w:val="bottom"/>
          </w:tcPr>
          <w:p w14:paraId="70EDD2B7" w14:textId="1920D4F2"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47,456,009.00 </w:t>
            </w:r>
          </w:p>
        </w:tc>
      </w:tr>
      <w:tr w:rsidR="000E66D4" w:rsidRPr="00C62BB6" w14:paraId="71BB7641" w14:textId="77777777" w:rsidTr="00943FA5">
        <w:trPr>
          <w:trHeight w:val="375"/>
        </w:trPr>
        <w:tc>
          <w:tcPr>
            <w:tcW w:w="3685" w:type="dxa"/>
            <w:shd w:val="clear" w:color="auto" w:fill="auto"/>
            <w:noWrap/>
            <w:vAlign w:val="center"/>
            <w:hideMark/>
          </w:tcPr>
          <w:p w14:paraId="65ECE5F5"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Alquiler De Parqueos </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4C3ED061"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$ 29,293,348.37 </w:t>
            </w:r>
          </w:p>
        </w:tc>
        <w:tc>
          <w:tcPr>
            <w:tcW w:w="2160" w:type="dxa"/>
            <w:shd w:val="clear" w:color="auto" w:fill="auto"/>
            <w:noWrap/>
            <w:vAlign w:val="bottom"/>
          </w:tcPr>
          <w:p w14:paraId="20CCF40E" w14:textId="64EDF095"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27,636,776.00 </w:t>
            </w:r>
          </w:p>
        </w:tc>
      </w:tr>
      <w:tr w:rsidR="000E66D4" w:rsidRPr="00C62BB6" w14:paraId="12F1E817" w14:textId="77777777" w:rsidTr="00943FA5">
        <w:trPr>
          <w:trHeight w:val="375"/>
        </w:trPr>
        <w:tc>
          <w:tcPr>
            <w:tcW w:w="3685" w:type="dxa"/>
            <w:shd w:val="clear" w:color="auto" w:fill="auto"/>
            <w:noWrap/>
            <w:vAlign w:val="center"/>
            <w:hideMark/>
          </w:tcPr>
          <w:p w14:paraId="3FB48C28"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Periódicos  Ejemplares</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0C71ADC8" w14:textId="2C8B5805"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103,000.00 </w:t>
            </w:r>
          </w:p>
        </w:tc>
        <w:tc>
          <w:tcPr>
            <w:tcW w:w="2160" w:type="dxa"/>
            <w:shd w:val="clear" w:color="auto" w:fill="auto"/>
            <w:noWrap/>
            <w:vAlign w:val="bottom"/>
          </w:tcPr>
          <w:p w14:paraId="00247D92" w14:textId="74243799"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607,570.00 </w:t>
            </w:r>
          </w:p>
        </w:tc>
      </w:tr>
      <w:tr w:rsidR="000E66D4" w:rsidRPr="00C62BB6" w14:paraId="78F2506E" w14:textId="77777777" w:rsidTr="00943FA5">
        <w:trPr>
          <w:trHeight w:val="375"/>
        </w:trPr>
        <w:tc>
          <w:tcPr>
            <w:tcW w:w="3685" w:type="dxa"/>
            <w:shd w:val="clear" w:color="auto" w:fill="auto"/>
            <w:noWrap/>
            <w:vAlign w:val="center"/>
            <w:hideMark/>
          </w:tcPr>
          <w:p w14:paraId="6561679D"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Uso Planta Eléctrica</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4D0CF26" w14:textId="4C263071"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2,055,386.76 </w:t>
            </w:r>
          </w:p>
        </w:tc>
        <w:tc>
          <w:tcPr>
            <w:tcW w:w="2160" w:type="dxa"/>
            <w:shd w:val="clear" w:color="auto" w:fill="auto"/>
            <w:noWrap/>
            <w:vAlign w:val="bottom"/>
          </w:tcPr>
          <w:p w14:paraId="39A7E469" w14:textId="2F1BD1F9"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2,055,387.00 </w:t>
            </w:r>
          </w:p>
        </w:tc>
      </w:tr>
      <w:tr w:rsidR="000E66D4" w:rsidRPr="00C62BB6" w14:paraId="5E68D97F" w14:textId="77777777" w:rsidTr="00943FA5">
        <w:trPr>
          <w:trHeight w:val="375"/>
        </w:trPr>
        <w:tc>
          <w:tcPr>
            <w:tcW w:w="3685" w:type="dxa"/>
            <w:shd w:val="clear" w:color="auto" w:fill="auto"/>
            <w:noWrap/>
            <w:vAlign w:val="center"/>
            <w:hideMark/>
          </w:tcPr>
          <w:p w14:paraId="03048653"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Mantenimiento De Ascensor </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FA1C317" w14:textId="331D284E"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137,352.00 </w:t>
            </w:r>
          </w:p>
        </w:tc>
        <w:tc>
          <w:tcPr>
            <w:tcW w:w="2160" w:type="dxa"/>
            <w:shd w:val="clear" w:color="auto" w:fill="auto"/>
            <w:noWrap/>
            <w:vAlign w:val="bottom"/>
          </w:tcPr>
          <w:p w14:paraId="5BC63840" w14:textId="5FB7FE10"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127,440.00 </w:t>
            </w:r>
          </w:p>
        </w:tc>
      </w:tr>
      <w:tr w:rsidR="000E66D4" w:rsidRPr="00C62BB6" w14:paraId="5EC0F949" w14:textId="77777777" w:rsidTr="00943FA5">
        <w:trPr>
          <w:trHeight w:val="375"/>
        </w:trPr>
        <w:tc>
          <w:tcPr>
            <w:tcW w:w="3685" w:type="dxa"/>
            <w:shd w:val="clear" w:color="auto" w:fill="auto"/>
            <w:noWrap/>
            <w:vAlign w:val="center"/>
            <w:hideMark/>
          </w:tcPr>
          <w:p w14:paraId="776CCCB4"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Telecomunicaciones</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3F600FD" w14:textId="3B6D8B05"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8,736,687.67 </w:t>
            </w:r>
          </w:p>
        </w:tc>
        <w:tc>
          <w:tcPr>
            <w:tcW w:w="2160" w:type="dxa"/>
            <w:shd w:val="clear" w:color="auto" w:fill="auto"/>
            <w:noWrap/>
            <w:vAlign w:val="bottom"/>
          </w:tcPr>
          <w:p w14:paraId="2F90BD75" w14:textId="18A3D17D"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21,276,220.00 </w:t>
            </w:r>
          </w:p>
        </w:tc>
      </w:tr>
      <w:tr w:rsidR="000E66D4" w:rsidRPr="00C62BB6" w14:paraId="4114399D" w14:textId="77777777" w:rsidTr="00943FA5">
        <w:trPr>
          <w:trHeight w:val="375"/>
        </w:trPr>
        <w:tc>
          <w:tcPr>
            <w:tcW w:w="3685" w:type="dxa"/>
            <w:shd w:val="clear" w:color="auto" w:fill="auto"/>
            <w:noWrap/>
            <w:vAlign w:val="center"/>
            <w:hideMark/>
          </w:tcPr>
          <w:p w14:paraId="2C283FCF"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Energía Eléctrica</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1F24BD52" w14:textId="26EF0A5E"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10,806,261.92 </w:t>
            </w:r>
          </w:p>
        </w:tc>
        <w:tc>
          <w:tcPr>
            <w:tcW w:w="2160" w:type="dxa"/>
            <w:shd w:val="clear" w:color="auto" w:fill="auto"/>
            <w:noWrap/>
            <w:vAlign w:val="bottom"/>
          </w:tcPr>
          <w:p w14:paraId="5F7FB373" w14:textId="101022C6"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9,474,779.00 </w:t>
            </w:r>
          </w:p>
        </w:tc>
      </w:tr>
      <w:tr w:rsidR="000E66D4" w:rsidRPr="00C62BB6" w14:paraId="1128D192" w14:textId="77777777" w:rsidTr="00943FA5">
        <w:trPr>
          <w:trHeight w:val="375"/>
        </w:trPr>
        <w:tc>
          <w:tcPr>
            <w:tcW w:w="3685" w:type="dxa"/>
            <w:shd w:val="clear" w:color="auto" w:fill="auto"/>
            <w:noWrap/>
            <w:vAlign w:val="center"/>
            <w:hideMark/>
          </w:tcPr>
          <w:p w14:paraId="3FF31906"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Agua Potable</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6C13BE9D" w14:textId="41A30B23"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82,702.16 </w:t>
            </w:r>
          </w:p>
        </w:tc>
        <w:tc>
          <w:tcPr>
            <w:tcW w:w="2160" w:type="dxa"/>
            <w:shd w:val="clear" w:color="auto" w:fill="auto"/>
            <w:noWrap/>
            <w:vAlign w:val="bottom"/>
          </w:tcPr>
          <w:p w14:paraId="4C847928" w14:textId="46B01165"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93,530.00 </w:t>
            </w:r>
          </w:p>
        </w:tc>
      </w:tr>
      <w:tr w:rsidR="000E66D4" w:rsidRPr="00C62BB6" w14:paraId="43D44EEC" w14:textId="77777777" w:rsidTr="00943FA5">
        <w:trPr>
          <w:trHeight w:val="375"/>
        </w:trPr>
        <w:tc>
          <w:tcPr>
            <w:tcW w:w="3685" w:type="dxa"/>
            <w:shd w:val="clear" w:color="auto" w:fill="auto"/>
            <w:noWrap/>
            <w:vAlign w:val="center"/>
            <w:hideMark/>
          </w:tcPr>
          <w:p w14:paraId="65FC7FF0"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Desechos Sólidos</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22C51958" w14:textId="5A1DBB30"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66,397.00 </w:t>
            </w:r>
          </w:p>
        </w:tc>
        <w:tc>
          <w:tcPr>
            <w:tcW w:w="2160" w:type="dxa"/>
            <w:shd w:val="clear" w:color="auto" w:fill="auto"/>
            <w:noWrap/>
            <w:vAlign w:val="bottom"/>
          </w:tcPr>
          <w:p w14:paraId="7E6A01CF" w14:textId="1F7952DC"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55,780.00 </w:t>
            </w:r>
          </w:p>
        </w:tc>
      </w:tr>
      <w:tr w:rsidR="000E66D4" w:rsidRPr="00C62BB6" w14:paraId="64A1AA0D" w14:textId="77777777" w:rsidTr="00943FA5">
        <w:trPr>
          <w:trHeight w:val="375"/>
        </w:trPr>
        <w:tc>
          <w:tcPr>
            <w:tcW w:w="3685" w:type="dxa"/>
            <w:shd w:val="clear" w:color="auto" w:fill="auto"/>
            <w:noWrap/>
            <w:vAlign w:val="center"/>
            <w:hideMark/>
          </w:tcPr>
          <w:p w14:paraId="42E47CCA"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Combustibles</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2942F0B" w14:textId="38A2D6F8"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11,869,705.51 </w:t>
            </w:r>
          </w:p>
        </w:tc>
        <w:tc>
          <w:tcPr>
            <w:tcW w:w="2160" w:type="dxa"/>
            <w:shd w:val="clear" w:color="auto" w:fill="auto"/>
            <w:noWrap/>
            <w:vAlign w:val="bottom"/>
          </w:tcPr>
          <w:p w14:paraId="19DD94C9" w14:textId="7898CFC0"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16,532,243.00 </w:t>
            </w:r>
          </w:p>
        </w:tc>
      </w:tr>
      <w:tr w:rsidR="000E66D4" w:rsidRPr="00C62BB6" w14:paraId="0528D8B1" w14:textId="77777777" w:rsidTr="00943FA5">
        <w:trPr>
          <w:trHeight w:val="375"/>
        </w:trPr>
        <w:tc>
          <w:tcPr>
            <w:tcW w:w="3685" w:type="dxa"/>
            <w:shd w:val="clear" w:color="auto" w:fill="auto"/>
            <w:noWrap/>
            <w:vAlign w:val="center"/>
            <w:hideMark/>
          </w:tcPr>
          <w:p w14:paraId="2905960E"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Seguros Todo Riesgo Vehículos</w:t>
            </w:r>
          </w:p>
        </w:tc>
        <w:tc>
          <w:tcPr>
            <w:tcW w:w="2070" w:type="dxa"/>
            <w:tcBorders>
              <w:top w:val="nil"/>
              <w:left w:val="single" w:sz="4" w:space="0" w:color="auto"/>
              <w:bottom w:val="single" w:sz="4" w:space="0" w:color="auto"/>
              <w:right w:val="single" w:sz="4" w:space="0" w:color="auto"/>
            </w:tcBorders>
            <w:shd w:val="clear" w:color="auto" w:fill="auto"/>
            <w:noWrap/>
            <w:vAlign w:val="bottom"/>
            <w:hideMark/>
          </w:tcPr>
          <w:p w14:paraId="565A6F0D" w14:textId="7204AE62"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6,329,165.40 </w:t>
            </w:r>
          </w:p>
        </w:tc>
        <w:tc>
          <w:tcPr>
            <w:tcW w:w="2160" w:type="dxa"/>
            <w:shd w:val="clear" w:color="auto" w:fill="auto"/>
            <w:noWrap/>
            <w:vAlign w:val="bottom"/>
          </w:tcPr>
          <w:p w14:paraId="66632900" w14:textId="1E669A98"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5,611,914.00 </w:t>
            </w:r>
          </w:p>
        </w:tc>
      </w:tr>
      <w:tr w:rsidR="000E66D4" w:rsidRPr="00C62BB6" w14:paraId="1882DB88" w14:textId="77777777" w:rsidTr="00943FA5">
        <w:trPr>
          <w:trHeight w:val="375"/>
        </w:trPr>
        <w:tc>
          <w:tcPr>
            <w:tcW w:w="3685" w:type="dxa"/>
            <w:shd w:val="clear" w:color="auto" w:fill="auto"/>
            <w:noWrap/>
            <w:vAlign w:val="center"/>
            <w:hideMark/>
          </w:tcPr>
          <w:p w14:paraId="0B0DC32A"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Total</w:t>
            </w:r>
          </w:p>
        </w:tc>
        <w:tc>
          <w:tcPr>
            <w:tcW w:w="2070" w:type="dxa"/>
            <w:tcBorders>
              <w:top w:val="nil"/>
              <w:left w:val="single" w:sz="4" w:space="0" w:color="auto"/>
              <w:bottom w:val="single" w:sz="4" w:space="0" w:color="auto"/>
              <w:right w:val="single" w:sz="4" w:space="0" w:color="auto"/>
            </w:tcBorders>
            <w:shd w:val="clear" w:color="auto" w:fill="auto"/>
            <w:noWrap/>
            <w:vAlign w:val="center"/>
            <w:hideMark/>
          </w:tcPr>
          <w:p w14:paraId="2A04D2F6" w14:textId="272282E7"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8860AC" w:rsidRPr="00C62BB6">
              <w:rPr>
                <w:rFonts w:ascii="Times New Roman" w:eastAsia="Calibri" w:hAnsi="Times New Roman" w:cs="Times New Roman"/>
                <w:color w:val="4C4747"/>
                <w:spacing w:val="20"/>
                <w:sz w:val="24"/>
                <w:szCs w:val="24"/>
                <w:lang w:val="es-DO"/>
              </w:rPr>
              <w:t>116,739,103.03</w:t>
            </w:r>
          </w:p>
        </w:tc>
        <w:tc>
          <w:tcPr>
            <w:tcW w:w="2160" w:type="dxa"/>
            <w:shd w:val="clear" w:color="auto" w:fill="auto"/>
            <w:noWrap/>
            <w:vAlign w:val="center"/>
            <w:hideMark/>
          </w:tcPr>
          <w:p w14:paraId="161E03C2" w14:textId="6F370AB9" w:rsidR="008860AC" w:rsidRPr="00C62BB6" w:rsidRDefault="00B82CCE"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8860AC" w:rsidRPr="00C62BB6">
              <w:rPr>
                <w:rFonts w:ascii="Times New Roman" w:eastAsia="Calibri" w:hAnsi="Times New Roman" w:cs="Times New Roman"/>
                <w:color w:val="4C4747"/>
                <w:spacing w:val="20"/>
                <w:sz w:val="24"/>
                <w:szCs w:val="24"/>
                <w:lang w:val="es-DO"/>
              </w:rPr>
              <w:t>130,927,648.00</w:t>
            </w:r>
          </w:p>
        </w:tc>
      </w:tr>
    </w:tbl>
    <w:p w14:paraId="6F2CB0C4" w14:textId="77777777" w:rsidR="008860AC" w:rsidRPr="00C62BB6" w:rsidRDefault="008860AC" w:rsidP="00A75CDE">
      <w:pPr>
        <w:spacing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Dirección Administrativa</w:t>
      </w:r>
    </w:p>
    <w:p w14:paraId="5BCC38A9" w14:textId="4828F978" w:rsidR="008860AC" w:rsidRPr="00C62BB6" w:rsidRDefault="007A30D2"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Esta tabla muestra </w:t>
      </w:r>
      <w:r w:rsidR="008860AC" w:rsidRPr="00C62BB6">
        <w:rPr>
          <w:rFonts w:ascii="Times New Roman" w:eastAsia="Calibri" w:hAnsi="Times New Roman" w:cs="Times New Roman"/>
          <w:color w:val="4C4747"/>
          <w:spacing w:val="20"/>
          <w:sz w:val="24"/>
          <w:szCs w:val="24"/>
          <w:lang w:val="es-DO"/>
        </w:rPr>
        <w:t>la ejecución estimada del año 2022 versus el presupuesto</w:t>
      </w:r>
      <w:r w:rsidRPr="00C62BB6">
        <w:rPr>
          <w:rFonts w:ascii="Times New Roman" w:eastAsia="Calibri" w:hAnsi="Times New Roman" w:cs="Times New Roman"/>
          <w:color w:val="4C4747"/>
          <w:spacing w:val="20"/>
          <w:sz w:val="24"/>
          <w:szCs w:val="24"/>
          <w:lang w:val="es-DO"/>
        </w:rPr>
        <w:t>,</w:t>
      </w:r>
      <w:r w:rsidR="008860AC" w:rsidRPr="00C62BB6">
        <w:rPr>
          <w:rFonts w:ascii="Times New Roman" w:eastAsia="Calibri" w:hAnsi="Times New Roman" w:cs="Times New Roman"/>
          <w:color w:val="4C4747"/>
          <w:spacing w:val="20"/>
          <w:sz w:val="24"/>
          <w:szCs w:val="24"/>
          <w:lang w:val="es-DO"/>
        </w:rPr>
        <w:t xml:space="preserve"> arrojó un porcentaje de manejo favorable para la institución representando un monto aproximado de RD$14,000,000.00 millones de pesos de ahorro, debido </w:t>
      </w:r>
      <w:r w:rsidRPr="00C62BB6">
        <w:rPr>
          <w:rFonts w:ascii="Times New Roman" w:eastAsia="Calibri" w:hAnsi="Times New Roman" w:cs="Times New Roman"/>
          <w:color w:val="4C4747"/>
          <w:spacing w:val="20"/>
          <w:sz w:val="24"/>
          <w:szCs w:val="24"/>
          <w:lang w:val="es-DO"/>
        </w:rPr>
        <w:t xml:space="preserve">al eficiente manejo del mismo. </w:t>
      </w:r>
    </w:p>
    <w:p w14:paraId="27930388" w14:textId="6F867210" w:rsidR="007F67E7" w:rsidRPr="00C62BB6" w:rsidRDefault="008860AC" w:rsidP="00A75CDE">
      <w:pPr>
        <w:spacing w:line="360" w:lineRule="auto"/>
        <w:jc w:val="both"/>
        <w:rPr>
          <w:rFonts w:ascii="Times New Roman" w:eastAsia="Calibri" w:hAnsi="Times New Roman" w:cs="Times New Roman"/>
          <w:noProof/>
          <w:color w:val="4C4747"/>
          <w:spacing w:val="20"/>
          <w:sz w:val="24"/>
          <w:szCs w:val="24"/>
          <w:lang w:val="es-DO"/>
        </w:rPr>
      </w:pPr>
      <w:r w:rsidRPr="00C62BB6">
        <w:rPr>
          <w:rFonts w:ascii="Times New Roman" w:eastAsia="Calibri" w:hAnsi="Times New Roman" w:cs="Times New Roman"/>
          <w:color w:val="4C4747"/>
          <w:spacing w:val="20"/>
          <w:sz w:val="24"/>
          <w:szCs w:val="24"/>
          <w:lang w:val="es-DO"/>
        </w:rPr>
        <w:t>A su vez, fue elaborado el Plan Anual de Compras y Contrataciones</w:t>
      </w:r>
      <w:r w:rsidR="007A30D2" w:rsidRPr="00C62BB6">
        <w:rPr>
          <w:rFonts w:ascii="Times New Roman" w:eastAsia="Calibri" w:hAnsi="Times New Roman" w:cs="Times New Roman"/>
          <w:color w:val="4C4747"/>
          <w:spacing w:val="20"/>
          <w:sz w:val="24"/>
          <w:szCs w:val="24"/>
          <w:lang w:val="es-DO"/>
        </w:rPr>
        <w:t xml:space="preserve"> (PACC) 2022 </w:t>
      </w:r>
      <w:r w:rsidRPr="00C62BB6">
        <w:rPr>
          <w:rFonts w:ascii="Times New Roman" w:eastAsia="Calibri" w:hAnsi="Times New Roman" w:cs="Times New Roman"/>
          <w:color w:val="4C4747"/>
          <w:spacing w:val="20"/>
          <w:sz w:val="24"/>
          <w:szCs w:val="24"/>
          <w:lang w:val="es-DO"/>
        </w:rPr>
        <w:t xml:space="preserve">publicado en </w:t>
      </w:r>
      <w:r w:rsidR="007A30D2" w:rsidRPr="00C62BB6">
        <w:rPr>
          <w:rFonts w:ascii="Times New Roman" w:eastAsia="Calibri" w:hAnsi="Times New Roman" w:cs="Times New Roman"/>
          <w:color w:val="4C4747"/>
          <w:spacing w:val="20"/>
          <w:sz w:val="24"/>
          <w:szCs w:val="24"/>
          <w:lang w:val="es-DO"/>
        </w:rPr>
        <w:t>el portal transaccional y realizado</w:t>
      </w:r>
      <w:r w:rsidRPr="00C62BB6">
        <w:rPr>
          <w:rFonts w:ascii="Times New Roman" w:eastAsia="Calibri" w:hAnsi="Times New Roman" w:cs="Times New Roman"/>
          <w:color w:val="4C4747"/>
          <w:spacing w:val="20"/>
          <w:sz w:val="24"/>
          <w:szCs w:val="24"/>
          <w:lang w:val="es-DO"/>
        </w:rPr>
        <w:t xml:space="preserve"> el </w:t>
      </w:r>
      <w:r w:rsidRPr="00C62BB6">
        <w:rPr>
          <w:rFonts w:ascii="Times New Roman" w:eastAsia="Calibri" w:hAnsi="Times New Roman" w:cs="Times New Roman"/>
          <w:color w:val="4C4747"/>
          <w:spacing w:val="20"/>
          <w:sz w:val="24"/>
          <w:szCs w:val="24"/>
          <w:lang w:val="es-DO"/>
        </w:rPr>
        <w:lastRenderedPageBreak/>
        <w:t>seguimiento mes tras mes de su ejecución y de los reportes de los indicadores del SISCOMPRAS</w:t>
      </w:r>
      <w:r w:rsidRPr="00C62BB6">
        <w:rPr>
          <w:rFonts w:ascii="Times New Roman" w:eastAsia="Calibri" w:hAnsi="Times New Roman" w:cs="Times New Roman"/>
          <w:noProof/>
          <w:color w:val="4C4747"/>
          <w:spacing w:val="20"/>
          <w:sz w:val="24"/>
          <w:szCs w:val="24"/>
          <w:lang w:val="es-DO"/>
        </w:rPr>
        <w:t xml:space="preserve">. </w:t>
      </w:r>
    </w:p>
    <w:p w14:paraId="2678700F" w14:textId="626F8BB9" w:rsidR="008860AC" w:rsidRPr="00C62BB6" w:rsidRDefault="008860AC" w:rsidP="00A75CDE">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Proyectos de </w:t>
      </w:r>
      <w:r w:rsidR="00217AD7" w:rsidRPr="00C62BB6">
        <w:rPr>
          <w:rFonts w:ascii="Times New Roman" w:eastAsia="Calibri" w:hAnsi="Times New Roman" w:cs="Times New Roman"/>
          <w:b/>
          <w:color w:val="4C4747"/>
          <w:spacing w:val="20"/>
          <w:sz w:val="24"/>
          <w:szCs w:val="24"/>
          <w:lang w:val="es-DO"/>
        </w:rPr>
        <w:t>automatización</w:t>
      </w:r>
      <w:r w:rsidRPr="00C62BB6">
        <w:rPr>
          <w:rFonts w:ascii="Times New Roman" w:eastAsia="Calibri" w:hAnsi="Times New Roman" w:cs="Times New Roman"/>
          <w:b/>
          <w:color w:val="4C4747"/>
          <w:spacing w:val="20"/>
          <w:sz w:val="24"/>
          <w:szCs w:val="24"/>
          <w:lang w:val="es-DO"/>
        </w:rPr>
        <w:t xml:space="preserve"> y mejoras de nuestros sistemas internos </w:t>
      </w:r>
    </w:p>
    <w:p w14:paraId="756FC012" w14:textId="7A81E5D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En el 2022 se </w:t>
      </w:r>
      <w:r w:rsidR="00217AD7" w:rsidRPr="00C62BB6">
        <w:rPr>
          <w:rFonts w:ascii="Times New Roman" w:eastAsia="Calibri" w:hAnsi="Times New Roman" w:cs="Times New Roman"/>
          <w:color w:val="4C4747"/>
          <w:spacing w:val="20"/>
          <w:sz w:val="24"/>
          <w:szCs w:val="24"/>
          <w:lang w:val="es-DO"/>
        </w:rPr>
        <w:t>realizó</w:t>
      </w:r>
      <w:r w:rsidRPr="00C62BB6">
        <w:rPr>
          <w:rFonts w:ascii="Times New Roman" w:eastAsia="Calibri" w:hAnsi="Times New Roman" w:cs="Times New Roman"/>
          <w:color w:val="4C4747"/>
          <w:spacing w:val="20"/>
          <w:sz w:val="24"/>
          <w:szCs w:val="24"/>
          <w:lang w:val="es-DO"/>
        </w:rPr>
        <w:t xml:space="preserve"> un proceso</w:t>
      </w:r>
      <w:r w:rsidR="00A77640" w:rsidRPr="00C62BB6">
        <w:rPr>
          <w:rFonts w:ascii="Times New Roman" w:eastAsia="Calibri" w:hAnsi="Times New Roman" w:cs="Times New Roman"/>
          <w:color w:val="4C4747"/>
          <w:spacing w:val="20"/>
          <w:sz w:val="24"/>
          <w:szCs w:val="24"/>
          <w:lang w:val="es-DO"/>
        </w:rPr>
        <w:t xml:space="preserve"> de compras con proveedor único,</w:t>
      </w:r>
      <w:r w:rsidRPr="00C62BB6">
        <w:rPr>
          <w:rFonts w:ascii="Times New Roman" w:eastAsia="Calibri" w:hAnsi="Times New Roman" w:cs="Times New Roman"/>
          <w:color w:val="4C4747"/>
          <w:spacing w:val="20"/>
          <w:sz w:val="24"/>
          <w:szCs w:val="24"/>
          <w:lang w:val="es-DO"/>
        </w:rPr>
        <w:t xml:space="preserve"> </w:t>
      </w:r>
      <w:r w:rsidR="00A77640" w:rsidRPr="00C62BB6">
        <w:rPr>
          <w:rFonts w:ascii="Times New Roman" w:eastAsia="Calibri" w:hAnsi="Times New Roman" w:cs="Times New Roman"/>
          <w:color w:val="4C4747"/>
          <w:spacing w:val="20"/>
          <w:sz w:val="24"/>
          <w:szCs w:val="24"/>
          <w:lang w:val="es-DO"/>
        </w:rPr>
        <w:t xml:space="preserve">para </w:t>
      </w:r>
      <w:r w:rsidRPr="00C62BB6">
        <w:rPr>
          <w:rFonts w:ascii="Times New Roman" w:eastAsia="Calibri" w:hAnsi="Times New Roman" w:cs="Times New Roman"/>
          <w:color w:val="4C4747"/>
          <w:spacing w:val="20"/>
          <w:sz w:val="24"/>
          <w:szCs w:val="24"/>
          <w:lang w:val="es-DO"/>
        </w:rPr>
        <w:t>crea</w:t>
      </w:r>
      <w:r w:rsidR="00A77640" w:rsidRPr="00C62BB6">
        <w:rPr>
          <w:rFonts w:ascii="Times New Roman" w:eastAsia="Calibri" w:hAnsi="Times New Roman" w:cs="Times New Roman"/>
          <w:color w:val="4C4747"/>
          <w:spacing w:val="20"/>
          <w:sz w:val="24"/>
          <w:szCs w:val="24"/>
          <w:lang w:val="es-DO"/>
        </w:rPr>
        <w:t>r</w:t>
      </w:r>
      <w:r w:rsidRPr="00C62BB6">
        <w:rPr>
          <w:rFonts w:ascii="Times New Roman" w:eastAsia="Calibri" w:hAnsi="Times New Roman" w:cs="Times New Roman"/>
          <w:color w:val="4C4747"/>
          <w:spacing w:val="20"/>
          <w:sz w:val="24"/>
          <w:szCs w:val="24"/>
          <w:lang w:val="es-DO"/>
        </w:rPr>
        <w:t xml:space="preserve"> una aplicación de gestión interna integrada, </w:t>
      </w:r>
      <w:r w:rsidR="00A77640" w:rsidRPr="00C62BB6">
        <w:rPr>
          <w:rFonts w:ascii="Times New Roman" w:eastAsia="Calibri" w:hAnsi="Times New Roman" w:cs="Times New Roman"/>
          <w:color w:val="4C4747"/>
          <w:spacing w:val="20"/>
          <w:sz w:val="24"/>
          <w:szCs w:val="24"/>
          <w:lang w:val="es-DO"/>
        </w:rPr>
        <w:t>así</w:t>
      </w:r>
      <w:r w:rsidRPr="00C62BB6">
        <w:rPr>
          <w:rFonts w:ascii="Times New Roman" w:eastAsia="Calibri" w:hAnsi="Times New Roman" w:cs="Times New Roman"/>
          <w:color w:val="4C4747"/>
          <w:spacing w:val="20"/>
          <w:sz w:val="24"/>
          <w:szCs w:val="24"/>
          <w:lang w:val="es-DO"/>
        </w:rPr>
        <w:t xml:space="preserve"> mejorar y crear nuevas funcionalidades a través de la aplicación de gestión de procesos internos Gazella Office CRM. </w:t>
      </w:r>
    </w:p>
    <w:p w14:paraId="5B285D76"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Esta solución proveerá los siguientes beneficios al INDOTEL:</w:t>
      </w:r>
    </w:p>
    <w:p w14:paraId="36965980" w14:textId="77777777" w:rsidR="008860AC"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Disminución de la cantidad de personal para realizar funciones que se realizan de manera manual.</w:t>
      </w:r>
    </w:p>
    <w:p w14:paraId="40F450FA" w14:textId="77777777" w:rsidR="008860AC"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Reducción de costos por medio de la automatización y optimización de tareas manuales, garantizando mayor agilidad a los procesos.</w:t>
      </w:r>
    </w:p>
    <w:p w14:paraId="77D3599D" w14:textId="77777777" w:rsidR="008860AC"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Agilización de procesos para responder requisiciones de clientes internos y externos a través del monitoreo y perfeccionamiento continuado de los procesos de atención a solicitudes.</w:t>
      </w:r>
    </w:p>
    <w:p w14:paraId="0221D13A" w14:textId="1B4DE8F2" w:rsidR="008860AC"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Transformación de datos del proceso en informaciones valiosas e inteligentes, para impulsar las estrategias y mej</w:t>
      </w:r>
      <w:r w:rsidR="008D1AD8" w:rsidRPr="00CF7E5C">
        <w:rPr>
          <w:rFonts w:ascii="Times New Roman" w:eastAsia="Calibri" w:hAnsi="Times New Roman" w:cs="Times New Roman"/>
          <w:color w:val="4C4747"/>
          <w:spacing w:val="20"/>
          <w:sz w:val="24"/>
          <w:szCs w:val="24"/>
          <w:lang w:val="es-DO"/>
        </w:rPr>
        <w:t>orar el desempeño de todas las d</w:t>
      </w:r>
      <w:r w:rsidRPr="00CF7E5C">
        <w:rPr>
          <w:rFonts w:ascii="Times New Roman" w:eastAsia="Calibri" w:hAnsi="Times New Roman" w:cs="Times New Roman"/>
          <w:color w:val="4C4747"/>
          <w:spacing w:val="20"/>
          <w:sz w:val="24"/>
          <w:szCs w:val="24"/>
          <w:lang w:val="es-DO"/>
        </w:rPr>
        <w:t>irecciones del INDOTEL.</w:t>
      </w:r>
    </w:p>
    <w:p w14:paraId="666454D7" w14:textId="77777777" w:rsidR="008860AC"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Estandarización y transparencia en toda la organización, elevando la motivación de los colaboradores.</w:t>
      </w:r>
    </w:p>
    <w:p w14:paraId="3217B3D8" w14:textId="77777777" w:rsidR="008860AC"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Promover la colaboración entre todas las áreas del INDOTEL a través de un repositorio central de información lo cual se convertirá en un punto clave para la documentación de los procesos y la mejora continua de los mismos. </w:t>
      </w:r>
    </w:p>
    <w:p w14:paraId="50625439" w14:textId="0C217681" w:rsidR="00FE589B" w:rsidRPr="00CF7E5C" w:rsidRDefault="008860AC" w:rsidP="00A02BDE">
      <w:pPr>
        <w:pStyle w:val="Prrafodelista"/>
        <w:numPr>
          <w:ilvl w:val="0"/>
          <w:numId w:val="51"/>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lastRenderedPageBreak/>
        <w:t>Integración hacia otras aplicaciones del INDOTEL como son: Gazella Office ERP, Recursos Humanos, Gestión del Espectro y Digitalización de Documentos.</w:t>
      </w:r>
    </w:p>
    <w:p w14:paraId="01EFCE15" w14:textId="77777777" w:rsidR="008860AC" w:rsidRPr="00C62BB6" w:rsidRDefault="008860AC" w:rsidP="00A75CDE">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Compras y Contrataciones </w:t>
      </w:r>
    </w:p>
    <w:p w14:paraId="67C1B805"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En cumplimiento a la Ley General de Compras y Contrataciones 340-06, el INDOTEL ha ejecutado en el portal transaccional 475 procesos los cuales han sido trabajado cumpliendo los principios de transparencia, objetividad, economía, celeridad, publicidad y demás.  </w:t>
      </w:r>
    </w:p>
    <w:p w14:paraId="0DBD8119"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Estos han sido el apoyo de la institución para lograr  el cumplimiento de los objetivos en cuanto a necesidades y requerimientos, de acuerdo a la siguiente tabla:</w:t>
      </w:r>
    </w:p>
    <w:tbl>
      <w:tblPr>
        <w:tblW w:w="8370" w:type="dxa"/>
        <w:tblInd w:w="-95" w:type="dxa"/>
        <w:tblCellMar>
          <w:left w:w="10" w:type="dxa"/>
          <w:right w:w="10" w:type="dxa"/>
        </w:tblCellMar>
        <w:tblLook w:val="04A0" w:firstRow="1" w:lastRow="0" w:firstColumn="1" w:lastColumn="0" w:noHBand="0" w:noVBand="1"/>
      </w:tblPr>
      <w:tblGrid>
        <w:gridCol w:w="2250"/>
        <w:gridCol w:w="1170"/>
        <w:gridCol w:w="2610"/>
        <w:gridCol w:w="2340"/>
      </w:tblGrid>
      <w:tr w:rsidR="008860AC" w:rsidRPr="00376423" w14:paraId="50EF7F8E" w14:textId="77777777" w:rsidTr="00430A3C">
        <w:trPr>
          <w:trHeight w:val="315"/>
        </w:trPr>
        <w:tc>
          <w:tcPr>
            <w:tcW w:w="8370" w:type="dxa"/>
            <w:gridSpan w:val="4"/>
            <w:tcBorders>
              <w:top w:val="single" w:sz="4" w:space="0" w:color="auto"/>
              <w:left w:val="single" w:sz="4" w:space="0" w:color="auto"/>
              <w:bottom w:val="single" w:sz="4" w:space="0" w:color="auto"/>
              <w:right w:val="single" w:sz="4" w:space="0" w:color="auto"/>
            </w:tcBorders>
            <w:shd w:val="clear" w:color="000000" w:fill="002060"/>
            <w:vAlign w:val="center"/>
            <w:hideMark/>
          </w:tcPr>
          <w:p w14:paraId="3A0E4811" w14:textId="77777777"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Procesos de Compras y Contrataciones </w:t>
            </w:r>
          </w:p>
        </w:tc>
      </w:tr>
      <w:tr w:rsidR="008860AC" w:rsidRPr="008860AC" w14:paraId="23AA2D1E" w14:textId="77777777" w:rsidTr="00430A3C">
        <w:trPr>
          <w:trHeight w:val="315"/>
        </w:trPr>
        <w:tc>
          <w:tcPr>
            <w:tcW w:w="8370" w:type="dxa"/>
            <w:gridSpan w:val="4"/>
            <w:tcBorders>
              <w:top w:val="single" w:sz="4" w:space="0" w:color="auto"/>
              <w:left w:val="single" w:sz="4" w:space="0" w:color="auto"/>
              <w:bottom w:val="single" w:sz="4" w:space="0" w:color="auto"/>
              <w:right w:val="single" w:sz="4" w:space="0" w:color="auto"/>
            </w:tcBorders>
            <w:shd w:val="clear" w:color="000000" w:fill="002060"/>
            <w:vAlign w:val="center"/>
            <w:hideMark/>
          </w:tcPr>
          <w:p w14:paraId="0EFD3A17" w14:textId="071E1A6A" w:rsidR="008860AC" w:rsidRPr="00943FA5" w:rsidRDefault="00B76A8E"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Pr>
                <w:rFonts w:ascii="Times New Roman" w:eastAsia="Calibri" w:hAnsi="Times New Roman" w:cs="Times New Roman"/>
                <w:color w:val="FFFFFF" w:themeColor="background1"/>
                <w:spacing w:val="20"/>
                <w:sz w:val="24"/>
                <w:szCs w:val="24"/>
                <w:lang w:val="es-DO"/>
              </w:rPr>
              <w:t>Año 2022</w:t>
            </w:r>
          </w:p>
        </w:tc>
      </w:tr>
      <w:tr w:rsidR="00A77640" w:rsidRPr="008860AC" w14:paraId="640A48D3" w14:textId="77777777" w:rsidTr="00943FA5">
        <w:trPr>
          <w:trHeight w:val="413"/>
        </w:trPr>
        <w:tc>
          <w:tcPr>
            <w:tcW w:w="3420" w:type="dxa"/>
            <w:gridSpan w:val="2"/>
            <w:tcBorders>
              <w:top w:val="nil"/>
              <w:left w:val="single" w:sz="4" w:space="0" w:color="auto"/>
              <w:bottom w:val="single" w:sz="4" w:space="0" w:color="auto"/>
              <w:right w:val="single" w:sz="4" w:space="0" w:color="auto"/>
            </w:tcBorders>
            <w:shd w:val="clear" w:color="000000" w:fill="002060"/>
            <w:vAlign w:val="center"/>
            <w:hideMark/>
          </w:tcPr>
          <w:p w14:paraId="2A1742A6" w14:textId="77777777" w:rsidR="00A77640" w:rsidRPr="00B76A8E" w:rsidRDefault="00A77640" w:rsidP="00A75CDE">
            <w:pPr>
              <w:spacing w:after="0" w:line="240" w:lineRule="auto"/>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 </w:t>
            </w:r>
          </w:p>
          <w:p w14:paraId="39487DBF" w14:textId="54B11FA1" w:rsidR="00A77640" w:rsidRPr="00943FA5" w:rsidRDefault="00A77640" w:rsidP="00A75CDE">
            <w:pPr>
              <w:spacing w:after="0" w:line="240" w:lineRule="auto"/>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 </w:t>
            </w:r>
          </w:p>
        </w:tc>
        <w:tc>
          <w:tcPr>
            <w:tcW w:w="4950" w:type="dxa"/>
            <w:gridSpan w:val="2"/>
            <w:tcBorders>
              <w:top w:val="single" w:sz="4" w:space="0" w:color="auto"/>
              <w:left w:val="nil"/>
              <w:bottom w:val="single" w:sz="4" w:space="0" w:color="auto"/>
              <w:right w:val="single" w:sz="4" w:space="0" w:color="auto"/>
            </w:tcBorders>
            <w:shd w:val="clear" w:color="000000" w:fill="002060"/>
            <w:vAlign w:val="center"/>
            <w:hideMark/>
          </w:tcPr>
          <w:p w14:paraId="2D0CEDC4" w14:textId="77777777" w:rsidR="00A77640" w:rsidRPr="00943FA5" w:rsidRDefault="00A77640"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Monto en RD$</w:t>
            </w:r>
          </w:p>
        </w:tc>
      </w:tr>
      <w:tr w:rsidR="008860AC" w:rsidRPr="008860AC" w14:paraId="31118B59" w14:textId="77777777" w:rsidTr="00943FA5">
        <w:trPr>
          <w:trHeight w:val="315"/>
        </w:trPr>
        <w:tc>
          <w:tcPr>
            <w:tcW w:w="2250" w:type="dxa"/>
            <w:tcBorders>
              <w:top w:val="nil"/>
              <w:left w:val="single" w:sz="4" w:space="0" w:color="auto"/>
              <w:bottom w:val="single" w:sz="4" w:space="0" w:color="auto"/>
              <w:right w:val="single" w:sz="4" w:space="0" w:color="auto"/>
            </w:tcBorders>
            <w:shd w:val="clear" w:color="000000" w:fill="002060"/>
            <w:vAlign w:val="center"/>
            <w:hideMark/>
          </w:tcPr>
          <w:p w14:paraId="7998B192" w14:textId="77777777"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Tipo de proceso </w:t>
            </w:r>
          </w:p>
        </w:tc>
        <w:tc>
          <w:tcPr>
            <w:tcW w:w="1170" w:type="dxa"/>
            <w:tcBorders>
              <w:top w:val="nil"/>
              <w:left w:val="nil"/>
              <w:bottom w:val="single" w:sz="4" w:space="0" w:color="auto"/>
              <w:right w:val="single" w:sz="4" w:space="0" w:color="auto"/>
            </w:tcBorders>
            <w:shd w:val="clear" w:color="000000" w:fill="002060"/>
            <w:vAlign w:val="center"/>
            <w:hideMark/>
          </w:tcPr>
          <w:p w14:paraId="71E135F5" w14:textId="77777777"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Cantidad </w:t>
            </w:r>
          </w:p>
        </w:tc>
        <w:tc>
          <w:tcPr>
            <w:tcW w:w="2610" w:type="dxa"/>
            <w:tcBorders>
              <w:top w:val="nil"/>
              <w:left w:val="nil"/>
              <w:bottom w:val="single" w:sz="4" w:space="0" w:color="auto"/>
              <w:right w:val="single" w:sz="4" w:space="0" w:color="auto"/>
            </w:tcBorders>
            <w:shd w:val="clear" w:color="000000" w:fill="002060"/>
            <w:vAlign w:val="center"/>
            <w:hideMark/>
          </w:tcPr>
          <w:p w14:paraId="67DFE506" w14:textId="77777777"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Presupuesto PACC</w:t>
            </w:r>
          </w:p>
        </w:tc>
        <w:tc>
          <w:tcPr>
            <w:tcW w:w="2340" w:type="dxa"/>
            <w:tcBorders>
              <w:top w:val="nil"/>
              <w:left w:val="nil"/>
              <w:bottom w:val="single" w:sz="4" w:space="0" w:color="auto"/>
              <w:right w:val="single" w:sz="4" w:space="0" w:color="auto"/>
            </w:tcBorders>
            <w:shd w:val="clear" w:color="000000" w:fill="002060"/>
            <w:vAlign w:val="center"/>
            <w:hideMark/>
          </w:tcPr>
          <w:p w14:paraId="1361FC1C" w14:textId="77777777"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Ejecutado</w:t>
            </w:r>
          </w:p>
        </w:tc>
      </w:tr>
      <w:tr w:rsidR="008860AC" w:rsidRPr="008860AC" w14:paraId="7FCFB897" w14:textId="77777777" w:rsidTr="00943FA5">
        <w:trPr>
          <w:trHeight w:val="315"/>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091BB29F" w14:textId="77777777" w:rsidR="008860AC" w:rsidRPr="00C62BB6" w:rsidRDefault="008860AC" w:rsidP="00C62BB6">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Excepción </w:t>
            </w:r>
          </w:p>
        </w:tc>
        <w:tc>
          <w:tcPr>
            <w:tcW w:w="1170" w:type="dxa"/>
            <w:tcBorders>
              <w:top w:val="nil"/>
              <w:left w:val="nil"/>
              <w:bottom w:val="single" w:sz="4" w:space="0" w:color="auto"/>
              <w:right w:val="single" w:sz="4" w:space="0" w:color="auto"/>
            </w:tcBorders>
            <w:shd w:val="clear" w:color="auto" w:fill="auto"/>
            <w:vAlign w:val="center"/>
            <w:hideMark/>
          </w:tcPr>
          <w:p w14:paraId="06A036B6" w14:textId="77777777"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16</w:t>
            </w:r>
          </w:p>
        </w:tc>
        <w:tc>
          <w:tcPr>
            <w:tcW w:w="2610" w:type="dxa"/>
            <w:tcBorders>
              <w:top w:val="nil"/>
              <w:left w:val="nil"/>
              <w:bottom w:val="single" w:sz="4" w:space="0" w:color="auto"/>
              <w:right w:val="single" w:sz="4" w:space="0" w:color="auto"/>
            </w:tcBorders>
            <w:shd w:val="clear" w:color="auto" w:fill="auto"/>
            <w:vAlign w:val="center"/>
            <w:hideMark/>
          </w:tcPr>
          <w:p w14:paraId="4B5F9964" w14:textId="67222379"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B76A8E" w:rsidRPr="00C62BB6">
              <w:rPr>
                <w:rFonts w:ascii="Times New Roman" w:eastAsia="Calibri" w:hAnsi="Times New Roman" w:cs="Times New Roman"/>
                <w:color w:val="4C4747"/>
                <w:spacing w:val="20"/>
                <w:sz w:val="24"/>
                <w:szCs w:val="24"/>
                <w:lang w:val="es-DO"/>
              </w:rPr>
              <w:t xml:space="preserve"> </w:t>
            </w:r>
            <w:r w:rsidRPr="00C62BB6">
              <w:rPr>
                <w:rFonts w:ascii="Times New Roman" w:eastAsia="Calibri" w:hAnsi="Times New Roman" w:cs="Times New Roman"/>
                <w:color w:val="4C4747"/>
                <w:spacing w:val="20"/>
                <w:sz w:val="24"/>
                <w:szCs w:val="24"/>
                <w:lang w:val="es-DO"/>
              </w:rPr>
              <w:t xml:space="preserve">39,430,680.00 </w:t>
            </w:r>
          </w:p>
        </w:tc>
        <w:tc>
          <w:tcPr>
            <w:tcW w:w="2340" w:type="dxa"/>
            <w:tcBorders>
              <w:top w:val="nil"/>
              <w:left w:val="nil"/>
              <w:bottom w:val="single" w:sz="4" w:space="0" w:color="auto"/>
              <w:right w:val="single" w:sz="4" w:space="0" w:color="auto"/>
            </w:tcBorders>
            <w:shd w:val="clear" w:color="auto" w:fill="auto"/>
            <w:vAlign w:val="center"/>
            <w:hideMark/>
          </w:tcPr>
          <w:p w14:paraId="2D8C70CA" w14:textId="21A6FAEE"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24,513,029.71 </w:t>
            </w:r>
          </w:p>
        </w:tc>
      </w:tr>
      <w:tr w:rsidR="008860AC" w:rsidRPr="008860AC" w14:paraId="3607BB08" w14:textId="77777777" w:rsidTr="00943FA5">
        <w:trPr>
          <w:trHeight w:val="630"/>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5EE9766F" w14:textId="77777777" w:rsidR="008860AC" w:rsidRPr="00C62BB6" w:rsidRDefault="008860AC" w:rsidP="00C62BB6">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Comparación de Precios </w:t>
            </w:r>
          </w:p>
        </w:tc>
        <w:tc>
          <w:tcPr>
            <w:tcW w:w="1170" w:type="dxa"/>
            <w:tcBorders>
              <w:top w:val="nil"/>
              <w:left w:val="nil"/>
              <w:bottom w:val="single" w:sz="4" w:space="0" w:color="auto"/>
              <w:right w:val="single" w:sz="4" w:space="0" w:color="auto"/>
            </w:tcBorders>
            <w:shd w:val="clear" w:color="auto" w:fill="auto"/>
            <w:vAlign w:val="center"/>
            <w:hideMark/>
          </w:tcPr>
          <w:p w14:paraId="3D716AA6" w14:textId="77777777"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18</w:t>
            </w:r>
          </w:p>
        </w:tc>
        <w:tc>
          <w:tcPr>
            <w:tcW w:w="2610" w:type="dxa"/>
            <w:tcBorders>
              <w:top w:val="nil"/>
              <w:left w:val="nil"/>
              <w:bottom w:val="single" w:sz="4" w:space="0" w:color="auto"/>
              <w:right w:val="single" w:sz="4" w:space="0" w:color="auto"/>
            </w:tcBorders>
            <w:shd w:val="clear" w:color="auto" w:fill="auto"/>
            <w:vAlign w:val="center"/>
            <w:hideMark/>
          </w:tcPr>
          <w:p w14:paraId="4315327A" w14:textId="7BB8CE84"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8860AC" w:rsidRPr="00C62BB6">
              <w:rPr>
                <w:rFonts w:ascii="Times New Roman" w:eastAsia="Calibri" w:hAnsi="Times New Roman" w:cs="Times New Roman"/>
                <w:color w:val="4C4747"/>
                <w:spacing w:val="20"/>
                <w:sz w:val="24"/>
                <w:szCs w:val="24"/>
                <w:lang w:val="es-DO"/>
              </w:rPr>
              <w:t xml:space="preserve"> 93,329,340.00 </w:t>
            </w:r>
          </w:p>
        </w:tc>
        <w:tc>
          <w:tcPr>
            <w:tcW w:w="2340" w:type="dxa"/>
            <w:tcBorders>
              <w:top w:val="nil"/>
              <w:left w:val="nil"/>
              <w:bottom w:val="single" w:sz="4" w:space="0" w:color="auto"/>
              <w:right w:val="single" w:sz="4" w:space="0" w:color="auto"/>
            </w:tcBorders>
            <w:shd w:val="clear" w:color="auto" w:fill="auto"/>
            <w:vAlign w:val="center"/>
            <w:hideMark/>
          </w:tcPr>
          <w:p w14:paraId="1F3E59CC" w14:textId="6071CEDE"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B76A8E" w:rsidRPr="00C62BB6">
              <w:rPr>
                <w:rFonts w:ascii="Times New Roman" w:eastAsia="Calibri" w:hAnsi="Times New Roman" w:cs="Times New Roman"/>
                <w:color w:val="4C4747"/>
                <w:spacing w:val="20"/>
                <w:sz w:val="24"/>
                <w:szCs w:val="24"/>
                <w:lang w:val="es-DO"/>
              </w:rPr>
              <w:t xml:space="preserve">$ </w:t>
            </w:r>
            <w:r w:rsidRPr="00C62BB6">
              <w:rPr>
                <w:rFonts w:ascii="Times New Roman" w:eastAsia="Calibri" w:hAnsi="Times New Roman" w:cs="Times New Roman"/>
                <w:color w:val="4C4747"/>
                <w:spacing w:val="20"/>
                <w:sz w:val="24"/>
                <w:szCs w:val="24"/>
                <w:lang w:val="es-DO"/>
              </w:rPr>
              <w:t xml:space="preserve">49,117,487.00 </w:t>
            </w:r>
          </w:p>
        </w:tc>
      </w:tr>
      <w:tr w:rsidR="008860AC" w:rsidRPr="008860AC" w14:paraId="14D7645D" w14:textId="77777777" w:rsidTr="00943FA5">
        <w:trPr>
          <w:trHeight w:val="330"/>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619EE62A" w14:textId="77777777" w:rsidR="008860AC" w:rsidRPr="00C62BB6" w:rsidRDefault="008860AC" w:rsidP="00C62BB6">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Compra Menor </w:t>
            </w:r>
          </w:p>
        </w:tc>
        <w:tc>
          <w:tcPr>
            <w:tcW w:w="1170" w:type="dxa"/>
            <w:tcBorders>
              <w:top w:val="nil"/>
              <w:left w:val="nil"/>
              <w:bottom w:val="single" w:sz="4" w:space="0" w:color="auto"/>
              <w:right w:val="single" w:sz="4" w:space="0" w:color="auto"/>
            </w:tcBorders>
            <w:shd w:val="clear" w:color="auto" w:fill="auto"/>
            <w:vAlign w:val="center"/>
            <w:hideMark/>
          </w:tcPr>
          <w:p w14:paraId="27F0C54E" w14:textId="77777777"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90</w:t>
            </w:r>
          </w:p>
        </w:tc>
        <w:tc>
          <w:tcPr>
            <w:tcW w:w="2610" w:type="dxa"/>
            <w:tcBorders>
              <w:top w:val="nil"/>
              <w:left w:val="nil"/>
              <w:bottom w:val="single" w:sz="4" w:space="0" w:color="auto"/>
              <w:right w:val="single" w:sz="4" w:space="0" w:color="auto"/>
            </w:tcBorders>
            <w:shd w:val="clear" w:color="auto" w:fill="auto"/>
            <w:vAlign w:val="center"/>
            <w:hideMark/>
          </w:tcPr>
          <w:p w14:paraId="5ACE1854" w14:textId="37906E62"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50,863,760.52 </w:t>
            </w:r>
          </w:p>
        </w:tc>
        <w:tc>
          <w:tcPr>
            <w:tcW w:w="2340" w:type="dxa"/>
            <w:tcBorders>
              <w:top w:val="nil"/>
              <w:left w:val="nil"/>
              <w:bottom w:val="single" w:sz="4" w:space="0" w:color="auto"/>
              <w:right w:val="single" w:sz="4" w:space="0" w:color="auto"/>
            </w:tcBorders>
            <w:shd w:val="clear" w:color="auto" w:fill="auto"/>
            <w:vAlign w:val="center"/>
            <w:hideMark/>
          </w:tcPr>
          <w:p w14:paraId="2F8823EF" w14:textId="30E36D5B"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B76A8E" w:rsidRPr="00C62BB6">
              <w:rPr>
                <w:rFonts w:ascii="Times New Roman" w:eastAsia="Calibri" w:hAnsi="Times New Roman" w:cs="Times New Roman"/>
                <w:color w:val="4C4747"/>
                <w:spacing w:val="20"/>
                <w:sz w:val="24"/>
                <w:szCs w:val="24"/>
                <w:lang w:val="es-DO"/>
              </w:rPr>
              <w:t>$</w:t>
            </w:r>
            <w:r w:rsidRPr="00C62BB6">
              <w:rPr>
                <w:rFonts w:ascii="Times New Roman" w:eastAsia="Calibri" w:hAnsi="Times New Roman" w:cs="Times New Roman"/>
                <w:color w:val="4C4747"/>
                <w:spacing w:val="20"/>
                <w:sz w:val="24"/>
                <w:szCs w:val="24"/>
                <w:lang w:val="es-DO"/>
              </w:rPr>
              <w:t xml:space="preserve"> 37,917,360.00 </w:t>
            </w:r>
          </w:p>
        </w:tc>
      </w:tr>
      <w:tr w:rsidR="008860AC" w:rsidRPr="008860AC" w14:paraId="0E67A019" w14:textId="77777777" w:rsidTr="00943FA5">
        <w:trPr>
          <w:trHeight w:val="645"/>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263203C7" w14:textId="77777777" w:rsidR="008860AC" w:rsidRPr="00C62BB6" w:rsidRDefault="008860AC" w:rsidP="00C62BB6">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Compra por Debajo del Umbral </w:t>
            </w:r>
          </w:p>
        </w:tc>
        <w:tc>
          <w:tcPr>
            <w:tcW w:w="1170" w:type="dxa"/>
            <w:tcBorders>
              <w:top w:val="nil"/>
              <w:left w:val="nil"/>
              <w:bottom w:val="single" w:sz="4" w:space="0" w:color="auto"/>
              <w:right w:val="single" w:sz="4" w:space="0" w:color="auto"/>
            </w:tcBorders>
            <w:shd w:val="clear" w:color="auto" w:fill="auto"/>
            <w:vAlign w:val="center"/>
            <w:hideMark/>
          </w:tcPr>
          <w:p w14:paraId="67C7A16A" w14:textId="77777777"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346</w:t>
            </w:r>
          </w:p>
        </w:tc>
        <w:tc>
          <w:tcPr>
            <w:tcW w:w="2610" w:type="dxa"/>
            <w:tcBorders>
              <w:top w:val="nil"/>
              <w:left w:val="nil"/>
              <w:bottom w:val="single" w:sz="4" w:space="0" w:color="auto"/>
              <w:right w:val="single" w:sz="4" w:space="0" w:color="auto"/>
            </w:tcBorders>
            <w:shd w:val="clear" w:color="auto" w:fill="auto"/>
            <w:vAlign w:val="center"/>
            <w:hideMark/>
          </w:tcPr>
          <w:p w14:paraId="70883B38" w14:textId="5DD48670"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5,192,140.00 </w:t>
            </w:r>
          </w:p>
        </w:tc>
        <w:tc>
          <w:tcPr>
            <w:tcW w:w="2340" w:type="dxa"/>
            <w:tcBorders>
              <w:top w:val="nil"/>
              <w:left w:val="nil"/>
              <w:bottom w:val="single" w:sz="4" w:space="0" w:color="auto"/>
              <w:right w:val="single" w:sz="4" w:space="0" w:color="auto"/>
            </w:tcBorders>
            <w:shd w:val="clear" w:color="auto" w:fill="auto"/>
            <w:vAlign w:val="center"/>
            <w:hideMark/>
          </w:tcPr>
          <w:p w14:paraId="3554B9C6" w14:textId="3DD3A605"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8860AC" w:rsidRPr="00C62BB6">
              <w:rPr>
                <w:rFonts w:ascii="Times New Roman" w:eastAsia="Calibri" w:hAnsi="Times New Roman" w:cs="Times New Roman"/>
                <w:color w:val="4C4747"/>
                <w:spacing w:val="20"/>
                <w:sz w:val="24"/>
                <w:szCs w:val="24"/>
                <w:lang w:val="es-DO"/>
              </w:rPr>
              <w:t xml:space="preserve"> 20,076,846.18 </w:t>
            </w:r>
          </w:p>
        </w:tc>
      </w:tr>
      <w:tr w:rsidR="008860AC" w:rsidRPr="008860AC" w14:paraId="293D7EB1" w14:textId="77777777" w:rsidTr="00943FA5">
        <w:trPr>
          <w:trHeight w:val="645"/>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38759747" w14:textId="77777777" w:rsidR="008860AC" w:rsidRPr="00C62BB6" w:rsidRDefault="008860AC" w:rsidP="00C62BB6">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Licitación Pública Nacional </w:t>
            </w:r>
          </w:p>
        </w:tc>
        <w:tc>
          <w:tcPr>
            <w:tcW w:w="1170" w:type="dxa"/>
            <w:tcBorders>
              <w:top w:val="nil"/>
              <w:left w:val="nil"/>
              <w:bottom w:val="single" w:sz="4" w:space="0" w:color="auto"/>
              <w:right w:val="single" w:sz="4" w:space="0" w:color="auto"/>
            </w:tcBorders>
            <w:shd w:val="clear" w:color="auto" w:fill="auto"/>
            <w:vAlign w:val="center"/>
            <w:hideMark/>
          </w:tcPr>
          <w:p w14:paraId="1239617A" w14:textId="77777777"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w:t>
            </w:r>
          </w:p>
        </w:tc>
        <w:tc>
          <w:tcPr>
            <w:tcW w:w="2610" w:type="dxa"/>
            <w:tcBorders>
              <w:top w:val="nil"/>
              <w:left w:val="nil"/>
              <w:bottom w:val="single" w:sz="4" w:space="0" w:color="auto"/>
              <w:right w:val="single" w:sz="4" w:space="0" w:color="auto"/>
            </w:tcBorders>
            <w:shd w:val="clear" w:color="auto" w:fill="auto"/>
            <w:vAlign w:val="center"/>
            <w:hideMark/>
          </w:tcPr>
          <w:p w14:paraId="3E5D4143" w14:textId="0F082635"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8860AC" w:rsidRPr="00C62BB6">
              <w:rPr>
                <w:rFonts w:ascii="Times New Roman" w:eastAsia="Calibri" w:hAnsi="Times New Roman" w:cs="Times New Roman"/>
                <w:color w:val="4C4747"/>
                <w:spacing w:val="20"/>
                <w:sz w:val="24"/>
                <w:szCs w:val="24"/>
                <w:lang w:val="es-DO"/>
              </w:rPr>
              <w:t xml:space="preserve"> 288,415,857.00 </w:t>
            </w:r>
          </w:p>
        </w:tc>
        <w:tc>
          <w:tcPr>
            <w:tcW w:w="2340" w:type="dxa"/>
            <w:tcBorders>
              <w:top w:val="nil"/>
              <w:left w:val="nil"/>
              <w:bottom w:val="single" w:sz="4" w:space="0" w:color="auto"/>
              <w:right w:val="single" w:sz="4" w:space="0" w:color="auto"/>
            </w:tcBorders>
            <w:shd w:val="clear" w:color="auto" w:fill="auto"/>
            <w:vAlign w:val="center"/>
            <w:hideMark/>
          </w:tcPr>
          <w:p w14:paraId="1A9D8D2C" w14:textId="4AD368BC"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83,964,000.00 </w:t>
            </w:r>
          </w:p>
        </w:tc>
      </w:tr>
      <w:tr w:rsidR="008860AC" w:rsidRPr="008860AC" w14:paraId="70081E99" w14:textId="77777777" w:rsidTr="00943FA5">
        <w:trPr>
          <w:trHeight w:val="465"/>
        </w:trPr>
        <w:tc>
          <w:tcPr>
            <w:tcW w:w="2250" w:type="dxa"/>
            <w:tcBorders>
              <w:top w:val="nil"/>
              <w:left w:val="single" w:sz="4" w:space="0" w:color="auto"/>
              <w:bottom w:val="single" w:sz="4" w:space="0" w:color="auto"/>
              <w:right w:val="single" w:sz="4" w:space="0" w:color="auto"/>
            </w:tcBorders>
            <w:shd w:val="clear" w:color="auto" w:fill="auto"/>
            <w:vAlign w:val="center"/>
            <w:hideMark/>
          </w:tcPr>
          <w:p w14:paraId="37321E7F" w14:textId="77777777" w:rsidR="008860AC" w:rsidRPr="00C62BB6" w:rsidRDefault="008860AC" w:rsidP="00C62BB6">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Licitación Pública Internacional </w:t>
            </w:r>
          </w:p>
        </w:tc>
        <w:tc>
          <w:tcPr>
            <w:tcW w:w="1170" w:type="dxa"/>
            <w:tcBorders>
              <w:top w:val="nil"/>
              <w:left w:val="nil"/>
              <w:bottom w:val="single" w:sz="4" w:space="0" w:color="auto"/>
              <w:right w:val="single" w:sz="4" w:space="0" w:color="auto"/>
            </w:tcBorders>
            <w:shd w:val="clear" w:color="auto" w:fill="auto"/>
            <w:vAlign w:val="center"/>
            <w:hideMark/>
          </w:tcPr>
          <w:p w14:paraId="18C8D1F2" w14:textId="77777777"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0</w:t>
            </w:r>
          </w:p>
        </w:tc>
        <w:tc>
          <w:tcPr>
            <w:tcW w:w="2610" w:type="dxa"/>
            <w:tcBorders>
              <w:top w:val="nil"/>
              <w:left w:val="nil"/>
              <w:bottom w:val="single" w:sz="4" w:space="0" w:color="auto"/>
              <w:right w:val="single" w:sz="4" w:space="0" w:color="auto"/>
            </w:tcBorders>
            <w:shd w:val="clear" w:color="auto" w:fill="auto"/>
            <w:vAlign w:val="center"/>
            <w:hideMark/>
          </w:tcPr>
          <w:p w14:paraId="6B2AE24A" w14:textId="336EAA83" w:rsidR="008860AC" w:rsidRPr="00C62BB6" w:rsidRDefault="008860AC"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   </w:t>
            </w:r>
          </w:p>
        </w:tc>
        <w:tc>
          <w:tcPr>
            <w:tcW w:w="2340" w:type="dxa"/>
            <w:tcBorders>
              <w:top w:val="nil"/>
              <w:left w:val="nil"/>
              <w:bottom w:val="single" w:sz="4" w:space="0" w:color="auto"/>
              <w:right w:val="single" w:sz="4" w:space="0" w:color="auto"/>
            </w:tcBorders>
            <w:shd w:val="clear" w:color="auto" w:fill="auto"/>
            <w:vAlign w:val="center"/>
            <w:hideMark/>
          </w:tcPr>
          <w:p w14:paraId="6738259E" w14:textId="3F657CB9" w:rsidR="008860AC" w:rsidRPr="00C62BB6" w:rsidRDefault="00B76A8E" w:rsidP="00C62BB6">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  </w:t>
            </w:r>
            <w:r w:rsidR="008860AC" w:rsidRPr="00C62BB6">
              <w:rPr>
                <w:rFonts w:ascii="Times New Roman" w:eastAsia="Calibri" w:hAnsi="Times New Roman" w:cs="Times New Roman"/>
                <w:color w:val="4C4747"/>
                <w:spacing w:val="20"/>
                <w:sz w:val="24"/>
                <w:szCs w:val="24"/>
                <w:lang w:val="es-DO"/>
              </w:rPr>
              <w:t xml:space="preserve">-   </w:t>
            </w:r>
          </w:p>
        </w:tc>
      </w:tr>
      <w:tr w:rsidR="008860AC" w:rsidRPr="008860AC" w14:paraId="7C107A46" w14:textId="77777777" w:rsidTr="00943FA5">
        <w:trPr>
          <w:trHeight w:val="570"/>
        </w:trPr>
        <w:tc>
          <w:tcPr>
            <w:tcW w:w="2250" w:type="dxa"/>
            <w:tcBorders>
              <w:top w:val="nil"/>
              <w:left w:val="single" w:sz="4" w:space="0" w:color="auto"/>
              <w:bottom w:val="single" w:sz="4" w:space="0" w:color="auto"/>
              <w:right w:val="single" w:sz="4" w:space="0" w:color="auto"/>
            </w:tcBorders>
            <w:shd w:val="clear" w:color="000000" w:fill="002060"/>
            <w:vAlign w:val="center"/>
            <w:hideMark/>
          </w:tcPr>
          <w:p w14:paraId="028ACB9F" w14:textId="77777777" w:rsidR="008860AC" w:rsidRPr="00943FA5" w:rsidRDefault="008860AC" w:rsidP="00A75CDE">
            <w:pPr>
              <w:spacing w:after="0" w:line="240" w:lineRule="auto"/>
              <w:jc w:val="both"/>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Total</w:t>
            </w:r>
          </w:p>
        </w:tc>
        <w:tc>
          <w:tcPr>
            <w:tcW w:w="1170" w:type="dxa"/>
            <w:tcBorders>
              <w:top w:val="nil"/>
              <w:left w:val="nil"/>
              <w:bottom w:val="single" w:sz="4" w:space="0" w:color="auto"/>
              <w:right w:val="single" w:sz="4" w:space="0" w:color="auto"/>
            </w:tcBorders>
            <w:shd w:val="clear" w:color="000000" w:fill="002060"/>
            <w:vAlign w:val="center"/>
            <w:hideMark/>
          </w:tcPr>
          <w:p w14:paraId="21B245F1" w14:textId="77777777"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475</w:t>
            </w:r>
          </w:p>
        </w:tc>
        <w:tc>
          <w:tcPr>
            <w:tcW w:w="2610" w:type="dxa"/>
            <w:tcBorders>
              <w:top w:val="nil"/>
              <w:left w:val="nil"/>
              <w:bottom w:val="single" w:sz="4" w:space="0" w:color="auto"/>
              <w:right w:val="single" w:sz="4" w:space="0" w:color="auto"/>
            </w:tcBorders>
            <w:shd w:val="clear" w:color="000000" w:fill="002060"/>
            <w:vAlign w:val="center"/>
            <w:hideMark/>
          </w:tcPr>
          <w:p w14:paraId="4F31E45A" w14:textId="6317A5DB"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 xml:space="preserve"> $  477,231,777.52 </w:t>
            </w:r>
          </w:p>
        </w:tc>
        <w:tc>
          <w:tcPr>
            <w:tcW w:w="2340" w:type="dxa"/>
            <w:tcBorders>
              <w:top w:val="nil"/>
              <w:left w:val="nil"/>
              <w:bottom w:val="single" w:sz="4" w:space="0" w:color="auto"/>
              <w:right w:val="single" w:sz="4" w:space="0" w:color="auto"/>
            </w:tcBorders>
            <w:shd w:val="clear" w:color="000000" w:fill="002060"/>
            <w:vAlign w:val="center"/>
            <w:hideMark/>
          </w:tcPr>
          <w:p w14:paraId="48122B35" w14:textId="31249292" w:rsidR="008860AC" w:rsidRPr="00943FA5" w:rsidRDefault="008860AC" w:rsidP="00A75CDE">
            <w:pPr>
              <w:spacing w:after="0" w:line="240" w:lineRule="auto"/>
              <w:jc w:val="center"/>
              <w:rPr>
                <w:rFonts w:ascii="Times New Roman" w:eastAsia="Calibri" w:hAnsi="Times New Roman" w:cs="Times New Roman"/>
                <w:color w:val="FFFFFF" w:themeColor="background1"/>
                <w:spacing w:val="20"/>
                <w:sz w:val="24"/>
                <w:szCs w:val="24"/>
                <w:lang w:val="es-DO"/>
              </w:rPr>
            </w:pPr>
            <w:r w:rsidRPr="00943FA5">
              <w:rPr>
                <w:rFonts w:ascii="Times New Roman" w:eastAsia="Calibri" w:hAnsi="Times New Roman" w:cs="Times New Roman"/>
                <w:color w:val="FFFFFF" w:themeColor="background1"/>
                <w:spacing w:val="20"/>
                <w:sz w:val="24"/>
                <w:szCs w:val="24"/>
                <w:lang w:val="es-DO"/>
              </w:rPr>
              <w:t xml:space="preserve"> $</w:t>
            </w:r>
            <w:r w:rsidR="00B76A8E">
              <w:rPr>
                <w:rFonts w:ascii="Times New Roman" w:eastAsia="Calibri" w:hAnsi="Times New Roman" w:cs="Times New Roman"/>
                <w:color w:val="FFFFFF" w:themeColor="background1"/>
                <w:spacing w:val="20"/>
                <w:sz w:val="24"/>
                <w:szCs w:val="24"/>
                <w:lang w:val="es-DO"/>
              </w:rPr>
              <w:t xml:space="preserve"> </w:t>
            </w:r>
            <w:r w:rsidRPr="00943FA5">
              <w:rPr>
                <w:rFonts w:ascii="Times New Roman" w:eastAsia="Calibri" w:hAnsi="Times New Roman" w:cs="Times New Roman"/>
                <w:color w:val="FFFFFF" w:themeColor="background1"/>
                <w:spacing w:val="20"/>
                <w:sz w:val="24"/>
                <w:szCs w:val="24"/>
                <w:lang w:val="es-DO"/>
              </w:rPr>
              <w:t xml:space="preserve">215,588,722.89 </w:t>
            </w:r>
          </w:p>
        </w:tc>
      </w:tr>
    </w:tbl>
    <w:p w14:paraId="1F2FD075" w14:textId="79B8C257" w:rsidR="008860AC" w:rsidRPr="00C62BB6" w:rsidRDefault="008860AC" w:rsidP="00A75CDE">
      <w:pPr>
        <w:spacing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008C2B22">
        <w:rPr>
          <w:rFonts w:ascii="Times New Roman" w:eastAsia="Calibri" w:hAnsi="Times New Roman" w:cs="Times New Roman"/>
          <w:color w:val="4C4747"/>
          <w:spacing w:val="20"/>
          <w:sz w:val="18"/>
          <w:szCs w:val="24"/>
          <w:lang w:val="es-DO"/>
        </w:rPr>
        <w:t xml:space="preserve"> Portal de T</w:t>
      </w:r>
      <w:r w:rsidRPr="00C62BB6">
        <w:rPr>
          <w:rFonts w:ascii="Times New Roman" w:eastAsia="Calibri" w:hAnsi="Times New Roman" w:cs="Times New Roman"/>
          <w:color w:val="4C4747"/>
          <w:spacing w:val="20"/>
          <w:sz w:val="18"/>
          <w:szCs w:val="24"/>
          <w:lang w:val="es-DO"/>
        </w:rPr>
        <w:t>ransparencia</w:t>
      </w:r>
    </w:p>
    <w:p w14:paraId="55DC2B29" w14:textId="77777777" w:rsidR="00F65C89" w:rsidRDefault="00F65C89" w:rsidP="00A75CDE">
      <w:pPr>
        <w:spacing w:line="360" w:lineRule="auto"/>
        <w:jc w:val="both"/>
        <w:rPr>
          <w:rFonts w:ascii="Times New Roman" w:eastAsia="Calibri" w:hAnsi="Times New Roman" w:cs="Times New Roman"/>
          <w:color w:val="4C4747"/>
          <w:spacing w:val="20"/>
          <w:sz w:val="24"/>
          <w:szCs w:val="24"/>
          <w:lang w:val="es-DO"/>
        </w:rPr>
      </w:pPr>
    </w:p>
    <w:p w14:paraId="23365FA1" w14:textId="77777777" w:rsidR="00F43708"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lastRenderedPageBreak/>
        <w:t xml:space="preserve">Se mostró que lo planificado versus lo ejecutado representa un cumplimiento de un 45 % aproximadamente en base al presupuesto total. Esta </w:t>
      </w:r>
      <w:r w:rsidR="00B76A8E" w:rsidRPr="00C62BB6">
        <w:rPr>
          <w:rFonts w:ascii="Times New Roman" w:eastAsia="Calibri" w:hAnsi="Times New Roman" w:cs="Times New Roman"/>
          <w:color w:val="4C4747"/>
          <w:spacing w:val="20"/>
          <w:sz w:val="24"/>
          <w:szCs w:val="24"/>
          <w:lang w:val="es-DO"/>
        </w:rPr>
        <w:t>variación</w:t>
      </w:r>
      <w:r w:rsidRPr="00C62BB6">
        <w:rPr>
          <w:rFonts w:ascii="Times New Roman" w:eastAsia="Calibri" w:hAnsi="Times New Roman" w:cs="Times New Roman"/>
          <w:color w:val="4C4747"/>
          <w:spacing w:val="20"/>
          <w:sz w:val="24"/>
          <w:szCs w:val="24"/>
          <w:lang w:val="es-DO"/>
        </w:rPr>
        <w:t xml:space="preserve"> </w:t>
      </w:r>
      <w:r w:rsidR="00B76A8E" w:rsidRPr="00C62BB6">
        <w:rPr>
          <w:rFonts w:ascii="Times New Roman" w:eastAsia="Calibri" w:hAnsi="Times New Roman" w:cs="Times New Roman"/>
          <w:color w:val="4C4747"/>
          <w:spacing w:val="20"/>
          <w:sz w:val="24"/>
          <w:szCs w:val="24"/>
          <w:lang w:val="es-DO"/>
        </w:rPr>
        <w:t xml:space="preserve">está sustentada </w:t>
      </w:r>
      <w:r w:rsidRPr="00C62BB6">
        <w:rPr>
          <w:rFonts w:ascii="Times New Roman" w:eastAsia="Calibri" w:hAnsi="Times New Roman" w:cs="Times New Roman"/>
          <w:color w:val="4C4747"/>
          <w:spacing w:val="20"/>
          <w:sz w:val="24"/>
          <w:szCs w:val="24"/>
          <w:lang w:val="es-DO"/>
        </w:rPr>
        <w:t>a que 30 procesos aproximadamente se han declarado desiertos</w:t>
      </w:r>
      <w:r w:rsidR="00B76A8E" w:rsidRPr="00C62BB6">
        <w:rPr>
          <w:rFonts w:ascii="Times New Roman" w:eastAsia="Calibri" w:hAnsi="Times New Roman" w:cs="Times New Roman"/>
          <w:color w:val="4C4747"/>
          <w:spacing w:val="20"/>
          <w:sz w:val="24"/>
          <w:szCs w:val="24"/>
          <w:lang w:val="es-DO"/>
        </w:rPr>
        <w:t>,</w:t>
      </w:r>
      <w:r w:rsidRPr="00C62BB6">
        <w:rPr>
          <w:rFonts w:ascii="Times New Roman" w:eastAsia="Calibri" w:hAnsi="Times New Roman" w:cs="Times New Roman"/>
          <w:color w:val="4C4747"/>
          <w:spacing w:val="20"/>
          <w:sz w:val="24"/>
          <w:szCs w:val="24"/>
          <w:lang w:val="es-DO"/>
        </w:rPr>
        <w:t xml:space="preserve"> por que al momento de </w:t>
      </w:r>
    </w:p>
    <w:p w14:paraId="691E16D6" w14:textId="77FF7528" w:rsidR="00A77640"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evaluar las ofertas no cumplen con lo estipulado o </w:t>
      </w:r>
      <w:r w:rsidR="00B76A8E" w:rsidRPr="00C62BB6">
        <w:rPr>
          <w:rFonts w:ascii="Times New Roman" w:eastAsia="Calibri" w:hAnsi="Times New Roman" w:cs="Times New Roman"/>
          <w:color w:val="4C4747"/>
          <w:spacing w:val="20"/>
          <w:sz w:val="24"/>
          <w:szCs w:val="24"/>
          <w:lang w:val="es-DO"/>
        </w:rPr>
        <w:t>se ha tenido</w:t>
      </w:r>
      <w:r w:rsidRPr="00C62BB6">
        <w:rPr>
          <w:rFonts w:ascii="Times New Roman" w:eastAsia="Calibri" w:hAnsi="Times New Roman" w:cs="Times New Roman"/>
          <w:color w:val="4C4747"/>
          <w:spacing w:val="20"/>
          <w:sz w:val="24"/>
          <w:szCs w:val="24"/>
          <w:lang w:val="es-DO"/>
        </w:rPr>
        <w:t xml:space="preserve"> </w:t>
      </w:r>
      <w:r w:rsidR="00282C79" w:rsidRPr="00C62BB6">
        <w:rPr>
          <w:rFonts w:ascii="Times New Roman" w:eastAsia="Calibri" w:hAnsi="Times New Roman" w:cs="Times New Roman"/>
          <w:color w:val="4C4747"/>
          <w:spacing w:val="20"/>
          <w:sz w:val="24"/>
          <w:szCs w:val="24"/>
          <w:lang w:val="es-DO"/>
        </w:rPr>
        <w:t>variación</w:t>
      </w:r>
      <w:r w:rsidRPr="00C62BB6">
        <w:rPr>
          <w:rFonts w:ascii="Times New Roman" w:eastAsia="Calibri" w:hAnsi="Times New Roman" w:cs="Times New Roman"/>
          <w:color w:val="4C4747"/>
          <w:spacing w:val="20"/>
          <w:sz w:val="24"/>
          <w:szCs w:val="24"/>
          <w:lang w:val="es-DO"/>
        </w:rPr>
        <w:t xml:space="preserve"> en los requerimientos. Esto tiene una </w:t>
      </w:r>
      <w:r w:rsidR="00282C79" w:rsidRPr="00C62BB6">
        <w:rPr>
          <w:rFonts w:ascii="Times New Roman" w:eastAsia="Calibri" w:hAnsi="Times New Roman" w:cs="Times New Roman"/>
          <w:color w:val="4C4747"/>
          <w:spacing w:val="20"/>
          <w:sz w:val="24"/>
          <w:szCs w:val="24"/>
          <w:lang w:val="es-DO"/>
        </w:rPr>
        <w:t>representación</w:t>
      </w:r>
      <w:r w:rsidRPr="00C62BB6">
        <w:rPr>
          <w:rFonts w:ascii="Times New Roman" w:eastAsia="Calibri" w:hAnsi="Times New Roman" w:cs="Times New Roman"/>
          <w:color w:val="4C4747"/>
          <w:spacing w:val="20"/>
          <w:sz w:val="24"/>
          <w:szCs w:val="24"/>
          <w:lang w:val="es-DO"/>
        </w:rPr>
        <w:t xml:space="preserve"> </w:t>
      </w:r>
      <w:r w:rsidR="00282C79" w:rsidRPr="00C62BB6">
        <w:rPr>
          <w:rFonts w:ascii="Times New Roman" w:eastAsia="Calibri" w:hAnsi="Times New Roman" w:cs="Times New Roman"/>
          <w:color w:val="4C4747"/>
          <w:spacing w:val="20"/>
          <w:sz w:val="24"/>
          <w:szCs w:val="24"/>
          <w:lang w:val="es-DO"/>
        </w:rPr>
        <w:t>económica</w:t>
      </w:r>
      <w:r w:rsidRPr="00C62BB6">
        <w:rPr>
          <w:rFonts w:ascii="Times New Roman" w:eastAsia="Calibri" w:hAnsi="Times New Roman" w:cs="Times New Roman"/>
          <w:color w:val="4C4747"/>
          <w:spacing w:val="20"/>
          <w:sz w:val="24"/>
          <w:szCs w:val="24"/>
          <w:lang w:val="es-DO"/>
        </w:rPr>
        <w:t xml:space="preserve"> de un monto aproxima</w:t>
      </w:r>
      <w:r w:rsidR="00282C79" w:rsidRPr="00C62BB6">
        <w:rPr>
          <w:rFonts w:ascii="Times New Roman" w:eastAsia="Calibri" w:hAnsi="Times New Roman" w:cs="Times New Roman"/>
          <w:color w:val="4C4747"/>
          <w:spacing w:val="20"/>
          <w:sz w:val="24"/>
          <w:szCs w:val="24"/>
          <w:lang w:val="es-DO"/>
        </w:rPr>
        <w:t>do de RD$76, 202,572.00 millones</w:t>
      </w:r>
      <w:r w:rsidRPr="00C62BB6">
        <w:rPr>
          <w:rFonts w:ascii="Times New Roman" w:eastAsia="Calibri" w:hAnsi="Times New Roman" w:cs="Times New Roman"/>
          <w:color w:val="4C4747"/>
          <w:spacing w:val="20"/>
          <w:sz w:val="24"/>
          <w:szCs w:val="24"/>
          <w:lang w:val="es-DO"/>
        </w:rPr>
        <w:t xml:space="preserve">. </w:t>
      </w:r>
    </w:p>
    <w:p w14:paraId="17A8E17F" w14:textId="1E3E7F49"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Cabe resaltar que los proyectos que son de infraestructura </w:t>
      </w:r>
      <w:r w:rsidR="00F30F22" w:rsidRPr="00C62BB6">
        <w:rPr>
          <w:rFonts w:ascii="Times New Roman" w:eastAsia="Calibri" w:hAnsi="Times New Roman" w:cs="Times New Roman"/>
          <w:color w:val="4C4747"/>
          <w:spacing w:val="20"/>
          <w:sz w:val="24"/>
          <w:szCs w:val="24"/>
          <w:lang w:val="es-DO"/>
        </w:rPr>
        <w:t>están</w:t>
      </w:r>
      <w:r w:rsidRPr="00C62BB6">
        <w:rPr>
          <w:rFonts w:ascii="Times New Roman" w:eastAsia="Calibri" w:hAnsi="Times New Roman" w:cs="Times New Roman"/>
          <w:color w:val="4C4747"/>
          <w:spacing w:val="20"/>
          <w:sz w:val="24"/>
          <w:szCs w:val="24"/>
          <w:lang w:val="es-DO"/>
        </w:rPr>
        <w:t xml:space="preserve"> </w:t>
      </w:r>
      <w:r w:rsidR="00F30F22" w:rsidRPr="00C62BB6">
        <w:rPr>
          <w:rFonts w:ascii="Times New Roman" w:eastAsia="Calibri" w:hAnsi="Times New Roman" w:cs="Times New Roman"/>
          <w:color w:val="4C4747"/>
          <w:spacing w:val="20"/>
          <w:sz w:val="24"/>
          <w:szCs w:val="24"/>
          <w:lang w:val="es-DO"/>
        </w:rPr>
        <w:t>programándose</w:t>
      </w:r>
      <w:r w:rsidRPr="00C62BB6">
        <w:rPr>
          <w:rFonts w:ascii="Times New Roman" w:eastAsia="Calibri" w:hAnsi="Times New Roman" w:cs="Times New Roman"/>
          <w:color w:val="4C4747"/>
          <w:spacing w:val="20"/>
          <w:sz w:val="24"/>
          <w:szCs w:val="24"/>
          <w:lang w:val="es-DO"/>
        </w:rPr>
        <w:t xml:space="preserve"> para </w:t>
      </w:r>
      <w:r w:rsidR="00F30F22" w:rsidRPr="00C62BB6">
        <w:rPr>
          <w:rFonts w:ascii="Times New Roman" w:eastAsia="Calibri" w:hAnsi="Times New Roman" w:cs="Times New Roman"/>
          <w:color w:val="4C4747"/>
          <w:spacing w:val="20"/>
          <w:sz w:val="24"/>
          <w:szCs w:val="24"/>
          <w:lang w:val="es-DO"/>
        </w:rPr>
        <w:t>ejecución</w:t>
      </w:r>
      <w:r w:rsidRPr="00C62BB6">
        <w:rPr>
          <w:rFonts w:ascii="Times New Roman" w:eastAsia="Calibri" w:hAnsi="Times New Roman" w:cs="Times New Roman"/>
          <w:color w:val="4C4747"/>
          <w:spacing w:val="20"/>
          <w:sz w:val="24"/>
          <w:szCs w:val="24"/>
          <w:lang w:val="es-DO"/>
        </w:rPr>
        <w:t xml:space="preserve"> total del </w:t>
      </w:r>
      <w:r w:rsidR="00F30F22" w:rsidRPr="00C62BB6">
        <w:rPr>
          <w:rFonts w:ascii="Times New Roman" w:eastAsia="Calibri" w:hAnsi="Times New Roman" w:cs="Times New Roman"/>
          <w:color w:val="4C4747"/>
          <w:spacing w:val="20"/>
          <w:sz w:val="24"/>
          <w:szCs w:val="24"/>
          <w:lang w:val="es-DO"/>
        </w:rPr>
        <w:t>próximo</w:t>
      </w:r>
      <w:r w:rsidR="00A77640" w:rsidRPr="00C62BB6">
        <w:rPr>
          <w:rFonts w:ascii="Times New Roman" w:eastAsia="Calibri" w:hAnsi="Times New Roman" w:cs="Times New Roman"/>
          <w:color w:val="4C4747"/>
          <w:spacing w:val="20"/>
          <w:sz w:val="24"/>
          <w:szCs w:val="24"/>
          <w:lang w:val="es-DO"/>
        </w:rPr>
        <w:t xml:space="preserve"> año. </w:t>
      </w:r>
    </w:p>
    <w:p w14:paraId="44DF9490" w14:textId="77777777" w:rsidR="008860AC" w:rsidRPr="00C62BB6" w:rsidRDefault="008860AC" w:rsidP="00A75CDE">
      <w:pPr>
        <w:spacing w:before="240"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Indicador del Uso del Sistema Nacional de Contrataciones Públicas (SISCOMPRAS) </w:t>
      </w:r>
    </w:p>
    <w:p w14:paraId="50532078" w14:textId="77777777"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La institución a través de un manejo eficiente del Sistema Nacional de Contrataciones obtuvo un promedio de un 98.3% mediante el portal de SISCOMPRAS para este año 2022, este indicador contempla 5 sub-indicadores, los cuales son: Planificación de Compras, Publicación de Procesos, Gestión de Procesos, Administración de Contratos y Compras a MIPYMES, personas físicas y MIPYMES mujeres.</w:t>
      </w:r>
    </w:p>
    <w:p w14:paraId="7F60A28F" w14:textId="7A908219" w:rsidR="00A77640"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lastRenderedPageBreak/>
        <w:drawing>
          <wp:inline distT="0" distB="0" distL="0" distR="0" wp14:anchorId="239E367B" wp14:editId="079CDB70">
            <wp:extent cx="4943475" cy="3437516"/>
            <wp:effectExtent l="0" t="0" r="0" b="0"/>
            <wp:docPr id="32" name="Imagen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6"/>
                    <a:srcRect l="21024" t="15825" r="21780" b="13468"/>
                    <a:stretch/>
                  </pic:blipFill>
                  <pic:spPr bwMode="auto">
                    <a:xfrm>
                      <a:off x="0" y="0"/>
                      <a:ext cx="4948023" cy="3440678"/>
                    </a:xfrm>
                    <a:prstGeom prst="rect">
                      <a:avLst/>
                    </a:prstGeom>
                    <a:ln>
                      <a:noFill/>
                    </a:ln>
                    <a:extLst>
                      <a:ext uri="{53640926-AAD7-44D8-BBD7-CCE9431645EC}">
                        <a14:shadowObscured xmlns:a14="http://schemas.microsoft.com/office/drawing/2010/main"/>
                      </a:ext>
                    </a:extLst>
                  </pic:spPr>
                </pic:pic>
              </a:graphicData>
            </a:graphic>
          </wp:inline>
        </w:drawing>
      </w: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Portal SISCOMPRAS (Siscompras - Dirección General de Contrataciones Públicas (dgcp.gob.do)</w:t>
      </w:r>
    </w:p>
    <w:p w14:paraId="17466102" w14:textId="1B6F6C27" w:rsidR="00F30F22" w:rsidRPr="008C2B22" w:rsidRDefault="008860AC"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INDOTEL  obtuvo en dos period</w:t>
      </w:r>
      <w:r w:rsidR="00F43708" w:rsidRPr="008C2B22">
        <w:rPr>
          <w:rFonts w:ascii="Times New Roman" w:eastAsia="Calibri" w:hAnsi="Times New Roman" w:cs="Times New Roman"/>
          <w:color w:val="4C4747"/>
          <w:spacing w:val="20"/>
          <w:sz w:val="24"/>
          <w:szCs w:val="24"/>
          <w:lang w:val="es-DO"/>
        </w:rPr>
        <w:t>os consecutivos del 2022 un 100</w:t>
      </w:r>
      <w:r w:rsidRPr="008C2B22">
        <w:rPr>
          <w:rFonts w:ascii="Times New Roman" w:eastAsia="Calibri" w:hAnsi="Times New Roman" w:cs="Times New Roman"/>
          <w:color w:val="4C4747"/>
          <w:spacing w:val="20"/>
          <w:sz w:val="24"/>
          <w:szCs w:val="24"/>
          <w:lang w:val="es-DO"/>
        </w:rPr>
        <w:t xml:space="preserve">%, la cual se considera la más alta puntuación en estos indicadores y </w:t>
      </w:r>
      <w:r w:rsidR="00F30F22" w:rsidRPr="008C2B22">
        <w:rPr>
          <w:rFonts w:ascii="Times New Roman" w:eastAsia="Calibri" w:hAnsi="Times New Roman" w:cs="Times New Roman"/>
          <w:color w:val="4C4747"/>
          <w:spacing w:val="20"/>
          <w:sz w:val="24"/>
          <w:szCs w:val="24"/>
          <w:lang w:val="es-DO"/>
        </w:rPr>
        <w:t>destacando que</w:t>
      </w:r>
      <w:r w:rsidRPr="008C2B22">
        <w:rPr>
          <w:rFonts w:ascii="Times New Roman" w:eastAsia="Calibri" w:hAnsi="Times New Roman" w:cs="Times New Roman"/>
          <w:color w:val="4C4747"/>
          <w:spacing w:val="20"/>
          <w:sz w:val="24"/>
          <w:szCs w:val="24"/>
          <w:lang w:val="es-DO"/>
        </w:rPr>
        <w:t xml:space="preserve"> no se </w:t>
      </w:r>
      <w:r w:rsidR="00F30F22" w:rsidRPr="008C2B22">
        <w:rPr>
          <w:rFonts w:ascii="Times New Roman" w:eastAsia="Calibri" w:hAnsi="Times New Roman" w:cs="Times New Roman"/>
          <w:color w:val="4C4747"/>
          <w:spacing w:val="20"/>
          <w:sz w:val="24"/>
          <w:szCs w:val="24"/>
          <w:lang w:val="es-DO"/>
        </w:rPr>
        <w:t>había</w:t>
      </w:r>
      <w:r w:rsidRPr="008C2B22">
        <w:rPr>
          <w:rFonts w:ascii="Times New Roman" w:eastAsia="Calibri" w:hAnsi="Times New Roman" w:cs="Times New Roman"/>
          <w:color w:val="4C4747"/>
          <w:spacing w:val="20"/>
          <w:sz w:val="24"/>
          <w:szCs w:val="24"/>
          <w:lang w:val="es-DO"/>
        </w:rPr>
        <w:t xml:space="preserve"> presentado </w:t>
      </w:r>
      <w:r w:rsidR="00F30F22" w:rsidRPr="008C2B22">
        <w:rPr>
          <w:rFonts w:ascii="Times New Roman" w:eastAsia="Calibri" w:hAnsi="Times New Roman" w:cs="Times New Roman"/>
          <w:color w:val="4C4747"/>
          <w:spacing w:val="20"/>
          <w:sz w:val="24"/>
          <w:szCs w:val="24"/>
          <w:lang w:val="es-DO"/>
        </w:rPr>
        <w:t xml:space="preserve">esta puntuación </w:t>
      </w:r>
      <w:r w:rsidRPr="008C2B22">
        <w:rPr>
          <w:rFonts w:ascii="Times New Roman" w:eastAsia="Calibri" w:hAnsi="Times New Roman" w:cs="Times New Roman"/>
          <w:color w:val="4C4747"/>
          <w:spacing w:val="20"/>
          <w:sz w:val="24"/>
          <w:szCs w:val="24"/>
          <w:lang w:val="es-DO"/>
        </w:rPr>
        <w:t xml:space="preserve">en la </w:t>
      </w:r>
      <w:r w:rsidR="00F30F22" w:rsidRPr="008C2B22">
        <w:rPr>
          <w:rFonts w:ascii="Times New Roman" w:eastAsia="Calibri" w:hAnsi="Times New Roman" w:cs="Times New Roman"/>
          <w:color w:val="4C4747"/>
          <w:spacing w:val="20"/>
          <w:sz w:val="24"/>
          <w:szCs w:val="24"/>
          <w:lang w:val="es-DO"/>
        </w:rPr>
        <w:t>historia  de la institución.</w:t>
      </w:r>
    </w:p>
    <w:p w14:paraId="12725931" w14:textId="1D339CAF" w:rsidR="008860AC" w:rsidRPr="008C2B22" w:rsidRDefault="00F43708" w:rsidP="00A75CDE">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Sistema informático de gestión i</w:t>
      </w:r>
      <w:r w:rsidR="008860AC" w:rsidRPr="008C2B22">
        <w:rPr>
          <w:rFonts w:ascii="Times New Roman" w:eastAsia="Calibri" w:hAnsi="Times New Roman" w:cs="Times New Roman"/>
          <w:b/>
          <w:color w:val="4C4747"/>
          <w:spacing w:val="20"/>
          <w:sz w:val="24"/>
          <w:szCs w:val="24"/>
          <w:lang w:val="es-DO"/>
        </w:rPr>
        <w:t xml:space="preserve">nterna </w:t>
      </w:r>
    </w:p>
    <w:p w14:paraId="47D4799A" w14:textId="693EBD85" w:rsidR="008860AC" w:rsidRPr="008C2B22" w:rsidRDefault="008860AC"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La institución dispone de un sistema informático de gestión interna para el manejo y control de la documentación que se recibe, se genera, y se despacha. El área de Tramitación y Control de Documentación tiene la </w:t>
      </w:r>
      <w:r w:rsidR="00F30F22" w:rsidRPr="008C2B22">
        <w:rPr>
          <w:rFonts w:ascii="Times New Roman" w:eastAsia="Calibri" w:hAnsi="Times New Roman" w:cs="Times New Roman"/>
          <w:color w:val="4C4747"/>
          <w:spacing w:val="20"/>
          <w:sz w:val="24"/>
          <w:szCs w:val="24"/>
          <w:lang w:val="es-DO"/>
        </w:rPr>
        <w:t>responsabilidad</w:t>
      </w:r>
      <w:r w:rsidRPr="008C2B22">
        <w:rPr>
          <w:rFonts w:ascii="Times New Roman" w:eastAsia="Calibri" w:hAnsi="Times New Roman" w:cs="Times New Roman"/>
          <w:color w:val="4C4747"/>
          <w:spacing w:val="20"/>
          <w:sz w:val="24"/>
          <w:szCs w:val="24"/>
          <w:lang w:val="es-DO"/>
        </w:rPr>
        <w:t xml:space="preserve"> de mantener actualizada la base de datos del Sistema de Gestión Interna, de tal manera que la misma pueda proporcionar información fehaciente sobre el estatus de las solicitudes.</w:t>
      </w:r>
    </w:p>
    <w:p w14:paraId="74A97ED7" w14:textId="600EAF74" w:rsidR="00A77640" w:rsidRPr="008C2B22" w:rsidRDefault="00F30F22"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Este año </w:t>
      </w:r>
      <w:r w:rsidR="004D7636" w:rsidRPr="008C2B22">
        <w:rPr>
          <w:rFonts w:ascii="Times New Roman" w:eastAsia="Calibri" w:hAnsi="Times New Roman" w:cs="Times New Roman"/>
          <w:color w:val="4C4747"/>
          <w:spacing w:val="20"/>
          <w:sz w:val="24"/>
          <w:szCs w:val="24"/>
          <w:lang w:val="es-DO"/>
        </w:rPr>
        <w:t xml:space="preserve">fueron </w:t>
      </w:r>
      <w:r w:rsidRPr="008C2B22">
        <w:rPr>
          <w:rFonts w:ascii="Times New Roman" w:eastAsia="Calibri" w:hAnsi="Times New Roman" w:cs="Times New Roman"/>
          <w:color w:val="4C4747"/>
          <w:spacing w:val="20"/>
          <w:sz w:val="24"/>
          <w:szCs w:val="24"/>
          <w:lang w:val="es-DO"/>
        </w:rPr>
        <w:t>concluido</w:t>
      </w:r>
      <w:r w:rsidR="004D7636" w:rsidRPr="008C2B22">
        <w:rPr>
          <w:rFonts w:ascii="Times New Roman" w:eastAsia="Calibri" w:hAnsi="Times New Roman" w:cs="Times New Roman"/>
          <w:color w:val="4C4747"/>
          <w:spacing w:val="20"/>
          <w:sz w:val="24"/>
          <w:szCs w:val="24"/>
          <w:lang w:val="es-DO"/>
        </w:rPr>
        <w:t>s</w:t>
      </w:r>
      <w:r w:rsidRPr="008C2B22">
        <w:rPr>
          <w:rFonts w:ascii="Times New Roman" w:eastAsia="Calibri" w:hAnsi="Times New Roman" w:cs="Times New Roman"/>
          <w:color w:val="4C4747"/>
          <w:spacing w:val="20"/>
          <w:sz w:val="24"/>
          <w:szCs w:val="24"/>
          <w:lang w:val="es-DO"/>
        </w:rPr>
        <w:t xml:space="preserve"> 25 casos de los cuales no se conocían la ubicación del expediente en físico, estos casos se encontraban en </w:t>
      </w:r>
      <w:r w:rsidRPr="008C2B22">
        <w:rPr>
          <w:rFonts w:ascii="Times New Roman" w:eastAsia="Calibri" w:hAnsi="Times New Roman" w:cs="Times New Roman"/>
          <w:color w:val="4C4747"/>
          <w:spacing w:val="20"/>
          <w:sz w:val="24"/>
          <w:szCs w:val="24"/>
          <w:lang w:val="es-DO"/>
        </w:rPr>
        <w:lastRenderedPageBreak/>
        <w:t>proceso en el Sistema de Gestión Interna a partir de un levantamiento realizado en el 2020. En la actualidad se encuentran 189 casos en proceso</w:t>
      </w:r>
      <w:r w:rsidR="004D7636" w:rsidRPr="008C2B22">
        <w:rPr>
          <w:rFonts w:ascii="Times New Roman" w:eastAsia="Calibri" w:hAnsi="Times New Roman" w:cs="Times New Roman"/>
          <w:color w:val="4C4747"/>
          <w:spacing w:val="20"/>
          <w:sz w:val="24"/>
          <w:szCs w:val="24"/>
          <w:lang w:val="es-DO"/>
        </w:rPr>
        <w:t>s</w:t>
      </w:r>
      <w:r w:rsidRPr="008C2B22">
        <w:rPr>
          <w:rFonts w:ascii="Times New Roman" w:eastAsia="Calibri" w:hAnsi="Times New Roman" w:cs="Times New Roman"/>
          <w:color w:val="4C4747"/>
          <w:spacing w:val="20"/>
          <w:sz w:val="24"/>
          <w:szCs w:val="24"/>
          <w:lang w:val="es-DO"/>
        </w:rPr>
        <w:t xml:space="preserve"> que están siendo trabajados con las distintas dependencias para que su estatus puede ser actualizado en el sistema. </w:t>
      </w:r>
    </w:p>
    <w:p w14:paraId="5812D362" w14:textId="77777777" w:rsidR="008860AC" w:rsidRPr="008C2B22" w:rsidRDefault="008860AC" w:rsidP="00A75CDE">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Construcción Edificio INDOTEL</w:t>
      </w:r>
    </w:p>
    <w:p w14:paraId="65444C3D" w14:textId="2E633B01" w:rsidR="008860AC" w:rsidRPr="008C2B22" w:rsidRDefault="008860AC"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diseño arquitectónico de la nueva sede de INDOTEL fue elaborado por el departamento interno de infraestructura permitiendo con esto un ahorro por honorarios de servicios profesionales de unos RD$81</w:t>
      </w:r>
      <w:r w:rsidR="00360D7A" w:rsidRPr="008C2B22">
        <w:rPr>
          <w:rFonts w:ascii="Times New Roman" w:eastAsia="Calibri" w:hAnsi="Times New Roman" w:cs="Times New Roman"/>
          <w:color w:val="4C4747"/>
          <w:spacing w:val="20"/>
          <w:sz w:val="24"/>
          <w:szCs w:val="24"/>
          <w:lang w:val="es-DO"/>
        </w:rPr>
        <w:t>, 148,365</w:t>
      </w:r>
      <w:r w:rsidRPr="008C2B22">
        <w:rPr>
          <w:rFonts w:ascii="Times New Roman" w:eastAsia="Calibri" w:hAnsi="Times New Roman" w:cs="Times New Roman"/>
          <w:color w:val="4C4747"/>
          <w:spacing w:val="20"/>
          <w:sz w:val="24"/>
          <w:szCs w:val="24"/>
          <w:lang w:val="es-DO"/>
        </w:rPr>
        <w:t xml:space="preserve"> millones que corresponde al 6% </w:t>
      </w:r>
      <w:r w:rsidR="00360D7A" w:rsidRPr="008C2B22">
        <w:rPr>
          <w:rFonts w:ascii="Times New Roman" w:eastAsia="Calibri" w:hAnsi="Times New Roman" w:cs="Times New Roman"/>
          <w:color w:val="4C4747"/>
          <w:spacing w:val="20"/>
          <w:sz w:val="24"/>
          <w:szCs w:val="24"/>
          <w:lang w:val="es-DO"/>
        </w:rPr>
        <w:t>del costo total de construcción de RD</w:t>
      </w:r>
      <w:r w:rsidRPr="008C2B22">
        <w:rPr>
          <w:rFonts w:ascii="Times New Roman" w:eastAsia="Calibri" w:hAnsi="Times New Roman" w:cs="Times New Roman"/>
          <w:color w:val="4C4747"/>
          <w:spacing w:val="20"/>
          <w:sz w:val="24"/>
          <w:szCs w:val="24"/>
          <w:lang w:val="es-DO"/>
        </w:rPr>
        <w:t>1</w:t>
      </w:r>
      <w:r w:rsidR="00250512" w:rsidRPr="008C2B22">
        <w:rPr>
          <w:rFonts w:ascii="Times New Roman" w:eastAsia="Calibri" w:hAnsi="Times New Roman" w:cs="Times New Roman"/>
          <w:color w:val="4C4747"/>
          <w:spacing w:val="20"/>
          <w:sz w:val="24"/>
          <w:szCs w:val="24"/>
          <w:lang w:val="es-DO"/>
        </w:rPr>
        <w:t>,352,472,750.00</w:t>
      </w:r>
      <w:r w:rsidR="00360D7A" w:rsidRPr="008C2B22">
        <w:rPr>
          <w:rFonts w:ascii="Times New Roman" w:eastAsia="Calibri" w:hAnsi="Times New Roman" w:cs="Times New Roman"/>
          <w:color w:val="4C4747"/>
          <w:spacing w:val="20"/>
          <w:sz w:val="24"/>
          <w:szCs w:val="24"/>
          <w:lang w:val="es-DO"/>
        </w:rPr>
        <w:t xml:space="preserve">. Este diseño </w:t>
      </w:r>
      <w:r w:rsidRPr="008C2B22">
        <w:rPr>
          <w:rFonts w:ascii="Times New Roman" w:eastAsia="Calibri" w:hAnsi="Times New Roman" w:cs="Times New Roman"/>
          <w:color w:val="4C4747"/>
          <w:spacing w:val="20"/>
          <w:sz w:val="24"/>
          <w:szCs w:val="24"/>
          <w:lang w:val="es-DO"/>
        </w:rPr>
        <w:t xml:space="preserve">está conceptualizado como un motherboard, una arquitectura moderna con colores institucionales y espacios libres. </w:t>
      </w:r>
    </w:p>
    <w:p w14:paraId="597C7808" w14:textId="032CB67C" w:rsidR="008860AC" w:rsidRPr="00C62BB6" w:rsidRDefault="008860AC" w:rsidP="00A75CD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lastRenderedPageBreak/>
        <w:drawing>
          <wp:inline distT="0" distB="0" distL="0" distR="0" wp14:anchorId="279B077E" wp14:editId="017B4245">
            <wp:extent cx="4980940" cy="5352415"/>
            <wp:effectExtent l="0" t="0" r="0" b="635"/>
            <wp:docPr id="54" name="Imagen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7"/>
                    <a:srcRect l="12879" t="11111" r="51137" b="15489"/>
                    <a:stretch/>
                  </pic:blipFill>
                  <pic:spPr bwMode="auto">
                    <a:xfrm>
                      <a:off x="0" y="0"/>
                      <a:ext cx="4992417" cy="5364748"/>
                    </a:xfrm>
                    <a:prstGeom prst="rect">
                      <a:avLst/>
                    </a:prstGeom>
                    <a:ln>
                      <a:noFill/>
                    </a:ln>
                    <a:extLst>
                      <a:ext uri="{53640926-AAD7-44D8-BBD7-CCE9431645EC}">
                        <a14:shadowObscured xmlns:a14="http://schemas.microsoft.com/office/drawing/2010/main"/>
                      </a:ext>
                    </a:extLst>
                  </pic:spPr>
                </pic:pic>
              </a:graphicData>
            </a:graphic>
          </wp:inline>
        </w:drawing>
      </w:r>
      <w:r w:rsidRPr="00C62BB6">
        <w:rPr>
          <w:rFonts w:ascii="Times New Roman" w:eastAsia="Calibri" w:hAnsi="Times New Roman" w:cs="Times New Roman"/>
          <w:b/>
          <w:color w:val="4C4747"/>
          <w:spacing w:val="20"/>
          <w:sz w:val="18"/>
          <w:szCs w:val="24"/>
          <w:lang w:val="es-DO"/>
        </w:rPr>
        <w:t>Fuente:</w:t>
      </w:r>
      <w:r w:rsidR="00360D7A" w:rsidRPr="00C62BB6">
        <w:rPr>
          <w:rFonts w:ascii="Times New Roman" w:eastAsia="Calibri" w:hAnsi="Times New Roman" w:cs="Times New Roman"/>
          <w:color w:val="4C4747"/>
          <w:spacing w:val="20"/>
          <w:sz w:val="18"/>
          <w:szCs w:val="24"/>
          <w:lang w:val="es-DO"/>
        </w:rPr>
        <w:t xml:space="preserve"> Departamento de Infraestructura</w:t>
      </w:r>
    </w:p>
    <w:p w14:paraId="1715B109" w14:textId="11987403" w:rsidR="008860AC" w:rsidRPr="008C2B22" w:rsidRDefault="008860AC"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Fue concluida la fase del proyecto dentro de la cual se encuentra la realización del estudio de suelo y la confección de los planos</w:t>
      </w:r>
      <w:r w:rsidR="00F43708"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la misma fue adjudicada a una empresa de elaboración de los planos técnicos (sanitarios, estructurales y eléctricos); en proceso se encuentra la legalización frente a</w:t>
      </w:r>
      <w:r w:rsidR="00F43708" w:rsidRPr="008C2B22">
        <w:rPr>
          <w:rFonts w:ascii="Times New Roman" w:eastAsia="Calibri" w:hAnsi="Times New Roman" w:cs="Times New Roman"/>
          <w:color w:val="4C4747"/>
          <w:spacing w:val="20"/>
          <w:sz w:val="24"/>
          <w:szCs w:val="24"/>
          <w:lang w:val="es-DO"/>
        </w:rPr>
        <w:t xml:space="preserve"> l</w:t>
      </w:r>
      <w:r w:rsidRPr="008C2B22">
        <w:rPr>
          <w:rFonts w:ascii="Times New Roman" w:eastAsia="Calibri" w:hAnsi="Times New Roman" w:cs="Times New Roman"/>
          <w:color w:val="4C4747"/>
          <w:spacing w:val="20"/>
          <w:sz w:val="24"/>
          <w:szCs w:val="24"/>
          <w:lang w:val="es-DO"/>
        </w:rPr>
        <w:t>a Alcaldía del Distrito Nacional.</w:t>
      </w:r>
    </w:p>
    <w:p w14:paraId="54F401E2" w14:textId="09D1F722" w:rsidR="00360D7A" w:rsidRPr="008C2B22" w:rsidRDefault="008860AC" w:rsidP="00A75CDE">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 xml:space="preserve">Se planea comenzar la </w:t>
      </w:r>
      <w:r w:rsidR="00360D7A" w:rsidRPr="008C2B22">
        <w:rPr>
          <w:rFonts w:ascii="Times New Roman" w:eastAsia="Calibri" w:hAnsi="Times New Roman" w:cs="Times New Roman"/>
          <w:color w:val="4C4747"/>
          <w:spacing w:val="20"/>
          <w:sz w:val="24"/>
          <w:szCs w:val="24"/>
          <w:lang w:val="es-DO"/>
        </w:rPr>
        <w:t>construcción</w:t>
      </w:r>
      <w:r w:rsidRPr="008C2B22">
        <w:rPr>
          <w:rFonts w:ascii="Times New Roman" w:eastAsia="Calibri" w:hAnsi="Times New Roman" w:cs="Times New Roman"/>
          <w:color w:val="4C4747"/>
          <w:spacing w:val="20"/>
          <w:sz w:val="24"/>
          <w:szCs w:val="24"/>
          <w:lang w:val="es-DO"/>
        </w:rPr>
        <w:t xml:space="preserve"> en el 2023 inmediatamente culmine la licitación de </w:t>
      </w:r>
      <w:r w:rsidR="00360D7A" w:rsidRPr="008C2B22">
        <w:rPr>
          <w:rFonts w:ascii="Times New Roman" w:eastAsia="Calibri" w:hAnsi="Times New Roman" w:cs="Times New Roman"/>
          <w:color w:val="4C4747"/>
          <w:spacing w:val="20"/>
          <w:sz w:val="24"/>
          <w:szCs w:val="24"/>
          <w:lang w:val="es-DO"/>
        </w:rPr>
        <w:t>construcción</w:t>
      </w:r>
      <w:r w:rsidRPr="008C2B22">
        <w:rPr>
          <w:rFonts w:ascii="Times New Roman" w:eastAsia="Calibri" w:hAnsi="Times New Roman" w:cs="Times New Roman"/>
          <w:color w:val="4C4747"/>
          <w:spacing w:val="20"/>
          <w:sz w:val="24"/>
          <w:szCs w:val="24"/>
          <w:lang w:val="es-DO"/>
        </w:rPr>
        <w:t xml:space="preserve"> de la nueva Sede del </w:t>
      </w:r>
      <w:r w:rsidR="00360D7A" w:rsidRPr="008C2B22">
        <w:rPr>
          <w:rFonts w:ascii="Times New Roman" w:eastAsia="Calibri" w:hAnsi="Times New Roman" w:cs="Times New Roman"/>
          <w:color w:val="4C4747"/>
          <w:spacing w:val="20"/>
          <w:sz w:val="24"/>
          <w:szCs w:val="24"/>
          <w:lang w:val="es-DO"/>
        </w:rPr>
        <w:t>INDOTEL.</w:t>
      </w:r>
    </w:p>
    <w:p w14:paraId="0C9F0C96" w14:textId="4268C9ED" w:rsidR="008860AC" w:rsidRPr="008C2B22" w:rsidRDefault="008860AC"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 xml:space="preserve">Por otra parte </w:t>
      </w:r>
      <w:r w:rsidR="00360D7A" w:rsidRPr="008C2B22">
        <w:rPr>
          <w:rFonts w:ascii="Times New Roman" w:eastAsia="Calibri" w:hAnsi="Times New Roman" w:cs="Times New Roman"/>
          <w:color w:val="4C4747"/>
          <w:spacing w:val="20"/>
          <w:sz w:val="24"/>
          <w:szCs w:val="24"/>
          <w:lang w:val="es-DO"/>
        </w:rPr>
        <w:t>también</w:t>
      </w:r>
      <w:r w:rsidRPr="008C2B22">
        <w:rPr>
          <w:rFonts w:ascii="Times New Roman" w:eastAsia="Calibri" w:hAnsi="Times New Roman" w:cs="Times New Roman"/>
          <w:color w:val="4C4747"/>
          <w:spacing w:val="20"/>
          <w:sz w:val="24"/>
          <w:szCs w:val="24"/>
          <w:lang w:val="es-DO"/>
        </w:rPr>
        <w:t xml:space="preserve"> tenemos los remozamientos de las 7 casetas de monitoreo ubicadas a nivel nacional en: Santiago, Bar</w:t>
      </w:r>
      <w:r w:rsidR="00360D7A" w:rsidRPr="008C2B22">
        <w:rPr>
          <w:rFonts w:ascii="Times New Roman" w:eastAsia="Calibri" w:hAnsi="Times New Roman" w:cs="Times New Roman"/>
          <w:color w:val="4C4747"/>
          <w:spacing w:val="20"/>
          <w:sz w:val="24"/>
          <w:szCs w:val="24"/>
          <w:lang w:val="es-DO"/>
        </w:rPr>
        <w:t>ahona, Salcedo, San Juan, Dajabó</w:t>
      </w:r>
      <w:r w:rsidRPr="008C2B22">
        <w:rPr>
          <w:rFonts w:ascii="Times New Roman" w:eastAsia="Calibri" w:hAnsi="Times New Roman" w:cs="Times New Roman"/>
          <w:color w:val="4C4747"/>
          <w:spacing w:val="20"/>
          <w:sz w:val="24"/>
          <w:szCs w:val="24"/>
          <w:lang w:val="es-DO"/>
        </w:rPr>
        <w:t>n, Hig</w:t>
      </w:r>
      <w:r w:rsidR="00360D7A" w:rsidRPr="008C2B22">
        <w:rPr>
          <w:rFonts w:ascii="Times New Roman" w:eastAsia="Calibri" w:hAnsi="Times New Roman" w:cs="Times New Roman"/>
          <w:color w:val="4C4747"/>
          <w:spacing w:val="20"/>
          <w:sz w:val="24"/>
          <w:szCs w:val="24"/>
          <w:lang w:val="es-DO"/>
        </w:rPr>
        <w:t>ü</w:t>
      </w:r>
      <w:r w:rsidRPr="008C2B22">
        <w:rPr>
          <w:rFonts w:ascii="Times New Roman" w:eastAsia="Calibri" w:hAnsi="Times New Roman" w:cs="Times New Roman"/>
          <w:color w:val="4C4747"/>
          <w:spacing w:val="20"/>
          <w:sz w:val="24"/>
          <w:szCs w:val="24"/>
          <w:lang w:val="es-DO"/>
        </w:rPr>
        <w:t>ey,</w:t>
      </w:r>
      <w:r w:rsidR="00360D7A" w:rsidRPr="008C2B22">
        <w:rPr>
          <w:rFonts w:ascii="Times New Roman" w:eastAsia="Calibri" w:hAnsi="Times New Roman" w:cs="Times New Roman"/>
          <w:color w:val="4C4747"/>
          <w:spacing w:val="20"/>
          <w:sz w:val="24"/>
          <w:szCs w:val="24"/>
          <w:lang w:val="es-DO"/>
        </w:rPr>
        <w:t xml:space="preserve"> </w:t>
      </w:r>
      <w:r w:rsidR="00E135ED" w:rsidRPr="008C2B22">
        <w:rPr>
          <w:rFonts w:ascii="Times New Roman" w:eastAsia="Calibri" w:hAnsi="Times New Roman" w:cs="Times New Roman"/>
          <w:color w:val="4C4747"/>
          <w:spacing w:val="20"/>
          <w:sz w:val="24"/>
          <w:szCs w:val="24"/>
          <w:lang w:val="es-DO"/>
        </w:rPr>
        <w:t>Santo Domingo (</w:t>
      </w:r>
      <w:r w:rsidRPr="008C2B22">
        <w:rPr>
          <w:rFonts w:ascii="Times New Roman" w:eastAsia="Calibri" w:hAnsi="Times New Roman" w:cs="Times New Roman"/>
          <w:color w:val="4C4747"/>
          <w:spacing w:val="20"/>
          <w:sz w:val="24"/>
          <w:szCs w:val="24"/>
          <w:lang w:val="es-DO"/>
        </w:rPr>
        <w:t>Jacobo Majluta</w:t>
      </w:r>
      <w:r w:rsidR="00E135ED" w:rsidRPr="008C2B22">
        <w:rPr>
          <w:rFonts w:ascii="Times New Roman" w:eastAsia="Calibri" w:hAnsi="Times New Roman" w:cs="Times New Roman"/>
          <w:color w:val="4C4747"/>
          <w:spacing w:val="20"/>
          <w:sz w:val="24"/>
          <w:szCs w:val="24"/>
          <w:lang w:val="es-DO"/>
        </w:rPr>
        <w:t>)</w:t>
      </w:r>
      <w:r w:rsidRPr="008C2B22">
        <w:rPr>
          <w:rFonts w:ascii="Times New Roman" w:eastAsia="Calibri" w:hAnsi="Times New Roman" w:cs="Times New Roman"/>
          <w:color w:val="4C4747"/>
          <w:spacing w:val="20"/>
          <w:sz w:val="24"/>
          <w:szCs w:val="24"/>
          <w:lang w:val="es-DO"/>
        </w:rPr>
        <w:t xml:space="preserve">. Los cuales han significado una </w:t>
      </w:r>
      <w:r w:rsidR="00360D7A" w:rsidRPr="008C2B22">
        <w:rPr>
          <w:rFonts w:ascii="Times New Roman" w:eastAsia="Calibri" w:hAnsi="Times New Roman" w:cs="Times New Roman"/>
          <w:color w:val="4C4747"/>
          <w:spacing w:val="20"/>
          <w:sz w:val="24"/>
          <w:szCs w:val="24"/>
          <w:lang w:val="es-DO"/>
        </w:rPr>
        <w:t>inversión</w:t>
      </w:r>
      <w:r w:rsidRPr="008C2B22">
        <w:rPr>
          <w:rFonts w:ascii="Times New Roman" w:eastAsia="Calibri" w:hAnsi="Times New Roman" w:cs="Times New Roman"/>
          <w:color w:val="4C4747"/>
          <w:spacing w:val="20"/>
          <w:sz w:val="24"/>
          <w:szCs w:val="24"/>
          <w:lang w:val="es-DO"/>
        </w:rPr>
        <w:t xml:space="preserve"> considerable para la </w:t>
      </w:r>
      <w:r w:rsidR="00360D7A" w:rsidRPr="008C2B22">
        <w:rPr>
          <w:rFonts w:ascii="Times New Roman" w:eastAsia="Calibri" w:hAnsi="Times New Roman" w:cs="Times New Roman"/>
          <w:color w:val="4C4747"/>
          <w:spacing w:val="20"/>
          <w:sz w:val="24"/>
          <w:szCs w:val="24"/>
          <w:lang w:val="es-DO"/>
        </w:rPr>
        <w:t>institución</w:t>
      </w:r>
      <w:r w:rsidRPr="008C2B22">
        <w:rPr>
          <w:rFonts w:ascii="Times New Roman" w:eastAsia="Calibri" w:hAnsi="Times New Roman" w:cs="Times New Roman"/>
          <w:color w:val="4C4747"/>
          <w:spacing w:val="20"/>
          <w:sz w:val="24"/>
          <w:szCs w:val="24"/>
          <w:lang w:val="es-DO"/>
        </w:rPr>
        <w:t xml:space="preserve"> buscando mantener el monitoreo del espectro las 24 horas del </w:t>
      </w:r>
      <w:r w:rsidR="00360D7A" w:rsidRPr="008C2B22">
        <w:rPr>
          <w:rFonts w:ascii="Times New Roman" w:eastAsia="Calibri" w:hAnsi="Times New Roman" w:cs="Times New Roman"/>
          <w:color w:val="4C4747"/>
          <w:spacing w:val="20"/>
          <w:sz w:val="24"/>
          <w:szCs w:val="24"/>
          <w:lang w:val="es-DO"/>
        </w:rPr>
        <w:t>día</w:t>
      </w:r>
      <w:r w:rsidRPr="008C2B22">
        <w:rPr>
          <w:rFonts w:ascii="Times New Roman" w:eastAsia="Calibri" w:hAnsi="Times New Roman" w:cs="Times New Roman"/>
          <w:color w:val="4C4747"/>
          <w:spacing w:val="20"/>
          <w:sz w:val="24"/>
          <w:szCs w:val="24"/>
          <w:lang w:val="es-DO"/>
        </w:rPr>
        <w:t xml:space="preserve"> sin </w:t>
      </w:r>
      <w:r w:rsidR="00360D7A" w:rsidRPr="008C2B22">
        <w:rPr>
          <w:rFonts w:ascii="Times New Roman" w:eastAsia="Calibri" w:hAnsi="Times New Roman" w:cs="Times New Roman"/>
          <w:color w:val="4C4747"/>
          <w:spacing w:val="20"/>
          <w:sz w:val="24"/>
          <w:szCs w:val="24"/>
          <w:lang w:val="es-DO"/>
        </w:rPr>
        <w:t>interrupción</w:t>
      </w:r>
      <w:r w:rsidRPr="008C2B22">
        <w:rPr>
          <w:rFonts w:ascii="Times New Roman" w:eastAsia="Calibri" w:hAnsi="Times New Roman" w:cs="Times New Roman"/>
          <w:color w:val="4C4747"/>
          <w:spacing w:val="20"/>
          <w:sz w:val="24"/>
          <w:szCs w:val="24"/>
          <w:lang w:val="es-DO"/>
        </w:rPr>
        <w:t xml:space="preserve"> y en condiciones </w:t>
      </w:r>
      <w:r w:rsidR="00360D7A" w:rsidRPr="008C2B22">
        <w:rPr>
          <w:rFonts w:ascii="Times New Roman" w:eastAsia="Calibri" w:hAnsi="Times New Roman" w:cs="Times New Roman"/>
          <w:color w:val="4C4747"/>
          <w:spacing w:val="20"/>
          <w:sz w:val="24"/>
          <w:szCs w:val="24"/>
          <w:lang w:val="es-DO"/>
        </w:rPr>
        <w:t>óptimas</w:t>
      </w:r>
      <w:r w:rsidRPr="008C2B22">
        <w:rPr>
          <w:rFonts w:ascii="Times New Roman" w:eastAsia="Calibri" w:hAnsi="Times New Roman" w:cs="Times New Roman"/>
          <w:color w:val="4C4747"/>
          <w:spacing w:val="20"/>
          <w:sz w:val="24"/>
          <w:szCs w:val="24"/>
          <w:lang w:val="es-DO"/>
        </w:rPr>
        <w:t xml:space="preserve">. </w:t>
      </w:r>
    </w:p>
    <w:p w14:paraId="43211FBE" w14:textId="117D6AAA" w:rsidR="00A77640" w:rsidRPr="008C2B22" w:rsidRDefault="00E135ED" w:rsidP="00A75CDE">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Este año inició</w:t>
      </w:r>
      <w:r w:rsidR="008860AC" w:rsidRPr="008C2B22">
        <w:rPr>
          <w:rFonts w:ascii="Times New Roman" w:eastAsia="Calibri" w:hAnsi="Times New Roman" w:cs="Times New Roman"/>
          <w:color w:val="4C4747"/>
          <w:spacing w:val="20"/>
          <w:sz w:val="24"/>
          <w:szCs w:val="24"/>
          <w:lang w:val="es-DO"/>
        </w:rPr>
        <w:t xml:space="preserve"> nuestro primer piloto de </w:t>
      </w:r>
      <w:r w:rsidR="00360D7A" w:rsidRPr="008C2B22">
        <w:rPr>
          <w:rFonts w:ascii="Times New Roman" w:eastAsia="Calibri" w:hAnsi="Times New Roman" w:cs="Times New Roman"/>
          <w:color w:val="4C4747"/>
          <w:spacing w:val="20"/>
          <w:sz w:val="24"/>
          <w:szCs w:val="24"/>
          <w:lang w:val="es-DO"/>
        </w:rPr>
        <w:t>instalación</w:t>
      </w:r>
      <w:r w:rsidR="008860AC" w:rsidRPr="008C2B22">
        <w:rPr>
          <w:rFonts w:ascii="Times New Roman" w:eastAsia="Calibri" w:hAnsi="Times New Roman" w:cs="Times New Roman"/>
          <w:color w:val="4C4747"/>
          <w:spacing w:val="20"/>
          <w:sz w:val="24"/>
          <w:szCs w:val="24"/>
          <w:lang w:val="es-DO"/>
        </w:rPr>
        <w:t xml:space="preserve"> de paneles solares en nuestra caseta de </w:t>
      </w:r>
      <w:r w:rsidR="00360D7A" w:rsidRPr="008C2B22">
        <w:rPr>
          <w:rFonts w:ascii="Times New Roman" w:eastAsia="Calibri" w:hAnsi="Times New Roman" w:cs="Times New Roman"/>
          <w:color w:val="4C4747"/>
          <w:spacing w:val="20"/>
          <w:sz w:val="24"/>
          <w:szCs w:val="24"/>
          <w:lang w:val="es-DO"/>
        </w:rPr>
        <w:t>Barahona</w:t>
      </w:r>
      <w:r w:rsidR="008860AC" w:rsidRPr="008C2B22">
        <w:rPr>
          <w:rFonts w:ascii="Times New Roman" w:eastAsia="Calibri" w:hAnsi="Times New Roman" w:cs="Times New Roman"/>
          <w:color w:val="4C4747"/>
          <w:spacing w:val="20"/>
          <w:sz w:val="24"/>
          <w:szCs w:val="24"/>
          <w:lang w:val="es-DO"/>
        </w:rPr>
        <w:t xml:space="preserve"> lo cual significa que </w:t>
      </w:r>
      <w:r w:rsidR="00360D7A" w:rsidRPr="008C2B22">
        <w:rPr>
          <w:rFonts w:ascii="Times New Roman" w:eastAsia="Calibri" w:hAnsi="Times New Roman" w:cs="Times New Roman"/>
          <w:color w:val="4C4747"/>
          <w:spacing w:val="20"/>
          <w:sz w:val="24"/>
          <w:szCs w:val="24"/>
          <w:lang w:val="es-DO"/>
        </w:rPr>
        <w:t>se está trabajando</w:t>
      </w:r>
      <w:r w:rsidR="008860AC" w:rsidRPr="008C2B22">
        <w:rPr>
          <w:rFonts w:ascii="Times New Roman" w:eastAsia="Calibri" w:hAnsi="Times New Roman" w:cs="Times New Roman"/>
          <w:color w:val="4C4747"/>
          <w:spacing w:val="20"/>
          <w:sz w:val="24"/>
          <w:szCs w:val="24"/>
          <w:lang w:val="es-DO"/>
        </w:rPr>
        <w:t xml:space="preserve"> para reducir las emisiones a</w:t>
      </w:r>
      <w:r w:rsidR="00360D7A" w:rsidRPr="008C2B22">
        <w:rPr>
          <w:rFonts w:ascii="Times New Roman" w:eastAsia="Calibri" w:hAnsi="Times New Roman" w:cs="Times New Roman"/>
          <w:color w:val="4C4747"/>
          <w:spacing w:val="20"/>
          <w:sz w:val="24"/>
          <w:szCs w:val="24"/>
          <w:lang w:val="es-DO"/>
        </w:rPr>
        <w:t>l</w:t>
      </w:r>
      <w:r w:rsidR="008860AC" w:rsidRPr="008C2B22">
        <w:rPr>
          <w:rFonts w:ascii="Times New Roman" w:eastAsia="Calibri" w:hAnsi="Times New Roman" w:cs="Times New Roman"/>
          <w:color w:val="4C4747"/>
          <w:spacing w:val="20"/>
          <w:sz w:val="24"/>
          <w:szCs w:val="24"/>
          <w:lang w:val="es-DO"/>
        </w:rPr>
        <w:t xml:space="preserve"> ambiente y por ende </w:t>
      </w:r>
      <w:r w:rsidR="00360D7A" w:rsidRPr="008C2B22">
        <w:rPr>
          <w:rFonts w:ascii="Times New Roman" w:eastAsia="Calibri" w:hAnsi="Times New Roman" w:cs="Times New Roman"/>
          <w:color w:val="4C4747"/>
          <w:spacing w:val="20"/>
          <w:sz w:val="24"/>
          <w:szCs w:val="24"/>
          <w:lang w:val="es-DO"/>
        </w:rPr>
        <w:t>reducir</w:t>
      </w:r>
      <w:r w:rsidR="008860AC" w:rsidRPr="008C2B22">
        <w:rPr>
          <w:rFonts w:ascii="Times New Roman" w:eastAsia="Calibri" w:hAnsi="Times New Roman" w:cs="Times New Roman"/>
          <w:color w:val="4C4747"/>
          <w:spacing w:val="20"/>
          <w:sz w:val="24"/>
          <w:szCs w:val="24"/>
          <w:lang w:val="es-DO"/>
        </w:rPr>
        <w:t xml:space="preserve"> la </w:t>
      </w:r>
      <w:r w:rsidR="00360D7A" w:rsidRPr="008C2B22">
        <w:rPr>
          <w:rFonts w:ascii="Times New Roman" w:eastAsia="Calibri" w:hAnsi="Times New Roman" w:cs="Times New Roman"/>
          <w:color w:val="4C4747"/>
          <w:spacing w:val="20"/>
          <w:sz w:val="24"/>
          <w:szCs w:val="24"/>
          <w:lang w:val="es-DO"/>
        </w:rPr>
        <w:t>contaminación</w:t>
      </w:r>
      <w:r w:rsidR="008860AC" w:rsidRPr="008C2B22">
        <w:rPr>
          <w:rFonts w:ascii="Times New Roman" w:eastAsia="Calibri" w:hAnsi="Times New Roman" w:cs="Times New Roman"/>
          <w:color w:val="4C4747"/>
          <w:spacing w:val="20"/>
          <w:sz w:val="24"/>
          <w:szCs w:val="24"/>
          <w:lang w:val="es-DO"/>
        </w:rPr>
        <w:t xml:space="preserve"> por este concepto. En los </w:t>
      </w:r>
      <w:r w:rsidR="00360D7A" w:rsidRPr="008C2B22">
        <w:rPr>
          <w:rFonts w:ascii="Times New Roman" w:eastAsia="Calibri" w:hAnsi="Times New Roman" w:cs="Times New Roman"/>
          <w:color w:val="4C4747"/>
          <w:spacing w:val="20"/>
          <w:sz w:val="24"/>
          <w:szCs w:val="24"/>
          <w:lang w:val="es-DO"/>
        </w:rPr>
        <w:t>próximos años se estará</w:t>
      </w:r>
      <w:r w:rsidR="008860AC" w:rsidRPr="008C2B22">
        <w:rPr>
          <w:rFonts w:ascii="Times New Roman" w:eastAsia="Calibri" w:hAnsi="Times New Roman" w:cs="Times New Roman"/>
          <w:color w:val="4C4747"/>
          <w:spacing w:val="20"/>
          <w:sz w:val="24"/>
          <w:szCs w:val="24"/>
          <w:lang w:val="es-DO"/>
        </w:rPr>
        <w:t xml:space="preserve"> trabajando para suplir a todas</w:t>
      </w:r>
      <w:r w:rsidR="00F43708" w:rsidRPr="008C2B22">
        <w:rPr>
          <w:rFonts w:ascii="Times New Roman" w:eastAsia="Calibri" w:hAnsi="Times New Roman" w:cs="Times New Roman"/>
          <w:color w:val="4C4747"/>
          <w:spacing w:val="20"/>
          <w:sz w:val="24"/>
          <w:szCs w:val="24"/>
          <w:lang w:val="es-DO"/>
        </w:rPr>
        <w:t xml:space="preserve"> las casetas bajo este modelo. </w:t>
      </w:r>
    </w:p>
    <w:p w14:paraId="2751683B" w14:textId="77777777" w:rsidR="008860AC" w:rsidRPr="008C2B22" w:rsidRDefault="008860AC" w:rsidP="00A75CDE">
      <w:pPr>
        <w:spacing w:before="240"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Infraestructura Física y Servicios Generales</w:t>
      </w:r>
    </w:p>
    <w:p w14:paraId="79186989" w14:textId="77777777" w:rsidR="008860AC" w:rsidRPr="008C2B22" w:rsidRDefault="008860AC" w:rsidP="00A75CDE">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área de infraestructura y servicios generales han trabajado arduamente para realizar readecuaciones y adecuaciones pertinentes a las áreas operativas logrando mejorar el entorno de trabajo; se ha obtenido una reducción en los costos que implican las reparaciones y mantenimiento debido a que contamos con personal técnico interno que lleva a cabo estas funciones.</w:t>
      </w:r>
    </w:p>
    <w:p w14:paraId="3087BE59" w14:textId="30D0D5D8" w:rsidR="00F43708" w:rsidRPr="008C2B22" w:rsidRDefault="008860AC" w:rsidP="00A75CDE">
      <w:pPr>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En otro orden, la institución otorga mantenimiento preventivo a sus equipos y vehículos con la finalidad de alargar su vida útil</w:t>
      </w:r>
      <w:r w:rsidR="00360D7A" w:rsidRPr="008C2B22">
        <w:rPr>
          <w:rFonts w:ascii="Times New Roman" w:eastAsia="Calibri" w:hAnsi="Times New Roman" w:cs="Times New Roman"/>
          <w:color w:val="4C4747"/>
          <w:spacing w:val="20"/>
          <w:sz w:val="24"/>
          <w:szCs w:val="24"/>
          <w:lang w:val="es-DO"/>
        </w:rPr>
        <w:t xml:space="preserve">, garantizando </w:t>
      </w:r>
      <w:r w:rsidRPr="008C2B22">
        <w:rPr>
          <w:rFonts w:ascii="Times New Roman" w:eastAsia="Calibri" w:hAnsi="Times New Roman" w:cs="Times New Roman"/>
          <w:color w:val="4C4747"/>
          <w:spacing w:val="20"/>
          <w:sz w:val="24"/>
          <w:szCs w:val="24"/>
          <w:lang w:val="es-DO"/>
        </w:rPr>
        <w:t xml:space="preserve">la seguridad de los colaboradores al momento de utilizarlos. Ver </w:t>
      </w:r>
      <w:r w:rsidR="00360D7A" w:rsidRPr="008C2B22">
        <w:rPr>
          <w:rFonts w:ascii="Times New Roman" w:eastAsia="Calibri" w:hAnsi="Times New Roman" w:cs="Times New Roman"/>
          <w:color w:val="4C4747"/>
          <w:spacing w:val="20"/>
          <w:sz w:val="24"/>
          <w:szCs w:val="24"/>
          <w:lang w:val="es-DO"/>
        </w:rPr>
        <w:t>detalles en la siguiente tabla:</w:t>
      </w:r>
    </w:p>
    <w:p w14:paraId="56A89629" w14:textId="77777777" w:rsidR="00A408F8" w:rsidRPr="008C2B22" w:rsidRDefault="00A408F8" w:rsidP="00A75CDE">
      <w:pPr>
        <w:spacing w:line="360" w:lineRule="auto"/>
        <w:jc w:val="both"/>
        <w:rPr>
          <w:rFonts w:ascii="Times New Roman" w:eastAsia="Calibri" w:hAnsi="Times New Roman" w:cs="Times New Roman"/>
          <w:color w:val="4C4747"/>
          <w:spacing w:val="20"/>
          <w:sz w:val="24"/>
          <w:szCs w:val="24"/>
          <w:lang w:val="es-DO"/>
        </w:rPr>
      </w:pPr>
    </w:p>
    <w:p w14:paraId="1C9582CE" w14:textId="77777777" w:rsidR="00A408F8" w:rsidRPr="008C2B22" w:rsidRDefault="00A408F8" w:rsidP="00A75CDE">
      <w:pPr>
        <w:spacing w:line="360" w:lineRule="auto"/>
        <w:jc w:val="both"/>
        <w:rPr>
          <w:rFonts w:ascii="Times New Roman" w:eastAsia="Calibri" w:hAnsi="Times New Roman" w:cs="Times New Roman"/>
          <w:color w:val="4C4747"/>
          <w:spacing w:val="20"/>
          <w:sz w:val="24"/>
          <w:szCs w:val="24"/>
          <w:lang w:val="es-DO"/>
        </w:rPr>
      </w:pPr>
    </w:p>
    <w:p w14:paraId="2EC7DF7F" w14:textId="77777777" w:rsidR="00A408F8" w:rsidRPr="00C62BB6" w:rsidRDefault="00A408F8" w:rsidP="00A75CDE">
      <w:pPr>
        <w:spacing w:line="360" w:lineRule="auto"/>
        <w:jc w:val="both"/>
        <w:rPr>
          <w:rFonts w:ascii="Times New Roman" w:eastAsia="Calibri" w:hAnsi="Times New Roman" w:cs="Times New Roman"/>
          <w:color w:val="4C4747"/>
          <w:spacing w:val="20"/>
          <w:sz w:val="24"/>
          <w:szCs w:val="24"/>
          <w:lang w:val="es-DO"/>
        </w:rPr>
      </w:pPr>
    </w:p>
    <w:p w14:paraId="629E290F" w14:textId="77777777" w:rsidR="00F43708" w:rsidRPr="00C62BB6" w:rsidRDefault="00F43708" w:rsidP="00A75CDE">
      <w:pPr>
        <w:spacing w:line="360" w:lineRule="auto"/>
        <w:jc w:val="both"/>
        <w:rPr>
          <w:rFonts w:ascii="Times New Roman" w:eastAsia="Calibri" w:hAnsi="Times New Roman" w:cs="Times New Roman"/>
          <w:color w:val="4C4747"/>
          <w:spacing w:val="20"/>
          <w:sz w:val="24"/>
          <w:szCs w:val="24"/>
          <w:lang w:val="es-DO"/>
        </w:rPr>
      </w:pPr>
    </w:p>
    <w:tbl>
      <w:tblPr>
        <w:tblW w:w="8010" w:type="dxa"/>
        <w:tblInd w:w="-10" w:type="dxa"/>
        <w:shd w:val="clear" w:color="auto" w:fill="FFFFFF"/>
        <w:tblCellMar>
          <w:left w:w="0" w:type="dxa"/>
          <w:right w:w="0" w:type="dxa"/>
        </w:tblCellMar>
        <w:tblLook w:val="04A0" w:firstRow="1" w:lastRow="0" w:firstColumn="1" w:lastColumn="0" w:noHBand="0" w:noVBand="1"/>
      </w:tblPr>
      <w:tblGrid>
        <w:gridCol w:w="6096"/>
        <w:gridCol w:w="1914"/>
      </w:tblGrid>
      <w:tr w:rsidR="008860AC" w:rsidRPr="00376423" w14:paraId="34181FA6" w14:textId="77777777" w:rsidTr="00943FA5">
        <w:trPr>
          <w:trHeight w:val="565"/>
        </w:trPr>
        <w:tc>
          <w:tcPr>
            <w:tcW w:w="8010" w:type="dxa"/>
            <w:gridSpan w:val="2"/>
            <w:tcBorders>
              <w:top w:val="single" w:sz="8" w:space="0" w:color="auto"/>
              <w:left w:val="single" w:sz="8" w:space="0" w:color="auto"/>
              <w:bottom w:val="single" w:sz="8" w:space="0" w:color="auto"/>
              <w:right w:val="single" w:sz="8" w:space="0" w:color="auto"/>
            </w:tcBorders>
            <w:shd w:val="clear" w:color="auto" w:fill="002060"/>
            <w:tcMar>
              <w:top w:w="0" w:type="dxa"/>
              <w:left w:w="70" w:type="dxa"/>
              <w:bottom w:w="0" w:type="dxa"/>
              <w:right w:w="70" w:type="dxa"/>
            </w:tcMar>
            <w:vAlign w:val="center"/>
            <w:hideMark/>
          </w:tcPr>
          <w:p w14:paraId="41C4C075" w14:textId="77777777" w:rsidR="008860AC" w:rsidRPr="00C62BB6" w:rsidRDefault="008860AC" w:rsidP="00A75CDE">
            <w:pPr>
              <w:spacing w:line="360" w:lineRule="auto"/>
              <w:jc w:val="center"/>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lastRenderedPageBreak/>
              <w:t>Estadísticas de Mantenimientos de Infraestructura y Vehículos</w:t>
            </w:r>
          </w:p>
        </w:tc>
      </w:tr>
      <w:tr w:rsidR="008860AC" w:rsidRPr="00C62BB6" w14:paraId="2D476005" w14:textId="77777777" w:rsidTr="00430A3C">
        <w:trPr>
          <w:trHeight w:val="362"/>
        </w:trPr>
        <w:tc>
          <w:tcPr>
            <w:tcW w:w="609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1C82E04C" w14:textId="77777777" w:rsidR="008860AC" w:rsidRPr="00C62BB6" w:rsidRDefault="008860AC" w:rsidP="00A75CDE">
            <w:pPr>
              <w:spacing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Mantenimiento de vehículos</w:t>
            </w:r>
          </w:p>
        </w:tc>
        <w:tc>
          <w:tcPr>
            <w:tcW w:w="191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63E397E7" w14:textId="77777777" w:rsidR="008860AC" w:rsidRPr="00C62BB6" w:rsidRDefault="008860AC" w:rsidP="00A75CDE">
            <w:pPr>
              <w:spacing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124</w:t>
            </w:r>
          </w:p>
        </w:tc>
      </w:tr>
      <w:tr w:rsidR="008860AC" w:rsidRPr="00C62BB6" w14:paraId="06E2DD48" w14:textId="77777777" w:rsidTr="00430A3C">
        <w:trPr>
          <w:trHeight w:val="362"/>
        </w:trPr>
        <w:tc>
          <w:tcPr>
            <w:tcW w:w="609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263B7742" w14:textId="77777777" w:rsidR="008860AC" w:rsidRPr="00C62BB6" w:rsidRDefault="008860AC" w:rsidP="00A75CDE">
            <w:pPr>
              <w:spacing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Mantenimiento de infraestructura</w:t>
            </w:r>
          </w:p>
        </w:tc>
        <w:tc>
          <w:tcPr>
            <w:tcW w:w="191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525AF7D7" w14:textId="77777777" w:rsidR="008860AC" w:rsidRPr="00C62BB6" w:rsidRDefault="008860AC" w:rsidP="00A75CDE">
            <w:pPr>
              <w:spacing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234</w:t>
            </w:r>
          </w:p>
        </w:tc>
      </w:tr>
      <w:tr w:rsidR="008860AC" w:rsidRPr="00C62BB6" w14:paraId="3B2A9888" w14:textId="77777777" w:rsidTr="00430A3C">
        <w:trPr>
          <w:trHeight w:val="362"/>
        </w:trPr>
        <w:tc>
          <w:tcPr>
            <w:tcW w:w="609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484FD565" w14:textId="77777777" w:rsidR="008860AC" w:rsidRPr="00C62BB6" w:rsidRDefault="008860AC" w:rsidP="00A75CDE">
            <w:pPr>
              <w:spacing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Mantenimiento aires acondicionados</w:t>
            </w:r>
          </w:p>
        </w:tc>
        <w:tc>
          <w:tcPr>
            <w:tcW w:w="191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39BA4D0C" w14:textId="77777777" w:rsidR="008860AC" w:rsidRPr="00C62BB6" w:rsidRDefault="008860AC" w:rsidP="00A75CDE">
            <w:pPr>
              <w:spacing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81</w:t>
            </w:r>
          </w:p>
        </w:tc>
      </w:tr>
      <w:tr w:rsidR="008860AC" w:rsidRPr="00C62BB6" w14:paraId="3FE34D8D" w14:textId="77777777" w:rsidTr="00430A3C">
        <w:trPr>
          <w:trHeight w:val="362"/>
        </w:trPr>
        <w:tc>
          <w:tcPr>
            <w:tcW w:w="6096" w:type="dxa"/>
            <w:tcBorders>
              <w:top w:val="nil"/>
              <w:left w:val="single" w:sz="8" w:space="0" w:color="auto"/>
              <w:bottom w:val="single" w:sz="8" w:space="0" w:color="auto"/>
              <w:right w:val="single" w:sz="8" w:space="0" w:color="auto"/>
            </w:tcBorders>
            <w:shd w:val="clear" w:color="auto" w:fill="FFFFFF"/>
            <w:tcMar>
              <w:top w:w="0" w:type="dxa"/>
              <w:left w:w="70" w:type="dxa"/>
              <w:bottom w:w="0" w:type="dxa"/>
              <w:right w:w="70" w:type="dxa"/>
            </w:tcMar>
            <w:vAlign w:val="center"/>
            <w:hideMark/>
          </w:tcPr>
          <w:p w14:paraId="6C2A64B5" w14:textId="77777777" w:rsidR="008860AC" w:rsidRPr="00C62BB6" w:rsidRDefault="008860AC" w:rsidP="00A75CDE">
            <w:pPr>
              <w:spacing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Fumigación control de plagas y desinfección</w:t>
            </w:r>
          </w:p>
        </w:tc>
        <w:tc>
          <w:tcPr>
            <w:tcW w:w="1914" w:type="dxa"/>
            <w:tcBorders>
              <w:top w:val="nil"/>
              <w:left w:val="nil"/>
              <w:bottom w:val="single" w:sz="8" w:space="0" w:color="auto"/>
              <w:right w:val="single" w:sz="8" w:space="0" w:color="auto"/>
            </w:tcBorders>
            <w:shd w:val="clear" w:color="auto" w:fill="FFFFFF"/>
            <w:tcMar>
              <w:top w:w="0" w:type="dxa"/>
              <w:left w:w="70" w:type="dxa"/>
              <w:bottom w:w="0" w:type="dxa"/>
              <w:right w:w="70" w:type="dxa"/>
            </w:tcMar>
            <w:vAlign w:val="center"/>
          </w:tcPr>
          <w:p w14:paraId="316662A6" w14:textId="77777777" w:rsidR="008860AC" w:rsidRPr="00C62BB6" w:rsidRDefault="008860AC" w:rsidP="00A75CDE">
            <w:pPr>
              <w:spacing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24</w:t>
            </w:r>
          </w:p>
        </w:tc>
      </w:tr>
    </w:tbl>
    <w:p w14:paraId="6899FE49" w14:textId="2735FE6C" w:rsidR="00F43708" w:rsidRPr="00C62BB6" w:rsidRDefault="008860AC" w:rsidP="00A75CDE">
      <w:pPr>
        <w:spacing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Dirección Administrativa</w:t>
      </w:r>
    </w:p>
    <w:p w14:paraId="406DDA3C"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515A1147"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0755B6B3"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7E4EA5B3"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2A37B878"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36AC918F"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1558FD1C"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11F2CCB4" w14:textId="77777777" w:rsidR="00A75CDE" w:rsidRPr="00C62BB6" w:rsidRDefault="00A75CDE" w:rsidP="00A75CDE">
      <w:pPr>
        <w:spacing w:line="360" w:lineRule="auto"/>
        <w:jc w:val="both"/>
        <w:rPr>
          <w:rFonts w:ascii="Times New Roman" w:eastAsia="Calibri" w:hAnsi="Times New Roman" w:cs="Times New Roman"/>
          <w:color w:val="4C4747"/>
          <w:spacing w:val="20"/>
          <w:sz w:val="18"/>
          <w:szCs w:val="24"/>
          <w:lang w:val="es-DO"/>
        </w:rPr>
      </w:pPr>
    </w:p>
    <w:p w14:paraId="2AA3CB57"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68BC9A0D"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266ECF93"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041DEEA2"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0B58611F"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58929270"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0A08CB07"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0E617415" w14:textId="77777777" w:rsid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4BAF075F" w14:textId="77777777" w:rsidR="00A75CDE" w:rsidRPr="00A75CDE" w:rsidRDefault="00A75CDE" w:rsidP="00A75CDE">
      <w:pPr>
        <w:spacing w:line="360" w:lineRule="auto"/>
        <w:jc w:val="both"/>
        <w:rPr>
          <w:rFonts w:ascii="Times New Roman" w:eastAsia="Calibri" w:hAnsi="Times New Roman" w:cs="Times New Roman"/>
          <w:color w:val="767171"/>
          <w:spacing w:val="20"/>
          <w:sz w:val="18"/>
          <w:szCs w:val="24"/>
          <w:lang w:val="es-DO"/>
        </w:rPr>
      </w:pPr>
    </w:p>
    <w:p w14:paraId="3EBB0B1B" w14:textId="77777777" w:rsidR="00A75CDE" w:rsidRDefault="00A75CDE" w:rsidP="00A75CDE">
      <w:pPr>
        <w:rPr>
          <w:lang w:val="es-DO"/>
        </w:rPr>
      </w:pPr>
    </w:p>
    <w:p w14:paraId="28A5D72A" w14:textId="77777777" w:rsidR="00A75CDE" w:rsidRPr="00A75CDE" w:rsidRDefault="00A75CDE" w:rsidP="00A75CDE">
      <w:pPr>
        <w:rPr>
          <w:lang w:val="es-DO"/>
        </w:rPr>
      </w:pPr>
    </w:p>
    <w:p w14:paraId="72245016" w14:textId="473D2C92" w:rsidR="00A71A82" w:rsidRPr="005A11A8" w:rsidRDefault="006D62FE" w:rsidP="00A75CDE">
      <w:pPr>
        <w:pStyle w:val="Ttulo4"/>
        <w:rPr>
          <w:rFonts w:ascii="Times New Roman" w:hAnsi="Times New Roman" w:cs="Times New Roman"/>
          <w:b/>
          <w:i w:val="0"/>
          <w:color w:val="4C4747"/>
          <w:sz w:val="24"/>
          <w:szCs w:val="24"/>
          <w:lang w:val="es-DO" w:eastAsia="es-DO"/>
        </w:rPr>
      </w:pPr>
      <w:r w:rsidRPr="005A11A8">
        <w:rPr>
          <w:rFonts w:ascii="Times New Roman" w:hAnsi="Times New Roman" w:cs="Times New Roman"/>
          <w:b/>
          <w:i w:val="0"/>
          <w:color w:val="4C4747"/>
          <w:sz w:val="24"/>
          <w:szCs w:val="24"/>
          <w:lang w:val="es-DO" w:eastAsia="es-DO"/>
        </w:rPr>
        <w:lastRenderedPageBreak/>
        <w:t xml:space="preserve">4.1.2 </w:t>
      </w:r>
      <w:r w:rsidR="00A71A82" w:rsidRPr="005A11A8">
        <w:rPr>
          <w:rFonts w:ascii="Times New Roman" w:hAnsi="Times New Roman" w:cs="Times New Roman"/>
          <w:b/>
          <w:i w:val="0"/>
          <w:color w:val="4C4747"/>
          <w:sz w:val="24"/>
          <w:szCs w:val="24"/>
          <w:lang w:val="es-DO" w:eastAsia="es-DO"/>
        </w:rPr>
        <w:t>Desempeño Financiero</w:t>
      </w:r>
    </w:p>
    <w:p w14:paraId="2910508C" w14:textId="77777777" w:rsidR="006E78AD" w:rsidRPr="008E6046" w:rsidRDefault="006E78AD" w:rsidP="006E78AD">
      <w:pPr>
        <w:rPr>
          <w:lang w:val="es-DO" w:eastAsia="es-DO"/>
        </w:rPr>
      </w:pPr>
    </w:p>
    <w:p w14:paraId="0BBD2D55" w14:textId="2DD902D2" w:rsidR="00A408F8" w:rsidRPr="00C62BB6" w:rsidRDefault="00A408F8" w:rsidP="00A408F8">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Recaudaciones</w:t>
      </w:r>
    </w:p>
    <w:p w14:paraId="7380CB4D" w14:textId="77777777" w:rsidR="00A408F8" w:rsidRPr="00C62BB6" w:rsidRDefault="00A408F8" w:rsidP="00A408F8">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Contribución al Desarrollo de las Telecomunicaciones (CDT)</w:t>
      </w:r>
    </w:p>
    <w:p w14:paraId="2F04365F" w14:textId="77777777" w:rsidR="00A408F8" w:rsidRPr="00C62BB6" w:rsidRDefault="00A408F8" w:rsidP="00A408F8">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 monto acumulado de las recaudaciones por concepto de la Contribución al Desarrollo de las Telecomunicaciones (CDT) en el periodo enero-noviembre de 2022 fue por la suma de Mil Seiscientos Diez Millones Trescientos Cincuenta y Tres Mil Quinientos Ochenta y Seis Pesos Dominicanos con 24/100 (DOP1,610,353,586.24). En este periodo se recibieron 2,470 pagos de un total de 2,585 para un average de cumplimiento preliminar del 96%.</w:t>
      </w:r>
    </w:p>
    <w:p w14:paraId="4FA6957B" w14:textId="77777777" w:rsidR="00A408F8" w:rsidRPr="00C62BB6" w:rsidRDefault="00A408F8" w:rsidP="00A408F8">
      <w:pPr>
        <w:spacing w:after="100" w:afterAutospacing="1" w:line="360" w:lineRule="auto"/>
        <w:jc w:val="both"/>
        <w:rPr>
          <w:noProof/>
          <w:color w:val="4C4747"/>
        </w:rPr>
      </w:pPr>
      <w:r w:rsidRPr="00C62BB6">
        <w:rPr>
          <w:noProof/>
          <w:color w:val="4C4747"/>
        </w:rPr>
        <w:drawing>
          <wp:inline distT="0" distB="0" distL="0" distR="0" wp14:anchorId="4A8ACD56" wp14:editId="26593934">
            <wp:extent cx="5019675" cy="2143125"/>
            <wp:effectExtent l="0" t="0" r="9525" b="9525"/>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019675" cy="2143125"/>
                    </a:xfrm>
                    <a:prstGeom prst="rect">
                      <a:avLst/>
                    </a:prstGeom>
                    <a:noFill/>
                    <a:ln>
                      <a:noFill/>
                    </a:ln>
                  </pic:spPr>
                </pic:pic>
              </a:graphicData>
            </a:graphic>
          </wp:inline>
        </w:drawing>
      </w:r>
    </w:p>
    <w:p w14:paraId="4DF58308" w14:textId="77777777" w:rsidR="00162A8A" w:rsidRPr="00C62BB6" w:rsidRDefault="00162A8A" w:rsidP="00162A8A">
      <w:pPr>
        <w:spacing w:after="100" w:afterAutospacing="1" w:line="36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Departamento de Recaudaciones</w:t>
      </w:r>
    </w:p>
    <w:p w14:paraId="0ED9A0AB" w14:textId="77777777" w:rsidR="00162A8A" w:rsidRPr="00C62BB6" w:rsidRDefault="00162A8A" w:rsidP="00A408F8">
      <w:pPr>
        <w:spacing w:after="100" w:afterAutospacing="1" w:line="360" w:lineRule="auto"/>
        <w:jc w:val="both"/>
        <w:rPr>
          <w:noProof/>
          <w:color w:val="4C4747"/>
        </w:rPr>
      </w:pPr>
    </w:p>
    <w:p w14:paraId="44C167A6" w14:textId="77777777" w:rsidR="00A408F8" w:rsidRPr="00C62BB6" w:rsidRDefault="00A408F8" w:rsidP="00A408F8">
      <w:pPr>
        <w:spacing w:after="100" w:afterAutospacing="1" w:line="360" w:lineRule="auto"/>
        <w:jc w:val="center"/>
        <w:rPr>
          <w:noProof/>
          <w:color w:val="4C4747"/>
        </w:rPr>
      </w:pPr>
      <w:r w:rsidRPr="00C62BB6">
        <w:rPr>
          <w:noProof/>
          <w:color w:val="4C4747"/>
        </w:rPr>
        <w:lastRenderedPageBreak/>
        <w:drawing>
          <wp:inline distT="0" distB="0" distL="0" distR="0" wp14:anchorId="36CBEC52" wp14:editId="1CB9A626">
            <wp:extent cx="4568825" cy="2740025"/>
            <wp:effectExtent l="0" t="0" r="3175" b="3175"/>
            <wp:docPr id="3" name="Gráfico 3"/>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30B1FDD2" w14:textId="7217BE29" w:rsidR="00A408F8" w:rsidRPr="00C62BB6" w:rsidRDefault="00A408F8" w:rsidP="00A408F8">
      <w:pPr>
        <w:spacing w:after="100" w:afterAutospacing="1" w:line="36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Departamento de Recaudaciones</w:t>
      </w:r>
    </w:p>
    <w:p w14:paraId="71BB56DE" w14:textId="13E72CAC" w:rsidR="00A408F8" w:rsidRPr="008C2B22" w:rsidRDefault="00A408F8" w:rsidP="00A408F8">
      <w:pPr>
        <w:tabs>
          <w:tab w:val="left" w:pos="0"/>
        </w:tabs>
        <w:spacing w:line="360" w:lineRule="auto"/>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Derecho a Uso (DU) del Espectro Radioeléctrico</w:t>
      </w:r>
    </w:p>
    <w:p w14:paraId="353737DC" w14:textId="7E916CBF" w:rsidR="00A408F8" w:rsidRPr="008C2B22" w:rsidRDefault="00A408F8" w:rsidP="00A408F8">
      <w:pPr>
        <w:tabs>
          <w:tab w:val="left" w:pos="0"/>
        </w:tabs>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El monto de las cobranzas del Derecho a Uso (DU) del espectro radioeléctrico en el pe</w:t>
      </w:r>
      <w:r w:rsidR="00EA105F" w:rsidRPr="008C2B22">
        <w:rPr>
          <w:rFonts w:ascii="Times New Roman" w:eastAsia="Calibri" w:hAnsi="Times New Roman" w:cs="Times New Roman"/>
          <w:color w:val="4C4747"/>
          <w:spacing w:val="20"/>
          <w:sz w:val="24"/>
          <w:szCs w:val="24"/>
          <w:lang w:val="es-DO"/>
        </w:rPr>
        <w:t>riodo enero-noviembre de 2022 fue</w:t>
      </w:r>
      <w:r w:rsidRPr="008C2B22">
        <w:rPr>
          <w:rFonts w:ascii="Times New Roman" w:eastAsia="Calibri" w:hAnsi="Times New Roman" w:cs="Times New Roman"/>
          <w:color w:val="4C4747"/>
          <w:spacing w:val="20"/>
          <w:sz w:val="24"/>
          <w:szCs w:val="24"/>
          <w:lang w:val="es-DO"/>
        </w:rPr>
        <w:t xml:space="preserve"> por la suma de Doscientos Diecisiete Millones Veintiún Mil Doscientos Cincuenta y Ocho Pesos Dominicanos con 74/100 (DOP217,021,258.74), para un 67% del monto total emitido en las órdenes de pago correspondientes al año 2022, el cual asciende a la suma total de Trescientos Veintiséis Millones Trescientos Sesenta y Tres Mil Quinientos Setenta y Un Pesos Dominicanos con 77/100 (RD$326,363,571.77). Igualmente, se recuperaron montos de DU de los años 2009-2021 por la suma de Cincuenta y Un Millones Seiscientos Diecinueve Mil Quinientos Veinticinco Pesos Dominicanos con 04/100 (RD$51,619,525.04), para una recaudación total en el periodo enero-noviembre de 2022 de Doscientos Sesenta y Ocho Millones Seiscientos Cuarenta Mil Setecientos Ochenta y Tres Pesos Dominicanos con 78/100 (DOP268,640,783.78).</w:t>
      </w:r>
    </w:p>
    <w:p w14:paraId="11D92C32" w14:textId="0119D0E8" w:rsidR="00A408F8" w:rsidRPr="008C2B22" w:rsidRDefault="00A408F8" w:rsidP="00A408F8">
      <w:pPr>
        <w:tabs>
          <w:tab w:val="left" w:pos="0"/>
        </w:tabs>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lastRenderedPageBreak/>
        <w:t>Cabe destacar que la emisión del DU es anual y las órdenes de pago se generan en el primer trimestre y la mayor parte se cobra en el primer semestre del año.</w:t>
      </w:r>
    </w:p>
    <w:p w14:paraId="53812AA4" w14:textId="57B163D6" w:rsidR="00A408F8" w:rsidRPr="008C2B22" w:rsidRDefault="00A408F8" w:rsidP="00A408F8">
      <w:pPr>
        <w:tabs>
          <w:tab w:val="left" w:pos="0"/>
        </w:tabs>
        <w:spacing w:line="360" w:lineRule="auto"/>
        <w:jc w:val="both"/>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Tasas por procesamiento o de servicios</w:t>
      </w:r>
    </w:p>
    <w:p w14:paraId="1D4DC36D" w14:textId="1F4C38E3" w:rsidR="00A408F8" w:rsidRPr="008C2B22" w:rsidRDefault="00A408F8" w:rsidP="00A408F8">
      <w:pPr>
        <w:tabs>
          <w:tab w:val="left" w:pos="0"/>
        </w:tabs>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De acuerdo a las Resoluciones números 036-15 y 070-18 que fijan tasas por procesamiento de servicios ante el INDOTEL, en el periodo enero-noviembre de 2022 se recaudó la suma de Setecientos Veintiocho Millones Ciento Nueve Mil Trescientos Treinta y Cuatro Pesos Dominicanos con 35/100 (RD$728,109,334.35).</w:t>
      </w:r>
    </w:p>
    <w:p w14:paraId="62F53193" w14:textId="119FBB9E" w:rsidR="00A408F8" w:rsidRPr="008C2B22" w:rsidRDefault="00A408F8" w:rsidP="00A408F8">
      <w:pPr>
        <w:tabs>
          <w:tab w:val="left" w:pos="0"/>
        </w:tabs>
        <w:spacing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Las recaudaciones por concepto de CDT/DU/TASAS x SERVICIOS para el periodo enero-noviembre de 2022 fueron por la suma de Dos Mil Doscientos Treinta y Seis Millones Cuatrocientos Cuarenta y Ocho Mil Setecientos Trece Pesos Dominicanos con 96/100 (DOP2,607,103,704.37).</w:t>
      </w:r>
    </w:p>
    <w:p w14:paraId="2292845B" w14:textId="77777777" w:rsidR="00A408F8" w:rsidRPr="008C2B22" w:rsidRDefault="00A408F8" w:rsidP="00A408F8">
      <w:pPr>
        <w:tabs>
          <w:tab w:val="left" w:pos="0"/>
        </w:tabs>
        <w:spacing w:line="360" w:lineRule="auto"/>
        <w:rPr>
          <w:rFonts w:ascii="Times New Roman" w:eastAsia="Calibri" w:hAnsi="Times New Roman" w:cs="Times New Roman"/>
          <w:b/>
          <w:color w:val="4C4747"/>
          <w:spacing w:val="20"/>
          <w:sz w:val="24"/>
          <w:szCs w:val="24"/>
          <w:lang w:val="es-DO"/>
        </w:rPr>
      </w:pPr>
    </w:p>
    <w:p w14:paraId="737BB715" w14:textId="25074298" w:rsidR="00A408F8" w:rsidRPr="008C2B22" w:rsidRDefault="00A408F8" w:rsidP="00A408F8">
      <w:pPr>
        <w:tabs>
          <w:tab w:val="left" w:pos="0"/>
        </w:tabs>
        <w:spacing w:line="360" w:lineRule="auto"/>
        <w:rPr>
          <w:rFonts w:ascii="Times New Roman" w:eastAsia="Calibri" w:hAnsi="Times New Roman" w:cs="Times New Roman"/>
          <w:b/>
          <w:color w:val="4C4747"/>
          <w:spacing w:val="20"/>
          <w:sz w:val="24"/>
          <w:szCs w:val="24"/>
          <w:lang w:val="es-DO"/>
        </w:rPr>
      </w:pPr>
      <w:r w:rsidRPr="008C2B22">
        <w:rPr>
          <w:rFonts w:ascii="Times New Roman" w:eastAsia="Calibri" w:hAnsi="Times New Roman" w:cs="Times New Roman"/>
          <w:b/>
          <w:color w:val="4C4747"/>
          <w:spacing w:val="20"/>
          <w:sz w:val="24"/>
          <w:szCs w:val="24"/>
          <w:lang w:val="es-DO"/>
        </w:rPr>
        <w:t>Estados financieros</w:t>
      </w:r>
    </w:p>
    <w:p w14:paraId="6C2B82EF" w14:textId="77777777" w:rsidR="00A408F8" w:rsidRPr="008C2B22" w:rsidRDefault="00A408F8" w:rsidP="00A408F8">
      <w:pPr>
        <w:spacing w:before="240" w:line="360" w:lineRule="auto"/>
        <w:jc w:val="both"/>
        <w:rPr>
          <w:rFonts w:ascii="Times New Roman" w:eastAsia="Calibri" w:hAnsi="Times New Roman" w:cs="Times New Roman"/>
          <w:color w:val="4C4747"/>
          <w:spacing w:val="20"/>
          <w:sz w:val="24"/>
          <w:szCs w:val="24"/>
          <w:lang w:val="es-DO"/>
        </w:rPr>
      </w:pPr>
      <w:r w:rsidRPr="008C2B22">
        <w:rPr>
          <w:rFonts w:ascii="Times New Roman" w:eastAsia="Calibri" w:hAnsi="Times New Roman" w:cs="Times New Roman"/>
          <w:color w:val="4C4747"/>
          <w:spacing w:val="20"/>
          <w:sz w:val="24"/>
          <w:szCs w:val="24"/>
          <w:lang w:val="es-DO"/>
        </w:rPr>
        <w:t>A continuación una presentación de los Estados Financieros:</w:t>
      </w:r>
    </w:p>
    <w:p w14:paraId="5C4AF0A6" w14:textId="3C708097" w:rsidR="00A408F8" w:rsidRPr="00A408F8" w:rsidRDefault="00A408F8" w:rsidP="00A408F8">
      <w:pPr>
        <w:spacing w:before="240" w:line="360" w:lineRule="auto"/>
        <w:jc w:val="both"/>
        <w:rPr>
          <w:b/>
          <w:bCs/>
          <w:color w:val="767171"/>
          <w:lang w:val="es-DO"/>
        </w:rPr>
      </w:pPr>
      <w:r w:rsidRPr="00A408F8">
        <w:rPr>
          <w:noProof/>
        </w:rPr>
        <w:lastRenderedPageBreak/>
        <w:drawing>
          <wp:inline distT="0" distB="0" distL="0" distR="0" wp14:anchorId="4D895686" wp14:editId="1C608B73">
            <wp:extent cx="5029200" cy="6981100"/>
            <wp:effectExtent l="0" t="0" r="0" b="0"/>
            <wp:docPr id="37" name="Imagen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029200" cy="6981100"/>
                    </a:xfrm>
                    <a:prstGeom prst="rect">
                      <a:avLst/>
                    </a:prstGeom>
                    <a:noFill/>
                    <a:ln>
                      <a:noFill/>
                    </a:ln>
                  </pic:spPr>
                </pic:pic>
              </a:graphicData>
            </a:graphic>
          </wp:inline>
        </w:drawing>
      </w:r>
    </w:p>
    <w:p w14:paraId="69B3A11F" w14:textId="77777777" w:rsidR="00A408F8" w:rsidRDefault="00A408F8" w:rsidP="00A408F8">
      <w:pPr>
        <w:spacing w:before="240" w:line="360" w:lineRule="auto"/>
        <w:jc w:val="both"/>
        <w:rPr>
          <w:b/>
          <w:bCs/>
          <w:color w:val="767171"/>
        </w:rPr>
      </w:pPr>
    </w:p>
    <w:p w14:paraId="2B390625" w14:textId="77777777" w:rsidR="00A408F8" w:rsidRDefault="00A408F8" w:rsidP="00A408F8">
      <w:pPr>
        <w:spacing w:before="240" w:line="360" w:lineRule="auto"/>
        <w:jc w:val="both"/>
        <w:rPr>
          <w:color w:val="767171"/>
        </w:rPr>
      </w:pPr>
    </w:p>
    <w:p w14:paraId="45AD71CA" w14:textId="2E0532AA" w:rsidR="00A408F8" w:rsidRDefault="00A408F8" w:rsidP="00A408F8">
      <w:pPr>
        <w:spacing w:before="240" w:line="360" w:lineRule="auto"/>
        <w:jc w:val="both"/>
        <w:rPr>
          <w:color w:val="767171"/>
        </w:rPr>
      </w:pPr>
      <w:r w:rsidRPr="00A408F8">
        <w:rPr>
          <w:noProof/>
        </w:rPr>
        <w:lastRenderedPageBreak/>
        <w:drawing>
          <wp:inline distT="0" distB="0" distL="0" distR="0" wp14:anchorId="3F3753D1" wp14:editId="5E3CA910">
            <wp:extent cx="5029200" cy="7089521"/>
            <wp:effectExtent l="0" t="0" r="0" b="0"/>
            <wp:docPr id="38" name="Imagen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5029200" cy="7089521"/>
                    </a:xfrm>
                    <a:prstGeom prst="rect">
                      <a:avLst/>
                    </a:prstGeom>
                    <a:noFill/>
                    <a:ln>
                      <a:noFill/>
                    </a:ln>
                  </pic:spPr>
                </pic:pic>
              </a:graphicData>
            </a:graphic>
          </wp:inline>
        </w:drawing>
      </w:r>
    </w:p>
    <w:p w14:paraId="29F31CA3" w14:textId="77777777" w:rsidR="00A408F8" w:rsidRDefault="00A408F8" w:rsidP="00A408F8"/>
    <w:p w14:paraId="6E9E7347" w14:textId="77777777" w:rsidR="00A408F8" w:rsidRDefault="00A408F8" w:rsidP="00A408F8"/>
    <w:p w14:paraId="4FB9515F" w14:textId="77777777" w:rsidR="00A408F8" w:rsidRDefault="00A408F8" w:rsidP="00A408F8"/>
    <w:p w14:paraId="1373769E" w14:textId="4110F90C" w:rsidR="00A408F8" w:rsidRPr="00A408F8" w:rsidRDefault="008C2B22" w:rsidP="008B4370">
      <w:pPr>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lastRenderedPageBreak/>
        <w:t>A c</w:t>
      </w:r>
      <w:r w:rsidR="00A408F8" w:rsidRPr="00A408F8">
        <w:rPr>
          <w:rFonts w:ascii="Times New Roman" w:eastAsia="Calibri" w:hAnsi="Times New Roman" w:cs="Times New Roman"/>
          <w:color w:val="4C4747"/>
          <w:spacing w:val="20"/>
          <w:sz w:val="24"/>
          <w:szCs w:val="24"/>
          <w:lang w:val="es-DO"/>
        </w:rPr>
        <w:t>ontinuación presentamos un detalle por antigüedad de saldos de las cuentas por pagar al 30 de Noviembre del 2022:</w:t>
      </w:r>
    </w:p>
    <w:p w14:paraId="4F9A3B5A" w14:textId="3E20E6C4" w:rsidR="00A408F8" w:rsidRPr="00A408F8" w:rsidRDefault="00A408F8" w:rsidP="00A408F8">
      <w:pPr>
        <w:rPr>
          <w:lang w:val="es-DO"/>
        </w:rPr>
      </w:pPr>
      <w:r w:rsidRPr="00A408F8">
        <w:rPr>
          <w:noProof/>
        </w:rPr>
        <w:drawing>
          <wp:inline distT="0" distB="0" distL="0" distR="0" wp14:anchorId="5D0CBC98" wp14:editId="2B5C98CA">
            <wp:extent cx="5029200" cy="6838944"/>
            <wp:effectExtent l="0" t="0" r="0" b="635"/>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029200" cy="6838944"/>
                    </a:xfrm>
                    <a:prstGeom prst="rect">
                      <a:avLst/>
                    </a:prstGeom>
                    <a:noFill/>
                    <a:ln>
                      <a:noFill/>
                    </a:ln>
                  </pic:spPr>
                </pic:pic>
              </a:graphicData>
            </a:graphic>
          </wp:inline>
        </w:drawing>
      </w:r>
    </w:p>
    <w:p w14:paraId="6AE3CF1F" w14:textId="77777777" w:rsidR="00A408F8" w:rsidRPr="00A408F8" w:rsidRDefault="00A408F8" w:rsidP="00A408F8">
      <w:pPr>
        <w:rPr>
          <w:lang w:val="es-DO"/>
        </w:rPr>
      </w:pPr>
    </w:p>
    <w:p w14:paraId="7088FFA0" w14:textId="77777777" w:rsidR="0099268C" w:rsidRPr="00943FA5" w:rsidRDefault="0099268C" w:rsidP="00A71A82">
      <w:pPr>
        <w:spacing w:line="360" w:lineRule="auto"/>
        <w:jc w:val="both"/>
        <w:rPr>
          <w:rFonts w:ascii="Times New Roman" w:eastAsia="Calibri" w:hAnsi="Times New Roman" w:cs="Times New Roman"/>
          <w:color w:val="FF0000"/>
          <w:spacing w:val="20"/>
          <w:sz w:val="24"/>
          <w:szCs w:val="24"/>
          <w:lang w:val="es-DO"/>
        </w:rPr>
      </w:pPr>
    </w:p>
    <w:p w14:paraId="085F6F22" w14:textId="0CD75E0B" w:rsidR="00A75CDE" w:rsidRPr="005A11A8" w:rsidRDefault="00A75CDE" w:rsidP="00A02BDE">
      <w:pPr>
        <w:pStyle w:val="Ttulo3"/>
        <w:numPr>
          <w:ilvl w:val="1"/>
          <w:numId w:val="5"/>
        </w:numPr>
        <w:tabs>
          <w:tab w:val="left" w:pos="360"/>
        </w:tabs>
        <w:ind w:left="360"/>
        <w:rPr>
          <w:rFonts w:ascii="Times New Roman" w:hAnsi="Times New Roman" w:cs="Times New Roman"/>
          <w:b/>
          <w:color w:val="4C4747"/>
          <w:lang w:val="es-DO" w:eastAsia="es-DO"/>
        </w:rPr>
      </w:pPr>
      <w:bookmarkStart w:id="23" w:name="_Toc122425244"/>
      <w:r w:rsidRPr="005A11A8">
        <w:rPr>
          <w:rFonts w:ascii="Times New Roman" w:hAnsi="Times New Roman" w:cs="Times New Roman"/>
          <w:b/>
          <w:color w:val="4C4747"/>
          <w:lang w:val="es-DO" w:eastAsia="es-DO"/>
        </w:rPr>
        <w:lastRenderedPageBreak/>
        <w:t>Desempeño de los Recursos Humanos</w:t>
      </w:r>
      <w:bookmarkEnd w:id="23"/>
    </w:p>
    <w:p w14:paraId="7A759B65" w14:textId="77777777" w:rsidR="00A75CDE" w:rsidRPr="005A11A8" w:rsidRDefault="00A75CDE" w:rsidP="00A75CDE">
      <w:pPr>
        <w:pStyle w:val="Prrafodelista"/>
        <w:rPr>
          <w:color w:val="4C4747"/>
          <w:lang w:val="es-DO" w:eastAsia="es-DO"/>
        </w:rPr>
      </w:pPr>
    </w:p>
    <w:p w14:paraId="6B5931CC" w14:textId="77777777" w:rsidR="0070741E" w:rsidRPr="005A11A8" w:rsidRDefault="0070741E" w:rsidP="0070741E">
      <w:pPr>
        <w:spacing w:line="360" w:lineRule="auto"/>
        <w:jc w:val="both"/>
        <w:rPr>
          <w:rFonts w:ascii="Times New Roman" w:eastAsia="Calibri" w:hAnsi="Times New Roman" w:cs="Times New Roman"/>
          <w:b/>
          <w:color w:val="4C4747"/>
          <w:spacing w:val="20"/>
          <w:sz w:val="24"/>
          <w:szCs w:val="24"/>
          <w:lang w:val="es-DO"/>
        </w:rPr>
      </w:pPr>
      <w:r w:rsidRPr="005A11A8">
        <w:rPr>
          <w:rFonts w:ascii="Times New Roman" w:eastAsia="Calibri" w:hAnsi="Times New Roman" w:cs="Times New Roman"/>
          <w:b/>
          <w:color w:val="4C4747"/>
          <w:spacing w:val="20"/>
          <w:sz w:val="24"/>
          <w:szCs w:val="24"/>
          <w:lang w:val="es-DO"/>
        </w:rPr>
        <w:t>Administración del Talento Humano</w:t>
      </w:r>
    </w:p>
    <w:p w14:paraId="617410D5" w14:textId="77777777" w:rsidR="00C356F0" w:rsidRPr="005A11A8" w:rsidRDefault="00C356F0">
      <w:pPr>
        <w:spacing w:line="360" w:lineRule="auto"/>
        <w:jc w:val="both"/>
        <w:rPr>
          <w:rFonts w:ascii="Times New Roman" w:eastAsia="Calibri" w:hAnsi="Times New Roman" w:cs="Times New Roman"/>
          <w:b/>
          <w:color w:val="4C4747"/>
          <w:spacing w:val="20"/>
          <w:sz w:val="24"/>
          <w:szCs w:val="24"/>
          <w:lang w:val="es-DO"/>
        </w:rPr>
      </w:pPr>
      <w:r w:rsidRPr="005A11A8">
        <w:rPr>
          <w:rFonts w:ascii="Times New Roman" w:eastAsia="Calibri" w:hAnsi="Times New Roman" w:cs="Times New Roman"/>
          <w:b/>
          <w:color w:val="4C4747"/>
          <w:spacing w:val="20"/>
          <w:sz w:val="24"/>
          <w:szCs w:val="24"/>
          <w:lang w:val="es-DO"/>
        </w:rPr>
        <w:t xml:space="preserve">Clima Laboral/Voluntariado y Responsabilidad Social </w:t>
      </w:r>
    </w:p>
    <w:p w14:paraId="6E856517" w14:textId="21A7B235" w:rsidR="00C356F0" w:rsidRPr="00A4233F" w:rsidRDefault="00C356F0" w:rsidP="00F43708">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El INDOTEL a partir de </w:t>
      </w:r>
      <w:r w:rsidR="00E135ED" w:rsidRPr="00A4233F">
        <w:rPr>
          <w:rFonts w:ascii="Times New Roman" w:eastAsia="Calibri" w:hAnsi="Times New Roman" w:cs="Times New Roman"/>
          <w:color w:val="4C4747"/>
          <w:spacing w:val="20"/>
          <w:sz w:val="24"/>
          <w:szCs w:val="24"/>
          <w:lang w:val="es-DO"/>
        </w:rPr>
        <w:t xml:space="preserve">la </w:t>
      </w:r>
      <w:r w:rsidRPr="00A4233F">
        <w:rPr>
          <w:rFonts w:ascii="Times New Roman" w:eastAsia="Calibri" w:hAnsi="Times New Roman" w:cs="Times New Roman"/>
          <w:color w:val="4C4747"/>
          <w:spacing w:val="20"/>
          <w:sz w:val="24"/>
          <w:szCs w:val="24"/>
          <w:lang w:val="es-DO"/>
        </w:rPr>
        <w:t>administración de los recursos humanos tiene como compromiso gestionar los valores de los colaboradores de forma estratégica, con el objetivo de mejorar la identificación de los mismos con la misión de la institución. </w:t>
      </w:r>
      <w:r w:rsidR="00F43708" w:rsidRPr="00A4233F">
        <w:rPr>
          <w:rFonts w:ascii="Times New Roman" w:eastAsia="Calibri" w:hAnsi="Times New Roman" w:cs="Times New Roman"/>
          <w:color w:val="4C4747"/>
          <w:spacing w:val="20"/>
          <w:sz w:val="24"/>
          <w:szCs w:val="24"/>
          <w:lang w:val="es-DO"/>
        </w:rPr>
        <w:t xml:space="preserve"> </w:t>
      </w:r>
    </w:p>
    <w:p w14:paraId="51275BCB" w14:textId="7990CF3B" w:rsidR="003D5694" w:rsidRPr="00A4233F" w:rsidRDefault="003D5694" w:rsidP="003D5694">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el mes de julio, 10 niñas hijas de nuestros colaboradores, en edades entre 6 a 12 años, fueron beneficiadas con una beca para participar el campamento de verano The Coding Space Summer Camp.</w:t>
      </w:r>
    </w:p>
    <w:p w14:paraId="13B2B333" w14:textId="7A89F7B8" w:rsidR="003D5694" w:rsidRPr="00A4233F" w:rsidRDefault="003D5694" w:rsidP="003D5694">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este campamento las niñas aprendieron a formar patrones de pensamientos computacionales al programar animaciones y juegos interactivos, desarrollando así independencia en su aprendizaje y habilidades visomotoras, practicando con el mouse y el teclado.</w:t>
      </w:r>
    </w:p>
    <w:p w14:paraId="0631ACAB" w14:textId="19F150F9" w:rsidR="00C356F0" w:rsidRPr="00A4233F" w:rsidRDefault="003D5694"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Dicho campamento tuvo una duración de 10 días y al finalizar el mismo, las niñas recibieron unas cajitas felices conteniendo dulces y golosinas.</w:t>
      </w:r>
    </w:p>
    <w:p w14:paraId="3AB9E327" w14:textId="09C8BAB7" w:rsidR="00C356F0" w:rsidRPr="00A4233F" w:rsidRDefault="002677EC" w:rsidP="003D5694">
      <w:pPr>
        <w:spacing w:before="24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Formación y D</w:t>
      </w:r>
      <w:r w:rsidR="00C356F0" w:rsidRPr="00A4233F">
        <w:rPr>
          <w:rFonts w:ascii="Times New Roman" w:eastAsia="Calibri" w:hAnsi="Times New Roman" w:cs="Times New Roman"/>
          <w:b/>
          <w:color w:val="4C4747"/>
          <w:spacing w:val="20"/>
          <w:sz w:val="24"/>
          <w:szCs w:val="24"/>
          <w:lang w:val="es-DO"/>
        </w:rPr>
        <w:t>esarrollo</w:t>
      </w:r>
    </w:p>
    <w:p w14:paraId="084C3081" w14:textId="6D62707E" w:rsidR="00C356F0" w:rsidRPr="00A4233F" w:rsidRDefault="00C356F0"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Dentro de las acciones tomadas para impulsar las mejoras en las capacidades y competencias de nuestros colaboradores, seguimos fortaleciendo los acuerdos institucionales con CAPGEFI, INFOTEP, CEABAD, UIT, INAP, INSTITUTO OMG</w:t>
      </w:r>
      <w:r w:rsidR="00524306" w:rsidRPr="00A4233F">
        <w:rPr>
          <w:rFonts w:ascii="Times New Roman" w:eastAsia="Calibri" w:hAnsi="Times New Roman" w:cs="Times New Roman"/>
          <w:color w:val="4C4747"/>
          <w:spacing w:val="20"/>
          <w:sz w:val="24"/>
          <w:szCs w:val="24"/>
          <w:lang w:val="es-DO"/>
        </w:rPr>
        <w:t>,</w:t>
      </w:r>
      <w:r w:rsidRPr="00A4233F">
        <w:rPr>
          <w:rFonts w:ascii="Times New Roman" w:eastAsia="Calibri" w:hAnsi="Times New Roman" w:cs="Times New Roman"/>
          <w:color w:val="4C4747"/>
          <w:spacing w:val="20"/>
          <w:sz w:val="24"/>
          <w:szCs w:val="24"/>
          <w:lang w:val="es-DO"/>
        </w:rPr>
        <w:t xml:space="preserve"> entre otros.</w:t>
      </w:r>
    </w:p>
    <w:p w14:paraId="6DED7677" w14:textId="77777777" w:rsidR="00C356F0" w:rsidRPr="00A4233F" w:rsidRDefault="00C356F0"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 través de estas y otras instituciones se han podido lograr las siguientes capacitaciones:</w:t>
      </w:r>
    </w:p>
    <w:p w14:paraId="49E69683" w14:textId="661A3E2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lastRenderedPageBreak/>
        <w:t>Capacitación del Master en Dirección Pública Administración de Empresas.</w:t>
      </w:r>
    </w:p>
    <w:p w14:paraId="2E28ECFE" w14:textId="4157F33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Inteligencia Artificial</w:t>
      </w:r>
    </w:p>
    <w:p w14:paraId="73189819" w14:textId="7D94679D"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Ciberseguridad</w:t>
      </w:r>
    </w:p>
    <w:p w14:paraId="118FF065" w14:textId="34034C57"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Servicios Sociales </w:t>
      </w:r>
    </w:p>
    <w:p w14:paraId="5A06092A" w14:textId="11F6616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Habilidades Digitales 4.0</w:t>
      </w:r>
    </w:p>
    <w:p w14:paraId="349A6C1F" w14:textId="084D20F7"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Satelitales de Nueva</w:t>
      </w:r>
    </w:p>
    <w:p w14:paraId="2332AF44" w14:textId="424C686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Blockchaint Su Futuro</w:t>
      </w:r>
    </w:p>
    <w:p w14:paraId="6A7A7A8C" w14:textId="60E813CC"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Master Sociedad Democrática, Estado y Derecho</w:t>
      </w:r>
    </w:p>
    <w:p w14:paraId="77BC4B8F" w14:textId="3CE2B93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Taller para dar a conocer la Dirección de Protección al Usuario (DPU)</w:t>
      </w:r>
    </w:p>
    <w:p w14:paraId="0DABB313" w14:textId="68130639"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Capacitación del Idioma Ingles</w:t>
      </w:r>
    </w:p>
    <w:p w14:paraId="0F0198C7" w14:textId="2CC04B3C"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Seguridad en </w:t>
      </w:r>
      <w:r w:rsidR="00756028" w:rsidRPr="00CF7E5C">
        <w:rPr>
          <w:rFonts w:ascii="Times New Roman" w:eastAsia="Calibri" w:hAnsi="Times New Roman" w:cs="Times New Roman"/>
          <w:color w:val="4C4747"/>
          <w:spacing w:val="20"/>
          <w:sz w:val="24"/>
          <w:szCs w:val="24"/>
          <w:lang w:val="es-DO"/>
        </w:rPr>
        <w:t>Línea</w:t>
      </w:r>
    </w:p>
    <w:p w14:paraId="4B4EB899" w14:textId="265F2FFA"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Nueva Gestión del Espectro</w:t>
      </w:r>
    </w:p>
    <w:p w14:paraId="260CA92A" w14:textId="295E6BED"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Compartición de Infraestructura</w:t>
      </w:r>
    </w:p>
    <w:p w14:paraId="4EC27318" w14:textId="5C07914F"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Fintech en América Latina</w:t>
      </w:r>
    </w:p>
    <w:p w14:paraId="14C63A76" w14:textId="75D0883D"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Invisible y Omnipresente</w:t>
      </w:r>
    </w:p>
    <w:p w14:paraId="13BD7312" w14:textId="020786F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La protección contra las Radiaciones no Ionizantes en los Tiempos del 5G"</w:t>
      </w:r>
    </w:p>
    <w:p w14:paraId="65F447D6" w14:textId="1151968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rPr>
      </w:pPr>
      <w:r w:rsidRPr="00CF7E5C">
        <w:rPr>
          <w:rFonts w:ascii="Times New Roman" w:eastAsia="Calibri" w:hAnsi="Times New Roman" w:cs="Times New Roman"/>
          <w:color w:val="4C4747"/>
          <w:spacing w:val="20"/>
          <w:sz w:val="24"/>
          <w:szCs w:val="24"/>
        </w:rPr>
        <w:t>BECAS 14ta South School on Internet Governance / ARGENSIG 2022. Aplica!!</w:t>
      </w:r>
    </w:p>
    <w:p w14:paraId="6774D5D3" w14:textId="6E06AE17"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Capacitación para el Diplomado en Gestión Ejecutivo de Proyectos.</w:t>
      </w:r>
    </w:p>
    <w:p w14:paraId="083BEDE0" w14:textId="13D503FD"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Master en Derecho Constitucional y Derecho Público</w:t>
      </w:r>
    </w:p>
    <w:p w14:paraId="26020C59" w14:textId="5C8FCDBF"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Curso Básico de Lengua de Señas</w:t>
      </w:r>
    </w:p>
    <w:p w14:paraId="37A077B7" w14:textId="5C7A580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Maestría Derecho Administrativo y Gestión Pública</w:t>
      </w:r>
    </w:p>
    <w:p w14:paraId="221D88F7" w14:textId="1665DA74"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Diplomado Auditoría Forense</w:t>
      </w:r>
    </w:p>
    <w:p w14:paraId="621C2B45" w14:textId="0C8CF37E"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Refuerzo de Clases de nivel avanzado Inglés virtual</w:t>
      </w:r>
    </w:p>
    <w:p w14:paraId="6DB4D11A" w14:textId="793BF758"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Diplomado Auditoría Forense</w:t>
      </w:r>
    </w:p>
    <w:p w14:paraId="4CC6C6E2" w14:textId="1CDD84CA"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lastRenderedPageBreak/>
        <w:t>Refuerzo de Clases de nivel avanzado Inglés virtual</w:t>
      </w:r>
    </w:p>
    <w:p w14:paraId="00C8B06F" w14:textId="48C3DC0C"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Semana Internacional Programa IESE</w:t>
      </w:r>
    </w:p>
    <w:p w14:paraId="2E254E1E" w14:textId="3F29FC6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Taller de servicio al cliente (Grupo matutino)</w:t>
      </w:r>
    </w:p>
    <w:p w14:paraId="6832ACCA" w14:textId="653BB8B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Taller de servicio al cliente (Grupo vespertino)</w:t>
      </w:r>
    </w:p>
    <w:p w14:paraId="7B1BA931" w14:textId="37C6EB40"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IX Curso de regulación y competencia</w:t>
      </w:r>
    </w:p>
    <w:p w14:paraId="6F36C338" w14:textId="71F7500D"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Maestría en Gestión Financiera. </w:t>
      </w:r>
    </w:p>
    <w:p w14:paraId="22EC3674" w14:textId="62DDCC6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Becas Ceabad -Handbook</w:t>
      </w:r>
    </w:p>
    <w:p w14:paraId="5AF1C466" w14:textId="166CB162"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Becas</w:t>
      </w:r>
      <w:r w:rsidR="00756028" w:rsidRPr="00CF7E5C">
        <w:rPr>
          <w:rFonts w:ascii="Times New Roman" w:eastAsia="Calibri" w:hAnsi="Times New Roman" w:cs="Times New Roman"/>
          <w:color w:val="4C4747"/>
          <w:spacing w:val="20"/>
          <w:sz w:val="24"/>
          <w:szCs w:val="24"/>
          <w:lang w:val="es-DO"/>
        </w:rPr>
        <w:t xml:space="preserve"> Ceabad - El impacto de la Infraestructura</w:t>
      </w:r>
      <w:r w:rsidRPr="00CF7E5C">
        <w:rPr>
          <w:rFonts w:ascii="Times New Roman" w:eastAsia="Calibri" w:hAnsi="Times New Roman" w:cs="Times New Roman"/>
          <w:color w:val="4C4747"/>
          <w:spacing w:val="20"/>
          <w:sz w:val="24"/>
          <w:szCs w:val="24"/>
          <w:lang w:val="es-DO"/>
        </w:rPr>
        <w:t xml:space="preserve"> digital de los ODS</w:t>
      </w:r>
    </w:p>
    <w:p w14:paraId="0808691B" w14:textId="62DEBFB0"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Becas Ceabad -Nueva gestión del espectro </w:t>
      </w:r>
      <w:r w:rsidR="00756028" w:rsidRPr="00CF7E5C">
        <w:rPr>
          <w:rFonts w:ascii="Times New Roman" w:eastAsia="Calibri" w:hAnsi="Times New Roman" w:cs="Times New Roman"/>
          <w:color w:val="4C4747"/>
          <w:spacing w:val="20"/>
          <w:sz w:val="24"/>
          <w:szCs w:val="24"/>
          <w:lang w:val="es-DO"/>
        </w:rPr>
        <w:t>radioeléctrico</w:t>
      </w:r>
      <w:r w:rsidRPr="00CF7E5C">
        <w:rPr>
          <w:rFonts w:ascii="Times New Roman" w:eastAsia="Calibri" w:hAnsi="Times New Roman" w:cs="Times New Roman"/>
          <w:color w:val="4C4747"/>
          <w:spacing w:val="20"/>
          <w:sz w:val="24"/>
          <w:szCs w:val="24"/>
          <w:lang w:val="es-DO"/>
        </w:rPr>
        <w:t xml:space="preserve"> 5G</w:t>
      </w:r>
    </w:p>
    <w:p w14:paraId="45B4E170" w14:textId="0CEFB42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Becas Ceabad - Invisible y OMNIPRESENTE Wi -FI y su evolución</w:t>
      </w:r>
    </w:p>
    <w:p w14:paraId="47395B1B" w14:textId="610160E9"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Becas Ceabad - Epymes</w:t>
      </w:r>
    </w:p>
    <w:p w14:paraId="7E68F757" w14:textId="468B1715"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Becas Ceabad - Introducción a Sandbox Regulatorio</w:t>
      </w:r>
    </w:p>
    <w:p w14:paraId="1BE5D153" w14:textId="511FA85F"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Becas Ceabad - El sistema de Nombres de dominio en internet (DNS) Y EL CANN</w:t>
      </w:r>
    </w:p>
    <w:p w14:paraId="5A9C156C" w14:textId="3FCA5B5C"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OMG Programa en Derecho Administrativo</w:t>
      </w:r>
    </w:p>
    <w:p w14:paraId="30EEB9E2" w14:textId="0E4D1FD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Curso de Idioma inglés</w:t>
      </w:r>
      <w:r w:rsidRPr="00CF7E5C">
        <w:rPr>
          <w:rFonts w:ascii="Times New Roman" w:eastAsia="Calibri" w:hAnsi="Times New Roman" w:cs="Times New Roman"/>
          <w:color w:val="4C4747"/>
          <w:spacing w:val="20"/>
          <w:sz w:val="24"/>
          <w:szCs w:val="24"/>
          <w:lang w:val="es-DO"/>
        </w:rPr>
        <w:tab/>
      </w:r>
    </w:p>
    <w:p w14:paraId="515DF149" w14:textId="3D129E3B"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Código de Pautas Ética</w:t>
      </w:r>
    </w:p>
    <w:p w14:paraId="1BFE63B9" w14:textId="337C27E0"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Taller #AMCHAMDR</w:t>
      </w:r>
    </w:p>
    <w:p w14:paraId="094480C2" w14:textId="252FBD4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El Fruto del Trabajo Para Latinos</w:t>
      </w:r>
    </w:p>
    <w:p w14:paraId="240C5012" w14:textId="7AFF0A01"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Economía Digital desde la Perspectiva de genero</w:t>
      </w:r>
    </w:p>
    <w:p w14:paraId="076881DB" w14:textId="3CFAC25C"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Interconexión segura en servicios de la Nube</w:t>
      </w:r>
    </w:p>
    <w:p w14:paraId="4F4A74B1" w14:textId="72214990"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Redes 5G</w:t>
      </w:r>
    </w:p>
    <w:p w14:paraId="766B84BC" w14:textId="6CCF85A6"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Género y tecnología digital</w:t>
      </w:r>
    </w:p>
    <w:p w14:paraId="6DDD306A" w14:textId="2C023C49"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Trabajo en equipo y clima laboral para el centro Indotel - INFOTEP</w:t>
      </w:r>
    </w:p>
    <w:p w14:paraId="599731AA" w14:textId="645856AE" w:rsidR="00C356F0" w:rsidRPr="00CF7E5C" w:rsidRDefault="00C356F0" w:rsidP="00A02BDE">
      <w:pPr>
        <w:pStyle w:val="Prrafodelista"/>
        <w:numPr>
          <w:ilvl w:val="0"/>
          <w:numId w:val="50"/>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Seminario Regional de Accesibilidad TIC y Cuidados Digitales</w:t>
      </w:r>
    </w:p>
    <w:p w14:paraId="155024F7" w14:textId="3EA6CF41" w:rsidR="007F67E7" w:rsidRPr="006C7929" w:rsidRDefault="00756028" w:rsidP="00C356F0">
      <w:pPr>
        <w:spacing w:line="360" w:lineRule="auto"/>
        <w:jc w:val="both"/>
        <w:rPr>
          <w:rFonts w:ascii="Times New Roman" w:eastAsia="Calibri" w:hAnsi="Times New Roman" w:cs="Times New Roman"/>
          <w:color w:val="4C4747"/>
          <w:spacing w:val="20"/>
          <w:sz w:val="24"/>
          <w:szCs w:val="24"/>
          <w:lang w:val="es-DO"/>
        </w:rPr>
      </w:pPr>
      <w:r w:rsidRPr="006C7929">
        <w:rPr>
          <w:rFonts w:ascii="Times New Roman" w:eastAsia="Calibri" w:hAnsi="Times New Roman" w:cs="Times New Roman"/>
          <w:color w:val="4C4747"/>
          <w:spacing w:val="20"/>
          <w:sz w:val="24"/>
          <w:szCs w:val="24"/>
          <w:lang w:val="es-DO"/>
        </w:rPr>
        <w:lastRenderedPageBreak/>
        <w:t>Dentro del programa de pasantía del INDOTEL se logró tener la participación de 34 pasantes, distribuidos en diferentes áreas de la institución desempeñando</w:t>
      </w:r>
      <w:r w:rsidR="00C075F5" w:rsidRPr="006C7929">
        <w:rPr>
          <w:rFonts w:ascii="Times New Roman" w:eastAsia="Calibri" w:hAnsi="Times New Roman" w:cs="Times New Roman"/>
          <w:color w:val="4C4747"/>
          <w:spacing w:val="20"/>
          <w:sz w:val="24"/>
          <w:szCs w:val="24"/>
          <w:lang w:val="es-DO"/>
        </w:rPr>
        <w:t xml:space="preserve"> distintas</w:t>
      </w:r>
      <w:r w:rsidRPr="006C7929">
        <w:rPr>
          <w:rFonts w:ascii="Times New Roman" w:eastAsia="Calibri" w:hAnsi="Times New Roman" w:cs="Times New Roman"/>
          <w:color w:val="4C4747"/>
          <w:spacing w:val="20"/>
          <w:sz w:val="24"/>
          <w:szCs w:val="24"/>
          <w:lang w:val="es-DO"/>
        </w:rPr>
        <w:t xml:space="preserve"> funciones de acuerdo al ámbito técnico </w:t>
      </w:r>
      <w:r w:rsidR="00C075F5" w:rsidRPr="006C7929">
        <w:rPr>
          <w:rFonts w:ascii="Times New Roman" w:eastAsia="Calibri" w:hAnsi="Times New Roman" w:cs="Times New Roman"/>
          <w:color w:val="4C4747"/>
          <w:spacing w:val="20"/>
          <w:sz w:val="24"/>
          <w:szCs w:val="24"/>
          <w:lang w:val="es-DO"/>
        </w:rPr>
        <w:t xml:space="preserve">de estudio </w:t>
      </w:r>
      <w:r w:rsidRPr="006C7929">
        <w:rPr>
          <w:rFonts w:ascii="Times New Roman" w:eastAsia="Calibri" w:hAnsi="Times New Roman" w:cs="Times New Roman"/>
          <w:color w:val="4C4747"/>
          <w:spacing w:val="20"/>
          <w:sz w:val="24"/>
          <w:szCs w:val="24"/>
          <w:lang w:val="es-DO"/>
        </w:rPr>
        <w:t xml:space="preserve">que cursan. </w:t>
      </w:r>
    </w:p>
    <w:p w14:paraId="65CB3088" w14:textId="34D42A91" w:rsidR="00C075F5" w:rsidRPr="005A11A8" w:rsidRDefault="00D9747B" w:rsidP="00C356F0">
      <w:pPr>
        <w:spacing w:line="360" w:lineRule="auto"/>
        <w:jc w:val="both"/>
        <w:rPr>
          <w:rFonts w:ascii="Times New Roman" w:eastAsia="Calibri" w:hAnsi="Times New Roman" w:cs="Times New Roman"/>
          <w:color w:val="4C4747"/>
          <w:spacing w:val="20"/>
          <w:sz w:val="24"/>
          <w:szCs w:val="24"/>
          <w:lang w:val="es-DO"/>
        </w:rPr>
      </w:pPr>
      <w:r w:rsidRPr="005A11A8">
        <w:rPr>
          <w:rFonts w:ascii="Times New Roman" w:eastAsia="Calibri" w:hAnsi="Times New Roman" w:cs="Times New Roman"/>
          <w:color w:val="4C4747"/>
          <w:spacing w:val="20"/>
          <w:sz w:val="24"/>
          <w:szCs w:val="24"/>
          <w:lang w:val="es-DO"/>
        </w:rPr>
        <w:t>C</w:t>
      </w:r>
      <w:r w:rsidR="00C075F5" w:rsidRPr="005A11A8">
        <w:rPr>
          <w:rFonts w:ascii="Times New Roman" w:eastAsia="Calibri" w:hAnsi="Times New Roman" w:cs="Times New Roman"/>
          <w:color w:val="4C4747"/>
          <w:spacing w:val="20"/>
          <w:sz w:val="24"/>
          <w:szCs w:val="24"/>
          <w:lang w:val="es-DO"/>
        </w:rPr>
        <w:t>on el objetivo de regular normativas e implementar acciones de mejoras</w:t>
      </w:r>
      <w:r w:rsidRPr="005A11A8">
        <w:rPr>
          <w:rFonts w:ascii="Times New Roman" w:eastAsia="Calibri" w:hAnsi="Times New Roman" w:cs="Times New Roman"/>
          <w:color w:val="4C4747"/>
          <w:spacing w:val="20"/>
          <w:sz w:val="24"/>
          <w:szCs w:val="24"/>
          <w:lang w:val="es-DO"/>
        </w:rPr>
        <w:t xml:space="preserve"> se ejecutaron las siguientes acciones</w:t>
      </w:r>
      <w:r w:rsidR="00C075F5" w:rsidRPr="005A11A8">
        <w:rPr>
          <w:rFonts w:ascii="Times New Roman" w:eastAsia="Calibri" w:hAnsi="Times New Roman" w:cs="Times New Roman"/>
          <w:color w:val="4C4747"/>
          <w:spacing w:val="20"/>
          <w:sz w:val="24"/>
          <w:szCs w:val="24"/>
          <w:lang w:val="es-DO"/>
        </w:rPr>
        <w:t>:</w:t>
      </w:r>
    </w:p>
    <w:p w14:paraId="0F08BD8F" w14:textId="0177ACB9" w:rsidR="00C356F0" w:rsidRPr="00CF7E5C" w:rsidRDefault="00C075F5" w:rsidP="00A02BDE">
      <w:pPr>
        <w:pStyle w:val="Prrafodelista"/>
        <w:numPr>
          <w:ilvl w:val="0"/>
          <w:numId w:val="49"/>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A</w:t>
      </w:r>
      <w:r w:rsidR="00C356F0" w:rsidRPr="00CF7E5C">
        <w:rPr>
          <w:rFonts w:ascii="Times New Roman" w:eastAsia="Calibri" w:hAnsi="Times New Roman" w:cs="Times New Roman"/>
          <w:color w:val="4C4747"/>
          <w:spacing w:val="20"/>
          <w:sz w:val="24"/>
          <w:szCs w:val="24"/>
          <w:lang w:val="es-DO"/>
        </w:rPr>
        <w:t xml:space="preserve">ctualización de </w:t>
      </w:r>
      <w:r w:rsidRPr="00CF7E5C">
        <w:rPr>
          <w:rFonts w:ascii="Times New Roman" w:eastAsia="Calibri" w:hAnsi="Times New Roman" w:cs="Times New Roman"/>
          <w:color w:val="4C4747"/>
          <w:spacing w:val="20"/>
          <w:sz w:val="24"/>
          <w:szCs w:val="24"/>
          <w:lang w:val="es-DO"/>
        </w:rPr>
        <w:t xml:space="preserve">la estructura organizacional, </w:t>
      </w:r>
      <w:r w:rsidR="00D9747B" w:rsidRPr="00CF7E5C">
        <w:rPr>
          <w:rFonts w:ascii="Times New Roman" w:eastAsia="Calibri" w:hAnsi="Times New Roman" w:cs="Times New Roman"/>
          <w:color w:val="4C4747"/>
          <w:spacing w:val="20"/>
          <w:sz w:val="24"/>
          <w:szCs w:val="24"/>
          <w:lang w:val="es-DO"/>
        </w:rPr>
        <w:t xml:space="preserve">fue </w:t>
      </w:r>
      <w:r w:rsidRPr="00CF7E5C">
        <w:rPr>
          <w:rFonts w:ascii="Times New Roman" w:eastAsia="Calibri" w:hAnsi="Times New Roman" w:cs="Times New Roman"/>
          <w:color w:val="4C4747"/>
          <w:spacing w:val="20"/>
          <w:sz w:val="24"/>
          <w:szCs w:val="24"/>
          <w:lang w:val="es-DO"/>
        </w:rPr>
        <w:t>remi</w:t>
      </w:r>
      <w:r w:rsidR="00D9747B" w:rsidRPr="00CF7E5C">
        <w:rPr>
          <w:rFonts w:ascii="Times New Roman" w:eastAsia="Calibri" w:hAnsi="Times New Roman" w:cs="Times New Roman"/>
          <w:color w:val="4C4747"/>
          <w:spacing w:val="20"/>
          <w:sz w:val="24"/>
          <w:szCs w:val="24"/>
          <w:lang w:val="es-DO"/>
        </w:rPr>
        <w:t>tido</w:t>
      </w:r>
      <w:r w:rsidRPr="00CF7E5C">
        <w:rPr>
          <w:rFonts w:ascii="Times New Roman" w:eastAsia="Calibri" w:hAnsi="Times New Roman" w:cs="Times New Roman"/>
          <w:color w:val="4C4747"/>
          <w:spacing w:val="20"/>
          <w:sz w:val="24"/>
          <w:szCs w:val="24"/>
          <w:lang w:val="es-DO"/>
        </w:rPr>
        <w:t xml:space="preserve"> al Ministerio </w:t>
      </w:r>
      <w:r w:rsidR="00C356F0" w:rsidRPr="00CF7E5C">
        <w:rPr>
          <w:rFonts w:ascii="Times New Roman" w:eastAsia="Calibri" w:hAnsi="Times New Roman" w:cs="Times New Roman"/>
          <w:color w:val="4C4747"/>
          <w:spacing w:val="20"/>
          <w:sz w:val="24"/>
          <w:szCs w:val="24"/>
          <w:lang w:val="es-DO"/>
        </w:rPr>
        <w:t>de Administración Pública (MAP) el primer  borrador</w:t>
      </w:r>
      <w:r w:rsidR="00D9747B" w:rsidRPr="00CF7E5C">
        <w:rPr>
          <w:rFonts w:ascii="Times New Roman" w:eastAsia="Calibri" w:hAnsi="Times New Roman" w:cs="Times New Roman"/>
          <w:color w:val="4C4747"/>
          <w:spacing w:val="20"/>
          <w:sz w:val="24"/>
          <w:szCs w:val="24"/>
          <w:lang w:val="es-DO"/>
        </w:rPr>
        <w:t>.</w:t>
      </w:r>
    </w:p>
    <w:p w14:paraId="5D5CD5E3" w14:textId="01B2B74E" w:rsidR="00C356F0" w:rsidRPr="00CF7E5C" w:rsidRDefault="00C356F0" w:rsidP="00A02BDE">
      <w:pPr>
        <w:pStyle w:val="Prrafodelista"/>
        <w:numPr>
          <w:ilvl w:val="0"/>
          <w:numId w:val="49"/>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Actualización de datos de los colaboradores </w:t>
      </w:r>
      <w:r w:rsidR="00C075F5" w:rsidRPr="00CF7E5C">
        <w:rPr>
          <w:rFonts w:ascii="Times New Roman" w:eastAsia="Calibri" w:hAnsi="Times New Roman" w:cs="Times New Roman"/>
          <w:color w:val="4C4747"/>
          <w:spacing w:val="20"/>
          <w:sz w:val="24"/>
          <w:szCs w:val="24"/>
          <w:lang w:val="es-DO"/>
        </w:rPr>
        <w:t>y las colaboradoras en el sistema G</w:t>
      </w:r>
      <w:r w:rsidRPr="00CF7E5C">
        <w:rPr>
          <w:rFonts w:ascii="Times New Roman" w:eastAsia="Calibri" w:hAnsi="Times New Roman" w:cs="Times New Roman"/>
          <w:color w:val="4C4747"/>
          <w:spacing w:val="20"/>
          <w:sz w:val="24"/>
          <w:szCs w:val="24"/>
          <w:lang w:val="es-DO"/>
        </w:rPr>
        <w:t>azella no solo datos básicos</w:t>
      </w:r>
      <w:r w:rsidR="00C075F5" w:rsidRPr="00CF7E5C">
        <w:rPr>
          <w:rFonts w:ascii="Times New Roman" w:eastAsia="Calibri" w:hAnsi="Times New Roman" w:cs="Times New Roman"/>
          <w:color w:val="4C4747"/>
          <w:spacing w:val="20"/>
          <w:sz w:val="24"/>
          <w:szCs w:val="24"/>
          <w:lang w:val="es-DO"/>
        </w:rPr>
        <w:t xml:space="preserve">, </w:t>
      </w:r>
      <w:r w:rsidR="00C35965" w:rsidRPr="00CF7E5C">
        <w:rPr>
          <w:rFonts w:ascii="Times New Roman" w:eastAsia="Calibri" w:hAnsi="Times New Roman" w:cs="Times New Roman"/>
          <w:color w:val="4C4747"/>
          <w:spacing w:val="20"/>
          <w:sz w:val="24"/>
          <w:szCs w:val="24"/>
          <w:lang w:val="es-DO"/>
        </w:rPr>
        <w:t xml:space="preserve">también </w:t>
      </w:r>
      <w:r w:rsidR="00C075F5" w:rsidRPr="00CF7E5C">
        <w:rPr>
          <w:rFonts w:ascii="Times New Roman" w:eastAsia="Calibri" w:hAnsi="Times New Roman" w:cs="Times New Roman"/>
          <w:color w:val="4C4747"/>
          <w:spacing w:val="20"/>
          <w:sz w:val="24"/>
          <w:szCs w:val="24"/>
          <w:lang w:val="es-DO"/>
        </w:rPr>
        <w:t xml:space="preserve">se </w:t>
      </w:r>
      <w:r w:rsidRPr="00CF7E5C">
        <w:rPr>
          <w:rFonts w:ascii="Times New Roman" w:eastAsia="Calibri" w:hAnsi="Times New Roman" w:cs="Times New Roman"/>
          <w:color w:val="4C4747"/>
          <w:spacing w:val="20"/>
          <w:sz w:val="24"/>
          <w:szCs w:val="24"/>
          <w:lang w:val="es-DO"/>
        </w:rPr>
        <w:t xml:space="preserve"> i</w:t>
      </w:r>
      <w:r w:rsidR="00C075F5" w:rsidRPr="00CF7E5C">
        <w:rPr>
          <w:rFonts w:ascii="Times New Roman" w:eastAsia="Calibri" w:hAnsi="Times New Roman" w:cs="Times New Roman"/>
          <w:color w:val="4C4747"/>
          <w:spacing w:val="20"/>
          <w:sz w:val="24"/>
          <w:szCs w:val="24"/>
          <w:lang w:val="es-DO"/>
        </w:rPr>
        <w:t>mplementó</w:t>
      </w:r>
      <w:r w:rsidRPr="00CF7E5C">
        <w:rPr>
          <w:rFonts w:ascii="Times New Roman" w:eastAsia="Calibri" w:hAnsi="Times New Roman" w:cs="Times New Roman"/>
          <w:color w:val="4C4747"/>
          <w:spacing w:val="20"/>
          <w:sz w:val="24"/>
          <w:szCs w:val="24"/>
          <w:lang w:val="es-DO"/>
        </w:rPr>
        <w:t xml:space="preserve"> ag</w:t>
      </w:r>
      <w:r w:rsidR="00C35965" w:rsidRPr="00CF7E5C">
        <w:rPr>
          <w:rFonts w:ascii="Times New Roman" w:eastAsia="Calibri" w:hAnsi="Times New Roman" w:cs="Times New Roman"/>
          <w:color w:val="4C4747"/>
          <w:spacing w:val="20"/>
          <w:sz w:val="24"/>
          <w:szCs w:val="24"/>
          <w:lang w:val="es-DO"/>
        </w:rPr>
        <w:t>regar información más completa</w:t>
      </w:r>
      <w:r w:rsidRPr="00CF7E5C">
        <w:rPr>
          <w:rFonts w:ascii="Times New Roman" w:eastAsia="Calibri" w:hAnsi="Times New Roman" w:cs="Times New Roman"/>
          <w:color w:val="4C4747"/>
          <w:spacing w:val="20"/>
          <w:sz w:val="24"/>
          <w:szCs w:val="24"/>
          <w:lang w:val="es-DO"/>
        </w:rPr>
        <w:t xml:space="preserve"> y detallada de cada colaborador </w:t>
      </w:r>
      <w:r w:rsidR="00C075F5" w:rsidRPr="00CF7E5C">
        <w:rPr>
          <w:rFonts w:ascii="Times New Roman" w:eastAsia="Calibri" w:hAnsi="Times New Roman" w:cs="Times New Roman"/>
          <w:color w:val="4C4747"/>
          <w:spacing w:val="20"/>
          <w:sz w:val="24"/>
          <w:szCs w:val="24"/>
          <w:lang w:val="es-DO"/>
        </w:rPr>
        <w:t xml:space="preserve">y colaboradora </w:t>
      </w:r>
      <w:r w:rsidRPr="00CF7E5C">
        <w:rPr>
          <w:rFonts w:ascii="Times New Roman" w:eastAsia="Calibri" w:hAnsi="Times New Roman" w:cs="Times New Roman"/>
          <w:color w:val="4C4747"/>
          <w:spacing w:val="20"/>
          <w:sz w:val="24"/>
          <w:szCs w:val="24"/>
          <w:lang w:val="es-DO"/>
        </w:rPr>
        <w:t>como son: tipo d</w:t>
      </w:r>
      <w:r w:rsidR="00C35965" w:rsidRPr="00CF7E5C">
        <w:rPr>
          <w:rFonts w:ascii="Times New Roman" w:eastAsia="Calibri" w:hAnsi="Times New Roman" w:cs="Times New Roman"/>
          <w:color w:val="4C4747"/>
          <w:spacing w:val="20"/>
          <w:sz w:val="24"/>
          <w:szCs w:val="24"/>
          <w:lang w:val="es-DO"/>
        </w:rPr>
        <w:t>e sangre, enfermedad que padece y otros.</w:t>
      </w:r>
      <w:r w:rsidRPr="00CF7E5C">
        <w:rPr>
          <w:rFonts w:ascii="Times New Roman" w:eastAsia="Calibri" w:hAnsi="Times New Roman" w:cs="Times New Roman"/>
          <w:color w:val="4C4747"/>
          <w:spacing w:val="20"/>
          <w:sz w:val="24"/>
          <w:szCs w:val="24"/>
          <w:lang w:val="es-DO"/>
        </w:rPr>
        <w:t xml:space="preserve"> </w:t>
      </w:r>
    </w:p>
    <w:p w14:paraId="4D86557B" w14:textId="6E2CA740" w:rsidR="00C356F0" w:rsidRPr="00CF7E5C" w:rsidRDefault="00524306" w:rsidP="00A02BDE">
      <w:pPr>
        <w:pStyle w:val="Prrafodelista"/>
        <w:numPr>
          <w:ilvl w:val="0"/>
          <w:numId w:val="49"/>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E</w:t>
      </w:r>
      <w:r w:rsidR="00C356F0" w:rsidRPr="00CF7E5C">
        <w:rPr>
          <w:rFonts w:ascii="Times New Roman" w:eastAsia="Calibri" w:hAnsi="Times New Roman" w:cs="Times New Roman"/>
          <w:color w:val="4C4747"/>
          <w:spacing w:val="20"/>
          <w:sz w:val="24"/>
          <w:szCs w:val="24"/>
          <w:lang w:val="es-DO"/>
        </w:rPr>
        <w:t>misión y entrega  de certificaciones a los colaboradores</w:t>
      </w:r>
      <w:r w:rsidR="00C35965" w:rsidRPr="00CF7E5C">
        <w:rPr>
          <w:rFonts w:ascii="Times New Roman" w:eastAsia="Calibri" w:hAnsi="Times New Roman" w:cs="Times New Roman"/>
          <w:color w:val="4C4747"/>
          <w:spacing w:val="20"/>
          <w:sz w:val="24"/>
          <w:szCs w:val="24"/>
          <w:lang w:val="es-DO"/>
        </w:rPr>
        <w:t xml:space="preserve"> y las colaboradoras</w:t>
      </w:r>
      <w:r w:rsidR="00C356F0" w:rsidRPr="00CF7E5C">
        <w:rPr>
          <w:rFonts w:ascii="Times New Roman" w:eastAsia="Calibri" w:hAnsi="Times New Roman" w:cs="Times New Roman"/>
          <w:color w:val="4C4747"/>
          <w:spacing w:val="20"/>
          <w:sz w:val="24"/>
          <w:szCs w:val="24"/>
          <w:lang w:val="es-DO"/>
        </w:rPr>
        <w:t xml:space="preserve"> en tiempo reco</w:t>
      </w:r>
      <w:r w:rsidRPr="00CF7E5C">
        <w:rPr>
          <w:rFonts w:ascii="Times New Roman" w:eastAsia="Calibri" w:hAnsi="Times New Roman" w:cs="Times New Roman"/>
          <w:color w:val="4C4747"/>
          <w:spacing w:val="20"/>
          <w:sz w:val="24"/>
          <w:szCs w:val="24"/>
          <w:lang w:val="es-DO"/>
        </w:rPr>
        <w:t>rd</w:t>
      </w:r>
      <w:r w:rsidR="00C356F0" w:rsidRPr="00CF7E5C">
        <w:rPr>
          <w:rFonts w:ascii="Times New Roman" w:eastAsia="Calibri" w:hAnsi="Times New Roman" w:cs="Times New Roman"/>
          <w:color w:val="4C4747"/>
          <w:spacing w:val="20"/>
          <w:sz w:val="24"/>
          <w:szCs w:val="24"/>
          <w:lang w:val="es-DO"/>
        </w:rPr>
        <w:t xml:space="preserve">; </w:t>
      </w:r>
    </w:p>
    <w:p w14:paraId="139546C1" w14:textId="3D2A9BD4" w:rsidR="00C356F0" w:rsidRPr="00CF7E5C" w:rsidRDefault="00C35965" w:rsidP="00A02BDE">
      <w:pPr>
        <w:pStyle w:val="Prrafodelista"/>
        <w:numPr>
          <w:ilvl w:val="0"/>
          <w:numId w:val="49"/>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Acuerdos de d</w:t>
      </w:r>
      <w:r w:rsidR="00C356F0" w:rsidRPr="00CF7E5C">
        <w:rPr>
          <w:rFonts w:ascii="Times New Roman" w:eastAsia="Calibri" w:hAnsi="Times New Roman" w:cs="Times New Roman"/>
          <w:color w:val="4C4747"/>
          <w:spacing w:val="20"/>
          <w:sz w:val="24"/>
          <w:szCs w:val="24"/>
          <w:lang w:val="es-DO"/>
        </w:rPr>
        <w:t>esempeño de colaboradores elaborados bajo los lineamientos establecidos por el Ministerio de Administración Pública</w:t>
      </w:r>
      <w:r w:rsidRPr="00CF7E5C">
        <w:rPr>
          <w:rFonts w:ascii="Times New Roman" w:eastAsia="Calibri" w:hAnsi="Times New Roman" w:cs="Times New Roman"/>
          <w:color w:val="4C4747"/>
          <w:spacing w:val="20"/>
          <w:sz w:val="24"/>
          <w:szCs w:val="24"/>
          <w:lang w:val="es-DO"/>
        </w:rPr>
        <w:t>,</w:t>
      </w:r>
      <w:r w:rsidR="00C356F0" w:rsidRPr="00CF7E5C">
        <w:rPr>
          <w:rFonts w:ascii="Times New Roman" w:eastAsia="Calibri" w:hAnsi="Times New Roman" w:cs="Times New Roman"/>
          <w:color w:val="4C4747"/>
          <w:spacing w:val="20"/>
          <w:sz w:val="24"/>
          <w:szCs w:val="24"/>
          <w:lang w:val="es-DO"/>
        </w:rPr>
        <w:t xml:space="preserve"> MAP.</w:t>
      </w:r>
    </w:p>
    <w:p w14:paraId="60C82424" w14:textId="77777777" w:rsidR="00C356F0" w:rsidRPr="00CF7E5C" w:rsidRDefault="00C356F0" w:rsidP="00CF7E5C">
      <w:p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Levantamiento de estadísticas  de colaboradores por grupo ocupacional y sexo:</w:t>
      </w:r>
    </w:p>
    <w:p w14:paraId="76E418EE" w14:textId="77777777" w:rsidR="003D5694" w:rsidRDefault="003D5694" w:rsidP="003D5694">
      <w:pPr>
        <w:spacing w:line="360" w:lineRule="auto"/>
        <w:jc w:val="both"/>
        <w:rPr>
          <w:rFonts w:ascii="Times New Roman" w:eastAsia="Calibri" w:hAnsi="Times New Roman" w:cs="Times New Roman"/>
          <w:color w:val="767171"/>
          <w:spacing w:val="20"/>
          <w:sz w:val="24"/>
          <w:szCs w:val="24"/>
          <w:lang w:val="es-DO"/>
        </w:rPr>
      </w:pPr>
    </w:p>
    <w:p w14:paraId="7A709F14" w14:textId="77777777" w:rsidR="00F65C89" w:rsidRDefault="00F65C89" w:rsidP="003D5694">
      <w:pPr>
        <w:spacing w:line="360" w:lineRule="auto"/>
        <w:jc w:val="both"/>
        <w:rPr>
          <w:rFonts w:ascii="Times New Roman" w:eastAsia="Calibri" w:hAnsi="Times New Roman" w:cs="Times New Roman"/>
          <w:color w:val="767171"/>
          <w:spacing w:val="20"/>
          <w:sz w:val="24"/>
          <w:szCs w:val="24"/>
          <w:lang w:val="es-DO"/>
        </w:rPr>
      </w:pPr>
    </w:p>
    <w:p w14:paraId="4D93C4A4" w14:textId="77777777" w:rsidR="00F65C89" w:rsidRDefault="00F65C89" w:rsidP="003D5694">
      <w:pPr>
        <w:spacing w:line="360" w:lineRule="auto"/>
        <w:jc w:val="both"/>
        <w:rPr>
          <w:rFonts w:ascii="Times New Roman" w:eastAsia="Calibri" w:hAnsi="Times New Roman" w:cs="Times New Roman"/>
          <w:color w:val="767171"/>
          <w:spacing w:val="20"/>
          <w:sz w:val="24"/>
          <w:szCs w:val="24"/>
          <w:lang w:val="es-DO"/>
        </w:rPr>
      </w:pPr>
    </w:p>
    <w:p w14:paraId="38EBA384" w14:textId="77777777" w:rsidR="00F65C89" w:rsidRDefault="00F65C89" w:rsidP="003D5694">
      <w:pPr>
        <w:spacing w:line="360" w:lineRule="auto"/>
        <w:jc w:val="both"/>
        <w:rPr>
          <w:rFonts w:ascii="Times New Roman" w:eastAsia="Calibri" w:hAnsi="Times New Roman" w:cs="Times New Roman"/>
          <w:color w:val="767171"/>
          <w:spacing w:val="20"/>
          <w:sz w:val="24"/>
          <w:szCs w:val="24"/>
          <w:lang w:val="es-DO"/>
        </w:rPr>
      </w:pPr>
    </w:p>
    <w:p w14:paraId="42ECD3EC" w14:textId="77777777" w:rsidR="00F65C89" w:rsidRDefault="00F65C89" w:rsidP="003D5694">
      <w:pPr>
        <w:spacing w:line="360" w:lineRule="auto"/>
        <w:jc w:val="both"/>
        <w:rPr>
          <w:rFonts w:ascii="Times New Roman" w:eastAsia="Calibri" w:hAnsi="Times New Roman" w:cs="Times New Roman"/>
          <w:color w:val="767171"/>
          <w:spacing w:val="20"/>
          <w:sz w:val="24"/>
          <w:szCs w:val="24"/>
          <w:lang w:val="es-DO"/>
        </w:rPr>
      </w:pPr>
    </w:p>
    <w:p w14:paraId="128ADDD4" w14:textId="77777777" w:rsidR="00F65C89" w:rsidRDefault="00F65C89" w:rsidP="003D5694">
      <w:pPr>
        <w:spacing w:line="360" w:lineRule="auto"/>
        <w:jc w:val="both"/>
        <w:rPr>
          <w:rFonts w:ascii="Times New Roman" w:eastAsia="Calibri" w:hAnsi="Times New Roman" w:cs="Times New Roman"/>
          <w:color w:val="767171"/>
          <w:spacing w:val="20"/>
          <w:sz w:val="24"/>
          <w:szCs w:val="24"/>
          <w:lang w:val="es-DO"/>
        </w:rPr>
      </w:pPr>
    </w:p>
    <w:tbl>
      <w:tblPr>
        <w:tblW w:w="6856" w:type="dxa"/>
        <w:tblCellMar>
          <w:top w:w="15" w:type="dxa"/>
          <w:bottom w:w="15" w:type="dxa"/>
        </w:tblCellMar>
        <w:tblLook w:val="04A0" w:firstRow="1" w:lastRow="0" w:firstColumn="1" w:lastColumn="0" w:noHBand="0" w:noVBand="1"/>
      </w:tblPr>
      <w:tblGrid>
        <w:gridCol w:w="3874"/>
        <w:gridCol w:w="1336"/>
        <w:gridCol w:w="1410"/>
        <w:gridCol w:w="1243"/>
      </w:tblGrid>
      <w:tr w:rsidR="003D5694" w:rsidRPr="00376423" w14:paraId="57281CAC" w14:textId="77777777" w:rsidTr="00A4233F">
        <w:trPr>
          <w:trHeight w:val="285"/>
        </w:trPr>
        <w:tc>
          <w:tcPr>
            <w:tcW w:w="6856" w:type="dxa"/>
            <w:gridSpan w:val="4"/>
            <w:tcBorders>
              <w:top w:val="nil"/>
              <w:left w:val="single" w:sz="4" w:space="0" w:color="auto"/>
              <w:bottom w:val="nil"/>
              <w:right w:val="nil"/>
            </w:tcBorders>
            <w:shd w:val="clear" w:color="auto" w:fill="002060"/>
            <w:noWrap/>
            <w:vAlign w:val="bottom"/>
            <w:hideMark/>
          </w:tcPr>
          <w:p w14:paraId="28015BB6" w14:textId="77777777" w:rsidR="003D5694" w:rsidRPr="003D5694" w:rsidRDefault="003D5694" w:rsidP="003D5694">
            <w:pPr>
              <w:spacing w:after="0" w:line="240" w:lineRule="auto"/>
              <w:jc w:val="center"/>
              <w:rPr>
                <w:rFonts w:ascii="Times New Roman" w:eastAsia="Calibri" w:hAnsi="Times New Roman" w:cs="Times New Roman"/>
                <w:color w:val="FFFFFF" w:themeColor="background1"/>
                <w:spacing w:val="20"/>
                <w:sz w:val="24"/>
                <w:szCs w:val="24"/>
                <w:lang w:val="es-DO"/>
              </w:rPr>
            </w:pPr>
            <w:r w:rsidRPr="003D5694">
              <w:rPr>
                <w:rFonts w:ascii="Times New Roman" w:eastAsia="Calibri" w:hAnsi="Times New Roman" w:cs="Times New Roman"/>
                <w:color w:val="FFFFFF" w:themeColor="background1"/>
                <w:spacing w:val="20"/>
                <w:sz w:val="24"/>
                <w:szCs w:val="24"/>
                <w:lang w:val="es-DO"/>
              </w:rPr>
              <w:lastRenderedPageBreak/>
              <w:t>Reporte hasta el 30 de noviembre 2022</w:t>
            </w:r>
          </w:p>
        </w:tc>
      </w:tr>
      <w:tr w:rsidR="003D5694" w:rsidRPr="003D5694" w14:paraId="2E1994BA"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38E0DE3B" w14:textId="77777777" w:rsidR="003D5694" w:rsidRPr="003D5694" w:rsidRDefault="003D5694" w:rsidP="003D5694">
            <w:pPr>
              <w:spacing w:after="0" w:line="240" w:lineRule="auto"/>
              <w:jc w:val="center"/>
              <w:rPr>
                <w:rFonts w:ascii="Times New Roman" w:eastAsia="Calibri" w:hAnsi="Times New Roman" w:cs="Times New Roman"/>
                <w:color w:val="FFFFFF" w:themeColor="background1"/>
                <w:spacing w:val="20"/>
                <w:sz w:val="24"/>
                <w:szCs w:val="24"/>
                <w:lang w:val="es-DO"/>
              </w:rPr>
            </w:pPr>
            <w:r w:rsidRPr="003D5694">
              <w:rPr>
                <w:rFonts w:ascii="Times New Roman" w:eastAsia="Calibri" w:hAnsi="Times New Roman" w:cs="Times New Roman"/>
                <w:color w:val="FFFFFF" w:themeColor="background1"/>
                <w:spacing w:val="20"/>
                <w:sz w:val="24"/>
                <w:szCs w:val="24"/>
                <w:lang w:val="es-DO"/>
              </w:rPr>
              <w:t>Grupo ocupacional</w:t>
            </w:r>
          </w:p>
        </w:tc>
        <w:tc>
          <w:tcPr>
            <w:tcW w:w="1336"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25BA5EEB" w14:textId="77777777" w:rsidR="003D5694" w:rsidRPr="003D5694" w:rsidRDefault="003D5694" w:rsidP="003D5694">
            <w:pPr>
              <w:spacing w:after="0" w:line="240" w:lineRule="auto"/>
              <w:jc w:val="center"/>
              <w:rPr>
                <w:rFonts w:ascii="Times New Roman" w:eastAsia="Calibri" w:hAnsi="Times New Roman" w:cs="Times New Roman"/>
                <w:color w:val="FFFFFF" w:themeColor="background1"/>
                <w:spacing w:val="20"/>
                <w:sz w:val="24"/>
                <w:szCs w:val="24"/>
                <w:lang w:val="es-DO"/>
              </w:rPr>
            </w:pPr>
            <w:r w:rsidRPr="003D5694">
              <w:rPr>
                <w:rFonts w:ascii="Times New Roman" w:eastAsia="Calibri" w:hAnsi="Times New Roman" w:cs="Times New Roman"/>
                <w:color w:val="FFFFFF" w:themeColor="background1"/>
                <w:spacing w:val="20"/>
                <w:sz w:val="24"/>
                <w:szCs w:val="24"/>
                <w:lang w:val="es-DO"/>
              </w:rPr>
              <w:t>Femenino</w:t>
            </w:r>
          </w:p>
        </w:tc>
        <w:tc>
          <w:tcPr>
            <w:tcW w:w="1410"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9D81CE8" w14:textId="77777777" w:rsidR="003D5694" w:rsidRPr="003D5694" w:rsidRDefault="003D5694" w:rsidP="003D5694">
            <w:pPr>
              <w:spacing w:after="0" w:line="240" w:lineRule="auto"/>
              <w:jc w:val="center"/>
              <w:rPr>
                <w:rFonts w:ascii="Times New Roman" w:eastAsia="Calibri" w:hAnsi="Times New Roman" w:cs="Times New Roman"/>
                <w:color w:val="FFFFFF" w:themeColor="background1"/>
                <w:spacing w:val="20"/>
                <w:sz w:val="24"/>
                <w:szCs w:val="24"/>
                <w:lang w:val="es-DO"/>
              </w:rPr>
            </w:pPr>
            <w:r w:rsidRPr="003D5694">
              <w:rPr>
                <w:rFonts w:ascii="Times New Roman" w:eastAsia="Calibri" w:hAnsi="Times New Roman" w:cs="Times New Roman"/>
                <w:color w:val="FFFFFF" w:themeColor="background1"/>
                <w:spacing w:val="20"/>
                <w:sz w:val="24"/>
                <w:szCs w:val="24"/>
                <w:lang w:val="es-DO"/>
              </w:rPr>
              <w:t>Masculino</w:t>
            </w:r>
          </w:p>
        </w:tc>
        <w:tc>
          <w:tcPr>
            <w:tcW w:w="236" w:type="dxa"/>
            <w:tcBorders>
              <w:top w:val="single" w:sz="4" w:space="0" w:color="auto"/>
              <w:left w:val="single" w:sz="4" w:space="0" w:color="auto"/>
              <w:bottom w:val="single" w:sz="4" w:space="0" w:color="auto"/>
              <w:right w:val="single" w:sz="4" w:space="0" w:color="auto"/>
            </w:tcBorders>
            <w:shd w:val="clear" w:color="auto" w:fill="002060"/>
            <w:noWrap/>
            <w:vAlign w:val="bottom"/>
            <w:hideMark/>
          </w:tcPr>
          <w:p w14:paraId="72D9F1AE" w14:textId="77777777" w:rsidR="003D5694" w:rsidRPr="003D5694" w:rsidRDefault="003D5694" w:rsidP="003D5694">
            <w:pPr>
              <w:spacing w:after="0" w:line="240" w:lineRule="auto"/>
              <w:jc w:val="center"/>
              <w:rPr>
                <w:rFonts w:ascii="Times New Roman" w:eastAsia="Calibri" w:hAnsi="Times New Roman" w:cs="Times New Roman"/>
                <w:color w:val="FFFFFF" w:themeColor="background1"/>
                <w:spacing w:val="20"/>
                <w:sz w:val="24"/>
                <w:szCs w:val="24"/>
                <w:lang w:val="es-DO"/>
              </w:rPr>
            </w:pPr>
            <w:r w:rsidRPr="003D5694">
              <w:rPr>
                <w:rFonts w:ascii="Times New Roman" w:eastAsia="Calibri" w:hAnsi="Times New Roman" w:cs="Times New Roman"/>
                <w:color w:val="FFFFFF" w:themeColor="background1"/>
                <w:spacing w:val="20"/>
                <w:sz w:val="24"/>
                <w:szCs w:val="24"/>
                <w:lang w:val="es-DO"/>
              </w:rPr>
              <w:t>Cantidad</w:t>
            </w:r>
          </w:p>
        </w:tc>
      </w:tr>
      <w:tr w:rsidR="003D5694" w:rsidRPr="003D5694" w14:paraId="373F6C91"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266B686E" w14:textId="3300B50D"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Apoyo administrativo</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01921B08"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88</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5D23B7EE"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61</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3E53FDE1"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149</w:t>
            </w:r>
          </w:p>
        </w:tc>
      </w:tr>
      <w:tr w:rsidR="003D5694" w:rsidRPr="003D5694" w14:paraId="230A4085"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1734C9A0" w14:textId="3DF3DF3E"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Dirección</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5F27B585"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35</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116BAA94"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37</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6A7B9B86"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72</w:t>
            </w:r>
          </w:p>
        </w:tc>
      </w:tr>
      <w:tr w:rsidR="003D5694" w:rsidRPr="003D5694" w14:paraId="38650978"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5B59E3D0" w14:textId="4DC5DF02"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Grupo ocupacional no asignado</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228596EE"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79FBDF4E"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4EB2B20A"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w:t>
            </w:r>
          </w:p>
        </w:tc>
      </w:tr>
      <w:tr w:rsidR="003D5694" w:rsidRPr="003D5694" w14:paraId="769FF09D"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17290049" w14:textId="687E3D81"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Profesionales</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1AFCB322"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154</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6B70E52F"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135</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65152100"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289</w:t>
            </w:r>
          </w:p>
        </w:tc>
      </w:tr>
      <w:tr w:rsidR="003D5694" w:rsidRPr="003D5694" w14:paraId="6C86B028"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70DE9B49" w14:textId="7E51E05E"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Servicios generales</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26F84139"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33</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1CEAEB5F"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50</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7B544FCF"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83</w:t>
            </w:r>
          </w:p>
        </w:tc>
      </w:tr>
      <w:tr w:rsidR="003D5694" w:rsidRPr="003D5694" w14:paraId="307EB83A"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0620E765" w14:textId="3B5F5B1D"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Técnicos</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3759C0B8"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09432113"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27</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6F587B4A"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29</w:t>
            </w:r>
          </w:p>
        </w:tc>
      </w:tr>
      <w:tr w:rsidR="003D5694" w:rsidRPr="003D5694" w14:paraId="5080D46B" w14:textId="77777777" w:rsidTr="00A4233F">
        <w:trPr>
          <w:trHeight w:val="285"/>
        </w:trPr>
        <w:tc>
          <w:tcPr>
            <w:tcW w:w="3874" w:type="dxa"/>
            <w:tcBorders>
              <w:top w:val="single" w:sz="4" w:space="0" w:color="auto"/>
              <w:left w:val="single" w:sz="4" w:space="0" w:color="auto"/>
              <w:bottom w:val="single" w:sz="4" w:space="0" w:color="auto"/>
              <w:right w:val="single" w:sz="4" w:space="0" w:color="auto"/>
            </w:tcBorders>
            <w:noWrap/>
            <w:vAlign w:val="bottom"/>
            <w:hideMark/>
          </w:tcPr>
          <w:p w14:paraId="086E43BE" w14:textId="77777777" w:rsidR="003D5694" w:rsidRPr="00C62BB6" w:rsidRDefault="003D5694" w:rsidP="005A11A8">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Total</w:t>
            </w:r>
          </w:p>
        </w:tc>
        <w:tc>
          <w:tcPr>
            <w:tcW w:w="1336" w:type="dxa"/>
            <w:tcBorders>
              <w:top w:val="single" w:sz="4" w:space="0" w:color="auto"/>
              <w:left w:val="single" w:sz="4" w:space="0" w:color="auto"/>
              <w:bottom w:val="single" w:sz="4" w:space="0" w:color="auto"/>
              <w:right w:val="single" w:sz="4" w:space="0" w:color="auto"/>
            </w:tcBorders>
            <w:noWrap/>
            <w:vAlign w:val="bottom"/>
            <w:hideMark/>
          </w:tcPr>
          <w:p w14:paraId="09298C1F"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313</w:t>
            </w:r>
          </w:p>
        </w:tc>
        <w:tc>
          <w:tcPr>
            <w:tcW w:w="1410" w:type="dxa"/>
            <w:tcBorders>
              <w:top w:val="single" w:sz="4" w:space="0" w:color="auto"/>
              <w:left w:val="single" w:sz="4" w:space="0" w:color="auto"/>
              <w:bottom w:val="single" w:sz="4" w:space="0" w:color="auto"/>
              <w:right w:val="single" w:sz="4" w:space="0" w:color="auto"/>
            </w:tcBorders>
            <w:noWrap/>
            <w:vAlign w:val="bottom"/>
            <w:hideMark/>
          </w:tcPr>
          <w:p w14:paraId="19F1284D"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314</w:t>
            </w:r>
          </w:p>
        </w:tc>
        <w:tc>
          <w:tcPr>
            <w:tcW w:w="236" w:type="dxa"/>
            <w:tcBorders>
              <w:top w:val="single" w:sz="4" w:space="0" w:color="auto"/>
              <w:left w:val="single" w:sz="4" w:space="0" w:color="auto"/>
              <w:bottom w:val="single" w:sz="4" w:space="0" w:color="auto"/>
              <w:right w:val="single" w:sz="4" w:space="0" w:color="auto"/>
            </w:tcBorders>
            <w:noWrap/>
            <w:vAlign w:val="bottom"/>
            <w:hideMark/>
          </w:tcPr>
          <w:p w14:paraId="53A3DDCD" w14:textId="77777777" w:rsidR="003D5694" w:rsidRPr="00C62BB6" w:rsidRDefault="003D5694" w:rsidP="005A11A8">
            <w:pPr>
              <w:spacing w:after="0" w:line="360" w:lineRule="auto"/>
              <w:jc w:val="right"/>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627</w:t>
            </w:r>
          </w:p>
        </w:tc>
      </w:tr>
    </w:tbl>
    <w:p w14:paraId="25E99AA1" w14:textId="77777777" w:rsidR="00C356F0" w:rsidRPr="00C62BB6" w:rsidRDefault="00C356F0" w:rsidP="003D5694">
      <w:pPr>
        <w:pStyle w:val="Prrafodelista"/>
        <w:spacing w:before="240" w:line="360" w:lineRule="auto"/>
        <w:ind w:left="0"/>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Dirección de Gestión Humana, Sistema Gazella.</w:t>
      </w:r>
    </w:p>
    <w:p w14:paraId="0DDDCE96" w14:textId="129E36AF" w:rsidR="00C356F0" w:rsidRPr="00C62BB6" w:rsidRDefault="00AF0C58" w:rsidP="003D5694">
      <w:pPr>
        <w:spacing w:before="24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Se ha</w:t>
      </w:r>
      <w:r w:rsidR="00C356F0" w:rsidRPr="00C62BB6">
        <w:rPr>
          <w:rFonts w:ascii="Times New Roman" w:eastAsia="Calibri" w:hAnsi="Times New Roman" w:cs="Times New Roman"/>
          <w:color w:val="4C4747"/>
          <w:spacing w:val="20"/>
          <w:sz w:val="24"/>
          <w:szCs w:val="24"/>
          <w:lang w:val="es-DO"/>
        </w:rPr>
        <w:t xml:space="preserve"> propuesto la regularización, actualización y elaboración de las políticas </w:t>
      </w:r>
      <w:r w:rsidRPr="00C62BB6">
        <w:rPr>
          <w:rFonts w:ascii="Times New Roman" w:eastAsia="Calibri" w:hAnsi="Times New Roman" w:cs="Times New Roman"/>
          <w:color w:val="4C4747"/>
          <w:spacing w:val="20"/>
          <w:sz w:val="24"/>
          <w:szCs w:val="24"/>
          <w:lang w:val="es-DO"/>
        </w:rPr>
        <w:t>y procedimientos institucional</w:t>
      </w:r>
      <w:r w:rsidR="00D9747B" w:rsidRPr="00C62BB6">
        <w:rPr>
          <w:rFonts w:ascii="Times New Roman" w:eastAsia="Calibri" w:hAnsi="Times New Roman" w:cs="Times New Roman"/>
          <w:color w:val="4C4747"/>
          <w:spacing w:val="20"/>
          <w:sz w:val="24"/>
          <w:szCs w:val="24"/>
          <w:lang w:val="es-DO"/>
        </w:rPr>
        <w:t>es</w:t>
      </w:r>
      <w:r w:rsidRPr="00C62BB6">
        <w:rPr>
          <w:rFonts w:ascii="Times New Roman" w:eastAsia="Calibri" w:hAnsi="Times New Roman" w:cs="Times New Roman"/>
          <w:color w:val="4C4747"/>
          <w:spacing w:val="20"/>
          <w:sz w:val="24"/>
          <w:szCs w:val="24"/>
          <w:lang w:val="es-DO"/>
        </w:rPr>
        <w:t xml:space="preserve">. </w:t>
      </w:r>
      <w:r w:rsidR="00C356F0" w:rsidRPr="00C62BB6">
        <w:rPr>
          <w:rFonts w:ascii="Times New Roman" w:eastAsia="Calibri" w:hAnsi="Times New Roman" w:cs="Times New Roman"/>
          <w:color w:val="4C4747"/>
          <w:spacing w:val="20"/>
          <w:sz w:val="24"/>
          <w:szCs w:val="24"/>
          <w:lang w:val="es-DO"/>
        </w:rPr>
        <w:t xml:space="preserve">Dentro de las actualizaciones </w:t>
      </w:r>
      <w:r w:rsidRPr="00C62BB6">
        <w:rPr>
          <w:rFonts w:ascii="Times New Roman" w:eastAsia="Calibri" w:hAnsi="Times New Roman" w:cs="Times New Roman"/>
          <w:color w:val="4C4747"/>
          <w:spacing w:val="20"/>
          <w:sz w:val="24"/>
          <w:szCs w:val="24"/>
          <w:lang w:val="es-DO"/>
        </w:rPr>
        <w:t>se tiene</w:t>
      </w:r>
      <w:r w:rsidR="00C356F0" w:rsidRPr="00C62BB6">
        <w:rPr>
          <w:rFonts w:ascii="Times New Roman" w:eastAsia="Calibri" w:hAnsi="Times New Roman" w:cs="Times New Roman"/>
          <w:color w:val="4C4747"/>
          <w:spacing w:val="20"/>
          <w:sz w:val="24"/>
          <w:szCs w:val="24"/>
          <w:lang w:val="es-DO"/>
        </w:rPr>
        <w:t xml:space="preserve"> las siguientes: ochos políticas </w:t>
      </w:r>
      <w:r w:rsidRPr="00C62BB6">
        <w:rPr>
          <w:rFonts w:ascii="Times New Roman" w:eastAsia="Calibri" w:hAnsi="Times New Roman" w:cs="Times New Roman"/>
          <w:color w:val="4C4747"/>
          <w:spacing w:val="20"/>
          <w:sz w:val="24"/>
          <w:szCs w:val="24"/>
          <w:lang w:val="es-DO"/>
        </w:rPr>
        <w:t>y</w:t>
      </w:r>
      <w:r w:rsidR="00C356F0" w:rsidRPr="00C62BB6">
        <w:rPr>
          <w:rFonts w:ascii="Times New Roman" w:eastAsia="Calibri" w:hAnsi="Times New Roman" w:cs="Times New Roman"/>
          <w:color w:val="4C4747"/>
          <w:spacing w:val="20"/>
          <w:sz w:val="24"/>
          <w:szCs w:val="24"/>
          <w:lang w:val="es-DO"/>
        </w:rPr>
        <w:t xml:space="preserve"> </w:t>
      </w:r>
      <w:r w:rsidR="00D9747B" w:rsidRPr="00C62BB6">
        <w:rPr>
          <w:rFonts w:ascii="Times New Roman" w:eastAsia="Calibri" w:hAnsi="Times New Roman" w:cs="Times New Roman"/>
          <w:color w:val="4C4747"/>
          <w:spacing w:val="20"/>
          <w:sz w:val="24"/>
          <w:szCs w:val="24"/>
          <w:lang w:val="es-DO"/>
        </w:rPr>
        <w:t xml:space="preserve">siete </w:t>
      </w:r>
      <w:r w:rsidR="00C356F0" w:rsidRPr="00C62BB6">
        <w:rPr>
          <w:rFonts w:ascii="Times New Roman" w:eastAsia="Calibri" w:hAnsi="Times New Roman" w:cs="Times New Roman"/>
          <w:color w:val="4C4747"/>
          <w:spacing w:val="20"/>
          <w:sz w:val="24"/>
          <w:szCs w:val="24"/>
          <w:lang w:val="es-DO"/>
        </w:rPr>
        <w:t xml:space="preserve"> procedimientos.</w:t>
      </w:r>
    </w:p>
    <w:p w14:paraId="114AF788" w14:textId="196B59C2" w:rsidR="00C356F0" w:rsidRPr="00C62BB6" w:rsidRDefault="0056687C" w:rsidP="00C356F0">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Políticas</w:t>
      </w:r>
    </w:p>
    <w:p w14:paraId="0406E83D" w14:textId="34F4C135" w:rsidR="00C356F0" w:rsidRPr="00CF7E5C" w:rsidRDefault="00AF0C58"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 a</w:t>
      </w:r>
      <w:r w:rsidR="00524306" w:rsidRPr="00CF7E5C">
        <w:rPr>
          <w:rFonts w:ascii="Times New Roman" w:eastAsia="Calibri" w:hAnsi="Times New Roman" w:cs="Times New Roman"/>
          <w:color w:val="4C4747"/>
          <w:spacing w:val="20"/>
          <w:sz w:val="24"/>
          <w:szCs w:val="24"/>
          <w:lang w:val="es-DO"/>
        </w:rPr>
        <w:t>dmisión y selección</w:t>
      </w:r>
    </w:p>
    <w:p w14:paraId="180818BF" w14:textId="2CA4E014" w:rsidR="00C356F0" w:rsidRPr="00CF7E5C" w:rsidRDefault="00AF0C58"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 e</w:t>
      </w:r>
      <w:r w:rsidR="00524306" w:rsidRPr="00CF7E5C">
        <w:rPr>
          <w:rFonts w:ascii="Times New Roman" w:eastAsia="Calibri" w:hAnsi="Times New Roman" w:cs="Times New Roman"/>
          <w:color w:val="4C4747"/>
          <w:spacing w:val="20"/>
          <w:sz w:val="24"/>
          <w:szCs w:val="24"/>
          <w:lang w:val="es-DO"/>
        </w:rPr>
        <w:t>valuación del desempeño</w:t>
      </w:r>
    </w:p>
    <w:p w14:paraId="09AA0DCA" w14:textId="4C35203A" w:rsidR="00C356F0" w:rsidRPr="00CF7E5C" w:rsidRDefault="00C356F0"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Política terminación relación laboral </w:t>
      </w:r>
    </w:p>
    <w:p w14:paraId="5BDFACE9" w14:textId="474CE223" w:rsidR="00C356F0" w:rsidRPr="00CF7E5C" w:rsidRDefault="006C7929"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w:t>
      </w:r>
      <w:r w:rsidR="00C356F0" w:rsidRPr="00CF7E5C">
        <w:rPr>
          <w:rFonts w:ascii="Times New Roman" w:eastAsia="Calibri" w:hAnsi="Times New Roman" w:cs="Times New Roman"/>
          <w:color w:val="4C4747"/>
          <w:spacing w:val="20"/>
          <w:sz w:val="24"/>
          <w:szCs w:val="24"/>
          <w:lang w:val="es-DO"/>
        </w:rPr>
        <w:t xml:space="preserve"> de complemento alimenticio </w:t>
      </w:r>
    </w:p>
    <w:p w14:paraId="2EF95F21" w14:textId="7D5F590A" w:rsidR="00C356F0" w:rsidRPr="00CF7E5C" w:rsidRDefault="006C7929"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w:t>
      </w:r>
      <w:r w:rsidR="00653B74" w:rsidRPr="00CF7E5C">
        <w:rPr>
          <w:rFonts w:ascii="Times New Roman" w:eastAsia="Calibri" w:hAnsi="Times New Roman" w:cs="Times New Roman"/>
          <w:color w:val="4C4747"/>
          <w:spacing w:val="20"/>
          <w:sz w:val="24"/>
          <w:szCs w:val="24"/>
          <w:lang w:val="es-DO"/>
        </w:rPr>
        <w:t xml:space="preserve"> </w:t>
      </w:r>
      <w:r w:rsidR="00C356F0" w:rsidRPr="00CF7E5C">
        <w:rPr>
          <w:rFonts w:ascii="Times New Roman" w:eastAsia="Calibri" w:hAnsi="Times New Roman" w:cs="Times New Roman"/>
          <w:color w:val="4C4747"/>
          <w:spacing w:val="20"/>
          <w:sz w:val="24"/>
          <w:szCs w:val="24"/>
          <w:lang w:val="es-DO"/>
        </w:rPr>
        <w:t xml:space="preserve">Permisos y licencias </w:t>
      </w:r>
    </w:p>
    <w:p w14:paraId="2210DC90" w14:textId="4F02C856" w:rsidR="00653B74" w:rsidRPr="00CF7E5C" w:rsidRDefault="006C7929"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w:t>
      </w:r>
      <w:r w:rsidR="00653B74" w:rsidRPr="00CF7E5C">
        <w:rPr>
          <w:rFonts w:ascii="Times New Roman" w:eastAsia="Calibri" w:hAnsi="Times New Roman" w:cs="Times New Roman"/>
          <w:color w:val="4C4747"/>
          <w:spacing w:val="20"/>
          <w:sz w:val="24"/>
          <w:szCs w:val="24"/>
          <w:lang w:val="es-DO"/>
        </w:rPr>
        <w:t xml:space="preserve"> subsidio estudiantil para hijos/as hijastros/as niños tutelados y colaboradores</w:t>
      </w:r>
    </w:p>
    <w:p w14:paraId="7326E783" w14:textId="39AA2844" w:rsidR="00C356F0" w:rsidRPr="00CF7E5C" w:rsidRDefault="006C7929"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w:t>
      </w:r>
      <w:r w:rsidR="00524306" w:rsidRPr="00CF7E5C">
        <w:rPr>
          <w:rFonts w:ascii="Times New Roman" w:eastAsia="Calibri" w:hAnsi="Times New Roman" w:cs="Times New Roman"/>
          <w:color w:val="4C4747"/>
          <w:spacing w:val="20"/>
          <w:sz w:val="24"/>
          <w:szCs w:val="24"/>
          <w:lang w:val="es-DO"/>
        </w:rPr>
        <w:t xml:space="preserve"> </w:t>
      </w:r>
      <w:r w:rsidR="00653B74" w:rsidRPr="00CF7E5C">
        <w:rPr>
          <w:rFonts w:ascii="Times New Roman" w:eastAsia="Calibri" w:hAnsi="Times New Roman" w:cs="Times New Roman"/>
          <w:color w:val="4C4747"/>
          <w:spacing w:val="20"/>
          <w:sz w:val="24"/>
          <w:szCs w:val="24"/>
          <w:lang w:val="es-DO"/>
        </w:rPr>
        <w:t>i</w:t>
      </w:r>
      <w:r w:rsidR="00C356F0" w:rsidRPr="00CF7E5C">
        <w:rPr>
          <w:rFonts w:ascii="Times New Roman" w:eastAsia="Calibri" w:hAnsi="Times New Roman" w:cs="Times New Roman"/>
          <w:color w:val="4C4747"/>
          <w:spacing w:val="20"/>
          <w:sz w:val="24"/>
          <w:szCs w:val="24"/>
          <w:lang w:val="es-DO"/>
        </w:rPr>
        <w:t xml:space="preserve">ncentivo por desempeño </w:t>
      </w:r>
    </w:p>
    <w:p w14:paraId="03521931" w14:textId="1885D98E" w:rsidR="0056687C" w:rsidRPr="00CF7E5C" w:rsidRDefault="006C7929" w:rsidP="00A02BDE">
      <w:pPr>
        <w:pStyle w:val="Prrafodelista"/>
        <w:numPr>
          <w:ilvl w:val="0"/>
          <w:numId w:val="46"/>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Política</w:t>
      </w:r>
      <w:r w:rsidR="00524306" w:rsidRPr="00CF7E5C">
        <w:rPr>
          <w:rFonts w:ascii="Times New Roman" w:eastAsia="Calibri" w:hAnsi="Times New Roman" w:cs="Times New Roman"/>
          <w:color w:val="4C4747"/>
          <w:spacing w:val="20"/>
          <w:sz w:val="24"/>
          <w:szCs w:val="24"/>
          <w:lang w:val="es-DO"/>
        </w:rPr>
        <w:t xml:space="preserve"> p</w:t>
      </w:r>
      <w:r w:rsidR="003D5694" w:rsidRPr="00CF7E5C">
        <w:rPr>
          <w:rFonts w:ascii="Times New Roman" w:eastAsia="Calibri" w:hAnsi="Times New Roman" w:cs="Times New Roman"/>
          <w:color w:val="4C4747"/>
          <w:spacing w:val="20"/>
          <w:sz w:val="24"/>
          <w:szCs w:val="24"/>
          <w:lang w:val="es-DO"/>
        </w:rPr>
        <w:t>rogramas de pasantía</w:t>
      </w:r>
    </w:p>
    <w:p w14:paraId="473BEDED" w14:textId="4E3FDEC5" w:rsidR="00C356F0" w:rsidRPr="00C62BB6" w:rsidRDefault="0056687C" w:rsidP="003D5694">
      <w:pPr>
        <w:spacing w:before="240"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Procedimientos </w:t>
      </w:r>
    </w:p>
    <w:p w14:paraId="61237C68" w14:textId="34AEA363" w:rsidR="00C356F0" w:rsidRPr="00CF7E5C" w:rsidRDefault="00C356F0"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Procedimiento entorno y clima organizacional  </w:t>
      </w:r>
    </w:p>
    <w:p w14:paraId="29687D6C" w14:textId="2ABEECA6" w:rsidR="00C356F0" w:rsidRPr="00CF7E5C" w:rsidRDefault="00C356F0"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Procedimiento afiliación de los colaboradores a los seguros </w:t>
      </w:r>
    </w:p>
    <w:p w14:paraId="28A05155" w14:textId="7989746B" w:rsidR="00C356F0" w:rsidRPr="00CF7E5C" w:rsidRDefault="00C356F0"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lastRenderedPageBreak/>
        <w:t xml:space="preserve">Procedimiento solicitud de certificaciones laborales </w:t>
      </w:r>
    </w:p>
    <w:p w14:paraId="295CED17" w14:textId="29441E17" w:rsidR="00C356F0" w:rsidRPr="00CF7E5C" w:rsidRDefault="00C356F0"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Procedimiento solicitud y aprobación de vacaciones</w:t>
      </w:r>
    </w:p>
    <w:p w14:paraId="6D006292" w14:textId="35431D84" w:rsidR="00C356F0" w:rsidRPr="00CF7E5C" w:rsidRDefault="00C356F0"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Procedimiento de admisión y selección </w:t>
      </w:r>
    </w:p>
    <w:p w14:paraId="42D2655D" w14:textId="6AD01D87" w:rsidR="00C356F0" w:rsidRPr="00CF7E5C" w:rsidRDefault="00C356F0"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Procedimiento de preparación y pago de la nomina </w:t>
      </w:r>
    </w:p>
    <w:p w14:paraId="1C877109" w14:textId="4D09B64F" w:rsidR="00C356F0" w:rsidRPr="00CF7E5C" w:rsidRDefault="00D9747B" w:rsidP="00A02BDE">
      <w:pPr>
        <w:pStyle w:val="Prrafodelista"/>
        <w:numPr>
          <w:ilvl w:val="0"/>
          <w:numId w:val="47"/>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Procedimiento c</w:t>
      </w:r>
      <w:r w:rsidR="00C356F0" w:rsidRPr="00CF7E5C">
        <w:rPr>
          <w:rFonts w:ascii="Times New Roman" w:eastAsia="Calibri" w:hAnsi="Times New Roman" w:cs="Times New Roman"/>
          <w:color w:val="4C4747"/>
          <w:spacing w:val="20"/>
          <w:sz w:val="24"/>
          <w:szCs w:val="24"/>
          <w:lang w:val="es-DO"/>
        </w:rPr>
        <w:t xml:space="preserve">ustodia de expediente de los colaboradores </w:t>
      </w:r>
    </w:p>
    <w:p w14:paraId="40DA1C17" w14:textId="614264E5" w:rsidR="00C356F0" w:rsidRPr="00C62BB6" w:rsidRDefault="00A4332B" w:rsidP="00C356F0">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Se</w:t>
      </w:r>
      <w:r w:rsidR="00C356F0" w:rsidRPr="00C62BB6">
        <w:rPr>
          <w:rFonts w:ascii="Times New Roman" w:eastAsia="Calibri" w:hAnsi="Times New Roman" w:cs="Times New Roman"/>
          <w:color w:val="4C4747"/>
          <w:spacing w:val="20"/>
          <w:sz w:val="24"/>
          <w:szCs w:val="24"/>
          <w:lang w:val="es-DO"/>
        </w:rPr>
        <w:t xml:space="preserve"> ha dado seguimiento continuo a las siguientes actividades:</w:t>
      </w:r>
    </w:p>
    <w:p w14:paraId="0A74871C" w14:textId="48BEBD5C" w:rsidR="00C356F0" w:rsidRPr="00CF7E5C" w:rsidRDefault="00C356F0" w:rsidP="00A02BDE">
      <w:pPr>
        <w:pStyle w:val="Prrafodelista"/>
        <w:numPr>
          <w:ilvl w:val="0"/>
          <w:numId w:val="48"/>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Indicadores del Sistema de Monitoreo de Administración Pública </w:t>
      </w:r>
      <w:r w:rsidR="00AF0C58" w:rsidRPr="00CF7E5C">
        <w:rPr>
          <w:rFonts w:ascii="Times New Roman" w:eastAsia="Calibri" w:hAnsi="Times New Roman" w:cs="Times New Roman"/>
          <w:color w:val="4C4747"/>
          <w:spacing w:val="20"/>
          <w:sz w:val="24"/>
          <w:szCs w:val="24"/>
          <w:lang w:val="es-DO"/>
        </w:rPr>
        <w:t>(</w:t>
      </w:r>
      <w:r w:rsidRPr="00CF7E5C">
        <w:rPr>
          <w:rFonts w:ascii="Times New Roman" w:eastAsia="Calibri" w:hAnsi="Times New Roman" w:cs="Times New Roman"/>
          <w:color w:val="4C4747"/>
          <w:spacing w:val="20"/>
          <w:sz w:val="24"/>
          <w:szCs w:val="24"/>
          <w:lang w:val="es-DO"/>
        </w:rPr>
        <w:t>SISMAP</w:t>
      </w:r>
      <w:r w:rsidR="00AF0C58" w:rsidRPr="00CF7E5C">
        <w:rPr>
          <w:rFonts w:ascii="Times New Roman" w:eastAsia="Calibri" w:hAnsi="Times New Roman" w:cs="Times New Roman"/>
          <w:color w:val="4C4747"/>
          <w:spacing w:val="20"/>
          <w:sz w:val="24"/>
          <w:szCs w:val="24"/>
          <w:lang w:val="es-DO"/>
        </w:rPr>
        <w:t>)</w:t>
      </w:r>
      <w:r w:rsidRPr="00CF7E5C">
        <w:rPr>
          <w:rFonts w:ascii="Times New Roman" w:eastAsia="Calibri" w:hAnsi="Times New Roman" w:cs="Times New Roman"/>
          <w:color w:val="4C4747"/>
          <w:spacing w:val="20"/>
          <w:sz w:val="24"/>
          <w:szCs w:val="24"/>
          <w:lang w:val="es-DO"/>
        </w:rPr>
        <w:t xml:space="preserve"> </w:t>
      </w:r>
    </w:p>
    <w:p w14:paraId="336FEE1A" w14:textId="4057D7E8" w:rsidR="00C356F0" w:rsidRPr="00CF7E5C" w:rsidRDefault="00C356F0" w:rsidP="00A02BDE">
      <w:pPr>
        <w:pStyle w:val="Prrafodelista"/>
        <w:numPr>
          <w:ilvl w:val="0"/>
          <w:numId w:val="48"/>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Registro y control de la TSS y actualización de las solicitudes en el portal </w:t>
      </w:r>
      <w:r w:rsidR="00AF0C58" w:rsidRPr="00CF7E5C">
        <w:rPr>
          <w:rFonts w:ascii="Times New Roman" w:eastAsia="Calibri" w:hAnsi="Times New Roman" w:cs="Times New Roman"/>
          <w:color w:val="4C4747"/>
          <w:spacing w:val="20"/>
          <w:sz w:val="24"/>
          <w:szCs w:val="24"/>
          <w:lang w:val="es-DO"/>
        </w:rPr>
        <w:t>(</w:t>
      </w:r>
      <w:r w:rsidRPr="00CF7E5C">
        <w:rPr>
          <w:rFonts w:ascii="Times New Roman" w:eastAsia="Calibri" w:hAnsi="Times New Roman" w:cs="Times New Roman"/>
          <w:color w:val="4C4747"/>
          <w:spacing w:val="20"/>
          <w:sz w:val="24"/>
          <w:szCs w:val="24"/>
          <w:lang w:val="es-DO"/>
        </w:rPr>
        <w:t>SIURPLUS</w:t>
      </w:r>
      <w:r w:rsidR="00AF0C58" w:rsidRPr="00CF7E5C">
        <w:rPr>
          <w:rFonts w:ascii="Times New Roman" w:eastAsia="Calibri" w:hAnsi="Times New Roman" w:cs="Times New Roman"/>
          <w:color w:val="4C4747"/>
          <w:spacing w:val="20"/>
          <w:sz w:val="24"/>
          <w:szCs w:val="24"/>
          <w:lang w:val="es-DO"/>
        </w:rPr>
        <w:t>)</w:t>
      </w:r>
    </w:p>
    <w:p w14:paraId="680E265F" w14:textId="53CCB436" w:rsidR="00C356F0" w:rsidRPr="00CF7E5C" w:rsidRDefault="00C356F0" w:rsidP="00A02BDE">
      <w:pPr>
        <w:pStyle w:val="Prrafodelista"/>
        <w:numPr>
          <w:ilvl w:val="0"/>
          <w:numId w:val="48"/>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Licencias médicas de más 4 días</w:t>
      </w:r>
      <w:r w:rsidR="00AF0C58" w:rsidRPr="00CF7E5C">
        <w:rPr>
          <w:rFonts w:ascii="Times New Roman" w:eastAsia="Calibri" w:hAnsi="Times New Roman" w:cs="Times New Roman"/>
          <w:color w:val="4C4747"/>
          <w:spacing w:val="20"/>
          <w:sz w:val="24"/>
          <w:szCs w:val="24"/>
          <w:lang w:val="es-DO"/>
        </w:rPr>
        <w:t xml:space="preserve"> cargadas en el portal SIURPLUS</w:t>
      </w:r>
    </w:p>
    <w:p w14:paraId="3EEDF5AE" w14:textId="3C3A06A4" w:rsidR="00C356F0" w:rsidRPr="00CF7E5C" w:rsidRDefault="00D9747B" w:rsidP="00A02BDE">
      <w:pPr>
        <w:pStyle w:val="Prrafodelista"/>
        <w:numPr>
          <w:ilvl w:val="0"/>
          <w:numId w:val="48"/>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 xml:space="preserve">Dar seguimiento </w:t>
      </w:r>
      <w:r w:rsidR="00C356F0" w:rsidRPr="00CF7E5C">
        <w:rPr>
          <w:rFonts w:ascii="Times New Roman" w:eastAsia="Calibri" w:hAnsi="Times New Roman" w:cs="Times New Roman"/>
          <w:color w:val="4C4747"/>
          <w:spacing w:val="20"/>
          <w:sz w:val="24"/>
          <w:szCs w:val="24"/>
          <w:lang w:val="es-DO"/>
        </w:rPr>
        <w:t xml:space="preserve">a los colaboradores </w:t>
      </w:r>
      <w:r w:rsidRPr="00CF7E5C">
        <w:rPr>
          <w:rFonts w:ascii="Times New Roman" w:eastAsia="Calibri" w:hAnsi="Times New Roman" w:cs="Times New Roman"/>
          <w:color w:val="4C4747"/>
          <w:spacing w:val="20"/>
          <w:sz w:val="24"/>
          <w:szCs w:val="24"/>
          <w:lang w:val="es-DO"/>
        </w:rPr>
        <w:t xml:space="preserve">para que tomen </w:t>
      </w:r>
      <w:r w:rsidR="00C356F0" w:rsidRPr="00CF7E5C">
        <w:rPr>
          <w:rFonts w:ascii="Times New Roman" w:eastAsia="Calibri" w:hAnsi="Times New Roman" w:cs="Times New Roman"/>
          <w:color w:val="4C4747"/>
          <w:spacing w:val="20"/>
          <w:sz w:val="24"/>
          <w:szCs w:val="24"/>
          <w:lang w:val="es-DO"/>
        </w:rPr>
        <w:t>sus vacaciones de acuerdo a lo que está establecido en la  política institucional</w:t>
      </w:r>
    </w:p>
    <w:p w14:paraId="49F6DADE" w14:textId="21A0434D" w:rsidR="00C356F0" w:rsidRPr="00A4233F" w:rsidRDefault="00E86F9C" w:rsidP="00A4332B">
      <w:pPr>
        <w:spacing w:before="24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Riesgo</w:t>
      </w:r>
      <w:r w:rsidR="00AF0C58" w:rsidRPr="00A4233F">
        <w:rPr>
          <w:rFonts w:ascii="Times New Roman" w:eastAsia="Calibri" w:hAnsi="Times New Roman" w:cs="Times New Roman"/>
          <w:b/>
          <w:color w:val="4C4747"/>
          <w:spacing w:val="20"/>
          <w:sz w:val="24"/>
          <w:szCs w:val="24"/>
          <w:lang w:val="es-DO"/>
        </w:rPr>
        <w:t xml:space="preserve"> l</w:t>
      </w:r>
      <w:r w:rsidRPr="00A4233F">
        <w:rPr>
          <w:rFonts w:ascii="Times New Roman" w:eastAsia="Calibri" w:hAnsi="Times New Roman" w:cs="Times New Roman"/>
          <w:b/>
          <w:color w:val="4C4747"/>
          <w:spacing w:val="20"/>
          <w:sz w:val="24"/>
          <w:szCs w:val="24"/>
          <w:lang w:val="es-DO"/>
        </w:rPr>
        <w:t>aboral</w:t>
      </w:r>
    </w:p>
    <w:p w14:paraId="1E375B81" w14:textId="2CF9196D" w:rsidR="00C356F0" w:rsidRPr="00A4233F" w:rsidRDefault="00AF0C58"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ha</w:t>
      </w:r>
      <w:r w:rsidR="00C356F0" w:rsidRPr="00A4233F">
        <w:rPr>
          <w:rFonts w:ascii="Times New Roman" w:eastAsia="Calibri" w:hAnsi="Times New Roman" w:cs="Times New Roman"/>
          <w:color w:val="4C4747"/>
          <w:spacing w:val="20"/>
          <w:sz w:val="24"/>
          <w:szCs w:val="24"/>
          <w:lang w:val="es-DO"/>
        </w:rPr>
        <w:t xml:space="preserve"> mantenido </w:t>
      </w:r>
      <w:r w:rsidR="00653B74" w:rsidRPr="00A4233F">
        <w:rPr>
          <w:rFonts w:ascii="Times New Roman" w:eastAsia="Calibri" w:hAnsi="Times New Roman" w:cs="Times New Roman"/>
          <w:color w:val="4C4747"/>
          <w:spacing w:val="20"/>
          <w:sz w:val="24"/>
          <w:szCs w:val="24"/>
          <w:lang w:val="es-DO"/>
        </w:rPr>
        <w:t xml:space="preserve">el cuidado </w:t>
      </w:r>
      <w:r w:rsidR="00C356F0" w:rsidRPr="00A4233F">
        <w:rPr>
          <w:rFonts w:ascii="Times New Roman" w:eastAsia="Calibri" w:hAnsi="Times New Roman" w:cs="Times New Roman"/>
          <w:color w:val="4C4747"/>
          <w:spacing w:val="20"/>
          <w:sz w:val="24"/>
          <w:szCs w:val="24"/>
          <w:lang w:val="es-DO"/>
        </w:rPr>
        <w:t xml:space="preserve">de manera continuada </w:t>
      </w:r>
      <w:r w:rsidR="00653B74" w:rsidRPr="00A4233F">
        <w:rPr>
          <w:rFonts w:ascii="Times New Roman" w:eastAsia="Calibri" w:hAnsi="Times New Roman" w:cs="Times New Roman"/>
          <w:color w:val="4C4747"/>
          <w:spacing w:val="20"/>
          <w:sz w:val="24"/>
          <w:szCs w:val="24"/>
          <w:lang w:val="es-DO"/>
        </w:rPr>
        <w:t xml:space="preserve">de </w:t>
      </w:r>
      <w:r w:rsidR="00C356F0" w:rsidRPr="00A4233F">
        <w:rPr>
          <w:rFonts w:ascii="Times New Roman" w:eastAsia="Calibri" w:hAnsi="Times New Roman" w:cs="Times New Roman"/>
          <w:color w:val="4C4747"/>
          <w:spacing w:val="20"/>
          <w:sz w:val="24"/>
          <w:szCs w:val="24"/>
          <w:lang w:val="es-DO"/>
        </w:rPr>
        <w:t xml:space="preserve">la salud de </w:t>
      </w:r>
      <w:r w:rsidRPr="00A4233F">
        <w:rPr>
          <w:rFonts w:ascii="Times New Roman" w:eastAsia="Calibri" w:hAnsi="Times New Roman" w:cs="Times New Roman"/>
          <w:color w:val="4C4747"/>
          <w:spacing w:val="20"/>
          <w:sz w:val="24"/>
          <w:szCs w:val="24"/>
          <w:lang w:val="es-DO"/>
        </w:rPr>
        <w:t>los</w:t>
      </w:r>
      <w:r w:rsidR="00C356F0" w:rsidRPr="00A4233F">
        <w:rPr>
          <w:rFonts w:ascii="Times New Roman" w:eastAsia="Calibri" w:hAnsi="Times New Roman" w:cs="Times New Roman"/>
          <w:color w:val="4C4747"/>
          <w:spacing w:val="20"/>
          <w:sz w:val="24"/>
          <w:szCs w:val="24"/>
          <w:lang w:val="es-DO"/>
        </w:rPr>
        <w:t xml:space="preserve"> colaboradores </w:t>
      </w:r>
      <w:r w:rsidRPr="00A4233F">
        <w:rPr>
          <w:rFonts w:ascii="Times New Roman" w:eastAsia="Calibri" w:hAnsi="Times New Roman" w:cs="Times New Roman"/>
          <w:color w:val="4C4747"/>
          <w:spacing w:val="20"/>
          <w:sz w:val="24"/>
          <w:szCs w:val="24"/>
          <w:lang w:val="es-DO"/>
        </w:rPr>
        <w:t xml:space="preserve">y las colaboradoras </w:t>
      </w:r>
      <w:r w:rsidR="00C356F0" w:rsidRPr="00A4233F">
        <w:rPr>
          <w:rFonts w:ascii="Times New Roman" w:eastAsia="Calibri" w:hAnsi="Times New Roman" w:cs="Times New Roman"/>
          <w:color w:val="4C4747"/>
          <w:spacing w:val="20"/>
          <w:sz w:val="24"/>
          <w:szCs w:val="24"/>
          <w:lang w:val="es-DO"/>
        </w:rPr>
        <w:t xml:space="preserve">en ese sentido, </w:t>
      </w:r>
      <w:r w:rsidRPr="00A4233F">
        <w:rPr>
          <w:rFonts w:ascii="Times New Roman" w:eastAsia="Calibri" w:hAnsi="Times New Roman" w:cs="Times New Roman"/>
          <w:color w:val="4C4747"/>
          <w:spacing w:val="20"/>
          <w:sz w:val="24"/>
          <w:szCs w:val="24"/>
          <w:lang w:val="es-DO"/>
        </w:rPr>
        <w:t>el INDOTEL cuenta</w:t>
      </w:r>
      <w:r w:rsidR="00C356F0" w:rsidRPr="00A4233F">
        <w:rPr>
          <w:rFonts w:ascii="Times New Roman" w:eastAsia="Calibri" w:hAnsi="Times New Roman" w:cs="Times New Roman"/>
          <w:color w:val="4C4747"/>
          <w:spacing w:val="20"/>
          <w:sz w:val="24"/>
          <w:szCs w:val="24"/>
          <w:lang w:val="es-DO"/>
        </w:rPr>
        <w:t xml:space="preserve"> con un dispensario médico para asistir</w:t>
      </w:r>
      <w:r w:rsidRPr="00A4233F">
        <w:rPr>
          <w:rFonts w:ascii="Times New Roman" w:eastAsia="Calibri" w:hAnsi="Times New Roman" w:cs="Times New Roman"/>
          <w:color w:val="4C4747"/>
          <w:spacing w:val="20"/>
          <w:sz w:val="24"/>
          <w:szCs w:val="24"/>
          <w:lang w:val="es-DO"/>
        </w:rPr>
        <w:t xml:space="preserve"> a los colaboradores y las colaboradoras</w:t>
      </w:r>
      <w:r w:rsidR="00C356F0" w:rsidRPr="00A4233F">
        <w:rPr>
          <w:rFonts w:ascii="Times New Roman" w:eastAsia="Calibri" w:hAnsi="Times New Roman" w:cs="Times New Roman"/>
          <w:color w:val="4C4747"/>
          <w:spacing w:val="20"/>
          <w:sz w:val="24"/>
          <w:szCs w:val="24"/>
          <w:lang w:val="es-DO"/>
        </w:rPr>
        <w:t xml:space="preserve"> en caso de presentar cualquier situación de salud. </w:t>
      </w:r>
    </w:p>
    <w:p w14:paraId="4CBE2A12" w14:textId="14DC1272" w:rsidR="00C356F0" w:rsidRPr="00A4233F" w:rsidRDefault="00481014"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Con el </w:t>
      </w:r>
      <w:r w:rsidR="00C356F0" w:rsidRPr="00A4233F">
        <w:rPr>
          <w:rFonts w:ascii="Times New Roman" w:eastAsia="Calibri" w:hAnsi="Times New Roman" w:cs="Times New Roman"/>
          <w:color w:val="4C4747"/>
          <w:spacing w:val="20"/>
          <w:sz w:val="24"/>
          <w:szCs w:val="24"/>
          <w:lang w:val="es-DO"/>
        </w:rPr>
        <w:t xml:space="preserve">propósito de </w:t>
      </w:r>
      <w:r w:rsidR="00050E66" w:rsidRPr="00A4233F">
        <w:rPr>
          <w:rFonts w:ascii="Times New Roman" w:eastAsia="Calibri" w:hAnsi="Times New Roman" w:cs="Times New Roman"/>
          <w:color w:val="4C4747"/>
          <w:spacing w:val="20"/>
          <w:sz w:val="24"/>
          <w:szCs w:val="24"/>
          <w:lang w:val="es-DO"/>
        </w:rPr>
        <w:t>garantizar</w:t>
      </w:r>
      <w:r w:rsidRPr="00A4233F">
        <w:rPr>
          <w:rFonts w:ascii="Times New Roman" w:eastAsia="Calibri" w:hAnsi="Times New Roman" w:cs="Times New Roman"/>
          <w:color w:val="4C4747"/>
          <w:spacing w:val="20"/>
          <w:sz w:val="24"/>
          <w:szCs w:val="24"/>
          <w:lang w:val="es-DO"/>
        </w:rPr>
        <w:t xml:space="preserve"> </w:t>
      </w:r>
      <w:r w:rsidR="00C356F0" w:rsidRPr="00A4233F">
        <w:rPr>
          <w:rFonts w:ascii="Times New Roman" w:eastAsia="Calibri" w:hAnsi="Times New Roman" w:cs="Times New Roman"/>
          <w:color w:val="4C4747"/>
          <w:spacing w:val="20"/>
          <w:sz w:val="24"/>
          <w:szCs w:val="24"/>
          <w:lang w:val="es-DO"/>
        </w:rPr>
        <w:t xml:space="preserve">la seguridad y el riesgo laboral </w:t>
      </w:r>
      <w:r w:rsidR="00AF0C58" w:rsidRPr="00A4233F">
        <w:rPr>
          <w:rFonts w:ascii="Times New Roman" w:eastAsia="Calibri" w:hAnsi="Times New Roman" w:cs="Times New Roman"/>
          <w:color w:val="4C4747"/>
          <w:spacing w:val="20"/>
          <w:sz w:val="24"/>
          <w:szCs w:val="24"/>
          <w:lang w:val="es-DO"/>
        </w:rPr>
        <w:t>se está</w:t>
      </w:r>
      <w:r w:rsidR="00C356F0" w:rsidRPr="00A4233F">
        <w:rPr>
          <w:rFonts w:ascii="Times New Roman" w:eastAsia="Calibri" w:hAnsi="Times New Roman" w:cs="Times New Roman"/>
          <w:color w:val="4C4747"/>
          <w:spacing w:val="20"/>
          <w:sz w:val="24"/>
          <w:szCs w:val="24"/>
          <w:lang w:val="es-DO"/>
        </w:rPr>
        <w:t xml:space="preserve"> concluyendo con los trabajos de elaboración de la Política Seguridad y Riesgo Laboral. </w:t>
      </w:r>
    </w:p>
    <w:p w14:paraId="3660D5F2" w14:textId="29A21C8B" w:rsidR="00C356F0" w:rsidRPr="00A4233F" w:rsidRDefault="00050E66"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Disponemos del Comité </w:t>
      </w:r>
      <w:r w:rsidR="00C356F0" w:rsidRPr="00A4233F">
        <w:rPr>
          <w:rFonts w:ascii="Times New Roman" w:eastAsia="Calibri" w:hAnsi="Times New Roman" w:cs="Times New Roman"/>
          <w:color w:val="4C4747"/>
          <w:spacing w:val="20"/>
          <w:sz w:val="24"/>
          <w:szCs w:val="24"/>
          <w:lang w:val="es-DO"/>
        </w:rPr>
        <w:t xml:space="preserve">de Seguridad y Salud en el Trabajo, tanto en la sede principal, Centro INDOTEL, y Almacén V Centenario, este comité  </w:t>
      </w:r>
      <w:r w:rsidR="00481014" w:rsidRPr="00A4233F">
        <w:rPr>
          <w:rFonts w:ascii="Times New Roman" w:eastAsia="Calibri" w:hAnsi="Times New Roman" w:cs="Times New Roman"/>
          <w:color w:val="4C4747"/>
          <w:spacing w:val="20"/>
          <w:sz w:val="24"/>
          <w:szCs w:val="24"/>
          <w:lang w:val="es-DO"/>
        </w:rPr>
        <w:t>desarrolla una ardua labor en la</w:t>
      </w:r>
      <w:r w:rsidR="00C356F0" w:rsidRPr="00A4233F">
        <w:rPr>
          <w:rFonts w:ascii="Times New Roman" w:eastAsia="Calibri" w:hAnsi="Times New Roman" w:cs="Times New Roman"/>
          <w:color w:val="4C4747"/>
          <w:spacing w:val="20"/>
          <w:sz w:val="24"/>
          <w:szCs w:val="24"/>
          <w:lang w:val="es-DO"/>
        </w:rPr>
        <w:t>s siguientes áreas:</w:t>
      </w:r>
    </w:p>
    <w:p w14:paraId="615AFAFD" w14:textId="58BDE486" w:rsidR="00C356F0" w:rsidRPr="00CF7E5C" w:rsidRDefault="00C356F0" w:rsidP="00A02BDE">
      <w:pPr>
        <w:pStyle w:val="Prrafodelista"/>
        <w:numPr>
          <w:ilvl w:val="0"/>
          <w:numId w:val="45"/>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lastRenderedPageBreak/>
        <w:t>Canalizar cualquier riesgo de salud</w:t>
      </w:r>
      <w:r w:rsidR="00380CFC" w:rsidRPr="00CF7E5C">
        <w:rPr>
          <w:rFonts w:ascii="Times New Roman" w:eastAsia="Calibri" w:hAnsi="Times New Roman" w:cs="Times New Roman"/>
          <w:color w:val="4C4747"/>
          <w:spacing w:val="20"/>
          <w:sz w:val="24"/>
          <w:szCs w:val="24"/>
          <w:lang w:val="es-DO"/>
        </w:rPr>
        <w:t xml:space="preserve"> o</w:t>
      </w:r>
      <w:r w:rsidRPr="00CF7E5C">
        <w:rPr>
          <w:rFonts w:ascii="Times New Roman" w:eastAsia="Calibri" w:hAnsi="Times New Roman" w:cs="Times New Roman"/>
          <w:color w:val="4C4747"/>
          <w:spacing w:val="20"/>
          <w:sz w:val="24"/>
          <w:szCs w:val="24"/>
          <w:lang w:val="es-DO"/>
        </w:rPr>
        <w:t xml:space="preserve"> </w:t>
      </w:r>
      <w:r w:rsidR="00380CFC" w:rsidRPr="00CF7E5C">
        <w:rPr>
          <w:rFonts w:ascii="Times New Roman" w:eastAsia="Calibri" w:hAnsi="Times New Roman" w:cs="Times New Roman"/>
          <w:color w:val="4C4747"/>
          <w:spacing w:val="20"/>
          <w:sz w:val="24"/>
          <w:szCs w:val="24"/>
          <w:lang w:val="es-DO"/>
        </w:rPr>
        <w:t xml:space="preserve">sugerencia que apoye la información y prevención de la salud </w:t>
      </w:r>
      <w:r w:rsidRPr="00CF7E5C">
        <w:rPr>
          <w:rFonts w:ascii="Times New Roman" w:eastAsia="Calibri" w:hAnsi="Times New Roman" w:cs="Times New Roman"/>
          <w:color w:val="4C4747"/>
          <w:spacing w:val="20"/>
          <w:sz w:val="24"/>
          <w:szCs w:val="24"/>
          <w:lang w:val="es-DO"/>
        </w:rPr>
        <w:t xml:space="preserve">de </w:t>
      </w:r>
      <w:r w:rsidR="008274B3" w:rsidRPr="00CF7E5C">
        <w:rPr>
          <w:rFonts w:ascii="Times New Roman" w:eastAsia="Calibri" w:hAnsi="Times New Roman" w:cs="Times New Roman"/>
          <w:color w:val="4C4747"/>
          <w:spacing w:val="20"/>
          <w:sz w:val="24"/>
          <w:szCs w:val="24"/>
          <w:lang w:val="es-DO"/>
        </w:rPr>
        <w:t>los</w:t>
      </w:r>
      <w:r w:rsidRPr="00CF7E5C">
        <w:rPr>
          <w:rFonts w:ascii="Times New Roman" w:eastAsia="Calibri" w:hAnsi="Times New Roman" w:cs="Times New Roman"/>
          <w:color w:val="4C4747"/>
          <w:spacing w:val="20"/>
          <w:sz w:val="24"/>
          <w:szCs w:val="24"/>
          <w:lang w:val="es-DO"/>
        </w:rPr>
        <w:t xml:space="preserve"> colaboradores</w:t>
      </w:r>
      <w:r w:rsidR="008274B3" w:rsidRPr="00CF7E5C">
        <w:rPr>
          <w:rFonts w:ascii="Times New Roman" w:eastAsia="Calibri" w:hAnsi="Times New Roman" w:cs="Times New Roman"/>
          <w:color w:val="4C4747"/>
          <w:spacing w:val="20"/>
          <w:sz w:val="24"/>
          <w:szCs w:val="24"/>
          <w:lang w:val="es-DO"/>
        </w:rPr>
        <w:t xml:space="preserve"> y las colaboradoras</w:t>
      </w:r>
      <w:r w:rsidRPr="00CF7E5C">
        <w:rPr>
          <w:rFonts w:ascii="Times New Roman" w:eastAsia="Calibri" w:hAnsi="Times New Roman" w:cs="Times New Roman"/>
          <w:color w:val="4C4747"/>
          <w:spacing w:val="20"/>
          <w:sz w:val="24"/>
          <w:szCs w:val="24"/>
          <w:lang w:val="es-DO"/>
        </w:rPr>
        <w:t>;</w:t>
      </w:r>
    </w:p>
    <w:p w14:paraId="2A7ACB29" w14:textId="72FE490A" w:rsidR="00C356F0" w:rsidRPr="00CF7E5C" w:rsidRDefault="00C356F0" w:rsidP="00A02BDE">
      <w:pPr>
        <w:pStyle w:val="Prrafodelista"/>
        <w:numPr>
          <w:ilvl w:val="0"/>
          <w:numId w:val="45"/>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Informar de manera periódica el protocolo establecido por la institución de acuerdo a lo instruido por los organismos oficiales, en relación al manejo y control</w:t>
      </w:r>
      <w:r w:rsidR="00380CFC" w:rsidRPr="00CF7E5C">
        <w:rPr>
          <w:rFonts w:ascii="Times New Roman" w:eastAsia="Calibri" w:hAnsi="Times New Roman" w:cs="Times New Roman"/>
          <w:color w:val="4C4747"/>
          <w:spacing w:val="20"/>
          <w:sz w:val="24"/>
          <w:szCs w:val="24"/>
          <w:lang w:val="es-DO"/>
        </w:rPr>
        <w:t xml:space="preserve"> de cualquier fenómeno natural;</w:t>
      </w:r>
    </w:p>
    <w:p w14:paraId="43D0A65B" w14:textId="29F9E621" w:rsidR="00C356F0" w:rsidRPr="00CF7E5C" w:rsidRDefault="00050E66" w:rsidP="00A02BDE">
      <w:pPr>
        <w:pStyle w:val="Prrafodelista"/>
        <w:numPr>
          <w:ilvl w:val="0"/>
          <w:numId w:val="45"/>
        </w:numPr>
        <w:spacing w:line="360" w:lineRule="auto"/>
        <w:jc w:val="both"/>
        <w:rPr>
          <w:rFonts w:ascii="Times New Roman" w:eastAsia="Calibri" w:hAnsi="Times New Roman" w:cs="Times New Roman"/>
          <w:color w:val="4C4747"/>
          <w:spacing w:val="20"/>
          <w:sz w:val="24"/>
          <w:szCs w:val="24"/>
          <w:lang w:val="es-DO"/>
        </w:rPr>
      </w:pPr>
      <w:r w:rsidRPr="00CF7E5C">
        <w:rPr>
          <w:rFonts w:ascii="Times New Roman" w:eastAsia="Calibri" w:hAnsi="Times New Roman" w:cs="Times New Roman"/>
          <w:color w:val="4C4747"/>
          <w:spacing w:val="20"/>
          <w:sz w:val="24"/>
          <w:szCs w:val="24"/>
          <w:lang w:val="es-DO"/>
        </w:rPr>
        <w:t>Otorgar c</w:t>
      </w:r>
      <w:r w:rsidR="00380CFC" w:rsidRPr="00CF7E5C">
        <w:rPr>
          <w:rFonts w:ascii="Times New Roman" w:eastAsia="Calibri" w:hAnsi="Times New Roman" w:cs="Times New Roman"/>
          <w:color w:val="4C4747"/>
          <w:spacing w:val="20"/>
          <w:sz w:val="24"/>
          <w:szCs w:val="24"/>
          <w:lang w:val="es-DO"/>
        </w:rPr>
        <w:t>apacitaciones al personal de la institución sobre riesgos laborales y fenómenos naturales</w:t>
      </w:r>
      <w:r w:rsidR="00C356F0" w:rsidRPr="00CF7E5C">
        <w:rPr>
          <w:rFonts w:ascii="Times New Roman" w:eastAsia="Calibri" w:hAnsi="Times New Roman" w:cs="Times New Roman"/>
          <w:color w:val="4C4747"/>
          <w:spacing w:val="20"/>
          <w:sz w:val="24"/>
          <w:szCs w:val="24"/>
          <w:lang w:val="es-DO"/>
        </w:rPr>
        <w:t xml:space="preserve">. </w:t>
      </w:r>
    </w:p>
    <w:p w14:paraId="3BE94F0D" w14:textId="74B13300" w:rsidR="00270838" w:rsidRPr="00C62BB6" w:rsidRDefault="00270838" w:rsidP="00C356F0">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El jueves 03 de noviembre se realizó la participación del simulacro nacional de acuerdo con los requerimientos realizados por el Centro de Operaciones de Eme</w:t>
      </w:r>
      <w:r w:rsidR="00050E66" w:rsidRPr="00C62BB6">
        <w:rPr>
          <w:rFonts w:ascii="Times New Roman" w:eastAsia="Calibri" w:hAnsi="Times New Roman" w:cs="Times New Roman"/>
          <w:color w:val="4C4747"/>
          <w:spacing w:val="20"/>
          <w:sz w:val="24"/>
          <w:szCs w:val="24"/>
          <w:lang w:val="es-DO"/>
        </w:rPr>
        <w:t>rgencia (COE), logrando disminuir el tiempo de evacuación del año pasado</w:t>
      </w:r>
      <w:r w:rsidRPr="00C62BB6">
        <w:rPr>
          <w:rFonts w:ascii="Times New Roman" w:eastAsia="Calibri" w:hAnsi="Times New Roman" w:cs="Times New Roman"/>
          <w:color w:val="4C4747"/>
          <w:spacing w:val="20"/>
          <w:sz w:val="24"/>
          <w:szCs w:val="24"/>
          <w:lang w:val="es-DO"/>
        </w:rPr>
        <w:t>.</w:t>
      </w:r>
    </w:p>
    <w:p w14:paraId="658E5888" w14:textId="77777777" w:rsidR="00C356F0" w:rsidRPr="00A4233F" w:rsidRDefault="00C356F0" w:rsidP="00A4332B">
      <w:pPr>
        <w:spacing w:before="24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SISMAP</w:t>
      </w:r>
    </w:p>
    <w:p w14:paraId="20E75650" w14:textId="5D96FF81" w:rsidR="00C356F0" w:rsidRPr="00A4233F" w:rsidRDefault="00C356F0"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 INDOTEL ha venido realizando mejoras con el objetivo de reflejar avances en cada uno de los indicadores del Sistema de Monitoreo de Administración Pública (SISMAP). En ese sentido, se ha incrementado el porcentaje en cuanto a la P</w:t>
      </w:r>
      <w:r w:rsidR="00270838" w:rsidRPr="00A4233F">
        <w:rPr>
          <w:rFonts w:ascii="Times New Roman" w:eastAsia="Calibri" w:hAnsi="Times New Roman" w:cs="Times New Roman"/>
          <w:color w:val="4C4747"/>
          <w:spacing w:val="20"/>
          <w:sz w:val="24"/>
          <w:szCs w:val="24"/>
          <w:lang w:val="es-DO"/>
        </w:rPr>
        <w:t>lanificación de RRHH, plan de c</w:t>
      </w:r>
      <w:r w:rsidRPr="00A4233F">
        <w:rPr>
          <w:rFonts w:ascii="Times New Roman" w:eastAsia="Calibri" w:hAnsi="Times New Roman" w:cs="Times New Roman"/>
          <w:color w:val="4C4747"/>
          <w:spacing w:val="20"/>
          <w:sz w:val="24"/>
          <w:szCs w:val="24"/>
          <w:lang w:val="es-DO"/>
        </w:rPr>
        <w:t xml:space="preserve">apacitación, implementación del Sistema de Seguridad y Salud en el Trabajo en la Administración Pública, </w:t>
      </w:r>
      <w:r w:rsidR="0025439D" w:rsidRPr="00A4233F">
        <w:rPr>
          <w:rFonts w:ascii="Times New Roman" w:eastAsia="Calibri" w:hAnsi="Times New Roman" w:cs="Times New Roman"/>
          <w:color w:val="4C4747"/>
          <w:spacing w:val="20"/>
          <w:sz w:val="24"/>
          <w:szCs w:val="24"/>
          <w:lang w:val="es-DO"/>
        </w:rPr>
        <w:t>encuesta de clima l</w:t>
      </w:r>
      <w:r w:rsidRPr="00A4233F">
        <w:rPr>
          <w:rFonts w:ascii="Times New Roman" w:eastAsia="Calibri" w:hAnsi="Times New Roman" w:cs="Times New Roman"/>
          <w:color w:val="4C4747"/>
          <w:spacing w:val="20"/>
          <w:sz w:val="24"/>
          <w:szCs w:val="24"/>
          <w:lang w:val="es-DO"/>
        </w:rPr>
        <w:t xml:space="preserve">aboral, entre otros. </w:t>
      </w:r>
    </w:p>
    <w:p w14:paraId="6BEBE12B" w14:textId="4B2DCF78" w:rsidR="00C356F0" w:rsidRPr="00C62BB6" w:rsidRDefault="00C356F0" w:rsidP="00C356F0">
      <w:pPr>
        <w:spacing w:line="360" w:lineRule="auto"/>
        <w:jc w:val="both"/>
        <w:rPr>
          <w:rFonts w:ascii="Times New Roman" w:eastAsia="Calibri" w:hAnsi="Times New Roman" w:cs="Times New Roman"/>
          <w:color w:val="4C4747"/>
          <w:spacing w:val="20"/>
          <w:sz w:val="24"/>
          <w:szCs w:val="24"/>
          <w:lang w:val="es-DO"/>
        </w:rPr>
      </w:pPr>
    </w:p>
    <w:p w14:paraId="7D0C6F6D" w14:textId="77777777" w:rsidR="006C7929" w:rsidRDefault="006C7929" w:rsidP="00C356F0">
      <w:pPr>
        <w:spacing w:line="360" w:lineRule="auto"/>
        <w:jc w:val="both"/>
        <w:rPr>
          <w:rFonts w:ascii="Times New Roman" w:eastAsia="Calibri" w:hAnsi="Times New Roman" w:cs="Times New Roman"/>
          <w:color w:val="4C4747"/>
          <w:spacing w:val="20"/>
          <w:sz w:val="24"/>
          <w:szCs w:val="24"/>
          <w:lang w:val="es-DO"/>
        </w:rPr>
      </w:pPr>
    </w:p>
    <w:p w14:paraId="4400B59F" w14:textId="77777777" w:rsidR="00A4233F" w:rsidRDefault="00A4233F" w:rsidP="00C356F0">
      <w:pPr>
        <w:spacing w:line="360" w:lineRule="auto"/>
        <w:jc w:val="both"/>
        <w:rPr>
          <w:rFonts w:ascii="Times New Roman" w:eastAsia="Calibri" w:hAnsi="Times New Roman" w:cs="Times New Roman"/>
          <w:color w:val="4C4747"/>
          <w:spacing w:val="20"/>
          <w:sz w:val="24"/>
          <w:szCs w:val="24"/>
          <w:lang w:val="es-DO"/>
        </w:rPr>
      </w:pPr>
    </w:p>
    <w:p w14:paraId="6A447352" w14:textId="77777777" w:rsidR="00A4233F" w:rsidRPr="00C62BB6" w:rsidRDefault="00A4233F" w:rsidP="00C356F0">
      <w:pPr>
        <w:spacing w:line="360" w:lineRule="auto"/>
        <w:jc w:val="both"/>
        <w:rPr>
          <w:rFonts w:ascii="Times New Roman" w:eastAsia="Calibri" w:hAnsi="Times New Roman" w:cs="Times New Roman"/>
          <w:color w:val="4C4747"/>
          <w:spacing w:val="20"/>
          <w:sz w:val="24"/>
          <w:szCs w:val="24"/>
          <w:lang w:val="es-DO"/>
        </w:rPr>
      </w:pPr>
    </w:p>
    <w:p w14:paraId="611BA919" w14:textId="77777777" w:rsidR="006C7929" w:rsidRPr="00C62BB6" w:rsidRDefault="006C7929" w:rsidP="00C356F0">
      <w:pPr>
        <w:spacing w:line="360" w:lineRule="auto"/>
        <w:jc w:val="both"/>
        <w:rPr>
          <w:rFonts w:ascii="Times New Roman" w:eastAsia="Calibri" w:hAnsi="Times New Roman" w:cs="Times New Roman"/>
          <w:color w:val="4C4747"/>
          <w:spacing w:val="20"/>
          <w:sz w:val="24"/>
          <w:szCs w:val="24"/>
          <w:lang w:val="es-DO"/>
        </w:rPr>
      </w:pPr>
    </w:p>
    <w:p w14:paraId="5601F8A6" w14:textId="6E185DA9" w:rsidR="00771386" w:rsidRPr="00C62BB6" w:rsidRDefault="00A75CDE" w:rsidP="00771386">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24" w:name="_Toc79678422"/>
      <w:bookmarkStart w:id="25" w:name="_Toc122425245"/>
      <w:r w:rsidRPr="00C62BB6">
        <w:rPr>
          <w:rFonts w:ascii="Times New Roman" w:eastAsia="Times New Roman" w:hAnsi="Times New Roman" w:cs="Times New Roman"/>
          <w:b/>
          <w:bCs/>
          <w:color w:val="4C4747"/>
          <w:sz w:val="24"/>
          <w:szCs w:val="28"/>
          <w:lang w:val="es-DO" w:eastAsia="es-DO"/>
        </w:rPr>
        <w:lastRenderedPageBreak/>
        <w:t xml:space="preserve">4.3 </w:t>
      </w:r>
      <w:r w:rsidR="00771386" w:rsidRPr="00C62BB6">
        <w:rPr>
          <w:rFonts w:ascii="Times New Roman" w:eastAsia="Times New Roman" w:hAnsi="Times New Roman" w:cs="Times New Roman"/>
          <w:b/>
          <w:bCs/>
          <w:color w:val="4C4747"/>
          <w:sz w:val="24"/>
          <w:szCs w:val="28"/>
          <w:lang w:val="es-DO" w:eastAsia="es-DO"/>
        </w:rPr>
        <w:t>Desempeño de los Procesos Jurídicos</w:t>
      </w:r>
      <w:bookmarkEnd w:id="24"/>
      <w:bookmarkEnd w:id="25"/>
    </w:p>
    <w:p w14:paraId="68031611" w14:textId="77777777" w:rsidR="00771386" w:rsidRPr="00C62BB6" w:rsidRDefault="00771386" w:rsidP="00771386">
      <w:pPr>
        <w:pStyle w:val="Sinespaciado"/>
        <w:rPr>
          <w:color w:val="4C4747"/>
          <w:lang w:val="es-DO"/>
        </w:rPr>
      </w:pPr>
    </w:p>
    <w:p w14:paraId="4C98B85E" w14:textId="17ACDA47" w:rsidR="00871F2C" w:rsidRPr="00A4233F" w:rsidRDefault="006D62FE" w:rsidP="00943FA5">
      <w:pPr>
        <w:pStyle w:val="Ttulo4"/>
        <w:rPr>
          <w:color w:val="4C4747"/>
          <w:spacing w:val="20"/>
          <w:szCs w:val="24"/>
          <w:lang w:val="es-DO"/>
        </w:rPr>
      </w:pPr>
      <w:r w:rsidRPr="00A4233F">
        <w:rPr>
          <w:rFonts w:ascii="Times New Roman" w:hAnsi="Times New Roman" w:cs="Times New Roman"/>
          <w:b/>
          <w:i w:val="0"/>
          <w:color w:val="4C4747"/>
          <w:sz w:val="24"/>
          <w:szCs w:val="24"/>
          <w:lang w:val="es-DO" w:eastAsia="es-DO"/>
        </w:rPr>
        <w:t xml:space="preserve">4.3.1 </w:t>
      </w:r>
      <w:r w:rsidR="00771386" w:rsidRPr="00A4233F">
        <w:rPr>
          <w:rFonts w:ascii="Times New Roman" w:hAnsi="Times New Roman" w:cs="Times New Roman"/>
          <w:b/>
          <w:i w:val="0"/>
          <w:color w:val="4C4747"/>
          <w:sz w:val="24"/>
          <w:szCs w:val="24"/>
          <w:lang w:val="es-DO" w:eastAsia="es-DO"/>
        </w:rPr>
        <w:t>Cumplimiento y Sanciones</w:t>
      </w:r>
    </w:p>
    <w:p w14:paraId="21EAC76B" w14:textId="26C210BB" w:rsidR="00871F2C" w:rsidRPr="00A4233F" w:rsidRDefault="00C612FC" w:rsidP="00A4332B">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w:t>
      </w:r>
      <w:r w:rsidR="00481014" w:rsidRPr="00A4233F">
        <w:rPr>
          <w:rFonts w:ascii="Times New Roman" w:eastAsia="Calibri" w:hAnsi="Times New Roman" w:cs="Times New Roman"/>
          <w:color w:val="4C4747"/>
          <w:spacing w:val="20"/>
          <w:sz w:val="24"/>
          <w:szCs w:val="24"/>
          <w:lang w:val="es-DO"/>
        </w:rPr>
        <w:t xml:space="preserve">el </w:t>
      </w:r>
      <w:r w:rsidRPr="00A4233F">
        <w:rPr>
          <w:rFonts w:ascii="Times New Roman" w:eastAsia="Calibri" w:hAnsi="Times New Roman" w:cs="Times New Roman"/>
          <w:color w:val="4C4747"/>
          <w:spacing w:val="20"/>
          <w:sz w:val="24"/>
          <w:szCs w:val="24"/>
          <w:lang w:val="es-DO"/>
        </w:rPr>
        <w:t>INDOTEL se</w:t>
      </w:r>
      <w:r w:rsidR="00871F2C" w:rsidRPr="00A4233F">
        <w:rPr>
          <w:rFonts w:ascii="Times New Roman" w:eastAsia="Calibri" w:hAnsi="Times New Roman" w:cs="Times New Roman"/>
          <w:color w:val="4C4747"/>
          <w:spacing w:val="20"/>
          <w:sz w:val="24"/>
          <w:szCs w:val="24"/>
          <w:lang w:val="es-DO"/>
        </w:rPr>
        <w:t xml:space="preserve"> promueve acciones de vigilancia acorde a</w:t>
      </w:r>
      <w:r w:rsidRPr="00A4233F">
        <w:rPr>
          <w:rFonts w:ascii="Times New Roman" w:eastAsia="Calibri" w:hAnsi="Times New Roman" w:cs="Times New Roman"/>
          <w:color w:val="4C4747"/>
          <w:spacing w:val="20"/>
          <w:sz w:val="24"/>
          <w:szCs w:val="24"/>
          <w:lang w:val="es-DO"/>
        </w:rPr>
        <w:t>l plan de cumplimiento</w:t>
      </w:r>
      <w:r w:rsidR="00871F2C" w:rsidRPr="00A4233F">
        <w:rPr>
          <w:rFonts w:ascii="Times New Roman" w:eastAsia="Calibri" w:hAnsi="Times New Roman" w:cs="Times New Roman"/>
          <w:color w:val="4C4747"/>
          <w:spacing w:val="20"/>
          <w:sz w:val="24"/>
          <w:szCs w:val="24"/>
          <w:lang w:val="es-DO"/>
        </w:rPr>
        <w:t>, la realización de investigaciones de incumplimiento, estudios regulatorios, análisis de denuncias, etc., que constituyen instrumentos para identificar la existencia de posibles vulneraciones a la ley y los reglamentos que la complementan, en cuyo caso requiere la adopción de m</w:t>
      </w:r>
      <w:r w:rsidR="00A4332B" w:rsidRPr="00A4233F">
        <w:rPr>
          <w:rFonts w:ascii="Times New Roman" w:eastAsia="Calibri" w:hAnsi="Times New Roman" w:cs="Times New Roman"/>
          <w:color w:val="4C4747"/>
          <w:spacing w:val="20"/>
          <w:sz w:val="24"/>
          <w:szCs w:val="24"/>
          <w:lang w:val="es-DO"/>
        </w:rPr>
        <w:t>edidas correctivas pertinentes.</w:t>
      </w:r>
    </w:p>
    <w:p w14:paraId="28464C69" w14:textId="0A259228" w:rsidR="00871F2C" w:rsidRPr="00A4233F" w:rsidRDefault="00871F2C" w:rsidP="00A4332B">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Sobre la base de lo anteriormente señalado, INDOTEL, en el ejercicio de las funciones de vigilancia y control del cumplimiento del marco normativo y regulatorio vigente ha procedido a identificar en toda la geografía nacional, mediante labores de supervisión a los operadores y prestadoras de servicios públicos de telecomunicaciones, los operadores que se encuentran prestando servicios al margen del marco normativo y reglamentario,  promoviendo en consecuencia la adopción de las medidas correctivas pertinentes, acordes con los títulos habilitantes emitidos para la prestación de los servicios autorizados y los textos legal</w:t>
      </w:r>
      <w:r w:rsidR="00A4332B" w:rsidRPr="00A4233F">
        <w:rPr>
          <w:rFonts w:ascii="Times New Roman" w:eastAsia="Calibri" w:hAnsi="Times New Roman" w:cs="Times New Roman"/>
          <w:color w:val="4C4747"/>
          <w:spacing w:val="20"/>
          <w:sz w:val="24"/>
          <w:szCs w:val="24"/>
          <w:lang w:val="es-DO"/>
        </w:rPr>
        <w:t>es y reglamentarios aplicables.</w:t>
      </w:r>
    </w:p>
    <w:p w14:paraId="2BEE1F2E" w14:textId="318952A7" w:rsidR="00871F2C" w:rsidRPr="00A4233F" w:rsidRDefault="00871F2C" w:rsidP="00A4332B">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dicho sentido, dentro de las labores ejecutadas a los fines precedidos, vale señalarse las siguientes actuaciones: </w:t>
      </w:r>
    </w:p>
    <w:p w14:paraId="12384535" w14:textId="77777777" w:rsidR="008D55B2" w:rsidRPr="00C62BB6" w:rsidRDefault="008D55B2" w:rsidP="00871F2C">
      <w:pPr>
        <w:spacing w:line="276" w:lineRule="auto"/>
        <w:rPr>
          <w:rFonts w:ascii="Times New Roman" w:eastAsia="Calibri" w:hAnsi="Times New Roman" w:cs="Times New Roman"/>
          <w:color w:val="4C4747"/>
          <w:spacing w:val="20"/>
          <w:sz w:val="24"/>
          <w:szCs w:val="24"/>
          <w:lang w:val="es-DO"/>
        </w:rPr>
      </w:pPr>
    </w:p>
    <w:p w14:paraId="78CD30EC" w14:textId="77777777" w:rsidR="00A4332B" w:rsidRPr="00C62BB6" w:rsidRDefault="00A4332B" w:rsidP="00871F2C">
      <w:pPr>
        <w:spacing w:line="276" w:lineRule="auto"/>
        <w:rPr>
          <w:rFonts w:ascii="Times New Roman" w:eastAsia="Calibri" w:hAnsi="Times New Roman" w:cs="Times New Roman"/>
          <w:color w:val="4C4747"/>
          <w:spacing w:val="20"/>
          <w:sz w:val="24"/>
          <w:szCs w:val="24"/>
          <w:lang w:val="es-DO"/>
        </w:rPr>
      </w:pPr>
    </w:p>
    <w:p w14:paraId="72DAC17F" w14:textId="77777777" w:rsidR="00A4332B" w:rsidRPr="00C62BB6" w:rsidRDefault="00A4332B" w:rsidP="00871F2C">
      <w:pPr>
        <w:spacing w:line="276" w:lineRule="auto"/>
        <w:rPr>
          <w:rFonts w:ascii="Times New Roman" w:eastAsia="Calibri" w:hAnsi="Times New Roman" w:cs="Times New Roman"/>
          <w:color w:val="4C4747"/>
          <w:spacing w:val="20"/>
          <w:sz w:val="24"/>
          <w:szCs w:val="24"/>
          <w:lang w:val="es-DO"/>
        </w:rPr>
      </w:pPr>
    </w:p>
    <w:p w14:paraId="4D3E1767" w14:textId="77777777" w:rsidR="00A4332B" w:rsidRPr="00C62BB6" w:rsidRDefault="00A4332B" w:rsidP="00871F2C">
      <w:pPr>
        <w:spacing w:line="276" w:lineRule="auto"/>
        <w:rPr>
          <w:rFonts w:ascii="Times New Roman" w:eastAsia="Calibri" w:hAnsi="Times New Roman" w:cs="Times New Roman"/>
          <w:color w:val="4C4747"/>
          <w:spacing w:val="20"/>
          <w:sz w:val="24"/>
          <w:szCs w:val="24"/>
          <w:lang w:val="es-DO"/>
        </w:rPr>
      </w:pPr>
    </w:p>
    <w:p w14:paraId="6214A468" w14:textId="77777777" w:rsidR="00A4332B" w:rsidRDefault="00A4332B" w:rsidP="00871F2C">
      <w:pPr>
        <w:spacing w:line="276" w:lineRule="auto"/>
        <w:rPr>
          <w:rFonts w:ascii="Times New Roman" w:eastAsia="Calibri" w:hAnsi="Times New Roman" w:cs="Times New Roman"/>
          <w:color w:val="767171"/>
          <w:spacing w:val="20"/>
          <w:sz w:val="24"/>
          <w:szCs w:val="24"/>
          <w:lang w:val="es-DO"/>
        </w:rPr>
      </w:pPr>
    </w:p>
    <w:p w14:paraId="4CF40964" w14:textId="77777777" w:rsidR="00A4332B" w:rsidRPr="00943FA5" w:rsidRDefault="00A4332B" w:rsidP="00871F2C">
      <w:pPr>
        <w:spacing w:line="276" w:lineRule="auto"/>
        <w:rPr>
          <w:rFonts w:ascii="Times New Roman" w:eastAsia="Calibri" w:hAnsi="Times New Roman" w:cs="Times New Roman"/>
          <w:color w:val="767171"/>
          <w:spacing w:val="20"/>
          <w:sz w:val="24"/>
          <w:szCs w:val="24"/>
          <w:lang w:val="es-DO"/>
        </w:rPr>
      </w:pPr>
    </w:p>
    <w:tbl>
      <w:tblPr>
        <w:tblStyle w:val="Tablaconcuadrcula"/>
        <w:tblW w:w="8005" w:type="dxa"/>
        <w:tblLook w:val="04A0" w:firstRow="1" w:lastRow="0" w:firstColumn="1" w:lastColumn="0" w:noHBand="0" w:noVBand="1"/>
      </w:tblPr>
      <w:tblGrid>
        <w:gridCol w:w="1337"/>
        <w:gridCol w:w="5139"/>
        <w:gridCol w:w="1529"/>
      </w:tblGrid>
      <w:tr w:rsidR="00871F2C" w:rsidRPr="008E6046" w14:paraId="1E8B71D5" w14:textId="77777777" w:rsidTr="00943FA5">
        <w:tc>
          <w:tcPr>
            <w:tcW w:w="8005" w:type="dxa"/>
            <w:gridSpan w:val="3"/>
            <w:shd w:val="clear" w:color="auto" w:fill="002060"/>
            <w:vAlign w:val="center"/>
          </w:tcPr>
          <w:p w14:paraId="63A85B0F" w14:textId="58501F63" w:rsidR="00871F2C" w:rsidRPr="00C62BB6" w:rsidRDefault="008D55B2"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lastRenderedPageBreak/>
              <w:t>Casos i</w:t>
            </w:r>
            <w:r w:rsidR="00871F2C" w:rsidRPr="00C62BB6">
              <w:rPr>
                <w:rFonts w:ascii="Times New Roman" w:eastAsia="Calibri" w:hAnsi="Times New Roman" w:cs="Times New Roman"/>
                <w:b/>
                <w:color w:val="FFFFFF" w:themeColor="background1"/>
                <w:spacing w:val="20"/>
                <w:sz w:val="24"/>
                <w:szCs w:val="24"/>
                <w:lang w:val="es-DO"/>
              </w:rPr>
              <w:t>nstruidos por la Gerencia de Cumplimiento</w:t>
            </w:r>
          </w:p>
          <w:p w14:paraId="4CBA34E1" w14:textId="2F3BF7CB" w:rsidR="00871F2C" w:rsidRPr="00C62BB6" w:rsidRDefault="008D55B2"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Enero - n</w:t>
            </w:r>
            <w:r w:rsidR="00871F2C" w:rsidRPr="00C62BB6">
              <w:rPr>
                <w:rFonts w:ascii="Times New Roman" w:eastAsia="Calibri" w:hAnsi="Times New Roman" w:cs="Times New Roman"/>
                <w:b/>
                <w:color w:val="FFFFFF" w:themeColor="background1"/>
                <w:spacing w:val="20"/>
                <w:sz w:val="24"/>
                <w:szCs w:val="24"/>
                <w:lang w:val="es-DO"/>
              </w:rPr>
              <w:t>oviembre de 2022</w:t>
            </w:r>
          </w:p>
        </w:tc>
      </w:tr>
      <w:tr w:rsidR="00871F2C" w:rsidRPr="008E6046" w14:paraId="3D93C814" w14:textId="77777777" w:rsidTr="00A4332B">
        <w:tc>
          <w:tcPr>
            <w:tcW w:w="1255" w:type="dxa"/>
            <w:shd w:val="clear" w:color="auto" w:fill="002060"/>
            <w:vAlign w:val="center"/>
          </w:tcPr>
          <w:p w14:paraId="669AC6E7" w14:textId="77777777" w:rsidR="00871F2C" w:rsidRPr="00C62BB6" w:rsidRDefault="00871F2C"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Cantidad de Casos</w:t>
            </w:r>
          </w:p>
        </w:tc>
        <w:tc>
          <w:tcPr>
            <w:tcW w:w="5220" w:type="dxa"/>
            <w:shd w:val="clear" w:color="auto" w:fill="002060"/>
            <w:vAlign w:val="center"/>
          </w:tcPr>
          <w:p w14:paraId="5ACD738B" w14:textId="77777777" w:rsidR="00871F2C" w:rsidRPr="00C62BB6" w:rsidRDefault="00871F2C"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Tipo de Incumplimiento</w:t>
            </w:r>
          </w:p>
        </w:tc>
        <w:tc>
          <w:tcPr>
            <w:tcW w:w="1530" w:type="dxa"/>
            <w:shd w:val="clear" w:color="auto" w:fill="002060"/>
            <w:vAlign w:val="center"/>
          </w:tcPr>
          <w:p w14:paraId="16D67D5B" w14:textId="77777777" w:rsidR="00871F2C" w:rsidRPr="00C62BB6" w:rsidRDefault="00871F2C"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Estatus</w:t>
            </w:r>
          </w:p>
        </w:tc>
      </w:tr>
      <w:tr w:rsidR="00C62BB6" w:rsidRPr="00C62BB6" w14:paraId="157A6DEA" w14:textId="77777777" w:rsidTr="00A4332B">
        <w:tc>
          <w:tcPr>
            <w:tcW w:w="1255" w:type="dxa"/>
          </w:tcPr>
          <w:p w14:paraId="696F6DB2"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72D03BF9"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w:t>
            </w:r>
          </w:p>
        </w:tc>
        <w:tc>
          <w:tcPr>
            <w:tcW w:w="5220" w:type="dxa"/>
          </w:tcPr>
          <w:p w14:paraId="3999B864" w14:textId="77777777"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Ausencia de violación al marco legal y reglamentario vigente</w:t>
            </w:r>
          </w:p>
        </w:tc>
        <w:tc>
          <w:tcPr>
            <w:tcW w:w="1530" w:type="dxa"/>
            <w:vAlign w:val="center"/>
          </w:tcPr>
          <w:p w14:paraId="5943B4C2"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w:t>
            </w:r>
          </w:p>
        </w:tc>
      </w:tr>
      <w:tr w:rsidR="00C62BB6" w:rsidRPr="00C62BB6" w14:paraId="55202D2A" w14:textId="77777777" w:rsidTr="00A4332B">
        <w:tc>
          <w:tcPr>
            <w:tcW w:w="1255" w:type="dxa"/>
          </w:tcPr>
          <w:p w14:paraId="14D77204"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283DCC49"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w:t>
            </w:r>
          </w:p>
        </w:tc>
        <w:tc>
          <w:tcPr>
            <w:tcW w:w="5220" w:type="dxa"/>
          </w:tcPr>
          <w:p w14:paraId="65D2D546" w14:textId="24EE2E24"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fldChar w:fldCharType="begin"/>
            </w:r>
            <w:r w:rsidRPr="00C62BB6">
              <w:rPr>
                <w:rFonts w:ascii="Times New Roman" w:eastAsia="Calibri" w:hAnsi="Times New Roman" w:cs="Times New Roman"/>
                <w:color w:val="4C4747"/>
                <w:spacing w:val="20"/>
                <w:sz w:val="24"/>
                <w:szCs w:val="24"/>
                <w:lang w:val="es-DO"/>
              </w:rPr>
              <w:instrText xml:space="preserve"> LINK Word.Document.12 "C:\\Users\\calcantara\\Downloads\\gerencia de cumplimiento.docx" "OLE_LINK1" \a \r  \* MERGEFORMAT </w:instrText>
            </w:r>
            <w:r w:rsidRPr="00C62BB6">
              <w:rPr>
                <w:rFonts w:ascii="Times New Roman" w:eastAsia="Calibri" w:hAnsi="Times New Roman" w:cs="Times New Roman"/>
                <w:color w:val="4C4747"/>
                <w:spacing w:val="20"/>
                <w:sz w:val="24"/>
                <w:szCs w:val="24"/>
                <w:lang w:val="es-DO"/>
              </w:rPr>
              <w:fldChar w:fldCharType="separate"/>
            </w:r>
            <w:r w:rsidRPr="00C62BB6">
              <w:rPr>
                <w:rFonts w:ascii="Times New Roman" w:eastAsia="Calibri" w:hAnsi="Times New Roman" w:cs="Times New Roman"/>
                <w:color w:val="4C4747"/>
                <w:spacing w:val="20"/>
                <w:sz w:val="24"/>
                <w:szCs w:val="24"/>
                <w:lang w:val="es-DO"/>
              </w:rPr>
              <w:t xml:space="preserve">Solicitud de información a las grandes prestadoras concerniente a calidad </w:t>
            </w:r>
            <w:r w:rsidRPr="00C62BB6">
              <w:rPr>
                <w:rFonts w:ascii="Times New Roman" w:eastAsia="Calibri" w:hAnsi="Times New Roman" w:cs="Times New Roman"/>
                <w:color w:val="4C4747"/>
                <w:spacing w:val="20"/>
                <w:sz w:val="24"/>
                <w:szCs w:val="24"/>
                <w:lang w:val="es-DO"/>
              </w:rPr>
              <w:fldChar w:fldCharType="end"/>
            </w:r>
          </w:p>
        </w:tc>
        <w:tc>
          <w:tcPr>
            <w:tcW w:w="1530" w:type="dxa"/>
          </w:tcPr>
          <w:p w14:paraId="644CC694" w14:textId="77777777"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p>
          <w:p w14:paraId="706B0809" w14:textId="4B334E5A"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Concluidos</w:t>
            </w:r>
          </w:p>
        </w:tc>
      </w:tr>
      <w:tr w:rsidR="00C62BB6" w:rsidRPr="00C62BB6" w14:paraId="4457BD18" w14:textId="77777777" w:rsidTr="00A4332B">
        <w:tc>
          <w:tcPr>
            <w:tcW w:w="1255" w:type="dxa"/>
          </w:tcPr>
          <w:p w14:paraId="4E7193AD"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763B3181"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9</w:t>
            </w:r>
          </w:p>
        </w:tc>
        <w:tc>
          <w:tcPr>
            <w:tcW w:w="5220" w:type="dxa"/>
          </w:tcPr>
          <w:p w14:paraId="57E72403" w14:textId="0A51A07A"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Cartas de advertencia para el cumplimiento del reglamento de activación de servicios SIM</w:t>
            </w:r>
          </w:p>
        </w:tc>
        <w:tc>
          <w:tcPr>
            <w:tcW w:w="1530" w:type="dxa"/>
          </w:tcPr>
          <w:p w14:paraId="595D748F"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714D7A3F" w14:textId="1F0A2FF0"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w:t>
            </w:r>
            <w:r w:rsidR="00653B74" w:rsidRPr="00C62BB6">
              <w:rPr>
                <w:rFonts w:ascii="Times New Roman" w:eastAsia="Calibri" w:hAnsi="Times New Roman" w:cs="Times New Roman"/>
                <w:color w:val="4C4747"/>
                <w:spacing w:val="20"/>
                <w:sz w:val="24"/>
                <w:szCs w:val="24"/>
                <w:lang w:val="es-DO"/>
              </w:rPr>
              <w:t>s</w:t>
            </w:r>
          </w:p>
        </w:tc>
      </w:tr>
      <w:tr w:rsidR="00C62BB6" w:rsidRPr="00C62BB6" w14:paraId="0F1C3D3C" w14:textId="77777777" w:rsidTr="006C7929">
        <w:tc>
          <w:tcPr>
            <w:tcW w:w="1255" w:type="dxa"/>
          </w:tcPr>
          <w:p w14:paraId="74FE2572"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54EF7D8D" w14:textId="77777777"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p>
          <w:p w14:paraId="02B05CDF"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13</w:t>
            </w:r>
          </w:p>
        </w:tc>
        <w:tc>
          <w:tcPr>
            <w:tcW w:w="5220" w:type="dxa"/>
          </w:tcPr>
          <w:p w14:paraId="49BB37EF" w14:textId="78862143"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Cartas de advertencias por uso del espectro sin la debida autorización y el movimiento de antenas sin autorización.</w:t>
            </w:r>
          </w:p>
        </w:tc>
        <w:tc>
          <w:tcPr>
            <w:tcW w:w="1530" w:type="dxa"/>
            <w:vAlign w:val="center"/>
          </w:tcPr>
          <w:p w14:paraId="5BBA24A2" w14:textId="77777777" w:rsidR="00871F2C" w:rsidRPr="00C62BB6" w:rsidRDefault="00871F2C" w:rsidP="006C7929">
            <w:pPr>
              <w:spacing w:before="24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Concluidos</w:t>
            </w:r>
          </w:p>
        </w:tc>
      </w:tr>
      <w:tr w:rsidR="00C62BB6" w:rsidRPr="00C62BB6" w14:paraId="552494B1" w14:textId="77777777" w:rsidTr="00A4332B">
        <w:tc>
          <w:tcPr>
            <w:tcW w:w="1255" w:type="dxa"/>
          </w:tcPr>
          <w:p w14:paraId="4965ED3B"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664AC061"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w:t>
            </w:r>
          </w:p>
          <w:p w14:paraId="5CC3422C"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tc>
        <w:tc>
          <w:tcPr>
            <w:tcW w:w="5220" w:type="dxa"/>
          </w:tcPr>
          <w:p w14:paraId="10028435" w14:textId="4CB70957" w:rsidR="00871F2C" w:rsidRPr="00C62BB6" w:rsidRDefault="00871F2C"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Revocación de autorizaciones de frecuencias</w:t>
            </w:r>
          </w:p>
        </w:tc>
        <w:tc>
          <w:tcPr>
            <w:tcW w:w="1530" w:type="dxa"/>
          </w:tcPr>
          <w:p w14:paraId="4B968F23"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p>
          <w:p w14:paraId="69FE2028" w14:textId="77777777" w:rsidR="00871F2C" w:rsidRPr="00C62BB6" w:rsidRDefault="00871F2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w:t>
            </w:r>
          </w:p>
        </w:tc>
      </w:tr>
    </w:tbl>
    <w:p w14:paraId="1A2E8D23" w14:textId="163EAE3D" w:rsidR="00871F2C" w:rsidRPr="00C62BB6" w:rsidRDefault="00871F2C" w:rsidP="00A4332B">
      <w:pPr>
        <w:spacing w:before="240" w:line="36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Gerencia de Cumplimiento, Direcc</w:t>
      </w:r>
      <w:r w:rsidR="00A4332B" w:rsidRPr="00C62BB6">
        <w:rPr>
          <w:rFonts w:ascii="Times New Roman" w:eastAsia="Calibri" w:hAnsi="Times New Roman" w:cs="Times New Roman"/>
          <w:color w:val="4C4747"/>
          <w:spacing w:val="20"/>
          <w:sz w:val="18"/>
          <w:szCs w:val="24"/>
          <w:lang w:val="es-DO"/>
        </w:rPr>
        <w:t>ión de Cumplimiento y Sanciones</w:t>
      </w:r>
    </w:p>
    <w:p w14:paraId="2A9DF652" w14:textId="77777777" w:rsidR="008D55B2" w:rsidRPr="00C62BB6" w:rsidRDefault="00871F2C" w:rsidP="00A4332B">
      <w:pPr>
        <w:spacing w:before="240"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El INDOTEL, conforme los términos de la Ley General de Telecomunicaciones, núm. 153-98, está facultado para aplicar el régimen sancionador ante la comisión de las faltas administrativas previstas en dicho texto de ley por parte de aquellos administrados que se encuentren realizando actividades reguladas por las disposiciones legales vigentes en materia de telecomunicaciones sin poseer las autorizaciones requeridas por dicho texto </w:t>
      </w:r>
      <w:r w:rsidR="00714ED7" w:rsidRPr="00C62BB6">
        <w:rPr>
          <w:rFonts w:ascii="Times New Roman" w:eastAsia="Calibri" w:hAnsi="Times New Roman" w:cs="Times New Roman"/>
          <w:color w:val="4C4747"/>
          <w:spacing w:val="20"/>
          <w:sz w:val="24"/>
          <w:szCs w:val="24"/>
          <w:lang w:val="es-DO"/>
        </w:rPr>
        <w:t>de ley; contra quien aun</w:t>
      </w:r>
      <w:r w:rsidRPr="00C62BB6">
        <w:rPr>
          <w:rFonts w:ascii="Times New Roman" w:eastAsia="Calibri" w:hAnsi="Times New Roman" w:cs="Times New Roman"/>
          <w:color w:val="4C4747"/>
          <w:spacing w:val="20"/>
          <w:sz w:val="24"/>
          <w:szCs w:val="24"/>
          <w:lang w:val="es-DO"/>
        </w:rPr>
        <w:t xml:space="preserve"> contando con la concesión o la licencia realicen actividades </w:t>
      </w:r>
    </w:p>
    <w:p w14:paraId="3D5C5D7B" w14:textId="315A5987" w:rsidR="00871F2C" w:rsidRPr="00C62BB6" w:rsidRDefault="00871F2C" w:rsidP="00871F2C">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contrarias a la ley; contra las cocesionarias que operan sin pagar los Derecho de Uso correspondien</w:t>
      </w:r>
      <w:r w:rsidR="00714ED7" w:rsidRPr="00C62BB6">
        <w:rPr>
          <w:rFonts w:ascii="Times New Roman" w:eastAsia="Calibri" w:hAnsi="Times New Roman" w:cs="Times New Roman"/>
          <w:color w:val="4C4747"/>
          <w:spacing w:val="20"/>
          <w:sz w:val="24"/>
          <w:szCs w:val="24"/>
          <w:lang w:val="es-DO"/>
        </w:rPr>
        <w:t>tes</w:t>
      </w:r>
      <w:r w:rsidRPr="00C62BB6">
        <w:rPr>
          <w:rFonts w:ascii="Times New Roman" w:eastAsia="Calibri" w:hAnsi="Times New Roman" w:cs="Times New Roman"/>
          <w:color w:val="4C4747"/>
          <w:spacing w:val="20"/>
          <w:sz w:val="24"/>
          <w:szCs w:val="24"/>
          <w:lang w:val="es-DO"/>
        </w:rPr>
        <w:t xml:space="preserve"> </w:t>
      </w:r>
      <w:r w:rsidR="00714ED7" w:rsidRPr="00C62BB6">
        <w:rPr>
          <w:rFonts w:ascii="Times New Roman" w:eastAsia="Calibri" w:hAnsi="Times New Roman" w:cs="Times New Roman"/>
          <w:color w:val="4C4747"/>
          <w:spacing w:val="20"/>
          <w:sz w:val="24"/>
          <w:szCs w:val="24"/>
          <w:lang w:val="es-DO"/>
        </w:rPr>
        <w:t>o</w:t>
      </w:r>
      <w:r w:rsidRPr="00C62BB6">
        <w:rPr>
          <w:rFonts w:ascii="Times New Roman" w:eastAsia="Calibri" w:hAnsi="Times New Roman" w:cs="Times New Roman"/>
          <w:color w:val="4C4747"/>
          <w:spacing w:val="20"/>
          <w:sz w:val="24"/>
          <w:szCs w:val="24"/>
          <w:lang w:val="es-DO"/>
        </w:rPr>
        <w:t xml:space="preserve"> contra los </w:t>
      </w:r>
      <w:r w:rsidR="00714ED7" w:rsidRPr="00C62BB6">
        <w:rPr>
          <w:rFonts w:ascii="Times New Roman" w:eastAsia="Calibri" w:hAnsi="Times New Roman" w:cs="Times New Roman"/>
          <w:color w:val="4C4747"/>
          <w:spacing w:val="20"/>
          <w:sz w:val="24"/>
          <w:szCs w:val="24"/>
          <w:lang w:val="es-DO"/>
        </w:rPr>
        <w:t xml:space="preserve">usuarios </w:t>
      </w:r>
      <w:r w:rsidRPr="00C62BB6">
        <w:rPr>
          <w:rFonts w:ascii="Times New Roman" w:eastAsia="Calibri" w:hAnsi="Times New Roman" w:cs="Times New Roman"/>
          <w:color w:val="4C4747"/>
          <w:spacing w:val="20"/>
          <w:sz w:val="24"/>
          <w:szCs w:val="24"/>
          <w:lang w:val="es-DO"/>
        </w:rPr>
        <w:t xml:space="preserve">que realicen una mala utilización de los servicios de telecomunicaciones, así como </w:t>
      </w:r>
      <w:r w:rsidRPr="00C62BB6">
        <w:rPr>
          <w:rFonts w:ascii="Times New Roman" w:eastAsia="Calibri" w:hAnsi="Times New Roman" w:cs="Times New Roman"/>
          <w:color w:val="4C4747"/>
          <w:spacing w:val="20"/>
          <w:sz w:val="24"/>
          <w:szCs w:val="24"/>
          <w:lang w:val="es-DO"/>
        </w:rPr>
        <w:lastRenderedPageBreak/>
        <w:t>su emp</w:t>
      </w:r>
      <w:r w:rsidR="00A4332B" w:rsidRPr="00C62BB6">
        <w:rPr>
          <w:rFonts w:ascii="Times New Roman" w:eastAsia="Calibri" w:hAnsi="Times New Roman" w:cs="Times New Roman"/>
          <w:color w:val="4C4747"/>
          <w:spacing w:val="20"/>
          <w:sz w:val="24"/>
          <w:szCs w:val="24"/>
          <w:lang w:val="es-DO"/>
        </w:rPr>
        <w:t xml:space="preserve">leo en perjuicio de terceros.  </w:t>
      </w:r>
    </w:p>
    <w:p w14:paraId="1B7B041D" w14:textId="77777777" w:rsidR="00871F2C" w:rsidRPr="00A4233F" w:rsidRDefault="00871F2C" w:rsidP="00A4332B">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este contexto INDOTEL ha realizado operativos a nivel nacional con el propósito de identificar presuntos infractores del régimen legal y regulatorio de los servicios públicos de telecomunicaciones, confirmando así el incumplimiento por parte de los distintos operadores autorizados y no autorizados de dichos servicios respecto de los cuales  procedemos a destacar lo siguiente:</w:t>
      </w:r>
    </w:p>
    <w:p w14:paraId="59598A80" w14:textId="77777777" w:rsidR="00871F2C" w:rsidRPr="00943FA5" w:rsidRDefault="00871F2C" w:rsidP="00871F2C">
      <w:pPr>
        <w:spacing w:line="276" w:lineRule="auto"/>
        <w:rPr>
          <w:rFonts w:ascii="Times New Roman" w:eastAsia="Calibri" w:hAnsi="Times New Roman" w:cs="Times New Roman"/>
          <w:color w:val="767171"/>
          <w:spacing w:val="20"/>
          <w:sz w:val="24"/>
          <w:szCs w:val="24"/>
          <w:lang w:val="es-DO"/>
        </w:rPr>
      </w:pPr>
    </w:p>
    <w:tbl>
      <w:tblPr>
        <w:tblStyle w:val="Tablaconcuadrcula"/>
        <w:tblW w:w="0" w:type="auto"/>
        <w:tblLook w:val="04A0" w:firstRow="1" w:lastRow="0" w:firstColumn="1" w:lastColumn="0" w:noHBand="0" w:noVBand="1"/>
      </w:tblPr>
      <w:tblGrid>
        <w:gridCol w:w="1337"/>
        <w:gridCol w:w="5048"/>
        <w:gridCol w:w="1525"/>
      </w:tblGrid>
      <w:tr w:rsidR="00871F2C" w:rsidRPr="00376423" w14:paraId="7523F00B" w14:textId="77777777" w:rsidTr="00B855AA">
        <w:trPr>
          <w:tblHeader/>
        </w:trPr>
        <w:tc>
          <w:tcPr>
            <w:tcW w:w="7910" w:type="dxa"/>
            <w:gridSpan w:val="3"/>
            <w:shd w:val="clear" w:color="auto" w:fill="002060"/>
          </w:tcPr>
          <w:p w14:paraId="5B2332A8" w14:textId="174AD9B1" w:rsidR="00871F2C" w:rsidRPr="00C62BB6" w:rsidRDefault="00871F2C"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Casos</w:t>
            </w:r>
            <w:r w:rsidR="008D55B2" w:rsidRPr="00C62BB6">
              <w:rPr>
                <w:rFonts w:ascii="Times New Roman" w:eastAsia="Calibri" w:hAnsi="Times New Roman" w:cs="Times New Roman"/>
                <w:b/>
                <w:color w:val="FFFFFF" w:themeColor="background1"/>
                <w:spacing w:val="20"/>
                <w:sz w:val="24"/>
                <w:szCs w:val="24"/>
                <w:lang w:val="es-DO"/>
              </w:rPr>
              <w:t xml:space="preserve"> vinculados a i</w:t>
            </w:r>
            <w:r w:rsidRPr="00C62BB6">
              <w:rPr>
                <w:rFonts w:ascii="Times New Roman" w:eastAsia="Calibri" w:hAnsi="Times New Roman" w:cs="Times New Roman"/>
                <w:b/>
                <w:color w:val="FFFFFF" w:themeColor="background1"/>
                <w:spacing w:val="20"/>
                <w:sz w:val="24"/>
                <w:szCs w:val="24"/>
                <w:lang w:val="es-DO"/>
              </w:rPr>
              <w:t>nfracciones</w:t>
            </w:r>
          </w:p>
          <w:p w14:paraId="705B2EEB" w14:textId="5B8382C0" w:rsidR="00871F2C" w:rsidRPr="00C62BB6" w:rsidRDefault="008D55B2"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Enero - n</w:t>
            </w:r>
            <w:r w:rsidR="00871F2C" w:rsidRPr="00C62BB6">
              <w:rPr>
                <w:rFonts w:ascii="Times New Roman" w:eastAsia="Calibri" w:hAnsi="Times New Roman" w:cs="Times New Roman"/>
                <w:b/>
                <w:color w:val="FFFFFF" w:themeColor="background1"/>
                <w:spacing w:val="20"/>
                <w:sz w:val="24"/>
                <w:szCs w:val="24"/>
                <w:lang w:val="es-DO"/>
              </w:rPr>
              <w:t xml:space="preserve">oviembre de 2022 </w:t>
            </w:r>
          </w:p>
        </w:tc>
      </w:tr>
      <w:tr w:rsidR="00871F2C" w:rsidRPr="008E6046" w14:paraId="442475A6" w14:textId="77777777" w:rsidTr="00513ACC">
        <w:trPr>
          <w:trHeight w:val="665"/>
          <w:tblHeader/>
        </w:trPr>
        <w:tc>
          <w:tcPr>
            <w:tcW w:w="1255" w:type="dxa"/>
            <w:shd w:val="clear" w:color="auto" w:fill="002060"/>
          </w:tcPr>
          <w:p w14:paraId="7EBCCDCE" w14:textId="77777777" w:rsidR="00871F2C" w:rsidRPr="00C62BB6" w:rsidRDefault="00871F2C" w:rsidP="0083303F">
            <w:pPr>
              <w:spacing w:line="360" w:lineRule="auto"/>
              <w:jc w:val="center"/>
              <w:rPr>
                <w:rFonts w:ascii="Times New Roman" w:eastAsia="Calibri" w:hAnsi="Times New Roman" w:cs="Times New Roman"/>
                <w:b/>
                <w:color w:val="76717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Cantidad de Casos</w:t>
            </w:r>
          </w:p>
        </w:tc>
        <w:tc>
          <w:tcPr>
            <w:tcW w:w="5130" w:type="dxa"/>
            <w:shd w:val="clear" w:color="auto" w:fill="002060"/>
          </w:tcPr>
          <w:p w14:paraId="2C3042C3" w14:textId="77777777" w:rsidR="00871F2C" w:rsidRPr="00C62BB6" w:rsidRDefault="00871F2C"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Tipo de Infracción/Falta</w:t>
            </w:r>
          </w:p>
        </w:tc>
        <w:tc>
          <w:tcPr>
            <w:tcW w:w="1525" w:type="dxa"/>
            <w:shd w:val="clear" w:color="auto" w:fill="002060"/>
          </w:tcPr>
          <w:p w14:paraId="527DEE1B" w14:textId="77777777" w:rsidR="00871F2C" w:rsidRPr="00C62BB6" w:rsidRDefault="00871F2C" w:rsidP="0083303F">
            <w:pPr>
              <w:spacing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Estatus</w:t>
            </w:r>
          </w:p>
        </w:tc>
      </w:tr>
      <w:tr w:rsidR="00C62BB6" w:rsidRPr="00C62BB6" w14:paraId="79992676" w14:textId="77777777" w:rsidTr="006C7929">
        <w:tc>
          <w:tcPr>
            <w:tcW w:w="1255" w:type="dxa"/>
          </w:tcPr>
          <w:p w14:paraId="45C2341A"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46559845"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5CBF6C33"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36A6D843"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39C36638"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w:t>
            </w:r>
          </w:p>
        </w:tc>
        <w:tc>
          <w:tcPr>
            <w:tcW w:w="5130" w:type="dxa"/>
          </w:tcPr>
          <w:p w14:paraId="1835510E" w14:textId="77777777" w:rsidR="00871F2C" w:rsidRPr="00C62BB6" w:rsidRDefault="00871F2C" w:rsidP="0083303F">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Falta muy grave y grave por la prestación del servicio de radiodifusión sonora sin la correspondiente concesión y uso indebido del espectro radioeléctrico, violación de los literales d) y b) de los artículos 105 y 106 de la Ley General de Telecomunicaciones, núm. 153-98.</w:t>
            </w:r>
          </w:p>
        </w:tc>
        <w:tc>
          <w:tcPr>
            <w:tcW w:w="1525" w:type="dxa"/>
            <w:vAlign w:val="center"/>
          </w:tcPr>
          <w:p w14:paraId="09B51922" w14:textId="77777777" w:rsidR="00871F2C" w:rsidRPr="00C62BB6" w:rsidRDefault="00871F2C" w:rsidP="006C7929">
            <w:pPr>
              <w:spacing w:line="360" w:lineRule="auto"/>
              <w:rPr>
                <w:rFonts w:ascii="Times New Roman" w:eastAsia="Calibri" w:hAnsi="Times New Roman" w:cs="Times New Roman"/>
                <w:color w:val="4C4747"/>
                <w:spacing w:val="20"/>
                <w:sz w:val="24"/>
                <w:szCs w:val="24"/>
                <w:lang w:val="es-DO"/>
              </w:rPr>
            </w:pPr>
          </w:p>
          <w:p w14:paraId="0391DD4F" w14:textId="77777777" w:rsidR="00871F2C" w:rsidRPr="00C62BB6" w:rsidRDefault="00871F2C" w:rsidP="006C7929">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Concluidos</w:t>
            </w:r>
          </w:p>
          <w:p w14:paraId="0DE3DCC5" w14:textId="77777777" w:rsidR="00871F2C" w:rsidRPr="00C62BB6" w:rsidRDefault="00871F2C" w:rsidP="006C7929">
            <w:pPr>
              <w:spacing w:line="360" w:lineRule="auto"/>
              <w:jc w:val="center"/>
              <w:rPr>
                <w:rFonts w:ascii="Times New Roman" w:eastAsia="Calibri" w:hAnsi="Times New Roman" w:cs="Times New Roman"/>
                <w:color w:val="4C4747"/>
                <w:spacing w:val="20"/>
                <w:sz w:val="24"/>
                <w:szCs w:val="24"/>
                <w:lang w:val="es-DO"/>
              </w:rPr>
            </w:pPr>
          </w:p>
        </w:tc>
      </w:tr>
      <w:tr w:rsidR="00C62BB6" w:rsidRPr="00C62BB6" w14:paraId="77516E42" w14:textId="77777777" w:rsidTr="006C7929">
        <w:tc>
          <w:tcPr>
            <w:tcW w:w="1255" w:type="dxa"/>
          </w:tcPr>
          <w:p w14:paraId="03658637"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68DA9D82"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25D9608A"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1F595F95"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w:t>
            </w:r>
          </w:p>
        </w:tc>
        <w:tc>
          <w:tcPr>
            <w:tcW w:w="5130" w:type="dxa"/>
          </w:tcPr>
          <w:p w14:paraId="42B49B9D" w14:textId="6855F3E3" w:rsidR="00871F2C" w:rsidRPr="00C62BB6" w:rsidRDefault="00871F2C" w:rsidP="0083303F">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Falta muy grave, por reventa del servicio de internet sin encontrarse inscritos en el Registro Especial para reventa de servicios públicos de telecomunicaciones</w:t>
            </w:r>
            <w:r w:rsidR="00B855AA" w:rsidRPr="00C62BB6">
              <w:rPr>
                <w:rFonts w:ascii="Times New Roman" w:eastAsia="Calibri" w:hAnsi="Times New Roman" w:cs="Times New Roman"/>
                <w:color w:val="4C4747"/>
                <w:spacing w:val="20"/>
                <w:sz w:val="24"/>
                <w:szCs w:val="24"/>
                <w:lang w:val="es-DO"/>
              </w:rPr>
              <w:t>.</w:t>
            </w:r>
          </w:p>
        </w:tc>
        <w:tc>
          <w:tcPr>
            <w:tcW w:w="1525" w:type="dxa"/>
            <w:vAlign w:val="center"/>
          </w:tcPr>
          <w:p w14:paraId="42FCCD01" w14:textId="77777777" w:rsidR="00871F2C" w:rsidRPr="00C62BB6" w:rsidRDefault="00871F2C" w:rsidP="006C7929">
            <w:pPr>
              <w:spacing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Concluidos</w:t>
            </w:r>
          </w:p>
        </w:tc>
      </w:tr>
      <w:tr w:rsidR="00C62BB6" w:rsidRPr="00C62BB6" w14:paraId="40A7AF84" w14:textId="77777777" w:rsidTr="006C7929">
        <w:tc>
          <w:tcPr>
            <w:tcW w:w="1255" w:type="dxa"/>
          </w:tcPr>
          <w:p w14:paraId="09FFE473"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38EBB6AA"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p>
          <w:p w14:paraId="45CB7C03" w14:textId="77777777" w:rsidR="00871F2C" w:rsidRPr="00C62BB6" w:rsidRDefault="00871F2C" w:rsidP="0083303F">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w:t>
            </w:r>
          </w:p>
        </w:tc>
        <w:tc>
          <w:tcPr>
            <w:tcW w:w="5130" w:type="dxa"/>
          </w:tcPr>
          <w:p w14:paraId="2A615A47" w14:textId="447A290D" w:rsidR="00871F2C" w:rsidRPr="00C62BB6" w:rsidRDefault="00871F2C" w:rsidP="0083303F">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Falta muy grave, por el incumplimiento en el pago del Derecho de U</w:t>
            </w:r>
            <w:r w:rsidR="00714ED7" w:rsidRPr="00C62BB6">
              <w:rPr>
                <w:rFonts w:ascii="Times New Roman" w:eastAsia="Calibri" w:hAnsi="Times New Roman" w:cs="Times New Roman"/>
                <w:color w:val="4C4747"/>
                <w:spacing w:val="20"/>
                <w:sz w:val="24"/>
                <w:szCs w:val="24"/>
                <w:lang w:val="es-DO"/>
              </w:rPr>
              <w:t>so del espectro radioeléctrico</w:t>
            </w:r>
            <w:r w:rsidR="00B855AA" w:rsidRPr="00C62BB6">
              <w:rPr>
                <w:rFonts w:ascii="Times New Roman" w:eastAsia="Calibri" w:hAnsi="Times New Roman" w:cs="Times New Roman"/>
                <w:color w:val="4C4747"/>
                <w:spacing w:val="20"/>
                <w:sz w:val="24"/>
                <w:szCs w:val="24"/>
                <w:lang w:val="es-DO"/>
              </w:rPr>
              <w:t>.</w:t>
            </w:r>
            <w:r w:rsidRPr="00C62BB6">
              <w:rPr>
                <w:rFonts w:ascii="Times New Roman" w:eastAsia="Calibri" w:hAnsi="Times New Roman" w:cs="Times New Roman"/>
                <w:color w:val="4C4747"/>
                <w:spacing w:val="20"/>
                <w:sz w:val="24"/>
                <w:szCs w:val="24"/>
                <w:lang w:val="es-DO"/>
              </w:rPr>
              <w:t xml:space="preserve"> </w:t>
            </w:r>
          </w:p>
        </w:tc>
        <w:tc>
          <w:tcPr>
            <w:tcW w:w="1525" w:type="dxa"/>
            <w:vAlign w:val="center"/>
          </w:tcPr>
          <w:p w14:paraId="67158BF9" w14:textId="6A7FF831" w:rsidR="00871F2C" w:rsidRPr="00C62BB6" w:rsidRDefault="00871F2C" w:rsidP="006C7929">
            <w:pPr>
              <w:spacing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Concluidos</w:t>
            </w:r>
          </w:p>
        </w:tc>
      </w:tr>
    </w:tbl>
    <w:p w14:paraId="76ACA559" w14:textId="2F370A8C" w:rsidR="00714ED7" w:rsidRPr="00C62BB6" w:rsidRDefault="00871F2C" w:rsidP="00A4332B">
      <w:pPr>
        <w:spacing w:line="36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Gerencia de Sanciones, Direcc</w:t>
      </w:r>
      <w:r w:rsidR="00A4332B" w:rsidRPr="00C62BB6">
        <w:rPr>
          <w:rFonts w:ascii="Times New Roman" w:eastAsia="Calibri" w:hAnsi="Times New Roman" w:cs="Times New Roman"/>
          <w:color w:val="4C4747"/>
          <w:spacing w:val="20"/>
          <w:sz w:val="18"/>
          <w:szCs w:val="24"/>
          <w:lang w:val="es-DO"/>
        </w:rPr>
        <w:t>ión de Cumplimiento y Sanciones</w:t>
      </w:r>
    </w:p>
    <w:p w14:paraId="6D9C59D9" w14:textId="77777777" w:rsidR="00A4332B" w:rsidRPr="00C62BB6" w:rsidRDefault="00A4332B" w:rsidP="00A4332B">
      <w:pPr>
        <w:spacing w:line="360" w:lineRule="auto"/>
        <w:rPr>
          <w:rFonts w:ascii="Times New Roman" w:eastAsia="Calibri" w:hAnsi="Times New Roman" w:cs="Times New Roman"/>
          <w:color w:val="4C4747"/>
          <w:spacing w:val="20"/>
          <w:sz w:val="18"/>
          <w:szCs w:val="24"/>
          <w:lang w:val="es-DO"/>
        </w:rPr>
      </w:pPr>
    </w:p>
    <w:p w14:paraId="222FD47E" w14:textId="77777777" w:rsidR="00A4332B" w:rsidRPr="00C62BB6" w:rsidRDefault="00A4332B" w:rsidP="00A4332B">
      <w:pPr>
        <w:spacing w:line="360" w:lineRule="auto"/>
        <w:rPr>
          <w:rFonts w:ascii="Times New Roman" w:eastAsia="Calibri" w:hAnsi="Times New Roman" w:cs="Times New Roman"/>
          <w:color w:val="4C4747"/>
          <w:spacing w:val="20"/>
          <w:sz w:val="18"/>
          <w:szCs w:val="24"/>
          <w:lang w:val="es-DO"/>
        </w:rPr>
      </w:pPr>
    </w:p>
    <w:p w14:paraId="14D0A563" w14:textId="5D3E95EE" w:rsidR="00641CAA" w:rsidRPr="00C62BB6" w:rsidRDefault="006D62FE" w:rsidP="00641CAA">
      <w:pPr>
        <w:pStyle w:val="Ttulo4"/>
        <w:rPr>
          <w:rFonts w:ascii="Times New Roman" w:hAnsi="Times New Roman" w:cs="Times New Roman"/>
          <w:b/>
          <w:i w:val="0"/>
          <w:color w:val="4C4747"/>
          <w:sz w:val="24"/>
          <w:szCs w:val="24"/>
          <w:lang w:val="es-DO" w:eastAsia="es-DO"/>
        </w:rPr>
      </w:pPr>
      <w:r w:rsidRPr="00C62BB6">
        <w:rPr>
          <w:rFonts w:ascii="Times New Roman" w:hAnsi="Times New Roman" w:cs="Times New Roman"/>
          <w:b/>
          <w:i w:val="0"/>
          <w:color w:val="4C4747"/>
          <w:sz w:val="24"/>
          <w:szCs w:val="24"/>
          <w:lang w:val="es-DO" w:eastAsia="es-DO"/>
        </w:rPr>
        <w:lastRenderedPageBreak/>
        <w:t xml:space="preserve">4.3.2 </w:t>
      </w:r>
      <w:r w:rsidR="00641CAA" w:rsidRPr="00C62BB6">
        <w:rPr>
          <w:rFonts w:ascii="Times New Roman" w:hAnsi="Times New Roman" w:cs="Times New Roman"/>
          <w:b/>
          <w:i w:val="0"/>
          <w:color w:val="4C4747"/>
          <w:sz w:val="24"/>
          <w:szCs w:val="24"/>
          <w:lang w:val="es-DO" w:eastAsia="es-DO"/>
        </w:rPr>
        <w:t>Aspectos Jurídicos</w:t>
      </w:r>
    </w:p>
    <w:p w14:paraId="23659677" w14:textId="77777777" w:rsidR="00641CAA" w:rsidRPr="00C62BB6" w:rsidRDefault="00641CAA" w:rsidP="00641CAA">
      <w:pPr>
        <w:pStyle w:val="Sinespaciado"/>
        <w:rPr>
          <w:color w:val="4C4747"/>
          <w:lang w:val="es-DO"/>
        </w:rPr>
      </w:pPr>
    </w:p>
    <w:p w14:paraId="1A8D6E91" w14:textId="7ABEA6E6" w:rsidR="00FE3890" w:rsidRPr="00A4233F" w:rsidRDefault="00C356F0" w:rsidP="00FE3890">
      <w:pPr>
        <w:spacing w:after="0" w:line="360" w:lineRule="auto"/>
        <w:ind w:right="-717"/>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La Dirección Jurídica del INDOTEL tiene como rol principal asesorar a la máxima autoridad y demás áreas de la institución en la elaboración de estudios e interpretación de leyes, decretos, ordenanzas, contratos o cualquier otro aspecto legal, asimismo, está a cargo de la gestión de todos los procesos judiciales y administrativos de carácter legal</w:t>
      </w:r>
      <w:r w:rsidR="000B5292" w:rsidRPr="00A4233F">
        <w:rPr>
          <w:rFonts w:ascii="Times New Roman" w:eastAsia="Calibri" w:hAnsi="Times New Roman" w:cs="Times New Roman"/>
          <w:color w:val="4C4747"/>
          <w:spacing w:val="20"/>
          <w:sz w:val="24"/>
          <w:szCs w:val="24"/>
          <w:lang w:val="es-DO"/>
        </w:rPr>
        <w:t xml:space="preserve"> </w:t>
      </w:r>
      <w:r w:rsidR="00A4332B" w:rsidRPr="00A4233F">
        <w:rPr>
          <w:rFonts w:ascii="Times New Roman" w:eastAsia="Calibri" w:hAnsi="Times New Roman" w:cs="Times New Roman"/>
          <w:color w:val="4C4747"/>
          <w:spacing w:val="20"/>
          <w:sz w:val="24"/>
          <w:szCs w:val="24"/>
          <w:lang w:val="es-DO"/>
        </w:rPr>
        <w:t>que envuelven a la institución.</w:t>
      </w:r>
    </w:p>
    <w:p w14:paraId="177BAAAC" w14:textId="6A718396" w:rsidR="00C356F0" w:rsidRPr="00A4233F" w:rsidRDefault="000B5292" w:rsidP="00A4332B">
      <w:pPr>
        <w:spacing w:before="240" w:after="0" w:line="360" w:lineRule="auto"/>
        <w:ind w:right="-717"/>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Tiene</w:t>
      </w:r>
      <w:r w:rsidR="00C356F0" w:rsidRPr="00A4233F">
        <w:rPr>
          <w:rFonts w:ascii="Times New Roman" w:eastAsia="Calibri" w:hAnsi="Times New Roman" w:cs="Times New Roman"/>
          <w:color w:val="4C4747"/>
          <w:spacing w:val="20"/>
          <w:sz w:val="24"/>
          <w:szCs w:val="24"/>
          <w:lang w:val="es-DO"/>
        </w:rPr>
        <w:t xml:space="preserve"> un papel activo en la instrumentación de normas, reglamentos y</w:t>
      </w:r>
      <w:r w:rsidR="00FE3890" w:rsidRPr="00A4233F">
        <w:rPr>
          <w:rFonts w:ascii="Times New Roman" w:eastAsia="Calibri" w:hAnsi="Times New Roman" w:cs="Times New Roman"/>
          <w:color w:val="4C4747"/>
          <w:spacing w:val="20"/>
          <w:sz w:val="24"/>
          <w:szCs w:val="24"/>
          <w:lang w:val="es-DO"/>
        </w:rPr>
        <w:t xml:space="preserve"> </w:t>
      </w:r>
      <w:r w:rsidR="00C356F0" w:rsidRPr="00A4233F">
        <w:rPr>
          <w:rFonts w:ascii="Times New Roman" w:eastAsia="Calibri" w:hAnsi="Times New Roman" w:cs="Times New Roman"/>
          <w:color w:val="4C4747"/>
          <w:spacing w:val="20"/>
          <w:sz w:val="24"/>
          <w:szCs w:val="24"/>
          <w:lang w:val="es-DO"/>
        </w:rPr>
        <w:t>resoluciones, tanto de alcance general como de alcance particular, dictadas por sus distintas instancias, participa en la revisión de los mecanismos de selección para las contrataciones en las que participa el INDOTEL, así como en la gestión de sus casos y elaboración de proyectos.</w:t>
      </w:r>
    </w:p>
    <w:p w14:paraId="4B04EA2C" w14:textId="6E20D745" w:rsidR="00C356F0" w:rsidRPr="00A4233F" w:rsidRDefault="00C356F0" w:rsidP="00943FA5">
      <w:pPr>
        <w:spacing w:before="240" w:after="0" w:line="360" w:lineRule="auto"/>
        <w:ind w:right="-717"/>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este período fueron recibidos y atendidos los casos reflejad</w:t>
      </w:r>
      <w:r w:rsidR="008D55B2" w:rsidRPr="00A4233F">
        <w:rPr>
          <w:rFonts w:ascii="Times New Roman" w:eastAsia="Calibri" w:hAnsi="Times New Roman" w:cs="Times New Roman"/>
          <w:color w:val="4C4747"/>
          <w:spacing w:val="20"/>
          <w:sz w:val="24"/>
          <w:szCs w:val="24"/>
          <w:lang w:val="es-DO"/>
        </w:rPr>
        <w:t>os en el cuadro a continuación:</w:t>
      </w:r>
    </w:p>
    <w:tbl>
      <w:tblPr>
        <w:tblW w:w="80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6445"/>
        <w:gridCol w:w="1560"/>
      </w:tblGrid>
      <w:tr w:rsidR="00C356F0" w:rsidRPr="00376423" w14:paraId="3E17BEB7" w14:textId="77777777" w:rsidTr="00943FA5">
        <w:trPr>
          <w:jc w:val="center"/>
        </w:trPr>
        <w:tc>
          <w:tcPr>
            <w:tcW w:w="8005"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16987673"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 xml:space="preserve">Solicitudes atendidas </w:t>
            </w:r>
          </w:p>
          <w:p w14:paraId="7204D2CC" w14:textId="6A954884" w:rsidR="00C356F0" w:rsidRPr="00C62BB6" w:rsidRDefault="008D55B2" w:rsidP="00C356F0">
            <w:pPr>
              <w:spacing w:after="0" w:line="360" w:lineRule="auto"/>
              <w:jc w:val="center"/>
              <w:rPr>
                <w:rFonts w:ascii="Times New Roman" w:eastAsia="Calibri" w:hAnsi="Times New Roman" w:cs="Times New Roman"/>
                <w:b/>
                <w:color w:val="76717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Enero - n</w:t>
            </w:r>
            <w:r w:rsidR="00C356F0" w:rsidRPr="00C62BB6">
              <w:rPr>
                <w:rFonts w:ascii="Times New Roman" w:eastAsia="Calibri" w:hAnsi="Times New Roman" w:cs="Times New Roman"/>
                <w:b/>
                <w:color w:val="FFFFFF" w:themeColor="background1"/>
                <w:spacing w:val="20"/>
                <w:sz w:val="24"/>
                <w:szCs w:val="24"/>
                <w:lang w:val="es-DO"/>
              </w:rPr>
              <w:t>oviembre de 2022</w:t>
            </w:r>
          </w:p>
        </w:tc>
      </w:tr>
      <w:tr w:rsidR="00C356F0" w:rsidRPr="008E6046" w14:paraId="63470D55"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436"/>
          <w:jc w:val="center"/>
        </w:trPr>
        <w:tc>
          <w:tcPr>
            <w:tcW w:w="6445" w:type="dxa"/>
            <w:tcBorders>
              <w:top w:val="nil"/>
              <w:left w:val="nil"/>
              <w:bottom w:val="single" w:sz="4" w:space="0" w:color="auto"/>
              <w:right w:val="single" w:sz="4" w:space="0" w:color="FFFFFF"/>
            </w:tcBorders>
            <w:shd w:val="clear" w:color="auto" w:fill="002060"/>
            <w:noWrap/>
            <w:vAlign w:val="center"/>
            <w:hideMark/>
          </w:tcPr>
          <w:p w14:paraId="7D4234DF"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Tipos de Solicitudes</w:t>
            </w:r>
          </w:p>
        </w:tc>
        <w:tc>
          <w:tcPr>
            <w:tcW w:w="1560" w:type="dxa"/>
            <w:tcBorders>
              <w:top w:val="nil"/>
              <w:left w:val="single" w:sz="4" w:space="0" w:color="FFFFFF"/>
              <w:bottom w:val="single" w:sz="4" w:space="0" w:color="auto"/>
              <w:right w:val="single" w:sz="4" w:space="0" w:color="FFFFFF"/>
            </w:tcBorders>
            <w:shd w:val="clear" w:color="auto" w:fill="002060"/>
            <w:noWrap/>
            <w:vAlign w:val="center"/>
            <w:hideMark/>
          </w:tcPr>
          <w:p w14:paraId="6FF34911"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Concluidas</w:t>
            </w:r>
          </w:p>
        </w:tc>
      </w:tr>
      <w:tr w:rsidR="00C356F0" w:rsidRPr="005A11A8" w14:paraId="6744D96F"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316"/>
          <w:jc w:val="center"/>
        </w:trPr>
        <w:tc>
          <w:tcPr>
            <w:tcW w:w="64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37D74EF8"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Amparada en la Ley de Libre Acceso Núm. 200-04</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9FD58CF"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35</w:t>
            </w:r>
          </w:p>
        </w:tc>
      </w:tr>
      <w:tr w:rsidR="00C356F0" w:rsidRPr="005A11A8" w14:paraId="414D4549"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316"/>
          <w:jc w:val="center"/>
        </w:trPr>
        <w:tc>
          <w:tcPr>
            <w:tcW w:w="64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56682A"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Certificaciones</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28E7023A"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57</w:t>
            </w:r>
          </w:p>
        </w:tc>
      </w:tr>
      <w:tr w:rsidR="00C356F0" w:rsidRPr="005A11A8" w14:paraId="430E2D2A"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316"/>
          <w:jc w:val="center"/>
        </w:trPr>
        <w:tc>
          <w:tcPr>
            <w:tcW w:w="64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C67CFAB"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Demandas Laborales</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596BE45"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w:t>
            </w:r>
          </w:p>
        </w:tc>
      </w:tr>
      <w:tr w:rsidR="00C356F0" w:rsidRPr="005A11A8" w14:paraId="34D0D3C6"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316"/>
          <w:jc w:val="center"/>
        </w:trPr>
        <w:tc>
          <w:tcPr>
            <w:tcW w:w="64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11E784C5"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Solicitud de Información</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9DD2B3E"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32</w:t>
            </w:r>
          </w:p>
        </w:tc>
      </w:tr>
      <w:tr w:rsidR="00E279ED" w:rsidRPr="00E279ED" w14:paraId="075E249C"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316"/>
          <w:jc w:val="center"/>
        </w:trPr>
        <w:tc>
          <w:tcPr>
            <w:tcW w:w="64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A591C49"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Solicitud Intervención del Órgano Regulador </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579EEFB0"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w:t>
            </w:r>
          </w:p>
        </w:tc>
      </w:tr>
      <w:tr w:rsidR="00E279ED" w:rsidRPr="00E279ED" w14:paraId="69CF93F7" w14:textId="77777777" w:rsidTr="00943FA5">
        <w:tblPrEx>
          <w:tblBorders>
            <w:top w:val="none" w:sz="0" w:space="0" w:color="auto"/>
            <w:left w:val="none" w:sz="0" w:space="0" w:color="auto"/>
            <w:bottom w:val="none" w:sz="0" w:space="0" w:color="auto"/>
            <w:right w:val="none" w:sz="0" w:space="0" w:color="auto"/>
            <w:insideH w:val="none" w:sz="0" w:space="0" w:color="auto"/>
            <w:insideV w:val="none" w:sz="0" w:space="0" w:color="auto"/>
          </w:tblBorders>
          <w:shd w:val="clear" w:color="auto" w:fill="auto"/>
          <w:tblCellMar>
            <w:left w:w="70" w:type="dxa"/>
            <w:right w:w="70" w:type="dxa"/>
          </w:tblCellMar>
        </w:tblPrEx>
        <w:trPr>
          <w:trHeight w:val="316"/>
          <w:jc w:val="center"/>
        </w:trPr>
        <w:tc>
          <w:tcPr>
            <w:tcW w:w="6445"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41AF16D7"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Total solicitudes</w:t>
            </w:r>
          </w:p>
        </w:tc>
        <w:tc>
          <w:tcPr>
            <w:tcW w:w="1560" w:type="dxa"/>
            <w:tcBorders>
              <w:top w:val="single" w:sz="4" w:space="0" w:color="auto"/>
              <w:left w:val="single" w:sz="4" w:space="0" w:color="auto"/>
              <w:bottom w:val="single" w:sz="4" w:space="0" w:color="auto"/>
              <w:right w:val="single" w:sz="4" w:space="0" w:color="auto"/>
            </w:tcBorders>
            <w:shd w:val="clear" w:color="auto" w:fill="FFFFFF"/>
            <w:noWrap/>
            <w:vAlign w:val="bottom"/>
            <w:hideMark/>
          </w:tcPr>
          <w:p w14:paraId="750C0959"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140</w:t>
            </w:r>
          </w:p>
        </w:tc>
      </w:tr>
    </w:tbl>
    <w:p w14:paraId="5B6C55A7" w14:textId="77777777" w:rsidR="00C356F0" w:rsidRPr="00C62BB6" w:rsidRDefault="00C356F0" w:rsidP="00C356F0">
      <w:pPr>
        <w:spacing w:after="0" w:line="360" w:lineRule="auto"/>
        <w:ind w:right="-1"/>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Matriz Seguimiento de Casos Dirección Jurídica</w:t>
      </w:r>
    </w:p>
    <w:p w14:paraId="661EC939" w14:textId="77777777" w:rsidR="00C356F0" w:rsidRPr="00C62BB6" w:rsidRDefault="00C356F0" w:rsidP="00C356F0">
      <w:pPr>
        <w:spacing w:after="0" w:line="360" w:lineRule="auto"/>
        <w:ind w:right="-1"/>
        <w:rPr>
          <w:rFonts w:ascii="Times New Roman" w:eastAsia="Calibri" w:hAnsi="Times New Roman" w:cs="Times New Roman"/>
          <w:color w:val="4C4747"/>
          <w:spacing w:val="20"/>
          <w:sz w:val="24"/>
          <w:szCs w:val="24"/>
          <w:lang w:val="es-DO"/>
        </w:rPr>
      </w:pPr>
    </w:p>
    <w:p w14:paraId="012A10B0" w14:textId="01B8DB11" w:rsidR="00C356F0" w:rsidRPr="00C62BB6"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En adición a estas acciones, </w:t>
      </w:r>
      <w:r w:rsidR="000B5292" w:rsidRPr="00C62BB6">
        <w:rPr>
          <w:rFonts w:ascii="Times New Roman" w:eastAsia="Calibri" w:hAnsi="Times New Roman" w:cs="Times New Roman"/>
          <w:color w:val="4C4747"/>
          <w:spacing w:val="20"/>
          <w:sz w:val="24"/>
          <w:szCs w:val="24"/>
          <w:lang w:val="es-DO"/>
        </w:rPr>
        <w:t xml:space="preserve">en INDOTEL </w:t>
      </w:r>
      <w:r w:rsidRPr="00C62BB6">
        <w:rPr>
          <w:rFonts w:ascii="Times New Roman" w:eastAsia="Calibri" w:hAnsi="Times New Roman" w:cs="Times New Roman"/>
          <w:color w:val="4C4747"/>
          <w:spacing w:val="20"/>
          <w:sz w:val="24"/>
          <w:szCs w:val="24"/>
          <w:lang w:val="es-DO"/>
        </w:rPr>
        <w:t>con miras a dar seguimiento y respuesta a los casos y requerimientos asignados durante el periodo enero a noviembre 2022, fueron elaborados los s</w:t>
      </w:r>
      <w:r w:rsidR="008D55B2" w:rsidRPr="00C62BB6">
        <w:rPr>
          <w:rFonts w:ascii="Times New Roman" w:eastAsia="Calibri" w:hAnsi="Times New Roman" w:cs="Times New Roman"/>
          <w:color w:val="4C4747"/>
          <w:spacing w:val="20"/>
          <w:sz w:val="24"/>
          <w:szCs w:val="24"/>
          <w:lang w:val="es-DO"/>
        </w:rPr>
        <w:t>iguientes documentos:</w:t>
      </w:r>
    </w:p>
    <w:tbl>
      <w:tblPr>
        <w:tblW w:w="782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4068"/>
        <w:gridCol w:w="3757"/>
      </w:tblGrid>
      <w:tr w:rsidR="00C356F0" w:rsidRPr="00376423" w14:paraId="2771892F" w14:textId="77777777" w:rsidTr="00943FA5">
        <w:trPr>
          <w:tblHeader/>
        </w:trPr>
        <w:tc>
          <w:tcPr>
            <w:tcW w:w="7825" w:type="dxa"/>
            <w:gridSpan w:val="2"/>
            <w:tcBorders>
              <w:top w:val="single" w:sz="4" w:space="0" w:color="auto"/>
              <w:left w:val="single" w:sz="4" w:space="0" w:color="auto"/>
              <w:bottom w:val="single" w:sz="4" w:space="0" w:color="auto"/>
              <w:right w:val="single" w:sz="4" w:space="0" w:color="auto"/>
            </w:tcBorders>
            <w:shd w:val="clear" w:color="auto" w:fill="002060"/>
            <w:hideMark/>
          </w:tcPr>
          <w:p w14:paraId="45CED806"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lastRenderedPageBreak/>
              <w:t>Documentos elaborados</w:t>
            </w:r>
          </w:p>
          <w:p w14:paraId="2B423ED7"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Enero – Noviembre de 2022</w:t>
            </w:r>
          </w:p>
        </w:tc>
      </w:tr>
      <w:tr w:rsidR="00C356F0" w:rsidRPr="008E6046" w14:paraId="6321A073" w14:textId="77777777" w:rsidTr="00943FA5">
        <w:trPr>
          <w:trHeight w:val="418"/>
          <w:tblHeader/>
        </w:trPr>
        <w:tc>
          <w:tcPr>
            <w:tcW w:w="4068" w:type="dxa"/>
            <w:tcBorders>
              <w:top w:val="single" w:sz="4" w:space="0" w:color="auto"/>
              <w:left w:val="single" w:sz="4" w:space="0" w:color="auto"/>
              <w:bottom w:val="single" w:sz="4" w:space="0" w:color="auto"/>
              <w:right w:val="single" w:sz="4" w:space="0" w:color="auto"/>
            </w:tcBorders>
            <w:shd w:val="clear" w:color="auto" w:fill="002060"/>
          </w:tcPr>
          <w:p w14:paraId="49A8AA10" w14:textId="77777777" w:rsidR="00C356F0" w:rsidRPr="00C62BB6" w:rsidRDefault="00C356F0" w:rsidP="00C356F0">
            <w:pPr>
              <w:spacing w:after="0" w:line="240" w:lineRule="auto"/>
              <w:jc w:val="center"/>
              <w:rPr>
                <w:rFonts w:ascii="Times New Roman" w:eastAsia="Calibri" w:hAnsi="Times New Roman" w:cs="Times New Roman"/>
                <w:b/>
                <w:color w:val="767171"/>
                <w:spacing w:val="20"/>
                <w:sz w:val="24"/>
                <w:szCs w:val="24"/>
                <w:lang w:val="es-DO"/>
              </w:rPr>
            </w:pPr>
          </w:p>
          <w:p w14:paraId="6691076B" w14:textId="77777777" w:rsidR="00C356F0" w:rsidRPr="00C62BB6"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Tipo de Documento</w:t>
            </w:r>
          </w:p>
          <w:p w14:paraId="64D68B61" w14:textId="77777777" w:rsidR="00C356F0" w:rsidRPr="00C62BB6" w:rsidRDefault="00C356F0" w:rsidP="00C356F0">
            <w:pPr>
              <w:spacing w:after="0" w:line="240" w:lineRule="auto"/>
              <w:jc w:val="center"/>
              <w:rPr>
                <w:rFonts w:ascii="Times New Roman" w:eastAsia="Calibri" w:hAnsi="Times New Roman" w:cs="Times New Roman"/>
                <w:b/>
                <w:color w:val="767171"/>
                <w:spacing w:val="20"/>
                <w:sz w:val="24"/>
                <w:szCs w:val="24"/>
                <w:lang w:val="es-DO"/>
              </w:rPr>
            </w:pPr>
          </w:p>
        </w:tc>
        <w:tc>
          <w:tcPr>
            <w:tcW w:w="3757" w:type="dxa"/>
            <w:tcBorders>
              <w:top w:val="single" w:sz="4" w:space="0" w:color="auto"/>
              <w:left w:val="single" w:sz="4" w:space="0" w:color="auto"/>
              <w:bottom w:val="single" w:sz="4" w:space="0" w:color="auto"/>
              <w:right w:val="single" w:sz="4" w:space="0" w:color="auto"/>
            </w:tcBorders>
            <w:shd w:val="clear" w:color="auto" w:fill="002060"/>
          </w:tcPr>
          <w:p w14:paraId="15ADFD94" w14:textId="77777777" w:rsidR="00C356F0" w:rsidRPr="00C62BB6"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p>
          <w:p w14:paraId="4EE5DB79" w14:textId="77777777" w:rsidR="00C356F0" w:rsidRPr="00C62BB6"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Cantidad</w:t>
            </w:r>
          </w:p>
        </w:tc>
      </w:tr>
      <w:tr w:rsidR="00C356F0" w:rsidRPr="00C62BB6" w14:paraId="68A1D4F5" w14:textId="77777777" w:rsidTr="00943FA5">
        <w:trPr>
          <w:trHeight w:val="359"/>
          <w:tblHeader/>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1C154069"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Instancias</w:t>
            </w:r>
          </w:p>
          <w:p w14:paraId="7654AD72"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p>
        </w:tc>
        <w:tc>
          <w:tcPr>
            <w:tcW w:w="3757" w:type="dxa"/>
            <w:tcBorders>
              <w:top w:val="single" w:sz="4" w:space="0" w:color="auto"/>
              <w:left w:val="single" w:sz="4" w:space="0" w:color="auto"/>
              <w:bottom w:val="single" w:sz="4" w:space="0" w:color="auto"/>
              <w:right w:val="single" w:sz="4" w:space="0" w:color="auto"/>
            </w:tcBorders>
            <w:shd w:val="clear" w:color="auto" w:fill="auto"/>
            <w:hideMark/>
          </w:tcPr>
          <w:p w14:paraId="298EDC30"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116</w:t>
            </w:r>
          </w:p>
        </w:tc>
      </w:tr>
      <w:tr w:rsidR="00C356F0" w:rsidRPr="00C62BB6" w14:paraId="0FAB71AA" w14:textId="77777777" w:rsidTr="00943FA5">
        <w:trPr>
          <w:trHeight w:val="412"/>
          <w:tblHeader/>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2373ABB3"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Informes Legales </w:t>
            </w:r>
          </w:p>
          <w:p w14:paraId="278EACB3"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p>
        </w:tc>
        <w:tc>
          <w:tcPr>
            <w:tcW w:w="3757" w:type="dxa"/>
            <w:tcBorders>
              <w:top w:val="single" w:sz="4" w:space="0" w:color="auto"/>
              <w:left w:val="single" w:sz="4" w:space="0" w:color="auto"/>
              <w:bottom w:val="single" w:sz="4" w:space="0" w:color="auto"/>
              <w:right w:val="single" w:sz="4" w:space="0" w:color="auto"/>
            </w:tcBorders>
            <w:shd w:val="clear" w:color="auto" w:fill="auto"/>
            <w:hideMark/>
          </w:tcPr>
          <w:p w14:paraId="27840B1F"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33</w:t>
            </w:r>
          </w:p>
        </w:tc>
      </w:tr>
      <w:tr w:rsidR="00C356F0" w:rsidRPr="00C62BB6" w14:paraId="5F0710AB" w14:textId="77777777" w:rsidTr="00943FA5">
        <w:trPr>
          <w:trHeight w:val="141"/>
          <w:tblHeader/>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3F345296"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Escritos de Defensa</w:t>
            </w:r>
          </w:p>
          <w:p w14:paraId="55511770"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p>
        </w:tc>
        <w:tc>
          <w:tcPr>
            <w:tcW w:w="3757" w:type="dxa"/>
            <w:tcBorders>
              <w:top w:val="single" w:sz="4" w:space="0" w:color="auto"/>
              <w:left w:val="single" w:sz="4" w:space="0" w:color="auto"/>
              <w:bottom w:val="single" w:sz="4" w:space="0" w:color="auto"/>
              <w:right w:val="single" w:sz="4" w:space="0" w:color="auto"/>
            </w:tcBorders>
            <w:shd w:val="clear" w:color="auto" w:fill="auto"/>
            <w:hideMark/>
          </w:tcPr>
          <w:p w14:paraId="22FD0073"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60</w:t>
            </w:r>
          </w:p>
        </w:tc>
      </w:tr>
      <w:tr w:rsidR="00C356F0" w:rsidRPr="00C62BB6" w14:paraId="2C18007D" w14:textId="77777777" w:rsidTr="00943FA5">
        <w:trPr>
          <w:trHeight w:val="350"/>
          <w:tblHeader/>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2D17689B"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Comunicaciones</w:t>
            </w:r>
          </w:p>
          <w:p w14:paraId="7614DF24"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p>
        </w:tc>
        <w:tc>
          <w:tcPr>
            <w:tcW w:w="3757" w:type="dxa"/>
            <w:tcBorders>
              <w:top w:val="single" w:sz="4" w:space="0" w:color="auto"/>
              <w:left w:val="single" w:sz="4" w:space="0" w:color="auto"/>
              <w:bottom w:val="single" w:sz="4" w:space="0" w:color="auto"/>
              <w:right w:val="single" w:sz="4" w:space="0" w:color="auto"/>
            </w:tcBorders>
            <w:shd w:val="clear" w:color="auto" w:fill="auto"/>
            <w:hideMark/>
          </w:tcPr>
          <w:p w14:paraId="19C16A4E"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3,068</w:t>
            </w:r>
          </w:p>
        </w:tc>
      </w:tr>
      <w:tr w:rsidR="00E279ED" w:rsidRPr="00C62BB6" w14:paraId="16F91CE0" w14:textId="77777777" w:rsidTr="00943FA5">
        <w:trPr>
          <w:trHeight w:val="332"/>
          <w:tblHeader/>
        </w:trPr>
        <w:tc>
          <w:tcPr>
            <w:tcW w:w="4068" w:type="dxa"/>
            <w:tcBorders>
              <w:top w:val="single" w:sz="4" w:space="0" w:color="auto"/>
              <w:left w:val="single" w:sz="4" w:space="0" w:color="auto"/>
              <w:bottom w:val="single" w:sz="4" w:space="0" w:color="auto"/>
              <w:right w:val="single" w:sz="4" w:space="0" w:color="auto"/>
            </w:tcBorders>
            <w:shd w:val="clear" w:color="auto" w:fill="auto"/>
          </w:tcPr>
          <w:p w14:paraId="2FD78032"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Memorandos</w:t>
            </w:r>
          </w:p>
          <w:p w14:paraId="795DCE42"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p>
        </w:tc>
        <w:tc>
          <w:tcPr>
            <w:tcW w:w="3757" w:type="dxa"/>
            <w:tcBorders>
              <w:top w:val="single" w:sz="4" w:space="0" w:color="auto"/>
              <w:left w:val="single" w:sz="4" w:space="0" w:color="auto"/>
              <w:bottom w:val="single" w:sz="4" w:space="0" w:color="auto"/>
              <w:right w:val="single" w:sz="4" w:space="0" w:color="auto"/>
            </w:tcBorders>
            <w:shd w:val="clear" w:color="auto" w:fill="auto"/>
            <w:hideMark/>
          </w:tcPr>
          <w:p w14:paraId="1EBEC0DA" w14:textId="77777777" w:rsidR="00C356F0" w:rsidRPr="00A4233F" w:rsidRDefault="00C356F0" w:rsidP="00C356F0">
            <w:pPr>
              <w:spacing w:after="0" w:line="24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551</w:t>
            </w:r>
          </w:p>
        </w:tc>
      </w:tr>
    </w:tbl>
    <w:p w14:paraId="6DD58142" w14:textId="3EFEC59B" w:rsidR="00C356F0" w:rsidRPr="00C62BB6" w:rsidRDefault="00C356F0" w:rsidP="00C356F0">
      <w:pPr>
        <w:spacing w:after="0" w:line="36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Sistema de Gestión Interna y Matriz de</w:t>
      </w:r>
      <w:r w:rsidR="000B5292" w:rsidRPr="00C62BB6">
        <w:rPr>
          <w:rFonts w:ascii="Times New Roman" w:eastAsia="Calibri" w:hAnsi="Times New Roman" w:cs="Times New Roman"/>
          <w:color w:val="4C4747"/>
          <w:spacing w:val="20"/>
          <w:sz w:val="18"/>
          <w:szCs w:val="24"/>
          <w:lang w:val="es-DO"/>
        </w:rPr>
        <w:t xml:space="preserve"> Seguimiento Casos Dirección </w:t>
      </w:r>
      <w:r w:rsidRPr="00C62BB6">
        <w:rPr>
          <w:rFonts w:ascii="Times New Roman" w:eastAsia="Calibri" w:hAnsi="Times New Roman" w:cs="Times New Roman"/>
          <w:color w:val="4C4747"/>
          <w:spacing w:val="20"/>
          <w:sz w:val="18"/>
          <w:szCs w:val="24"/>
          <w:lang w:val="es-DO"/>
        </w:rPr>
        <w:t>Jurídica</w:t>
      </w:r>
    </w:p>
    <w:p w14:paraId="32CCB08C" w14:textId="77777777" w:rsidR="00C356F0" w:rsidRPr="005A11A8" w:rsidRDefault="00C356F0" w:rsidP="00C356F0">
      <w:pPr>
        <w:spacing w:after="0" w:line="360" w:lineRule="auto"/>
        <w:rPr>
          <w:rFonts w:ascii="Times New Roman" w:eastAsia="Calibri" w:hAnsi="Times New Roman" w:cs="Times New Roman"/>
          <w:color w:val="4C4747"/>
          <w:spacing w:val="20"/>
          <w:sz w:val="24"/>
          <w:szCs w:val="24"/>
          <w:lang w:val="es-DO"/>
        </w:rPr>
      </w:pPr>
    </w:p>
    <w:p w14:paraId="719DB02A" w14:textId="3A5DE3F3" w:rsidR="00C356F0" w:rsidRPr="00A4233F"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w:t>
      </w:r>
      <w:r w:rsidR="000B5292" w:rsidRPr="00A4233F">
        <w:rPr>
          <w:rFonts w:ascii="Times New Roman" w:eastAsia="Calibri" w:hAnsi="Times New Roman" w:cs="Times New Roman"/>
          <w:color w:val="4C4747"/>
          <w:spacing w:val="20"/>
          <w:sz w:val="24"/>
          <w:szCs w:val="24"/>
          <w:lang w:val="es-DO"/>
        </w:rPr>
        <w:t>se sentido, durante el periodo enero-n</w:t>
      </w:r>
      <w:r w:rsidRPr="00A4233F">
        <w:rPr>
          <w:rFonts w:ascii="Times New Roman" w:eastAsia="Calibri" w:hAnsi="Times New Roman" w:cs="Times New Roman"/>
          <w:color w:val="4C4747"/>
          <w:spacing w:val="20"/>
          <w:sz w:val="24"/>
          <w:szCs w:val="24"/>
          <w:lang w:val="es-DO"/>
        </w:rPr>
        <w:t xml:space="preserve">oviembre de 2022, en lo referente a la elaboración de contratos correspondientes a las diferentes actividades administrativas que realiza el INDOTEL, se encuentran 354 en total. </w:t>
      </w:r>
    </w:p>
    <w:p w14:paraId="497C3C22"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423"/>
        <w:gridCol w:w="2318"/>
        <w:gridCol w:w="4169"/>
      </w:tblGrid>
      <w:tr w:rsidR="00C356F0" w:rsidRPr="00376423" w14:paraId="7BFF66BA" w14:textId="77777777" w:rsidTr="00C32B33">
        <w:trPr>
          <w:tblHeader/>
          <w:jc w:val="center"/>
        </w:trPr>
        <w:tc>
          <w:tcPr>
            <w:tcW w:w="7910" w:type="dxa"/>
            <w:gridSpan w:val="3"/>
            <w:tcBorders>
              <w:top w:val="single" w:sz="4" w:space="0" w:color="auto"/>
              <w:left w:val="single" w:sz="4" w:space="0" w:color="auto"/>
              <w:bottom w:val="single" w:sz="4" w:space="0" w:color="auto"/>
              <w:right w:val="single" w:sz="4" w:space="0" w:color="auto"/>
            </w:tcBorders>
            <w:shd w:val="clear" w:color="auto" w:fill="002060"/>
            <w:hideMark/>
          </w:tcPr>
          <w:p w14:paraId="3E1BCE60"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lastRenderedPageBreak/>
              <w:t xml:space="preserve">Contratos Elaborados </w:t>
            </w:r>
          </w:p>
          <w:p w14:paraId="4BC9138A" w14:textId="77777777" w:rsidR="00C356F0" w:rsidRPr="00C62BB6" w:rsidRDefault="00C356F0" w:rsidP="00C356F0">
            <w:pPr>
              <w:spacing w:after="0" w:line="360" w:lineRule="auto"/>
              <w:jc w:val="center"/>
              <w:rPr>
                <w:rFonts w:ascii="Times New Roman" w:eastAsia="Calibri" w:hAnsi="Times New Roman" w:cs="Times New Roman"/>
                <w:b/>
                <w:color w:val="76717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Enero – Noviembre de 2022</w:t>
            </w:r>
          </w:p>
        </w:tc>
      </w:tr>
      <w:tr w:rsidR="00C356F0" w:rsidRPr="008E6046" w14:paraId="48A1CDD1"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CD60369"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Cantidad de Contratos</w:t>
            </w:r>
          </w:p>
        </w:tc>
        <w:tc>
          <w:tcPr>
            <w:tcW w:w="2340"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094D782A"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Naturaleza del  Contrato</w:t>
            </w:r>
          </w:p>
        </w:tc>
        <w:tc>
          <w:tcPr>
            <w:tcW w:w="4225"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C078C64"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Base Legal</w:t>
            </w:r>
          </w:p>
        </w:tc>
      </w:tr>
      <w:tr w:rsidR="00C62BB6" w:rsidRPr="00376423" w14:paraId="6BBC96F7"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hideMark/>
          </w:tcPr>
          <w:p w14:paraId="02619D93"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63</w:t>
            </w:r>
          </w:p>
        </w:tc>
        <w:tc>
          <w:tcPr>
            <w:tcW w:w="2340" w:type="dxa"/>
            <w:tcBorders>
              <w:top w:val="single" w:sz="4" w:space="0" w:color="auto"/>
              <w:left w:val="single" w:sz="4" w:space="0" w:color="auto"/>
              <w:bottom w:val="single" w:sz="4" w:space="0" w:color="auto"/>
              <w:right w:val="single" w:sz="4" w:space="0" w:color="auto"/>
            </w:tcBorders>
            <w:hideMark/>
          </w:tcPr>
          <w:p w14:paraId="75E6D14A"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Obras, Bienes y Servicios</w:t>
            </w:r>
          </w:p>
        </w:tc>
        <w:tc>
          <w:tcPr>
            <w:tcW w:w="4225" w:type="dxa"/>
            <w:tcBorders>
              <w:top w:val="single" w:sz="4" w:space="0" w:color="auto"/>
              <w:left w:val="single" w:sz="4" w:space="0" w:color="auto"/>
              <w:bottom w:val="single" w:sz="4" w:space="0" w:color="auto"/>
              <w:right w:val="single" w:sz="4" w:space="0" w:color="auto"/>
            </w:tcBorders>
            <w:hideMark/>
          </w:tcPr>
          <w:p w14:paraId="32F7E944"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Ley Núm. 340-06 sobre sobre Compras y Contrataciones de Bienes, Servicios, Obras y Concesiones y su Reglamento de aplicación Decreto Núm. 543-12</w:t>
            </w:r>
          </w:p>
        </w:tc>
      </w:tr>
      <w:tr w:rsidR="00C62BB6" w:rsidRPr="00376423" w14:paraId="1D596EEE"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hideMark/>
          </w:tcPr>
          <w:p w14:paraId="3CF86396"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27</w:t>
            </w:r>
          </w:p>
        </w:tc>
        <w:tc>
          <w:tcPr>
            <w:tcW w:w="2340" w:type="dxa"/>
            <w:tcBorders>
              <w:top w:val="single" w:sz="4" w:space="0" w:color="auto"/>
              <w:left w:val="single" w:sz="4" w:space="0" w:color="auto"/>
              <w:bottom w:val="single" w:sz="4" w:space="0" w:color="auto"/>
              <w:right w:val="single" w:sz="4" w:space="0" w:color="auto"/>
            </w:tcBorders>
            <w:hideMark/>
          </w:tcPr>
          <w:p w14:paraId="20115406"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Miembros de los Cuerpos Colegiados del INDOTEL</w:t>
            </w:r>
          </w:p>
        </w:tc>
        <w:tc>
          <w:tcPr>
            <w:tcW w:w="4225" w:type="dxa"/>
            <w:tcBorders>
              <w:top w:val="single" w:sz="4" w:space="0" w:color="auto"/>
              <w:left w:val="single" w:sz="4" w:space="0" w:color="auto"/>
              <w:bottom w:val="single" w:sz="4" w:space="0" w:color="auto"/>
              <w:right w:val="single" w:sz="4" w:space="0" w:color="auto"/>
            </w:tcBorders>
            <w:hideMark/>
          </w:tcPr>
          <w:p w14:paraId="53D13E8C"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Ley General de las Telecomunicaciones, Núm. 153-98</w:t>
            </w:r>
          </w:p>
        </w:tc>
      </w:tr>
      <w:tr w:rsidR="00C62BB6" w:rsidRPr="00376423" w14:paraId="7F488576"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tcPr>
          <w:p w14:paraId="0B0173C9"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81</w:t>
            </w:r>
          </w:p>
        </w:tc>
        <w:tc>
          <w:tcPr>
            <w:tcW w:w="2340" w:type="dxa"/>
            <w:tcBorders>
              <w:top w:val="single" w:sz="4" w:space="0" w:color="auto"/>
              <w:left w:val="single" w:sz="4" w:space="0" w:color="auto"/>
              <w:bottom w:val="single" w:sz="4" w:space="0" w:color="auto"/>
              <w:right w:val="single" w:sz="4" w:space="0" w:color="auto"/>
            </w:tcBorders>
          </w:tcPr>
          <w:p w14:paraId="51C398E5"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Facilitadores Programa Canasta Digital Social</w:t>
            </w:r>
          </w:p>
        </w:tc>
        <w:tc>
          <w:tcPr>
            <w:tcW w:w="4225" w:type="dxa"/>
            <w:tcBorders>
              <w:top w:val="single" w:sz="4" w:space="0" w:color="auto"/>
              <w:left w:val="single" w:sz="4" w:space="0" w:color="auto"/>
              <w:bottom w:val="single" w:sz="4" w:space="0" w:color="auto"/>
              <w:right w:val="single" w:sz="4" w:space="0" w:color="auto"/>
            </w:tcBorders>
          </w:tcPr>
          <w:p w14:paraId="57CD6FD8"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Ley General de las Telecomunicaciones, Núm. 153-98</w:t>
            </w:r>
          </w:p>
        </w:tc>
      </w:tr>
      <w:tr w:rsidR="00C62BB6" w:rsidRPr="00376423" w14:paraId="2EF9346A"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tcPr>
          <w:p w14:paraId="1C34F176"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53</w:t>
            </w:r>
          </w:p>
        </w:tc>
        <w:tc>
          <w:tcPr>
            <w:tcW w:w="2340" w:type="dxa"/>
            <w:tcBorders>
              <w:top w:val="single" w:sz="4" w:space="0" w:color="auto"/>
              <w:left w:val="single" w:sz="4" w:space="0" w:color="auto"/>
              <w:bottom w:val="single" w:sz="4" w:space="0" w:color="auto"/>
              <w:right w:val="single" w:sz="4" w:space="0" w:color="auto"/>
            </w:tcBorders>
          </w:tcPr>
          <w:p w14:paraId="361FFD6E"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Supervisores Programa Canasta Digital Social</w:t>
            </w:r>
          </w:p>
        </w:tc>
        <w:tc>
          <w:tcPr>
            <w:tcW w:w="4225" w:type="dxa"/>
            <w:tcBorders>
              <w:top w:val="single" w:sz="4" w:space="0" w:color="auto"/>
              <w:left w:val="single" w:sz="4" w:space="0" w:color="auto"/>
              <w:bottom w:val="single" w:sz="4" w:space="0" w:color="auto"/>
              <w:right w:val="single" w:sz="4" w:space="0" w:color="auto"/>
            </w:tcBorders>
          </w:tcPr>
          <w:p w14:paraId="044A3C55"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Ley General de las Telecomunicaciones, Núm. 153-98</w:t>
            </w:r>
          </w:p>
        </w:tc>
      </w:tr>
      <w:tr w:rsidR="00C62BB6" w:rsidRPr="00376423" w14:paraId="435E04E1"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hideMark/>
          </w:tcPr>
          <w:p w14:paraId="295C8E71"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w:t>
            </w:r>
          </w:p>
        </w:tc>
        <w:tc>
          <w:tcPr>
            <w:tcW w:w="2340" w:type="dxa"/>
            <w:tcBorders>
              <w:top w:val="single" w:sz="4" w:space="0" w:color="auto"/>
              <w:left w:val="single" w:sz="4" w:space="0" w:color="auto"/>
              <w:bottom w:val="single" w:sz="4" w:space="0" w:color="auto"/>
              <w:right w:val="single" w:sz="4" w:space="0" w:color="auto"/>
            </w:tcBorders>
            <w:hideMark/>
          </w:tcPr>
          <w:p w14:paraId="5ED146E9"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Contratos de asesoría legal</w:t>
            </w:r>
          </w:p>
        </w:tc>
        <w:tc>
          <w:tcPr>
            <w:tcW w:w="4225" w:type="dxa"/>
            <w:tcBorders>
              <w:top w:val="single" w:sz="4" w:space="0" w:color="auto"/>
              <w:left w:val="single" w:sz="4" w:space="0" w:color="auto"/>
              <w:bottom w:val="single" w:sz="4" w:space="0" w:color="auto"/>
              <w:right w:val="single" w:sz="4" w:space="0" w:color="auto"/>
            </w:tcBorders>
            <w:hideMark/>
          </w:tcPr>
          <w:p w14:paraId="1D9A4BE3"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Ley General de las Telecomunicaciones, Núm. 153-98</w:t>
            </w:r>
          </w:p>
        </w:tc>
      </w:tr>
      <w:tr w:rsidR="00C62BB6" w:rsidRPr="00376423" w14:paraId="2DE25B16" w14:textId="77777777" w:rsidTr="00C32B33">
        <w:tblPrEx>
          <w:shd w:val="clear" w:color="auto" w:fill="auto"/>
        </w:tblPrEx>
        <w:trPr>
          <w:tblHeader/>
          <w:jc w:val="center"/>
        </w:trPr>
        <w:tc>
          <w:tcPr>
            <w:tcW w:w="1345" w:type="dxa"/>
            <w:tcBorders>
              <w:top w:val="single" w:sz="4" w:space="0" w:color="auto"/>
              <w:left w:val="single" w:sz="4" w:space="0" w:color="auto"/>
              <w:bottom w:val="single" w:sz="4" w:space="0" w:color="auto"/>
              <w:right w:val="single" w:sz="4" w:space="0" w:color="auto"/>
            </w:tcBorders>
            <w:hideMark/>
          </w:tcPr>
          <w:p w14:paraId="08EDF52C" w14:textId="77777777" w:rsidR="00C356F0" w:rsidRPr="00C62BB6"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126</w:t>
            </w:r>
          </w:p>
        </w:tc>
        <w:tc>
          <w:tcPr>
            <w:tcW w:w="2340" w:type="dxa"/>
            <w:tcBorders>
              <w:top w:val="single" w:sz="4" w:space="0" w:color="auto"/>
              <w:left w:val="single" w:sz="4" w:space="0" w:color="auto"/>
              <w:bottom w:val="single" w:sz="4" w:space="0" w:color="auto"/>
              <w:right w:val="single" w:sz="4" w:space="0" w:color="auto"/>
            </w:tcBorders>
            <w:hideMark/>
          </w:tcPr>
          <w:p w14:paraId="2BE34CC3" w14:textId="77777777" w:rsidR="00C356F0" w:rsidRPr="00C62BB6" w:rsidRDefault="00C356F0" w:rsidP="00C356F0">
            <w:pPr>
              <w:spacing w:after="0" w:line="360" w:lineRule="auto"/>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Contratos de servicios de publicidad</w:t>
            </w:r>
          </w:p>
        </w:tc>
        <w:tc>
          <w:tcPr>
            <w:tcW w:w="4225" w:type="dxa"/>
            <w:tcBorders>
              <w:top w:val="single" w:sz="4" w:space="0" w:color="auto"/>
              <w:left w:val="single" w:sz="4" w:space="0" w:color="auto"/>
              <w:bottom w:val="single" w:sz="4" w:space="0" w:color="auto"/>
              <w:right w:val="single" w:sz="4" w:space="0" w:color="auto"/>
            </w:tcBorders>
            <w:hideMark/>
          </w:tcPr>
          <w:p w14:paraId="4A049C05" w14:textId="77777777" w:rsidR="00C356F0" w:rsidRPr="00C62BB6"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Ley Núm. 340-06 sobre sobre Compras y Contrataciones de Bienes, Servicios, Obras y Concesiones, y su Reglamento de aplicación Decreto Núm. 543-12</w:t>
            </w:r>
          </w:p>
        </w:tc>
      </w:tr>
    </w:tbl>
    <w:p w14:paraId="5CEC9282" w14:textId="618D6101" w:rsidR="00C356F0" w:rsidRPr="00C62BB6" w:rsidRDefault="00C356F0" w:rsidP="00C356F0">
      <w:pPr>
        <w:spacing w:after="0"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color w:val="4C4747"/>
          <w:spacing w:val="20"/>
          <w:sz w:val="18"/>
          <w:szCs w:val="24"/>
          <w:lang w:val="es-DO"/>
        </w:rPr>
        <w:t xml:space="preserve"> </w:t>
      </w: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Matriz </w:t>
      </w:r>
      <w:r w:rsidR="00C32B33" w:rsidRPr="00C62BB6">
        <w:rPr>
          <w:rFonts w:ascii="Times New Roman" w:eastAsia="Calibri" w:hAnsi="Times New Roman" w:cs="Times New Roman"/>
          <w:color w:val="4C4747"/>
          <w:spacing w:val="20"/>
          <w:sz w:val="18"/>
          <w:szCs w:val="24"/>
          <w:lang w:val="es-DO"/>
        </w:rPr>
        <w:t xml:space="preserve">de casos Gerencia de Contratos </w:t>
      </w:r>
    </w:p>
    <w:p w14:paraId="5267D355" w14:textId="1546330A" w:rsidR="000B5292" w:rsidRPr="00A4233F" w:rsidRDefault="00C32B33" w:rsidP="00C32B33">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continúa</w:t>
      </w:r>
      <w:r w:rsidR="00C356F0" w:rsidRPr="00A4233F">
        <w:rPr>
          <w:rFonts w:ascii="Times New Roman" w:eastAsia="Calibri" w:hAnsi="Times New Roman" w:cs="Times New Roman"/>
          <w:color w:val="4C4747"/>
          <w:spacing w:val="20"/>
          <w:sz w:val="24"/>
          <w:szCs w:val="24"/>
          <w:lang w:val="es-DO"/>
        </w:rPr>
        <w:t xml:space="preserve"> realizando los trabajos encaminados a regularizar la titularidad de los inmuebles propiedad del INDOTEL, con la </w:t>
      </w:r>
      <w:r w:rsidR="00C356F0" w:rsidRPr="00A4233F">
        <w:rPr>
          <w:rFonts w:ascii="Times New Roman" w:eastAsia="Calibri" w:hAnsi="Times New Roman" w:cs="Times New Roman"/>
          <w:color w:val="4C4747"/>
          <w:spacing w:val="20"/>
          <w:sz w:val="24"/>
          <w:szCs w:val="24"/>
          <w:lang w:val="es-DO"/>
        </w:rPr>
        <w:lastRenderedPageBreak/>
        <w:t xml:space="preserve">finalidad de obtener los Certificados de Título de dichos inmuebles. Estas acciones consisten en dar seguimiento a los procesos técnicos, como son </w:t>
      </w:r>
      <w:r w:rsidR="000B5292" w:rsidRPr="00A4233F">
        <w:rPr>
          <w:rFonts w:ascii="Times New Roman" w:eastAsia="Calibri" w:hAnsi="Times New Roman" w:cs="Times New Roman"/>
          <w:color w:val="4C4747"/>
          <w:spacing w:val="20"/>
          <w:sz w:val="24"/>
          <w:szCs w:val="24"/>
          <w:lang w:val="es-DO"/>
        </w:rPr>
        <w:t>subdivisiones</w:t>
      </w:r>
      <w:r w:rsidR="00C356F0" w:rsidRPr="00A4233F">
        <w:rPr>
          <w:rFonts w:ascii="Times New Roman" w:eastAsia="Calibri" w:hAnsi="Times New Roman" w:cs="Times New Roman"/>
          <w:color w:val="4C4747"/>
          <w:spacing w:val="20"/>
          <w:sz w:val="24"/>
          <w:szCs w:val="24"/>
          <w:lang w:val="es-DO"/>
        </w:rPr>
        <w:t xml:space="preserve">, saneamientos y de manera judicial, por ante el Tribunal Superior de Tierras. </w:t>
      </w:r>
    </w:p>
    <w:p w14:paraId="6F155E9C" w14:textId="30E5F937" w:rsidR="008D55B2" w:rsidRPr="00A4233F" w:rsidRDefault="00C356F0" w:rsidP="00C32B33">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Asimismo, obtuvimos por parte del Ministerio de la Vivienda, la donación de una porción dentro de la Parcela 6-A, D</w:t>
      </w:r>
      <w:r w:rsidR="008D55B2" w:rsidRPr="00A4233F">
        <w:rPr>
          <w:rFonts w:ascii="Times New Roman" w:eastAsia="Calibri" w:hAnsi="Times New Roman" w:cs="Times New Roman"/>
          <w:color w:val="4C4747"/>
          <w:spacing w:val="20"/>
          <w:sz w:val="24"/>
          <w:szCs w:val="24"/>
          <w:lang w:val="es-DO"/>
        </w:rPr>
        <w:t>C. 2/2, Provincia de La Romana.</w:t>
      </w:r>
    </w:p>
    <w:p w14:paraId="3065C9EE" w14:textId="5D832463" w:rsidR="008D55B2" w:rsidRPr="00A4233F" w:rsidRDefault="00C356F0" w:rsidP="00C32B33">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Como parte de la ejecución de las actividades legales que conllevan los procesos de contratación pública realizados por el INDOTEL, la Dirección Jurídica genera diferentes documentos, tales como Dictámenes Jurídicos, Informes, las Resoluciones del Comité de Compras y Contrataciones, entre otro</w:t>
      </w:r>
      <w:r w:rsidR="00C32B33" w:rsidRPr="00A4233F">
        <w:rPr>
          <w:rFonts w:ascii="Times New Roman" w:eastAsia="Calibri" w:hAnsi="Times New Roman" w:cs="Times New Roman"/>
          <w:color w:val="4C4747"/>
          <w:spacing w:val="20"/>
          <w:sz w:val="24"/>
          <w:szCs w:val="24"/>
          <w:lang w:val="es-DO"/>
        </w:rPr>
        <w:t>s:</w:t>
      </w:r>
    </w:p>
    <w:p w14:paraId="4C006BA1" w14:textId="77777777" w:rsidR="008D55B2" w:rsidRPr="00943FA5" w:rsidRDefault="008D55B2" w:rsidP="00C356F0">
      <w:pPr>
        <w:spacing w:after="0" w:line="360" w:lineRule="auto"/>
        <w:jc w:val="center"/>
        <w:rPr>
          <w:rFonts w:ascii="Times New Roman" w:eastAsia="Calibri" w:hAnsi="Times New Roman" w:cs="Times New Roman"/>
          <w:color w:val="767171"/>
          <w:spacing w:val="20"/>
          <w:sz w:val="24"/>
          <w:szCs w:val="24"/>
          <w:lang w:val="es-DO"/>
        </w:rPr>
      </w:pPr>
    </w:p>
    <w:tbl>
      <w:tblPr>
        <w:tblW w:w="79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2060"/>
        <w:tblLook w:val="04A0" w:firstRow="1" w:lastRow="0" w:firstColumn="1" w:lastColumn="0" w:noHBand="0" w:noVBand="1"/>
      </w:tblPr>
      <w:tblGrid>
        <w:gridCol w:w="1337"/>
        <w:gridCol w:w="2909"/>
        <w:gridCol w:w="3733"/>
      </w:tblGrid>
      <w:tr w:rsidR="00C356F0" w:rsidRPr="00376423" w14:paraId="3DFCA92D" w14:textId="77777777" w:rsidTr="00943FA5">
        <w:tc>
          <w:tcPr>
            <w:tcW w:w="7979" w:type="dxa"/>
            <w:gridSpan w:val="3"/>
            <w:tcBorders>
              <w:top w:val="single" w:sz="4" w:space="0" w:color="auto"/>
              <w:left w:val="single" w:sz="4" w:space="0" w:color="auto"/>
              <w:bottom w:val="single" w:sz="4" w:space="0" w:color="auto"/>
              <w:right w:val="single" w:sz="4" w:space="0" w:color="auto"/>
            </w:tcBorders>
            <w:shd w:val="clear" w:color="auto" w:fill="002060"/>
            <w:vAlign w:val="center"/>
            <w:hideMark/>
          </w:tcPr>
          <w:p w14:paraId="295D5F32"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Procesos de Contratación Pública</w:t>
            </w:r>
          </w:p>
          <w:p w14:paraId="7E19C738"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Enero – Noviembre de 2022</w:t>
            </w:r>
          </w:p>
        </w:tc>
      </w:tr>
      <w:tr w:rsidR="00C356F0" w:rsidRPr="008E6046" w14:paraId="31AAC14E" w14:textId="77777777" w:rsidTr="00943FA5">
        <w:tblPrEx>
          <w:jc w:val="center"/>
          <w:shd w:val="clear" w:color="auto" w:fill="auto"/>
        </w:tblPrEx>
        <w:trPr>
          <w:jc w:val="center"/>
        </w:trPr>
        <w:tc>
          <w:tcPr>
            <w:tcW w:w="1243"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26ED54D5"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Cantidad</w:t>
            </w:r>
          </w:p>
        </w:tc>
        <w:tc>
          <w:tcPr>
            <w:tcW w:w="2942"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79DC3BE1" w14:textId="77777777" w:rsidR="00C356F0" w:rsidRPr="00C62BB6" w:rsidRDefault="00C356F0" w:rsidP="00C356F0">
            <w:pPr>
              <w:spacing w:after="0" w:line="360" w:lineRule="auto"/>
              <w:ind w:right="-107"/>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Documento</w:t>
            </w:r>
          </w:p>
        </w:tc>
        <w:tc>
          <w:tcPr>
            <w:tcW w:w="3794" w:type="dxa"/>
            <w:tcBorders>
              <w:top w:val="single" w:sz="4" w:space="0" w:color="auto"/>
              <w:left w:val="single" w:sz="4" w:space="0" w:color="auto"/>
              <w:bottom w:val="single" w:sz="4" w:space="0" w:color="auto"/>
              <w:right w:val="single" w:sz="4" w:space="0" w:color="auto"/>
            </w:tcBorders>
            <w:shd w:val="clear" w:color="auto" w:fill="002060"/>
            <w:vAlign w:val="center"/>
            <w:hideMark/>
          </w:tcPr>
          <w:p w14:paraId="10F2120A" w14:textId="77777777" w:rsidR="00C356F0" w:rsidRPr="00C62BB6" w:rsidRDefault="00C356F0" w:rsidP="00C356F0">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 xml:space="preserve">Base Legal </w:t>
            </w:r>
          </w:p>
        </w:tc>
      </w:tr>
      <w:tr w:rsidR="00C356F0" w:rsidRPr="00376423" w14:paraId="2380F318" w14:textId="77777777" w:rsidTr="00943FA5">
        <w:tblPrEx>
          <w:jc w:val="center"/>
          <w:shd w:val="clear" w:color="auto" w:fill="auto"/>
        </w:tblPrEx>
        <w:trPr>
          <w:jc w:val="center"/>
        </w:trPr>
        <w:tc>
          <w:tcPr>
            <w:tcW w:w="1243" w:type="dxa"/>
            <w:tcBorders>
              <w:top w:val="single" w:sz="4" w:space="0" w:color="auto"/>
              <w:left w:val="single" w:sz="4" w:space="0" w:color="auto"/>
              <w:bottom w:val="single" w:sz="4" w:space="0" w:color="auto"/>
              <w:right w:val="single" w:sz="4" w:space="0" w:color="auto"/>
            </w:tcBorders>
            <w:hideMark/>
          </w:tcPr>
          <w:p w14:paraId="7EC6A599" w14:textId="77777777" w:rsidR="00C356F0" w:rsidRPr="00A4233F"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29</w:t>
            </w:r>
          </w:p>
        </w:tc>
        <w:tc>
          <w:tcPr>
            <w:tcW w:w="2942" w:type="dxa"/>
            <w:tcBorders>
              <w:top w:val="single" w:sz="4" w:space="0" w:color="auto"/>
              <w:left w:val="single" w:sz="4" w:space="0" w:color="auto"/>
              <w:bottom w:val="single" w:sz="4" w:space="0" w:color="auto"/>
              <w:right w:val="single" w:sz="4" w:space="0" w:color="auto"/>
            </w:tcBorders>
            <w:hideMark/>
          </w:tcPr>
          <w:p w14:paraId="25CBDDBD" w14:textId="77777777" w:rsidR="00C356F0" w:rsidRPr="00A4233F" w:rsidRDefault="00C356F0" w:rsidP="00C356F0">
            <w:pPr>
              <w:spacing w:after="0" w:line="360" w:lineRule="auto"/>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Dictámenes Jurídicos</w:t>
            </w:r>
          </w:p>
        </w:tc>
        <w:tc>
          <w:tcPr>
            <w:tcW w:w="3794" w:type="dxa"/>
            <w:tcBorders>
              <w:top w:val="single" w:sz="4" w:space="0" w:color="auto"/>
              <w:left w:val="single" w:sz="4" w:space="0" w:color="auto"/>
              <w:bottom w:val="single" w:sz="4" w:space="0" w:color="auto"/>
              <w:right w:val="single" w:sz="4" w:space="0" w:color="auto"/>
            </w:tcBorders>
            <w:hideMark/>
          </w:tcPr>
          <w:p w14:paraId="19065894" w14:textId="77777777" w:rsidR="00C356F0" w:rsidRPr="00A4233F"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Ley Núm. 340-06 sobre Compras y Contrataciones de Bienes, Servicios, Obras y Concesiones, y su Reglamento de aplicación Decreto Núm. 543-12</w:t>
            </w:r>
          </w:p>
        </w:tc>
      </w:tr>
      <w:tr w:rsidR="00C62BB6" w:rsidRPr="00376423" w14:paraId="796FDA9E" w14:textId="77777777" w:rsidTr="00943FA5">
        <w:tblPrEx>
          <w:jc w:val="center"/>
          <w:shd w:val="clear" w:color="auto" w:fill="auto"/>
        </w:tblPrEx>
        <w:trPr>
          <w:trHeight w:val="1756"/>
          <w:jc w:val="center"/>
        </w:trPr>
        <w:tc>
          <w:tcPr>
            <w:tcW w:w="1243" w:type="dxa"/>
            <w:tcBorders>
              <w:top w:val="single" w:sz="4" w:space="0" w:color="auto"/>
              <w:left w:val="single" w:sz="4" w:space="0" w:color="auto"/>
              <w:bottom w:val="single" w:sz="4" w:space="0" w:color="auto"/>
              <w:right w:val="single" w:sz="4" w:space="0" w:color="auto"/>
            </w:tcBorders>
            <w:hideMark/>
          </w:tcPr>
          <w:p w14:paraId="24FAA494" w14:textId="77777777" w:rsidR="00C356F0" w:rsidRPr="00A4233F" w:rsidRDefault="00C356F0" w:rsidP="00C356F0">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73</w:t>
            </w:r>
          </w:p>
        </w:tc>
        <w:tc>
          <w:tcPr>
            <w:tcW w:w="2942" w:type="dxa"/>
            <w:tcBorders>
              <w:top w:val="single" w:sz="4" w:space="0" w:color="auto"/>
              <w:left w:val="single" w:sz="4" w:space="0" w:color="auto"/>
              <w:bottom w:val="single" w:sz="4" w:space="0" w:color="auto"/>
              <w:right w:val="single" w:sz="4" w:space="0" w:color="auto"/>
            </w:tcBorders>
            <w:hideMark/>
          </w:tcPr>
          <w:p w14:paraId="3E8898D5" w14:textId="77777777" w:rsidR="00C356F0" w:rsidRPr="00A4233F"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Resoluciones emitidas por el Comité de Compras y Contrataciones del INDOTEL</w:t>
            </w:r>
          </w:p>
        </w:tc>
        <w:tc>
          <w:tcPr>
            <w:tcW w:w="3794" w:type="dxa"/>
            <w:tcBorders>
              <w:top w:val="single" w:sz="4" w:space="0" w:color="auto"/>
              <w:left w:val="single" w:sz="4" w:space="0" w:color="auto"/>
              <w:bottom w:val="single" w:sz="4" w:space="0" w:color="auto"/>
              <w:right w:val="single" w:sz="4" w:space="0" w:color="auto"/>
            </w:tcBorders>
            <w:hideMark/>
          </w:tcPr>
          <w:p w14:paraId="195BFFC5" w14:textId="77777777" w:rsidR="00C356F0" w:rsidRPr="00A4233F" w:rsidRDefault="00C356F0" w:rsidP="00C356F0">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Ley Núm. 340-06 sobre Compras y Contrataciones de Bienes Servicios, Obras y Concesiones, y su Reglamento de aplicación Decreto Núm. 543-12</w:t>
            </w:r>
          </w:p>
        </w:tc>
      </w:tr>
    </w:tbl>
    <w:p w14:paraId="5322C620" w14:textId="1D77CF06" w:rsidR="00C356F0" w:rsidRPr="00C62BB6" w:rsidRDefault="00C356F0" w:rsidP="00C356F0">
      <w:pPr>
        <w:spacing w:after="0"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Matriz de casos Gerencia de Contratos </w:t>
      </w:r>
    </w:p>
    <w:p w14:paraId="666BA264" w14:textId="77777777" w:rsidR="008D55B2" w:rsidRPr="005A11A8" w:rsidRDefault="008D55B2" w:rsidP="00C356F0">
      <w:pPr>
        <w:spacing w:after="0" w:line="360" w:lineRule="auto"/>
        <w:jc w:val="both"/>
        <w:rPr>
          <w:rFonts w:ascii="Times New Roman" w:eastAsia="Calibri" w:hAnsi="Times New Roman" w:cs="Times New Roman"/>
          <w:color w:val="4C4747"/>
          <w:spacing w:val="20"/>
          <w:sz w:val="18"/>
          <w:szCs w:val="24"/>
          <w:lang w:val="es-DO"/>
        </w:rPr>
      </w:pPr>
    </w:p>
    <w:p w14:paraId="1FD1F24D" w14:textId="79A785D7" w:rsidR="00FE3890" w:rsidRPr="00A4233F" w:rsidRDefault="00A75CDE" w:rsidP="00162A8A">
      <w:pPr>
        <w:keepNext/>
        <w:tabs>
          <w:tab w:val="left" w:pos="1620"/>
        </w:tabs>
        <w:spacing w:before="240" w:after="60"/>
        <w:jc w:val="both"/>
        <w:outlineLvl w:val="2"/>
        <w:rPr>
          <w:rFonts w:ascii="Times New Roman" w:eastAsia="Times New Roman" w:hAnsi="Times New Roman" w:cs="Times New Roman"/>
          <w:b/>
          <w:bCs/>
          <w:color w:val="4C4747"/>
          <w:sz w:val="24"/>
          <w:szCs w:val="28"/>
          <w:lang w:val="es-DO" w:eastAsia="es-DO"/>
        </w:rPr>
      </w:pPr>
      <w:bookmarkStart w:id="26" w:name="_Toc79678423"/>
      <w:bookmarkStart w:id="27" w:name="_Toc122425246"/>
      <w:r w:rsidRPr="00A4233F">
        <w:rPr>
          <w:rFonts w:ascii="Times New Roman" w:eastAsiaTheme="majorEastAsia" w:hAnsi="Times New Roman" w:cs="Times New Roman"/>
          <w:b/>
          <w:iCs/>
          <w:color w:val="4C4747"/>
          <w:sz w:val="24"/>
          <w:szCs w:val="24"/>
          <w:lang w:val="es-DO" w:eastAsia="es-DO"/>
        </w:rPr>
        <w:lastRenderedPageBreak/>
        <w:t>4.4</w:t>
      </w:r>
      <w:r w:rsidRPr="00A4233F">
        <w:rPr>
          <w:rFonts w:ascii="Times New Roman" w:eastAsia="Times New Roman" w:hAnsi="Times New Roman" w:cs="Times New Roman"/>
          <w:b/>
          <w:bCs/>
          <w:color w:val="4C4747"/>
          <w:sz w:val="24"/>
          <w:szCs w:val="28"/>
          <w:lang w:val="es-DO" w:eastAsia="es-DO"/>
        </w:rPr>
        <w:t xml:space="preserve"> </w:t>
      </w:r>
      <w:r w:rsidR="00641CAA" w:rsidRPr="00A4233F">
        <w:rPr>
          <w:rFonts w:ascii="Times New Roman" w:eastAsiaTheme="majorEastAsia" w:hAnsi="Times New Roman" w:cs="Times New Roman"/>
          <w:b/>
          <w:iCs/>
          <w:color w:val="4C4747"/>
          <w:sz w:val="24"/>
          <w:szCs w:val="24"/>
          <w:lang w:val="es-DO" w:eastAsia="es-DO"/>
        </w:rPr>
        <w:t>Desempeño de la Tecnología</w:t>
      </w:r>
      <w:bookmarkEnd w:id="26"/>
      <w:bookmarkEnd w:id="27"/>
    </w:p>
    <w:p w14:paraId="5337C03A" w14:textId="0FC55DD9" w:rsidR="00256209" w:rsidRPr="00A4233F" w:rsidRDefault="00C356F0" w:rsidP="00C32B33">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 INDOTEL en busca de mejorar y fortalecer su infraestructura tecnológica, ha realizado actualizaciones y mejoras tanto en equipos software, sistemas a nivel de gestión, procedimientos en TI, así como también creación de políticas internas para mejorar la gestión de los recursos tecnológicos de la institución. Entre estas podemos mencionar las siguientes:</w:t>
      </w:r>
    </w:p>
    <w:p w14:paraId="7E9C581E" w14:textId="77777777" w:rsidR="00C356F0" w:rsidRPr="00A4233F"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 xml:space="preserve">Redes </w:t>
      </w:r>
    </w:p>
    <w:p w14:paraId="4EED7CA5" w14:textId="77777777" w:rsidR="00C356F0" w:rsidRPr="00A4233F" w:rsidRDefault="00C356F0" w:rsidP="00A02BDE">
      <w:pPr>
        <w:pStyle w:val="Prrafodelista"/>
        <w:numPr>
          <w:ilvl w:val="0"/>
          <w:numId w:val="18"/>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agregaron nuevas capas a nivel de seguridad informática mediante la implementación de SOPHOS AGENT.</w:t>
      </w:r>
    </w:p>
    <w:p w14:paraId="07D3A8A0" w14:textId="77777777" w:rsidR="00C356F0" w:rsidRPr="00A4233F" w:rsidRDefault="00C356F0" w:rsidP="00A02BDE">
      <w:pPr>
        <w:pStyle w:val="Prrafodelista"/>
        <w:numPr>
          <w:ilvl w:val="0"/>
          <w:numId w:val="18"/>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Internet simétrico, se implementó y mejoró la conectividad de los servicios, así como también se aumentó la velocidad y calidad de este.</w:t>
      </w:r>
    </w:p>
    <w:p w14:paraId="5DF8BE11" w14:textId="140EAAC3" w:rsidR="00C356F0" w:rsidRPr="00A4233F" w:rsidRDefault="00C356F0" w:rsidP="00A02BDE">
      <w:pPr>
        <w:pStyle w:val="Prrafodelista"/>
        <w:numPr>
          <w:ilvl w:val="0"/>
          <w:numId w:val="18"/>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Creación e imple</w:t>
      </w:r>
      <w:r w:rsidR="00256209" w:rsidRPr="00A4233F">
        <w:rPr>
          <w:rFonts w:ascii="Times New Roman" w:eastAsia="Calibri" w:hAnsi="Times New Roman" w:cs="Times New Roman"/>
          <w:color w:val="4C4747"/>
          <w:spacing w:val="20"/>
          <w:sz w:val="24"/>
          <w:szCs w:val="24"/>
          <w:lang w:val="es-DO"/>
        </w:rPr>
        <w:t>mentación de nuevas políticas (c</w:t>
      </w:r>
      <w:r w:rsidRPr="00A4233F">
        <w:rPr>
          <w:rFonts w:ascii="Times New Roman" w:eastAsia="Calibri" w:hAnsi="Times New Roman" w:cs="Times New Roman"/>
          <w:color w:val="4C4747"/>
          <w:spacing w:val="20"/>
          <w:sz w:val="24"/>
          <w:szCs w:val="24"/>
          <w:lang w:val="es-DO"/>
        </w:rPr>
        <w:t>ontrol de acceso, uso del internet).</w:t>
      </w:r>
    </w:p>
    <w:p w14:paraId="2AA07801" w14:textId="77777777" w:rsidR="00C356F0" w:rsidRPr="00A4233F" w:rsidRDefault="00C356F0" w:rsidP="00A02BDE">
      <w:pPr>
        <w:pStyle w:val="Prrafodelista"/>
        <w:numPr>
          <w:ilvl w:val="0"/>
          <w:numId w:val="18"/>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Adquisición de Network Access Control para gestionar el control de acceso de equipos a la red inalámbrica y cableada.</w:t>
      </w:r>
    </w:p>
    <w:p w14:paraId="6928926E" w14:textId="77777777" w:rsidR="00C356F0" w:rsidRPr="00A4233F" w:rsidRDefault="00C356F0" w:rsidP="00A02BDE">
      <w:pPr>
        <w:pStyle w:val="Prrafodelista"/>
        <w:numPr>
          <w:ilvl w:val="0"/>
          <w:numId w:val="18"/>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Adquisición de nuevos equipos de distribución e infraestructura (Switches). </w:t>
      </w:r>
    </w:p>
    <w:p w14:paraId="54867E85" w14:textId="7F705B5F" w:rsidR="00C356F0" w:rsidRPr="00A4233F" w:rsidRDefault="00256209" w:rsidP="00A02BDE">
      <w:pPr>
        <w:pStyle w:val="Prrafodelista"/>
        <w:numPr>
          <w:ilvl w:val="0"/>
          <w:numId w:val="18"/>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Adquisición </w:t>
      </w:r>
      <w:r w:rsidR="00C356F0" w:rsidRPr="00A4233F">
        <w:rPr>
          <w:rFonts w:ascii="Times New Roman" w:eastAsia="Calibri" w:hAnsi="Times New Roman" w:cs="Times New Roman"/>
          <w:color w:val="4C4747"/>
          <w:spacing w:val="20"/>
          <w:sz w:val="24"/>
          <w:szCs w:val="24"/>
          <w:lang w:val="es-DO"/>
        </w:rPr>
        <w:t xml:space="preserve">de Firewalls para agregar seguridad a la red. </w:t>
      </w:r>
    </w:p>
    <w:p w14:paraId="46B0981F" w14:textId="77777777" w:rsidR="00C356F0" w:rsidRPr="00A4233F" w:rsidRDefault="00C356F0" w:rsidP="00A02BDE">
      <w:pPr>
        <w:pStyle w:val="Prrafodelista"/>
        <w:numPr>
          <w:ilvl w:val="0"/>
          <w:numId w:val="19"/>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Adquisición de AP (Puntos de Acceso) para realizar la distribución de red entre pisos de la institución.</w:t>
      </w:r>
    </w:p>
    <w:p w14:paraId="7FC8B500" w14:textId="77777777" w:rsidR="00C356F0" w:rsidRPr="00A4233F" w:rsidRDefault="00C356F0" w:rsidP="00A02BDE">
      <w:pPr>
        <w:pStyle w:val="Prrafodelista"/>
        <w:numPr>
          <w:ilvl w:val="0"/>
          <w:numId w:val="19"/>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realizó una reestructuración a nivel de red de direccionamiento IP y VLANs.</w:t>
      </w:r>
    </w:p>
    <w:p w14:paraId="51D4B5BD" w14:textId="77777777" w:rsidR="00C356F0" w:rsidRPr="00A4233F"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Infraestructura</w:t>
      </w:r>
    </w:p>
    <w:p w14:paraId="684CED7F" w14:textId="77777777" w:rsidR="00C356F0" w:rsidRPr="00A4233F" w:rsidRDefault="00C356F0" w:rsidP="00A02BDE">
      <w:pPr>
        <w:pStyle w:val="Prrafodelista"/>
        <w:numPr>
          <w:ilvl w:val="0"/>
          <w:numId w:val="20"/>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Instalación de un Network Attached Storage (NAS) para backup en el Data Center del INDOTEL. </w:t>
      </w:r>
    </w:p>
    <w:p w14:paraId="6A40192B" w14:textId="77777777" w:rsidR="00C356F0" w:rsidRPr="00A4233F" w:rsidRDefault="00C356F0" w:rsidP="00A02BDE">
      <w:pPr>
        <w:pStyle w:val="Prrafodelista"/>
        <w:numPr>
          <w:ilvl w:val="0"/>
          <w:numId w:val="20"/>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Migración de Windows Server 2012 a Windows Server 2019 para mejorar la seguridad de la red y mejor uso de los recursos de hardware.</w:t>
      </w:r>
    </w:p>
    <w:p w14:paraId="38128660" w14:textId="1DF6CED5" w:rsidR="00C356F0" w:rsidRPr="00A4233F" w:rsidRDefault="00256209" w:rsidP="00A02BDE">
      <w:pPr>
        <w:pStyle w:val="Prrafodelista"/>
        <w:numPr>
          <w:ilvl w:val="0"/>
          <w:numId w:val="20"/>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Adquisición</w:t>
      </w:r>
      <w:r w:rsidR="00C356F0" w:rsidRPr="00A4233F">
        <w:rPr>
          <w:rFonts w:ascii="Times New Roman" w:eastAsia="Calibri" w:hAnsi="Times New Roman" w:cs="Times New Roman"/>
          <w:color w:val="4C4747"/>
          <w:spacing w:val="20"/>
          <w:sz w:val="24"/>
          <w:szCs w:val="24"/>
          <w:lang w:val="es-DO"/>
        </w:rPr>
        <w:t xml:space="preserve"> de UPS central 30KVA  (Sistema de energía interrumpida) y 6 UPS 3KVA para los cuartos de data.</w:t>
      </w:r>
    </w:p>
    <w:p w14:paraId="39B9DF1A" w14:textId="2069760E" w:rsidR="00C356F0" w:rsidRPr="00A4233F" w:rsidRDefault="00C356F0" w:rsidP="00A02BDE">
      <w:pPr>
        <w:pStyle w:val="Prrafodelista"/>
        <w:numPr>
          <w:ilvl w:val="0"/>
          <w:numId w:val="20"/>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Migración y cambio de versión del software BIOSTAR (Sistema Biométrico)</w:t>
      </w:r>
      <w:r w:rsidR="00256209" w:rsidRPr="00A4233F">
        <w:rPr>
          <w:rFonts w:ascii="Times New Roman" w:eastAsia="Calibri" w:hAnsi="Times New Roman" w:cs="Times New Roman"/>
          <w:color w:val="4C4747"/>
          <w:spacing w:val="20"/>
          <w:sz w:val="24"/>
          <w:szCs w:val="24"/>
          <w:lang w:val="es-DO"/>
        </w:rPr>
        <w:t>.</w:t>
      </w:r>
      <w:r w:rsidRPr="00A4233F">
        <w:rPr>
          <w:rFonts w:ascii="Times New Roman" w:eastAsia="Calibri" w:hAnsi="Times New Roman" w:cs="Times New Roman"/>
          <w:color w:val="4C4747"/>
          <w:spacing w:val="20"/>
          <w:sz w:val="24"/>
          <w:szCs w:val="24"/>
          <w:lang w:val="es-DO"/>
        </w:rPr>
        <w:t xml:space="preserve"> </w:t>
      </w:r>
    </w:p>
    <w:p w14:paraId="57FDD481" w14:textId="41437E39" w:rsidR="00C356F0" w:rsidRPr="00A4233F" w:rsidRDefault="00C356F0" w:rsidP="00A02BDE">
      <w:pPr>
        <w:pStyle w:val="Prrafodelista"/>
        <w:numPr>
          <w:ilvl w:val="0"/>
          <w:numId w:val="20"/>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Adquisición de Sistema de Hiperconvergencia para la centralización y reestructuración de los servidores.</w:t>
      </w:r>
    </w:p>
    <w:p w14:paraId="54494186" w14:textId="7248F29D" w:rsidR="00FE3890" w:rsidRPr="00A4233F"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Reestructuración de los Servicios Azure</w:t>
      </w:r>
    </w:p>
    <w:p w14:paraId="658A28E7"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Se realizó la optimización de los recursos en la nube, tales como: </w:t>
      </w:r>
    </w:p>
    <w:p w14:paraId="005021EE" w14:textId="77777777" w:rsidR="00C356F0" w:rsidRPr="00A4233F" w:rsidRDefault="00C356F0" w:rsidP="00A02BDE">
      <w:pPr>
        <w:pStyle w:val="Prrafodelista"/>
        <w:numPr>
          <w:ilvl w:val="0"/>
          <w:numId w:val="21"/>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Restructuración de Servidores virtuales</w:t>
      </w:r>
    </w:p>
    <w:p w14:paraId="1D324C2E" w14:textId="77777777" w:rsidR="00C356F0" w:rsidRPr="00A4233F" w:rsidRDefault="00C356F0" w:rsidP="00A02BDE">
      <w:pPr>
        <w:pStyle w:val="Prrafodelista"/>
        <w:numPr>
          <w:ilvl w:val="0"/>
          <w:numId w:val="21"/>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Readecuación de los servicios de respaldo de los servidores virtuales.</w:t>
      </w:r>
    </w:p>
    <w:p w14:paraId="2DA13457" w14:textId="77777777" w:rsidR="00C356F0" w:rsidRPr="00A4233F" w:rsidRDefault="00C356F0" w:rsidP="00A02BDE">
      <w:pPr>
        <w:pStyle w:val="Prrafodelista"/>
        <w:numPr>
          <w:ilvl w:val="0"/>
          <w:numId w:val="21"/>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Consolidación de Web Services y APIs para optimizar el uso, mejorar el control y el consumo de los recursos en la nube. </w:t>
      </w:r>
    </w:p>
    <w:p w14:paraId="19638B72" w14:textId="778603DB" w:rsidR="00FE3890" w:rsidRPr="00A4233F" w:rsidRDefault="00C356F0" w:rsidP="00A02BDE">
      <w:pPr>
        <w:pStyle w:val="Prrafodelista"/>
        <w:numPr>
          <w:ilvl w:val="0"/>
          <w:numId w:val="21"/>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realizó mejoras de seguridad con la instalación de un firewall virtual en la estructura de los servicios en la nube.</w:t>
      </w:r>
    </w:p>
    <w:p w14:paraId="6B72B182" w14:textId="77777777" w:rsidR="00C356F0" w:rsidRPr="00A4233F"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Soporte y Mesa de Ayuda</w:t>
      </w:r>
    </w:p>
    <w:p w14:paraId="2A10CBF4"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eficientizaron los recursos internos de los servicios de las plataformas tecnológicas, de acuerdo con los estándares de la industria, lo cual incluye:</w:t>
      </w:r>
    </w:p>
    <w:p w14:paraId="616D0FB4" w14:textId="77777777" w:rsidR="00C356F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Aumento en el porcentaje de casos resueltos frente a las incidencias reportadas por parte de los colaboradores. </w:t>
      </w:r>
    </w:p>
    <w:p w14:paraId="300051D8" w14:textId="77777777" w:rsidR="00C356F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Establecimiento de un número único de contacto para soporte.</w:t>
      </w:r>
    </w:p>
    <w:p w14:paraId="1750A310" w14:textId="77777777" w:rsidR="00C356F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Optimización del servicio de impresión. </w:t>
      </w:r>
    </w:p>
    <w:p w14:paraId="0B8C5D41" w14:textId="77777777" w:rsidR="00C356F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realizó mantenimiento general de todos los equipos de los usuarios finales de la institución.</w:t>
      </w:r>
    </w:p>
    <w:p w14:paraId="22E2422F" w14:textId="77777777" w:rsidR="00C356F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Concientización a los usuarios del uso de herramientas de Cloud para almacenar datos de la institución para mayor seguridad.</w:t>
      </w:r>
    </w:p>
    <w:p w14:paraId="5D11C80F" w14:textId="6BD33800" w:rsidR="00C356F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Migración de backups </w:t>
      </w:r>
      <w:r w:rsidR="00E27EB1" w:rsidRPr="00A4233F">
        <w:rPr>
          <w:rFonts w:ascii="Times New Roman" w:eastAsia="Calibri" w:hAnsi="Times New Roman" w:cs="Times New Roman"/>
          <w:color w:val="4C4747"/>
          <w:spacing w:val="20"/>
          <w:sz w:val="24"/>
          <w:szCs w:val="24"/>
          <w:lang w:val="es-DO"/>
        </w:rPr>
        <w:t>físicos</w:t>
      </w:r>
      <w:r w:rsidRPr="00A4233F">
        <w:rPr>
          <w:rFonts w:ascii="Times New Roman" w:eastAsia="Calibri" w:hAnsi="Times New Roman" w:cs="Times New Roman"/>
          <w:color w:val="4C4747"/>
          <w:spacing w:val="20"/>
          <w:sz w:val="24"/>
          <w:szCs w:val="24"/>
          <w:lang w:val="es-DO"/>
        </w:rPr>
        <w:t xml:space="preserve"> al servidor NAS.</w:t>
      </w:r>
    </w:p>
    <w:p w14:paraId="1AE95F1F" w14:textId="7B0A572C" w:rsidR="00FE3890" w:rsidRPr="00A4233F" w:rsidRDefault="00C356F0" w:rsidP="00A02BDE">
      <w:pPr>
        <w:pStyle w:val="Prrafodelista"/>
        <w:numPr>
          <w:ilvl w:val="0"/>
          <w:numId w:val="22"/>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Adquisición de 100 laptops para el reemplazo y/o actualización de equipos a los colaboradores</w:t>
      </w:r>
      <w:r w:rsidR="00E27EB1" w:rsidRPr="00A4233F">
        <w:rPr>
          <w:rFonts w:ascii="Times New Roman" w:eastAsia="Calibri" w:hAnsi="Times New Roman" w:cs="Times New Roman"/>
          <w:color w:val="4C4747"/>
          <w:spacing w:val="20"/>
          <w:sz w:val="24"/>
          <w:szCs w:val="24"/>
          <w:lang w:val="es-DO"/>
        </w:rPr>
        <w:t xml:space="preserve">  y las colaboradoras</w:t>
      </w:r>
      <w:r w:rsidRPr="00A4233F">
        <w:rPr>
          <w:rFonts w:ascii="Times New Roman" w:eastAsia="Calibri" w:hAnsi="Times New Roman" w:cs="Times New Roman"/>
          <w:color w:val="4C4747"/>
          <w:spacing w:val="20"/>
          <w:sz w:val="24"/>
          <w:szCs w:val="24"/>
          <w:lang w:val="es-DO"/>
        </w:rPr>
        <w:t xml:space="preserve"> para la mejora de su labor.</w:t>
      </w:r>
    </w:p>
    <w:p w14:paraId="1B212BF3" w14:textId="77777777" w:rsidR="00C356F0" w:rsidRPr="00A4233F" w:rsidRDefault="00C356F0" w:rsidP="00C32B33">
      <w:pPr>
        <w:spacing w:before="240"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Estas gráficas son parte de los reportes que brinda el sistema FreshDesk, donde podemos monitorear la frecuencia y el volumen de los tickets resueltos.</w:t>
      </w:r>
    </w:p>
    <w:p w14:paraId="629FD853" w14:textId="77777777" w:rsidR="00C356F0" w:rsidRPr="00C62BB6"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Tendencia de volumen de tickets</w:t>
      </w:r>
    </w:p>
    <w:p w14:paraId="7015C248" w14:textId="77777777" w:rsidR="00E27EB1" w:rsidRPr="00C62BB6" w:rsidRDefault="00E27EB1" w:rsidP="00943FA5">
      <w:pPr>
        <w:spacing w:after="0" w:line="360" w:lineRule="auto"/>
        <w:jc w:val="both"/>
        <w:rPr>
          <w:rFonts w:ascii="Times New Roman" w:eastAsia="Calibri" w:hAnsi="Times New Roman" w:cs="Times New Roman"/>
          <w:color w:val="4C4747"/>
          <w:spacing w:val="20"/>
          <w:sz w:val="24"/>
          <w:szCs w:val="24"/>
          <w:lang w:val="es-DO"/>
        </w:rPr>
      </w:pPr>
    </w:p>
    <w:p w14:paraId="51D1752C" w14:textId="7D278492" w:rsidR="00C356F0" w:rsidRPr="00E279ED"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E279ED">
        <w:rPr>
          <w:rFonts w:ascii="Times New Roman" w:eastAsia="Calibri" w:hAnsi="Times New Roman" w:cs="Times New Roman"/>
          <w:noProof/>
          <w:color w:val="4C4747"/>
          <w:spacing w:val="20"/>
          <w:sz w:val="24"/>
          <w:szCs w:val="24"/>
        </w:rPr>
        <w:drawing>
          <wp:inline distT="0" distB="0" distL="0" distR="0" wp14:anchorId="52AAD696" wp14:editId="3EAD3E61">
            <wp:extent cx="4947313" cy="1693470"/>
            <wp:effectExtent l="19050" t="19050" r="24765" b="21590"/>
            <wp:docPr id="2054" name="Imagen 20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3" cstate="print">
                      <a:extLst>
                        <a:ext uri="{28A0092B-C50C-407E-A947-70E740481C1C}">
                          <a14:useLocalDpi xmlns:a14="http://schemas.microsoft.com/office/drawing/2010/main" val="0"/>
                        </a:ext>
                      </a:extLst>
                    </a:blip>
                    <a:stretch>
                      <a:fillRect/>
                    </a:stretch>
                  </pic:blipFill>
                  <pic:spPr>
                    <a:xfrm>
                      <a:off x="0" y="0"/>
                      <a:ext cx="4956066" cy="1696466"/>
                    </a:xfrm>
                    <a:prstGeom prst="rect">
                      <a:avLst/>
                    </a:prstGeom>
                    <a:ln>
                      <a:solidFill>
                        <a:schemeClr val="bg1">
                          <a:lumMod val="50000"/>
                        </a:schemeClr>
                      </a:solidFill>
                    </a:ln>
                  </pic:spPr>
                </pic:pic>
              </a:graphicData>
            </a:graphic>
          </wp:inline>
        </w:drawing>
      </w:r>
    </w:p>
    <w:p w14:paraId="511EB693" w14:textId="77777777" w:rsidR="00E27EB1" w:rsidRPr="00C62BB6" w:rsidRDefault="00E27EB1" w:rsidP="00E27EB1">
      <w:pPr>
        <w:spacing w:after="0"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FreshDesk, mesa de ayuda. Enero – Noviembre de 2022</w:t>
      </w:r>
    </w:p>
    <w:p w14:paraId="79A52F91" w14:textId="77777777" w:rsidR="00E27EB1" w:rsidRPr="00E279ED" w:rsidRDefault="00E27EB1" w:rsidP="00943FA5">
      <w:pPr>
        <w:spacing w:after="0" w:line="360" w:lineRule="auto"/>
        <w:jc w:val="both"/>
        <w:rPr>
          <w:rFonts w:ascii="Times New Roman" w:eastAsia="Calibri" w:hAnsi="Times New Roman" w:cs="Times New Roman"/>
          <w:color w:val="4C4747"/>
          <w:spacing w:val="20"/>
          <w:sz w:val="24"/>
          <w:szCs w:val="24"/>
          <w:lang w:val="es-DO"/>
        </w:rPr>
      </w:pPr>
    </w:p>
    <w:p w14:paraId="0184A70F" w14:textId="332D9465" w:rsidR="00C356F0" w:rsidRPr="00E279ED"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E279ED">
        <w:rPr>
          <w:rFonts w:ascii="Times New Roman" w:eastAsia="Calibri" w:hAnsi="Times New Roman" w:cs="Times New Roman"/>
          <w:noProof/>
          <w:color w:val="4C4747"/>
          <w:spacing w:val="20"/>
          <w:sz w:val="24"/>
          <w:szCs w:val="24"/>
        </w:rPr>
        <w:drawing>
          <wp:inline distT="0" distB="0" distL="0" distR="0" wp14:anchorId="67AF56BD" wp14:editId="64D3A6AD">
            <wp:extent cx="4960961" cy="1593818"/>
            <wp:effectExtent l="19050" t="19050" r="11430" b="26035"/>
            <wp:docPr id="2055" name="Imagen 20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4" cstate="print">
                      <a:extLst>
                        <a:ext uri="{28A0092B-C50C-407E-A947-70E740481C1C}">
                          <a14:useLocalDpi xmlns:a14="http://schemas.microsoft.com/office/drawing/2010/main" val="0"/>
                        </a:ext>
                      </a:extLst>
                    </a:blip>
                    <a:stretch>
                      <a:fillRect/>
                    </a:stretch>
                  </pic:blipFill>
                  <pic:spPr>
                    <a:xfrm>
                      <a:off x="0" y="0"/>
                      <a:ext cx="4964751" cy="1595035"/>
                    </a:xfrm>
                    <a:prstGeom prst="rect">
                      <a:avLst/>
                    </a:prstGeom>
                    <a:ln>
                      <a:solidFill>
                        <a:schemeClr val="bg1">
                          <a:lumMod val="50000"/>
                        </a:schemeClr>
                      </a:solidFill>
                    </a:ln>
                  </pic:spPr>
                </pic:pic>
              </a:graphicData>
            </a:graphic>
          </wp:inline>
        </w:drawing>
      </w:r>
    </w:p>
    <w:p w14:paraId="7661F806" w14:textId="77777777" w:rsidR="00E27EB1" w:rsidRPr="00C62BB6" w:rsidRDefault="00E27EB1" w:rsidP="00E27EB1">
      <w:pPr>
        <w:spacing w:after="0" w:line="360" w:lineRule="auto"/>
        <w:jc w:val="both"/>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FreshDesk, mesa de ayuda. Enero – Noviembre de 2022</w:t>
      </w:r>
    </w:p>
    <w:p w14:paraId="7D3F09A5" w14:textId="77777777" w:rsidR="00E27EB1" w:rsidRPr="00E279ED" w:rsidRDefault="00E27EB1" w:rsidP="00943FA5">
      <w:pPr>
        <w:spacing w:after="0" w:line="360" w:lineRule="auto"/>
        <w:jc w:val="both"/>
        <w:rPr>
          <w:rFonts w:ascii="Times New Roman" w:eastAsia="Calibri" w:hAnsi="Times New Roman" w:cs="Times New Roman"/>
          <w:color w:val="4C4747"/>
          <w:spacing w:val="20"/>
          <w:sz w:val="24"/>
          <w:szCs w:val="24"/>
          <w:lang w:val="es-DO"/>
        </w:rPr>
      </w:pPr>
    </w:p>
    <w:p w14:paraId="60E55FCE" w14:textId="77777777" w:rsidR="00C356F0" w:rsidRPr="00E279ED"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E279ED">
        <w:rPr>
          <w:rFonts w:ascii="Times New Roman" w:eastAsia="Calibri" w:hAnsi="Times New Roman" w:cs="Times New Roman"/>
          <w:noProof/>
          <w:color w:val="4C4747"/>
          <w:spacing w:val="20"/>
          <w:sz w:val="24"/>
          <w:szCs w:val="24"/>
        </w:rPr>
        <w:lastRenderedPageBreak/>
        <w:drawing>
          <wp:inline distT="0" distB="0" distL="0" distR="0" wp14:anchorId="1D8E621A" wp14:editId="012860EC">
            <wp:extent cx="4960620" cy="1982337"/>
            <wp:effectExtent l="19050" t="19050" r="11430" b="18415"/>
            <wp:docPr id="2056" name="Imagen 20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35" cstate="print">
                      <a:extLst>
                        <a:ext uri="{28A0092B-C50C-407E-A947-70E740481C1C}">
                          <a14:useLocalDpi xmlns:a14="http://schemas.microsoft.com/office/drawing/2010/main" val="0"/>
                        </a:ext>
                      </a:extLst>
                    </a:blip>
                    <a:stretch>
                      <a:fillRect/>
                    </a:stretch>
                  </pic:blipFill>
                  <pic:spPr>
                    <a:xfrm>
                      <a:off x="0" y="0"/>
                      <a:ext cx="4974089" cy="1987719"/>
                    </a:xfrm>
                    <a:prstGeom prst="rect">
                      <a:avLst/>
                    </a:prstGeom>
                    <a:ln>
                      <a:solidFill>
                        <a:schemeClr val="bg1">
                          <a:lumMod val="50000"/>
                        </a:schemeClr>
                      </a:solidFill>
                    </a:ln>
                  </pic:spPr>
                </pic:pic>
              </a:graphicData>
            </a:graphic>
          </wp:inline>
        </w:drawing>
      </w:r>
    </w:p>
    <w:p w14:paraId="13607B18" w14:textId="77777777" w:rsidR="00E27EB1" w:rsidRPr="00C62BB6" w:rsidRDefault="00C356F0" w:rsidP="00E27EB1">
      <w:pPr>
        <w:spacing w:after="0" w:line="360" w:lineRule="auto"/>
        <w:jc w:val="both"/>
        <w:rPr>
          <w:rFonts w:ascii="Times New Roman" w:eastAsia="Calibri" w:hAnsi="Times New Roman" w:cs="Times New Roman"/>
          <w:color w:val="4C4747"/>
          <w:spacing w:val="20"/>
          <w:sz w:val="24"/>
          <w:szCs w:val="24"/>
          <w:lang w:val="es-DO"/>
        </w:rPr>
      </w:pPr>
      <w:r w:rsidRPr="00E279ED">
        <w:rPr>
          <w:rFonts w:ascii="Times New Roman" w:eastAsia="Calibri" w:hAnsi="Times New Roman" w:cs="Times New Roman"/>
          <w:b/>
          <w:color w:val="4C4747"/>
          <w:spacing w:val="20"/>
          <w:sz w:val="24"/>
          <w:szCs w:val="24"/>
          <w:lang w:val="es-DO"/>
        </w:rPr>
        <w:t xml:space="preserve"> </w:t>
      </w:r>
      <w:r w:rsidR="00E27EB1" w:rsidRPr="00C62BB6">
        <w:rPr>
          <w:rFonts w:ascii="Times New Roman" w:eastAsia="Calibri" w:hAnsi="Times New Roman" w:cs="Times New Roman"/>
          <w:b/>
          <w:color w:val="4C4747"/>
          <w:spacing w:val="20"/>
          <w:sz w:val="18"/>
          <w:szCs w:val="24"/>
          <w:lang w:val="es-DO"/>
        </w:rPr>
        <w:t>Fuente:</w:t>
      </w:r>
      <w:r w:rsidR="00E27EB1" w:rsidRPr="00C62BB6">
        <w:rPr>
          <w:rFonts w:ascii="Times New Roman" w:eastAsia="Calibri" w:hAnsi="Times New Roman" w:cs="Times New Roman"/>
          <w:color w:val="4C4747"/>
          <w:spacing w:val="20"/>
          <w:sz w:val="18"/>
          <w:szCs w:val="24"/>
          <w:lang w:val="es-DO"/>
        </w:rPr>
        <w:t xml:space="preserve"> FreshDesk, mesa de ayuda. Enero – Noviembre de 2022</w:t>
      </w:r>
    </w:p>
    <w:p w14:paraId="14BD0D31" w14:textId="77777777" w:rsidR="00C356F0" w:rsidRPr="00C62BB6" w:rsidRDefault="00C356F0" w:rsidP="00943FA5">
      <w:pPr>
        <w:spacing w:after="0" w:line="360" w:lineRule="auto"/>
        <w:jc w:val="both"/>
        <w:rPr>
          <w:rFonts w:ascii="Times New Roman" w:eastAsia="Calibri" w:hAnsi="Times New Roman" w:cs="Times New Roman"/>
          <w:color w:val="4C4747"/>
          <w:spacing w:val="20"/>
          <w:sz w:val="24"/>
          <w:szCs w:val="24"/>
          <w:lang w:val="es-DO"/>
        </w:rPr>
      </w:pPr>
    </w:p>
    <w:p w14:paraId="05F2DF6A" w14:textId="051AE992" w:rsidR="00FE3890" w:rsidRPr="00A4233F" w:rsidRDefault="00C356F0" w:rsidP="00943FA5">
      <w:pPr>
        <w:spacing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Sistemas y Aplicaciones</w:t>
      </w:r>
    </w:p>
    <w:p w14:paraId="7796DA25"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Se implementó la herramienta de Azure Devops para la gestión de software, la cual ayudó a la documentación de repositorios de los proyectos internamente desarrollados en la institución. </w:t>
      </w:r>
    </w:p>
    <w:p w14:paraId="713BB7B9" w14:textId="58F88649"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Se realizó el rediseño de la </w:t>
      </w:r>
      <w:r w:rsidR="008D55B2" w:rsidRPr="00A4233F">
        <w:rPr>
          <w:rFonts w:ascii="Times New Roman" w:eastAsia="Calibri" w:hAnsi="Times New Roman" w:cs="Times New Roman"/>
          <w:color w:val="4C4747"/>
          <w:spacing w:val="20"/>
          <w:sz w:val="24"/>
          <w:szCs w:val="24"/>
          <w:lang w:val="es-DO"/>
        </w:rPr>
        <w:t>App</w:t>
      </w:r>
      <w:r w:rsidRPr="00A4233F">
        <w:rPr>
          <w:rFonts w:ascii="Times New Roman" w:eastAsia="Calibri" w:hAnsi="Times New Roman" w:cs="Times New Roman"/>
          <w:color w:val="4C4747"/>
          <w:spacing w:val="20"/>
          <w:sz w:val="24"/>
          <w:szCs w:val="24"/>
          <w:lang w:val="es-DO"/>
        </w:rPr>
        <w:t xml:space="preserve"> móvil del INDOTEL.</w:t>
      </w:r>
    </w:p>
    <w:p w14:paraId="1B041ED5" w14:textId="0AE1423B"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strike/>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Se realizaron reportes e indicadores interactivos para el proyecto de Conectar a los No Conectados del </w:t>
      </w:r>
      <w:r w:rsidR="00B855AA" w:rsidRPr="00A4233F">
        <w:rPr>
          <w:rFonts w:ascii="Times New Roman" w:eastAsia="Calibri" w:hAnsi="Times New Roman" w:cs="Times New Roman"/>
          <w:color w:val="4C4747"/>
          <w:spacing w:val="20"/>
          <w:sz w:val="24"/>
          <w:szCs w:val="24"/>
          <w:lang w:val="es-DO"/>
        </w:rPr>
        <w:t>Plan Bianual de Proyectos de Desarrollo 2021-</w:t>
      </w:r>
      <w:r w:rsidR="00481014" w:rsidRPr="00A4233F">
        <w:rPr>
          <w:rFonts w:ascii="Times New Roman" w:eastAsia="Calibri" w:hAnsi="Times New Roman" w:cs="Times New Roman"/>
          <w:color w:val="4C4747"/>
          <w:spacing w:val="20"/>
          <w:sz w:val="24"/>
          <w:szCs w:val="24"/>
          <w:lang w:val="es-DO"/>
        </w:rPr>
        <w:t>2022.</w:t>
      </w:r>
    </w:p>
    <w:p w14:paraId="081F9724"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realizó la migración de tecnología de los Portales Web del INDOTEL para fortalecer la seguridad.</w:t>
      </w:r>
    </w:p>
    <w:p w14:paraId="3EF5F7AD" w14:textId="34349850"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automatizó el proceso de solicitud de capacitaciones internas mediante la c</w:t>
      </w:r>
      <w:r w:rsidR="00E27EB1" w:rsidRPr="00A4233F">
        <w:rPr>
          <w:rFonts w:ascii="Times New Roman" w:eastAsia="Calibri" w:hAnsi="Times New Roman" w:cs="Times New Roman"/>
          <w:color w:val="4C4747"/>
          <w:spacing w:val="20"/>
          <w:sz w:val="24"/>
          <w:szCs w:val="24"/>
          <w:lang w:val="es-DO"/>
        </w:rPr>
        <w:t>reación de un módulo de c</w:t>
      </w:r>
      <w:r w:rsidRPr="00A4233F">
        <w:rPr>
          <w:rFonts w:ascii="Times New Roman" w:eastAsia="Calibri" w:hAnsi="Times New Roman" w:cs="Times New Roman"/>
          <w:color w:val="4C4747"/>
          <w:spacing w:val="20"/>
          <w:sz w:val="24"/>
          <w:szCs w:val="24"/>
          <w:lang w:val="es-DO"/>
        </w:rPr>
        <w:t>apaci</w:t>
      </w:r>
      <w:r w:rsidR="00E27EB1" w:rsidRPr="00A4233F">
        <w:rPr>
          <w:rFonts w:ascii="Times New Roman" w:eastAsia="Calibri" w:hAnsi="Times New Roman" w:cs="Times New Roman"/>
          <w:color w:val="4C4747"/>
          <w:spacing w:val="20"/>
          <w:sz w:val="24"/>
          <w:szCs w:val="24"/>
          <w:lang w:val="es-DO"/>
        </w:rPr>
        <w:t>taciones el cual permite a los directores, encargados y s</w:t>
      </w:r>
      <w:r w:rsidRPr="00A4233F">
        <w:rPr>
          <w:rFonts w:ascii="Times New Roman" w:eastAsia="Calibri" w:hAnsi="Times New Roman" w:cs="Times New Roman"/>
          <w:color w:val="4C4747"/>
          <w:spacing w:val="20"/>
          <w:sz w:val="24"/>
          <w:szCs w:val="24"/>
          <w:lang w:val="es-DO"/>
        </w:rPr>
        <w:t>upervisores solicitar capacitaciones para múltiple</w:t>
      </w:r>
      <w:r w:rsidR="00E27EB1" w:rsidRPr="00A4233F">
        <w:rPr>
          <w:rFonts w:ascii="Times New Roman" w:eastAsia="Calibri" w:hAnsi="Times New Roman" w:cs="Times New Roman"/>
          <w:color w:val="4C4747"/>
          <w:spacing w:val="20"/>
          <w:sz w:val="24"/>
          <w:szCs w:val="24"/>
          <w:lang w:val="es-DO"/>
        </w:rPr>
        <w:t>s colaboradores dentro de cada dirección y/o departamento.</w:t>
      </w:r>
    </w:p>
    <w:p w14:paraId="7D2B7924" w14:textId="60C3FA38"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encuentra en proceso de desarrollo el sistema de gestión interna ERP (Sistema de Planificación de Recursos)</w:t>
      </w:r>
      <w:r w:rsidR="00E27EB1" w:rsidRPr="00A4233F">
        <w:rPr>
          <w:rFonts w:ascii="Times New Roman" w:eastAsia="Calibri" w:hAnsi="Times New Roman" w:cs="Times New Roman"/>
          <w:color w:val="4C4747"/>
          <w:spacing w:val="20"/>
          <w:sz w:val="24"/>
          <w:szCs w:val="24"/>
          <w:lang w:val="es-DO"/>
        </w:rPr>
        <w:t>.</w:t>
      </w:r>
    </w:p>
    <w:p w14:paraId="07D35D5B" w14:textId="387FF740"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encuentra en proceso de desarrollo el Sistema de Manejo de clientes CRM (Cu</w:t>
      </w:r>
      <w:r w:rsidR="008D55B2" w:rsidRPr="00A4233F">
        <w:rPr>
          <w:rFonts w:ascii="Times New Roman" w:eastAsia="Calibri" w:hAnsi="Times New Roman" w:cs="Times New Roman"/>
          <w:color w:val="4C4747"/>
          <w:spacing w:val="20"/>
          <w:sz w:val="24"/>
          <w:szCs w:val="24"/>
          <w:lang w:val="es-DO"/>
        </w:rPr>
        <w:t>stomer Relationship M</w:t>
      </w:r>
      <w:r w:rsidR="00E27EB1" w:rsidRPr="00A4233F">
        <w:rPr>
          <w:rFonts w:ascii="Times New Roman" w:eastAsia="Calibri" w:hAnsi="Times New Roman" w:cs="Times New Roman"/>
          <w:color w:val="4C4747"/>
          <w:spacing w:val="20"/>
          <w:sz w:val="24"/>
          <w:szCs w:val="24"/>
          <w:lang w:val="es-DO"/>
        </w:rPr>
        <w:t>anagement).</w:t>
      </w:r>
    </w:p>
    <w:p w14:paraId="52B12886"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 xml:space="preserve">Se encuentra en proceso de Diseño y Desarrollo de Bodega de Datos de Gazella Office DWH. </w:t>
      </w:r>
    </w:p>
    <w:p w14:paraId="716C8CEB" w14:textId="0ABAE20C"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encuentra en proceso de desarrollo el Sistema</w:t>
      </w:r>
      <w:r w:rsidR="00E27EB1" w:rsidRPr="00A4233F">
        <w:rPr>
          <w:rFonts w:ascii="Times New Roman" w:eastAsia="Calibri" w:hAnsi="Times New Roman" w:cs="Times New Roman"/>
          <w:color w:val="4C4747"/>
          <w:spacing w:val="20"/>
          <w:sz w:val="24"/>
          <w:szCs w:val="24"/>
          <w:lang w:val="es-DO"/>
        </w:rPr>
        <w:t xml:space="preserve"> de Estadísticas de Gazella DMS.</w:t>
      </w:r>
    </w:p>
    <w:p w14:paraId="6C671751"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desarrolló una nueva aplicación y un nuevo portal de Series Negadas.</w:t>
      </w:r>
    </w:p>
    <w:p w14:paraId="49F679AF"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está desarrollando una aplicación web de consulta para las beneficiarias del Proyecto de Desarrollo Canasta Digital implementado con el Fondo de Desarrollo de las Telecomunicaciones.</w:t>
      </w:r>
    </w:p>
    <w:p w14:paraId="0FA700C6"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está desarrollando una aplicación para el manejo de las informaciones estadísticas que se reciben de las prestadoras, con la finalidad de que se automaticen los reportes estadísticos con la información recibida.</w:t>
      </w:r>
    </w:p>
    <w:p w14:paraId="14D56960"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está desarrollando un portal web como parte del proyecto de Televisión Terrestre Digital que servirá como vía de consulta por parte de los beneficiarios.</w:t>
      </w:r>
    </w:p>
    <w:p w14:paraId="5A383940" w14:textId="77777777"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lanzó una INTRANET que permita a los empleados tener acceso a todos los servicios que ofrece la institución a los colaboradores (incluye volantes de pagos, histórico de pagos, reporte de empleados en Power BI, solicitud de capacitaciones, solicitud de mensajería interna y externa, reserva de salones, consulta GSMA), todo esto referente al mismo empleado.</w:t>
      </w:r>
    </w:p>
    <w:p w14:paraId="2A3F039A" w14:textId="0646ED59" w:rsidR="00C356F0" w:rsidRPr="00A4233F" w:rsidRDefault="00C356F0" w:rsidP="00A02BDE">
      <w:pPr>
        <w:pStyle w:val="Prrafodelista"/>
        <w:numPr>
          <w:ilvl w:val="0"/>
          <w:numId w:val="23"/>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está desarrollando una aplicación móvil para uso del área de mensajería con el fin de eficientizar la recepción de la documentación enviada a través de los mensajeros externos e Internos</w:t>
      </w:r>
      <w:r w:rsidR="00F245FB" w:rsidRPr="00A4233F">
        <w:rPr>
          <w:rFonts w:ascii="Times New Roman" w:eastAsia="Calibri" w:hAnsi="Times New Roman" w:cs="Times New Roman"/>
          <w:color w:val="4C4747"/>
          <w:spacing w:val="20"/>
          <w:sz w:val="24"/>
          <w:szCs w:val="24"/>
          <w:lang w:val="es-DO"/>
        </w:rPr>
        <w:t>.</w:t>
      </w:r>
    </w:p>
    <w:p w14:paraId="7EB67B17" w14:textId="77777777" w:rsidR="00481014" w:rsidRDefault="00481014" w:rsidP="00481014">
      <w:pPr>
        <w:pStyle w:val="Prrafodelista"/>
        <w:spacing w:after="0" w:line="360" w:lineRule="auto"/>
        <w:jc w:val="both"/>
        <w:rPr>
          <w:rFonts w:ascii="Times New Roman" w:eastAsia="Calibri" w:hAnsi="Times New Roman" w:cs="Times New Roman"/>
          <w:color w:val="4C4747"/>
          <w:spacing w:val="20"/>
          <w:sz w:val="24"/>
          <w:szCs w:val="24"/>
          <w:lang w:val="es-DO"/>
        </w:rPr>
      </w:pPr>
    </w:p>
    <w:p w14:paraId="746CC05D" w14:textId="77777777" w:rsidR="00F65C89" w:rsidRDefault="00F65C89" w:rsidP="00481014">
      <w:pPr>
        <w:pStyle w:val="Prrafodelista"/>
        <w:spacing w:after="0" w:line="360" w:lineRule="auto"/>
        <w:jc w:val="both"/>
        <w:rPr>
          <w:rFonts w:ascii="Times New Roman" w:eastAsia="Calibri" w:hAnsi="Times New Roman" w:cs="Times New Roman"/>
          <w:color w:val="4C4747"/>
          <w:spacing w:val="20"/>
          <w:sz w:val="24"/>
          <w:szCs w:val="24"/>
          <w:lang w:val="es-DO"/>
        </w:rPr>
      </w:pPr>
    </w:p>
    <w:p w14:paraId="0B1CB264" w14:textId="77777777" w:rsidR="00F65C89" w:rsidRPr="00A4233F" w:rsidRDefault="00F65C89" w:rsidP="00481014">
      <w:pPr>
        <w:pStyle w:val="Prrafodelista"/>
        <w:spacing w:after="0" w:line="360" w:lineRule="auto"/>
        <w:jc w:val="both"/>
        <w:rPr>
          <w:rFonts w:ascii="Times New Roman" w:eastAsia="Calibri" w:hAnsi="Times New Roman" w:cs="Times New Roman"/>
          <w:color w:val="4C4747"/>
          <w:spacing w:val="20"/>
          <w:sz w:val="24"/>
          <w:szCs w:val="24"/>
          <w:lang w:val="es-DO"/>
        </w:rPr>
      </w:pPr>
    </w:p>
    <w:p w14:paraId="4E79EEAE" w14:textId="77777777" w:rsidR="00C356F0" w:rsidRPr="00A4233F" w:rsidRDefault="00C356F0" w:rsidP="00943FA5">
      <w:pPr>
        <w:spacing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lastRenderedPageBreak/>
        <w:t>Certificaciones NORTIC</w:t>
      </w:r>
    </w:p>
    <w:p w14:paraId="36C66AD8" w14:textId="77777777" w:rsidR="00C356F0"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NORTIC A3 se realizó la recertificación de la normativa.</w:t>
      </w:r>
    </w:p>
    <w:p w14:paraId="74FDADF1" w14:textId="77777777" w:rsidR="00C356F0"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NORTIC A2 se encuentra en proceso de recertificación. </w:t>
      </w:r>
    </w:p>
    <w:p w14:paraId="438277E6" w14:textId="339525B6" w:rsidR="003A41E6"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NORTIC A5 se encuentra en proceso de certificación.</w:t>
      </w:r>
    </w:p>
    <w:p w14:paraId="7C26E803" w14:textId="77777777" w:rsidR="00C356F0" w:rsidRPr="00A4233F"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 xml:space="preserve">Procedimientos de Gestión de TI </w:t>
      </w:r>
    </w:p>
    <w:p w14:paraId="7B9FC58E" w14:textId="77777777" w:rsidR="00C356F0"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Se realizó el Plan de Continuidad de Servicios de TI </w:t>
      </w:r>
    </w:p>
    <w:p w14:paraId="3B6ACC33" w14:textId="46AA16AD" w:rsidR="00C356F0"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conformó el CONT</w:t>
      </w:r>
      <w:r w:rsidR="0023702B" w:rsidRPr="00A4233F">
        <w:rPr>
          <w:rFonts w:ascii="Times New Roman" w:eastAsia="Calibri" w:hAnsi="Times New Roman" w:cs="Times New Roman"/>
          <w:color w:val="4C4747"/>
          <w:spacing w:val="20"/>
          <w:sz w:val="24"/>
          <w:szCs w:val="24"/>
          <w:lang w:val="es-DO"/>
        </w:rPr>
        <w:t>I (Comité de Continuidad en el S</w:t>
      </w:r>
      <w:r w:rsidRPr="00A4233F">
        <w:rPr>
          <w:rFonts w:ascii="Times New Roman" w:eastAsia="Calibri" w:hAnsi="Times New Roman" w:cs="Times New Roman"/>
          <w:color w:val="4C4747"/>
          <w:spacing w:val="20"/>
          <w:sz w:val="24"/>
          <w:szCs w:val="24"/>
          <w:lang w:val="es-DO"/>
        </w:rPr>
        <w:t>ervicio de TI)</w:t>
      </w:r>
    </w:p>
    <w:p w14:paraId="0B28A4DC" w14:textId="77777777" w:rsidR="00C356F0"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Se realizó una política para la Destrucción y Eliminación de equipos físicos. </w:t>
      </w:r>
    </w:p>
    <w:p w14:paraId="0634D699" w14:textId="0E840F88" w:rsidR="0023702B" w:rsidRPr="00A4233F" w:rsidRDefault="00C356F0" w:rsidP="00A02BDE">
      <w:pPr>
        <w:pStyle w:val="Prrafodelista"/>
        <w:numPr>
          <w:ilvl w:val="0"/>
          <w:numId w:val="24"/>
        </w:num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Creación de las políticas de usuario.</w:t>
      </w:r>
    </w:p>
    <w:p w14:paraId="37C78BD3" w14:textId="77777777" w:rsidR="00C356F0" w:rsidRPr="00A4233F" w:rsidRDefault="00C356F0" w:rsidP="00C32B33">
      <w:pPr>
        <w:spacing w:before="240"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Índice de Uso de TIC e Implementación de Gobierno Electrónico (ITICGE)</w:t>
      </w:r>
    </w:p>
    <w:p w14:paraId="7D4BEF19"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 continuación, detallamos los subindicadores del ITICGE y la calificación obtenida por la institución:</w:t>
      </w:r>
    </w:p>
    <w:p w14:paraId="65207CEE"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La institución obtuvo en la primera evaluación del año 2022 una puntuación de un 78.75 % a la fecha en el Índice de Uso de TIC para la implementación de Gobierno Electrónico. De acuerdo con las calificaciones publicadas este es el detalle del año:</w:t>
      </w:r>
    </w:p>
    <w:tbl>
      <w:tblPr>
        <w:tblW w:w="7910" w:type="dxa"/>
        <w:tblLayout w:type="fixed"/>
        <w:tblLook w:val="04A0" w:firstRow="1" w:lastRow="0" w:firstColumn="1" w:lastColumn="0" w:noHBand="0" w:noVBand="1"/>
      </w:tblPr>
      <w:tblGrid>
        <w:gridCol w:w="4580"/>
        <w:gridCol w:w="1710"/>
        <w:gridCol w:w="1620"/>
      </w:tblGrid>
      <w:tr w:rsidR="00C356F0" w:rsidRPr="00376423" w14:paraId="15802A18" w14:textId="77777777" w:rsidTr="00C32B33">
        <w:trPr>
          <w:trHeight w:val="457"/>
        </w:trPr>
        <w:tc>
          <w:tcPr>
            <w:tcW w:w="7910" w:type="dxa"/>
            <w:gridSpan w:val="3"/>
            <w:tcBorders>
              <w:top w:val="single" w:sz="8" w:space="0" w:color="auto"/>
              <w:left w:val="single" w:sz="8" w:space="0" w:color="auto"/>
              <w:bottom w:val="single" w:sz="8" w:space="0" w:color="auto"/>
              <w:right w:val="single" w:sz="8" w:space="0" w:color="auto"/>
            </w:tcBorders>
            <w:shd w:val="clear" w:color="auto" w:fill="002060"/>
          </w:tcPr>
          <w:p w14:paraId="2A659133" w14:textId="68D37E34" w:rsidR="00C356F0" w:rsidRPr="00C62BB6" w:rsidRDefault="00C356F0" w:rsidP="00C32B33">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Sistema de Medición Continua de Avance TI</w:t>
            </w:r>
            <w:r w:rsidR="00C32B33" w:rsidRPr="00C62BB6">
              <w:rPr>
                <w:rFonts w:ascii="Times New Roman" w:eastAsia="Calibri" w:hAnsi="Times New Roman" w:cs="Times New Roman"/>
                <w:b/>
                <w:color w:val="FFFFFF" w:themeColor="background1"/>
                <w:spacing w:val="20"/>
                <w:sz w:val="24"/>
                <w:szCs w:val="24"/>
                <w:lang w:val="es-DO"/>
              </w:rPr>
              <w:t xml:space="preserve">C y e-Gobierno </w:t>
            </w:r>
          </w:p>
        </w:tc>
      </w:tr>
      <w:tr w:rsidR="00C356F0" w:rsidRPr="00256209" w14:paraId="397C3B2B" w14:textId="77777777" w:rsidTr="00C62BB6">
        <w:trPr>
          <w:trHeight w:val="315"/>
        </w:trPr>
        <w:tc>
          <w:tcPr>
            <w:tcW w:w="4580" w:type="dxa"/>
            <w:tcBorders>
              <w:top w:val="single" w:sz="8" w:space="0" w:color="auto"/>
              <w:left w:val="single" w:sz="8" w:space="0" w:color="auto"/>
              <w:bottom w:val="single" w:sz="8" w:space="0" w:color="auto"/>
              <w:right w:val="single" w:sz="8" w:space="0" w:color="auto"/>
            </w:tcBorders>
            <w:shd w:val="clear" w:color="auto" w:fill="002060"/>
            <w:vAlign w:val="center"/>
          </w:tcPr>
          <w:p w14:paraId="70DBA904" w14:textId="77777777" w:rsidR="00C356F0" w:rsidRPr="00C62BB6" w:rsidRDefault="00C356F0" w:rsidP="00943FA5">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Sub-Indicador</w:t>
            </w:r>
          </w:p>
        </w:tc>
        <w:tc>
          <w:tcPr>
            <w:tcW w:w="1710" w:type="dxa"/>
            <w:tcBorders>
              <w:top w:val="nil"/>
              <w:left w:val="single" w:sz="8" w:space="0" w:color="auto"/>
              <w:bottom w:val="single" w:sz="8" w:space="0" w:color="auto"/>
              <w:right w:val="single" w:sz="8" w:space="0" w:color="auto"/>
            </w:tcBorders>
            <w:shd w:val="clear" w:color="auto" w:fill="002060"/>
            <w:vAlign w:val="center"/>
          </w:tcPr>
          <w:p w14:paraId="35EFF78A" w14:textId="77777777" w:rsidR="00C356F0" w:rsidRPr="00C62BB6" w:rsidRDefault="00C356F0" w:rsidP="00943FA5">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Puntuación</w:t>
            </w:r>
            <w:r w:rsidRPr="00C62BB6">
              <w:rPr>
                <w:rFonts w:ascii="Times New Roman" w:eastAsia="Calibri" w:hAnsi="Times New Roman" w:cs="Times New Roman"/>
                <w:b/>
                <w:color w:val="FFFFFF" w:themeColor="background1"/>
                <w:spacing w:val="20"/>
                <w:sz w:val="24"/>
                <w:szCs w:val="24"/>
                <w:lang w:val="es-DO"/>
              </w:rPr>
              <w:br/>
              <w:t xml:space="preserve"> ITICGE</w:t>
            </w:r>
          </w:p>
        </w:tc>
        <w:tc>
          <w:tcPr>
            <w:tcW w:w="1620" w:type="dxa"/>
            <w:tcBorders>
              <w:top w:val="nil"/>
              <w:left w:val="single" w:sz="8" w:space="0" w:color="auto"/>
              <w:bottom w:val="single" w:sz="8" w:space="0" w:color="auto"/>
              <w:right w:val="single" w:sz="8" w:space="0" w:color="auto"/>
            </w:tcBorders>
            <w:shd w:val="clear" w:color="auto" w:fill="002060"/>
            <w:vAlign w:val="center"/>
          </w:tcPr>
          <w:p w14:paraId="51F830FD" w14:textId="77777777" w:rsidR="00C356F0" w:rsidRPr="00C62BB6" w:rsidRDefault="00C356F0" w:rsidP="00943FA5">
            <w:pPr>
              <w:spacing w:after="0" w:line="360" w:lineRule="auto"/>
              <w:jc w:val="center"/>
              <w:rPr>
                <w:rFonts w:ascii="Times New Roman" w:eastAsia="Calibri" w:hAnsi="Times New Roman" w:cs="Times New Roman"/>
                <w:b/>
                <w:color w:val="FFFFFF" w:themeColor="background1"/>
                <w:spacing w:val="20"/>
                <w:sz w:val="24"/>
                <w:szCs w:val="24"/>
                <w:lang w:val="es-DO"/>
              </w:rPr>
            </w:pPr>
            <w:r w:rsidRPr="00C62BB6">
              <w:rPr>
                <w:rFonts w:ascii="Times New Roman" w:eastAsia="Calibri" w:hAnsi="Times New Roman" w:cs="Times New Roman"/>
                <w:b/>
                <w:color w:val="FFFFFF" w:themeColor="background1"/>
                <w:spacing w:val="20"/>
                <w:sz w:val="24"/>
                <w:szCs w:val="24"/>
                <w:lang w:val="es-DO"/>
              </w:rPr>
              <w:t>Puntuación INDOTEL</w:t>
            </w:r>
          </w:p>
        </w:tc>
      </w:tr>
      <w:tr w:rsidR="00C62BB6" w:rsidRPr="00C62BB6" w14:paraId="6FC017FA" w14:textId="77777777" w:rsidTr="00C62BB6">
        <w:trPr>
          <w:trHeight w:val="315"/>
        </w:trPr>
        <w:tc>
          <w:tcPr>
            <w:tcW w:w="4580" w:type="dxa"/>
            <w:tcBorders>
              <w:top w:val="single" w:sz="8" w:space="0" w:color="auto"/>
              <w:left w:val="single" w:sz="8" w:space="0" w:color="auto"/>
              <w:bottom w:val="single" w:sz="8" w:space="0" w:color="auto"/>
              <w:right w:val="single" w:sz="8" w:space="0" w:color="auto"/>
            </w:tcBorders>
            <w:vAlign w:val="center"/>
          </w:tcPr>
          <w:p w14:paraId="6DF6B19E"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Uso de las TIC</w:t>
            </w:r>
          </w:p>
        </w:tc>
        <w:tc>
          <w:tcPr>
            <w:tcW w:w="1710" w:type="dxa"/>
            <w:tcBorders>
              <w:top w:val="single" w:sz="8" w:space="0" w:color="auto"/>
              <w:left w:val="single" w:sz="8" w:space="0" w:color="auto"/>
              <w:bottom w:val="single" w:sz="8" w:space="0" w:color="auto"/>
              <w:right w:val="single" w:sz="8" w:space="0" w:color="auto"/>
            </w:tcBorders>
            <w:vAlign w:val="center"/>
          </w:tcPr>
          <w:p w14:paraId="2C08E1CD"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25</w:t>
            </w:r>
          </w:p>
        </w:tc>
        <w:tc>
          <w:tcPr>
            <w:tcW w:w="1620" w:type="dxa"/>
            <w:tcBorders>
              <w:top w:val="single" w:sz="8" w:space="0" w:color="auto"/>
              <w:left w:val="single" w:sz="8" w:space="0" w:color="auto"/>
              <w:bottom w:val="single" w:sz="8" w:space="0" w:color="auto"/>
              <w:right w:val="single" w:sz="8" w:space="0" w:color="auto"/>
            </w:tcBorders>
            <w:vAlign w:val="center"/>
          </w:tcPr>
          <w:p w14:paraId="6BCB426C"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19.00</w:t>
            </w:r>
          </w:p>
        </w:tc>
      </w:tr>
      <w:tr w:rsidR="00C62BB6" w:rsidRPr="00C62BB6" w14:paraId="7F5D3874" w14:textId="77777777" w:rsidTr="00C62BB6">
        <w:trPr>
          <w:trHeight w:val="375"/>
        </w:trPr>
        <w:tc>
          <w:tcPr>
            <w:tcW w:w="4580" w:type="dxa"/>
            <w:tcBorders>
              <w:top w:val="single" w:sz="8" w:space="0" w:color="auto"/>
              <w:left w:val="single" w:sz="8" w:space="0" w:color="auto"/>
              <w:bottom w:val="single" w:sz="8" w:space="0" w:color="auto"/>
              <w:right w:val="single" w:sz="8" w:space="0" w:color="auto"/>
            </w:tcBorders>
            <w:vAlign w:val="center"/>
          </w:tcPr>
          <w:p w14:paraId="3764BDA5"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Implementación de e-GOB</w:t>
            </w:r>
          </w:p>
        </w:tc>
        <w:tc>
          <w:tcPr>
            <w:tcW w:w="1710" w:type="dxa"/>
            <w:tcBorders>
              <w:top w:val="single" w:sz="8" w:space="0" w:color="auto"/>
              <w:left w:val="single" w:sz="8" w:space="0" w:color="auto"/>
              <w:bottom w:val="single" w:sz="8" w:space="0" w:color="auto"/>
              <w:right w:val="single" w:sz="8" w:space="0" w:color="auto"/>
            </w:tcBorders>
            <w:vAlign w:val="center"/>
          </w:tcPr>
          <w:p w14:paraId="2ECC251B"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25</w:t>
            </w:r>
          </w:p>
        </w:tc>
        <w:tc>
          <w:tcPr>
            <w:tcW w:w="1620" w:type="dxa"/>
            <w:tcBorders>
              <w:top w:val="single" w:sz="8" w:space="0" w:color="auto"/>
              <w:left w:val="single" w:sz="8" w:space="0" w:color="auto"/>
              <w:bottom w:val="single" w:sz="8" w:space="0" w:color="auto"/>
              <w:right w:val="single" w:sz="8" w:space="0" w:color="auto"/>
            </w:tcBorders>
            <w:vAlign w:val="center"/>
          </w:tcPr>
          <w:p w14:paraId="68B83F31"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13.80</w:t>
            </w:r>
          </w:p>
        </w:tc>
      </w:tr>
      <w:tr w:rsidR="00C62BB6" w:rsidRPr="00C62BB6" w14:paraId="357246F8" w14:textId="77777777" w:rsidTr="00C62BB6">
        <w:trPr>
          <w:trHeight w:val="345"/>
        </w:trPr>
        <w:tc>
          <w:tcPr>
            <w:tcW w:w="4580" w:type="dxa"/>
            <w:tcBorders>
              <w:top w:val="single" w:sz="8" w:space="0" w:color="auto"/>
              <w:left w:val="single" w:sz="8" w:space="0" w:color="auto"/>
              <w:bottom w:val="single" w:sz="8" w:space="0" w:color="auto"/>
              <w:right w:val="single" w:sz="8" w:space="0" w:color="auto"/>
            </w:tcBorders>
            <w:vAlign w:val="center"/>
          </w:tcPr>
          <w:p w14:paraId="364BAB6F"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Gobierno Abierto y e-Participación</w:t>
            </w:r>
          </w:p>
        </w:tc>
        <w:tc>
          <w:tcPr>
            <w:tcW w:w="1710" w:type="dxa"/>
            <w:tcBorders>
              <w:top w:val="single" w:sz="8" w:space="0" w:color="auto"/>
              <w:left w:val="single" w:sz="8" w:space="0" w:color="auto"/>
              <w:bottom w:val="single" w:sz="8" w:space="0" w:color="auto"/>
              <w:right w:val="single" w:sz="8" w:space="0" w:color="auto"/>
            </w:tcBorders>
            <w:vAlign w:val="center"/>
          </w:tcPr>
          <w:p w14:paraId="0FFC8D61"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25</w:t>
            </w:r>
          </w:p>
        </w:tc>
        <w:tc>
          <w:tcPr>
            <w:tcW w:w="1620" w:type="dxa"/>
            <w:tcBorders>
              <w:top w:val="single" w:sz="8" w:space="0" w:color="auto"/>
              <w:left w:val="single" w:sz="8" w:space="0" w:color="auto"/>
              <w:bottom w:val="single" w:sz="8" w:space="0" w:color="auto"/>
              <w:right w:val="single" w:sz="8" w:space="0" w:color="auto"/>
            </w:tcBorders>
            <w:vAlign w:val="center"/>
          </w:tcPr>
          <w:p w14:paraId="66C883B9"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23.95</w:t>
            </w:r>
          </w:p>
        </w:tc>
      </w:tr>
      <w:tr w:rsidR="00C62BB6" w:rsidRPr="00C62BB6" w14:paraId="177B12E0" w14:textId="77777777" w:rsidTr="00C62BB6">
        <w:trPr>
          <w:trHeight w:val="345"/>
        </w:trPr>
        <w:tc>
          <w:tcPr>
            <w:tcW w:w="4580" w:type="dxa"/>
            <w:tcBorders>
              <w:top w:val="single" w:sz="8" w:space="0" w:color="auto"/>
              <w:left w:val="single" w:sz="8" w:space="0" w:color="auto"/>
              <w:bottom w:val="single" w:sz="8" w:space="0" w:color="auto"/>
              <w:right w:val="single" w:sz="8" w:space="0" w:color="auto"/>
            </w:tcBorders>
            <w:vAlign w:val="center"/>
          </w:tcPr>
          <w:p w14:paraId="7C196E1C" w14:textId="77777777" w:rsidR="00C356F0" w:rsidRPr="00A4233F" w:rsidRDefault="00C356F0" w:rsidP="00943FA5">
            <w:pPr>
              <w:spacing w:after="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Desarrollo de e-Servicios</w:t>
            </w:r>
          </w:p>
        </w:tc>
        <w:tc>
          <w:tcPr>
            <w:tcW w:w="1710" w:type="dxa"/>
            <w:tcBorders>
              <w:top w:val="single" w:sz="8" w:space="0" w:color="auto"/>
              <w:left w:val="single" w:sz="8" w:space="0" w:color="auto"/>
              <w:bottom w:val="single" w:sz="8" w:space="0" w:color="auto"/>
              <w:right w:val="single" w:sz="8" w:space="0" w:color="auto"/>
            </w:tcBorders>
            <w:vAlign w:val="center"/>
          </w:tcPr>
          <w:p w14:paraId="76A21617"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25</w:t>
            </w:r>
          </w:p>
        </w:tc>
        <w:tc>
          <w:tcPr>
            <w:tcW w:w="1620" w:type="dxa"/>
            <w:tcBorders>
              <w:top w:val="single" w:sz="8" w:space="0" w:color="auto"/>
              <w:left w:val="single" w:sz="8" w:space="0" w:color="auto"/>
              <w:bottom w:val="single" w:sz="8" w:space="0" w:color="auto"/>
              <w:right w:val="single" w:sz="8" w:space="0" w:color="auto"/>
            </w:tcBorders>
            <w:vAlign w:val="center"/>
          </w:tcPr>
          <w:p w14:paraId="43365C2D" w14:textId="77777777" w:rsidR="00C356F0" w:rsidRPr="00A4233F" w:rsidRDefault="00C356F0" w:rsidP="00E279ED">
            <w:pPr>
              <w:spacing w:after="0" w:line="360" w:lineRule="auto"/>
              <w:jc w:val="center"/>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22</w:t>
            </w:r>
          </w:p>
        </w:tc>
      </w:tr>
    </w:tbl>
    <w:p w14:paraId="7FF60D81" w14:textId="7CDC6411" w:rsidR="00C356F0" w:rsidRPr="00C62BB6" w:rsidRDefault="00C32B33" w:rsidP="00C32B33">
      <w:pPr>
        <w:spacing w:before="240" w:after="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r w:rsidR="00C356F0" w:rsidRPr="00C62BB6">
        <w:rPr>
          <w:rFonts w:ascii="Times New Roman" w:eastAsia="Calibri" w:hAnsi="Times New Roman" w:cs="Times New Roman"/>
          <w:b/>
          <w:color w:val="4C4747"/>
          <w:spacing w:val="20"/>
          <w:sz w:val="18"/>
          <w:szCs w:val="24"/>
          <w:lang w:val="es-DO"/>
        </w:rPr>
        <w:t>Fuente</w:t>
      </w:r>
      <w:r w:rsidR="00C356F0" w:rsidRPr="00C62BB6">
        <w:rPr>
          <w:rFonts w:ascii="Times New Roman" w:eastAsia="Calibri" w:hAnsi="Times New Roman" w:cs="Times New Roman"/>
          <w:color w:val="4C4747"/>
          <w:spacing w:val="20"/>
          <w:sz w:val="18"/>
          <w:szCs w:val="24"/>
          <w:lang w:val="es-DO"/>
        </w:rPr>
        <w:t>: Sistema de Medición Continua de Avance TIC y e-Gobierno</w:t>
      </w:r>
    </w:p>
    <w:p w14:paraId="08F2BDDC" w14:textId="77777777" w:rsidR="006E0C6F" w:rsidRDefault="006E0C6F" w:rsidP="006E0C6F">
      <w:pPr>
        <w:spacing w:line="360" w:lineRule="auto"/>
        <w:jc w:val="both"/>
        <w:rPr>
          <w:rFonts w:ascii="Times New Roman" w:eastAsia="Calibri" w:hAnsi="Times New Roman" w:cs="Times New Roman"/>
          <w:color w:val="FF0000"/>
          <w:spacing w:val="20"/>
          <w:sz w:val="24"/>
          <w:szCs w:val="24"/>
          <w:lang w:val="es-DO"/>
        </w:rPr>
      </w:pPr>
      <w:bookmarkStart w:id="28" w:name="_Toc79678424"/>
    </w:p>
    <w:p w14:paraId="61EAD919" w14:textId="2AC67F0B" w:rsidR="00641CAA" w:rsidRPr="00C62BB6" w:rsidRDefault="00A75CDE" w:rsidP="00C32B33">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29" w:name="_Toc122425247"/>
      <w:r w:rsidRPr="00C62BB6">
        <w:rPr>
          <w:rFonts w:ascii="Times New Roman" w:eastAsia="Times New Roman" w:hAnsi="Times New Roman" w:cs="Times New Roman"/>
          <w:b/>
          <w:bCs/>
          <w:color w:val="4C4747"/>
          <w:sz w:val="24"/>
          <w:szCs w:val="28"/>
          <w:lang w:val="es-DO" w:eastAsia="es-DO"/>
        </w:rPr>
        <w:lastRenderedPageBreak/>
        <w:t xml:space="preserve">4.5 </w:t>
      </w:r>
      <w:r w:rsidR="00641CAA" w:rsidRPr="00C62BB6">
        <w:rPr>
          <w:rFonts w:ascii="Times New Roman" w:eastAsia="Times New Roman" w:hAnsi="Times New Roman" w:cs="Times New Roman"/>
          <w:b/>
          <w:bCs/>
          <w:color w:val="4C4747"/>
          <w:sz w:val="24"/>
          <w:szCs w:val="28"/>
          <w:lang w:val="es-DO" w:eastAsia="es-DO"/>
        </w:rPr>
        <w:t>Desempeño del Sistema de Planificación y Desarrollo Institucional</w:t>
      </w:r>
      <w:bookmarkEnd w:id="28"/>
      <w:bookmarkEnd w:id="29"/>
    </w:p>
    <w:p w14:paraId="49902BED" w14:textId="705DAC10" w:rsidR="00017EAE" w:rsidRPr="00A4233F" w:rsidRDefault="00017EAE" w:rsidP="00C32B33">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 redimensionamiento y reorientación de la institución ha conllevado un trabajo intenso en cuanto a la planificación institucional, toda vez que ha sido necesaria, además de la actividad de evaluación de los planes estratégicos y operativos, la propia formulación de estos, los cuales trazan las diferentes líneas de trabajo para los próximos años.</w:t>
      </w:r>
    </w:p>
    <w:p w14:paraId="705BF68A" w14:textId="7399F9AC" w:rsidR="00017EAE" w:rsidRPr="00A4233F" w:rsidRDefault="00017EAE" w:rsidP="00017EAE">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 desafío no ha sido menor. Ha implicado una mirada coherente a los planes de gobierno en aras de una verdadera alineación que facilite sinergias capaces de potenciar el impacto de las políticas públicas en el sector de las telecomunicaciones.</w:t>
      </w:r>
    </w:p>
    <w:p w14:paraId="197299A8" w14:textId="3707575B" w:rsidR="00017EAE" w:rsidRPr="00A4233F" w:rsidRDefault="00481014" w:rsidP="00017EAE">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el año 2022 </w:t>
      </w:r>
      <w:r w:rsidR="00591C1B" w:rsidRPr="00A4233F">
        <w:rPr>
          <w:rFonts w:ascii="Times New Roman" w:eastAsia="Calibri" w:hAnsi="Times New Roman" w:cs="Times New Roman"/>
          <w:color w:val="4C4747"/>
          <w:spacing w:val="20"/>
          <w:sz w:val="24"/>
          <w:szCs w:val="24"/>
          <w:lang w:val="es-DO"/>
        </w:rPr>
        <w:t>cumplió</w:t>
      </w:r>
      <w:r w:rsidR="00017EAE" w:rsidRPr="00A4233F">
        <w:rPr>
          <w:rFonts w:ascii="Times New Roman" w:eastAsia="Calibri" w:hAnsi="Times New Roman" w:cs="Times New Roman"/>
          <w:color w:val="4C4747"/>
          <w:spacing w:val="20"/>
          <w:sz w:val="24"/>
          <w:szCs w:val="24"/>
          <w:lang w:val="es-DO"/>
        </w:rPr>
        <w:t xml:space="preserve"> con el seguimiento a la planificación operativa del presente año así como con </w:t>
      </w:r>
      <w:r w:rsidR="00FF04FC" w:rsidRPr="00A4233F">
        <w:rPr>
          <w:rFonts w:ascii="Times New Roman" w:eastAsia="Calibri" w:hAnsi="Times New Roman" w:cs="Times New Roman"/>
          <w:color w:val="4C4747"/>
          <w:spacing w:val="20"/>
          <w:sz w:val="24"/>
          <w:szCs w:val="24"/>
          <w:lang w:val="es-DO"/>
        </w:rPr>
        <w:t xml:space="preserve">el inicio de </w:t>
      </w:r>
      <w:r w:rsidR="00017EAE" w:rsidRPr="00A4233F">
        <w:rPr>
          <w:rFonts w:ascii="Times New Roman" w:eastAsia="Calibri" w:hAnsi="Times New Roman" w:cs="Times New Roman"/>
          <w:color w:val="4C4747"/>
          <w:spacing w:val="20"/>
          <w:sz w:val="24"/>
          <w:szCs w:val="24"/>
          <w:lang w:val="es-DO"/>
        </w:rPr>
        <w:t>la formulación del Plan Operativo Anual (POA) del próximo año 2023, alineado a la planificación estratégica institucional.</w:t>
      </w:r>
    </w:p>
    <w:p w14:paraId="32993373" w14:textId="5C11BD36" w:rsidR="00017EAE" w:rsidRPr="00A4233F" w:rsidRDefault="00017EAE" w:rsidP="00017EAE">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Por otro lado, se continuó el seguimiento al cumplimiento de los</w:t>
      </w:r>
      <w:r w:rsidR="00481014" w:rsidRPr="00A4233F">
        <w:rPr>
          <w:rFonts w:ascii="Times New Roman" w:eastAsia="Calibri" w:hAnsi="Times New Roman" w:cs="Times New Roman"/>
          <w:color w:val="4C4747"/>
          <w:spacing w:val="20"/>
          <w:sz w:val="24"/>
          <w:szCs w:val="24"/>
          <w:lang w:val="es-DO"/>
        </w:rPr>
        <w:t xml:space="preserve"> </w:t>
      </w:r>
      <w:r w:rsidRPr="00A4233F">
        <w:rPr>
          <w:rFonts w:ascii="Times New Roman" w:eastAsia="Calibri" w:hAnsi="Times New Roman" w:cs="Times New Roman"/>
          <w:color w:val="4C4747"/>
          <w:spacing w:val="20"/>
          <w:sz w:val="24"/>
          <w:szCs w:val="24"/>
          <w:lang w:val="es-DO"/>
        </w:rPr>
        <w:t>distintos indicadores de los sis</w:t>
      </w:r>
      <w:r w:rsidR="00FF04FC" w:rsidRPr="00A4233F">
        <w:rPr>
          <w:rFonts w:ascii="Times New Roman" w:eastAsia="Calibri" w:hAnsi="Times New Roman" w:cs="Times New Roman"/>
          <w:color w:val="4C4747"/>
          <w:spacing w:val="20"/>
          <w:sz w:val="24"/>
          <w:szCs w:val="24"/>
          <w:lang w:val="es-DO"/>
        </w:rPr>
        <w:t xml:space="preserve">temas de la gestión pública y </w:t>
      </w:r>
      <w:r w:rsidRPr="00A4233F">
        <w:rPr>
          <w:rFonts w:ascii="Times New Roman" w:eastAsia="Calibri" w:hAnsi="Times New Roman" w:cs="Times New Roman"/>
          <w:color w:val="4C4747"/>
          <w:spacing w:val="20"/>
          <w:sz w:val="24"/>
          <w:szCs w:val="24"/>
          <w:lang w:val="es-DO"/>
        </w:rPr>
        <w:t>la Carta Compromiso al Ciudadano.</w:t>
      </w:r>
    </w:p>
    <w:p w14:paraId="73CADF3A" w14:textId="7362B94B" w:rsidR="00CC742B" w:rsidRPr="00A4233F" w:rsidRDefault="00CC742B" w:rsidP="00017EAE">
      <w:pPr>
        <w:spacing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 xml:space="preserve">Recopilación y Publicación de las Estadísticas del Sector de las Telecomunicaciones </w:t>
      </w:r>
    </w:p>
    <w:p w14:paraId="001A5464" w14:textId="77777777" w:rsidR="00C32B33" w:rsidRPr="00A4233F" w:rsidRDefault="00CC742B" w:rsidP="00CC742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Luego de la entrada en vigencia de la Resolución Núm. 026-2021. Los indicadores estadísticos han mostrado un robustecimiento en materia de recolección de desagregaciones en los indicadores que se vienen a sumar a los ya existentes en la Resolución Núm. 141-10 la cual fue derogada. El procedimiento utilizado para la generación de los indicadores sobre el desempeño del sector de telecomunicaciones de la República Dominicana comprende tres fases: la gestión para la obtención de los datos, validación y análisis y la generación de resultados. </w:t>
      </w:r>
    </w:p>
    <w:p w14:paraId="0F570250" w14:textId="0F50528E" w:rsidR="00CC742B" w:rsidRPr="00A4233F" w:rsidRDefault="00CC742B" w:rsidP="00CC742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Los indicadores estadísticos del sector se recopilan a través de registros administrativos suministrados por las prestadoras de los diferentes servicios y los mismos son compilados por el Departamento de Estadísticas de acuerdo a los</w:t>
      </w:r>
      <w:r w:rsidR="00C32B33" w:rsidRPr="00A4233F">
        <w:rPr>
          <w:rFonts w:ascii="Times New Roman" w:eastAsia="Calibri" w:hAnsi="Times New Roman" w:cs="Times New Roman"/>
          <w:color w:val="4C4747"/>
          <w:spacing w:val="20"/>
          <w:sz w:val="24"/>
          <w:szCs w:val="24"/>
          <w:lang w:val="es-DO"/>
        </w:rPr>
        <w:t xml:space="preserve"> lineamientos de la Resolución número</w:t>
      </w:r>
      <w:r w:rsidRPr="00A4233F">
        <w:rPr>
          <w:rFonts w:ascii="Times New Roman" w:eastAsia="Calibri" w:hAnsi="Times New Roman" w:cs="Times New Roman"/>
          <w:color w:val="4C4747"/>
          <w:spacing w:val="20"/>
          <w:sz w:val="24"/>
          <w:szCs w:val="24"/>
          <w:lang w:val="es-DO"/>
        </w:rPr>
        <w:t xml:space="preserve"> 026-2021 normativa que regula la información y el plazo para la presentación de estadísticas al </w:t>
      </w:r>
      <w:r w:rsidR="00C32B33" w:rsidRPr="00A4233F">
        <w:rPr>
          <w:rFonts w:ascii="Times New Roman" w:eastAsia="Calibri" w:hAnsi="Times New Roman" w:cs="Times New Roman"/>
          <w:color w:val="4C4747"/>
          <w:spacing w:val="20"/>
          <w:sz w:val="24"/>
          <w:szCs w:val="24"/>
          <w:lang w:val="es-DO"/>
        </w:rPr>
        <w:t>INDOTEL,</w:t>
      </w:r>
      <w:r w:rsidRPr="00A4233F">
        <w:rPr>
          <w:rFonts w:ascii="Times New Roman" w:eastAsia="Calibri" w:hAnsi="Times New Roman" w:cs="Times New Roman"/>
          <w:color w:val="4C4747"/>
          <w:spacing w:val="20"/>
          <w:sz w:val="24"/>
          <w:szCs w:val="24"/>
          <w:lang w:val="es-DO"/>
        </w:rPr>
        <w:t xml:space="preserve"> con su entrada en vigencia el 31 de diciembre de 2021. </w:t>
      </w:r>
    </w:p>
    <w:p w14:paraId="177BC570" w14:textId="77777777" w:rsidR="00C32B33" w:rsidRPr="00A4233F" w:rsidRDefault="00CC742B" w:rsidP="00CC742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Para producir los resultados con indicadores estadísticos fiables, oportunos y robustos generados en los reportes e informes, se lleva a cabo una ardua labor de seguimiento al cumplimiento de la entrega de la información estadística, así como, una continua comunicación con las empresas del sector. </w:t>
      </w:r>
    </w:p>
    <w:p w14:paraId="61CD8FC5" w14:textId="3A3A25EE" w:rsidR="00CC742B" w:rsidRPr="00A4233F" w:rsidRDefault="00CC742B" w:rsidP="00CC742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Durante el periodo agotado del año 2022, se realizaron diversos acercamientos tanto con las prestadoras que presentan las estadísticas de manera irregular, como con las que nunca han entregado sus informaciones, con el fin de disponer de datos completos para plasmar la realidad del país en m</w:t>
      </w:r>
      <w:r w:rsidR="00C32B33" w:rsidRPr="00A4233F">
        <w:rPr>
          <w:rFonts w:ascii="Times New Roman" w:eastAsia="Calibri" w:hAnsi="Times New Roman" w:cs="Times New Roman"/>
          <w:color w:val="4C4747"/>
          <w:spacing w:val="20"/>
          <w:sz w:val="24"/>
          <w:szCs w:val="24"/>
          <w:lang w:val="es-DO"/>
        </w:rPr>
        <w:t xml:space="preserve">ateria de telecomunicaciones.  </w:t>
      </w:r>
    </w:p>
    <w:p w14:paraId="4043EF75" w14:textId="77777777" w:rsidR="00C32B33" w:rsidRPr="00A4233F" w:rsidRDefault="00CC742B" w:rsidP="00C32B33">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Dando seguimiento al programa de i</w:t>
      </w:r>
      <w:r w:rsidR="00C32B33" w:rsidRPr="00A4233F">
        <w:rPr>
          <w:rFonts w:ascii="Times New Roman" w:eastAsia="Calibri" w:hAnsi="Times New Roman" w:cs="Times New Roman"/>
          <w:color w:val="4C4747"/>
          <w:spacing w:val="20"/>
          <w:sz w:val="24"/>
          <w:szCs w:val="24"/>
          <w:lang w:val="es-DO"/>
        </w:rPr>
        <w:t>mplementación de la Resolución número</w:t>
      </w:r>
      <w:r w:rsidRPr="00A4233F">
        <w:rPr>
          <w:rFonts w:ascii="Times New Roman" w:eastAsia="Calibri" w:hAnsi="Times New Roman" w:cs="Times New Roman"/>
          <w:color w:val="4C4747"/>
          <w:spacing w:val="20"/>
          <w:sz w:val="24"/>
          <w:szCs w:val="24"/>
          <w:lang w:val="es-DO"/>
        </w:rPr>
        <w:t xml:space="preserve"> 026-2021, se mantienen en cumplimento las presta</w:t>
      </w:r>
      <w:r w:rsidR="00C32B33" w:rsidRPr="00A4233F">
        <w:rPr>
          <w:rFonts w:ascii="Times New Roman" w:eastAsia="Calibri" w:hAnsi="Times New Roman" w:cs="Times New Roman"/>
          <w:color w:val="4C4747"/>
          <w:spacing w:val="20"/>
          <w:sz w:val="24"/>
          <w:szCs w:val="24"/>
          <w:lang w:val="es-DO"/>
        </w:rPr>
        <w:t>doras que se mantenían bajo la Resolución número</w:t>
      </w:r>
      <w:r w:rsidRPr="00A4233F">
        <w:rPr>
          <w:rFonts w:ascii="Times New Roman" w:eastAsia="Calibri" w:hAnsi="Times New Roman" w:cs="Times New Roman"/>
          <w:color w:val="4C4747"/>
          <w:spacing w:val="20"/>
          <w:sz w:val="24"/>
          <w:szCs w:val="24"/>
          <w:lang w:val="es-DO"/>
        </w:rPr>
        <w:t xml:space="preserve"> 141-10 ya derogada. Se remitió un informe a la Dirección de Cumplimiento notificando los niveles de incumplimiento de las empresas que continúan con el rezago de entrega de información al </w:t>
      </w:r>
      <w:r w:rsidR="00C32B33" w:rsidRPr="00A4233F">
        <w:rPr>
          <w:rFonts w:ascii="Times New Roman" w:eastAsia="Calibri" w:hAnsi="Times New Roman" w:cs="Times New Roman"/>
          <w:color w:val="4C4747"/>
          <w:spacing w:val="20"/>
          <w:sz w:val="24"/>
          <w:szCs w:val="24"/>
          <w:lang w:val="es-DO"/>
        </w:rPr>
        <w:t>INDOTEL</w:t>
      </w:r>
      <w:r w:rsidRPr="00A4233F">
        <w:rPr>
          <w:rFonts w:ascii="Times New Roman" w:eastAsia="Calibri" w:hAnsi="Times New Roman" w:cs="Times New Roman"/>
          <w:color w:val="4C4747"/>
          <w:spacing w:val="20"/>
          <w:sz w:val="24"/>
          <w:szCs w:val="24"/>
          <w:lang w:val="es-DO"/>
        </w:rPr>
        <w:t xml:space="preserve">. </w:t>
      </w:r>
    </w:p>
    <w:p w14:paraId="26116909" w14:textId="09464382" w:rsidR="00CC742B" w:rsidRPr="00A4233F" w:rsidRDefault="00CC742B" w:rsidP="00C32B33">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consecuencia, se enviaron comunicaciones de advertencia a doce prestadoras, con el riesgo de aplicárseles un proceso sancionador administrativo si no obtemperan al mandato.  </w:t>
      </w:r>
    </w:p>
    <w:p w14:paraId="67988A32" w14:textId="77777777" w:rsidR="00C32B33" w:rsidRPr="00A4233F" w:rsidRDefault="00C32B33" w:rsidP="00C32B33">
      <w:pPr>
        <w:spacing w:before="240" w:line="360" w:lineRule="auto"/>
        <w:jc w:val="both"/>
        <w:rPr>
          <w:rFonts w:ascii="Times New Roman" w:eastAsia="Calibri" w:hAnsi="Times New Roman" w:cs="Times New Roman"/>
          <w:color w:val="4C4747"/>
          <w:spacing w:val="20"/>
          <w:sz w:val="24"/>
          <w:szCs w:val="24"/>
          <w:lang w:val="es-DO"/>
        </w:rPr>
      </w:pPr>
    </w:p>
    <w:p w14:paraId="61FA944D" w14:textId="77777777" w:rsidR="00C32B33" w:rsidRPr="00A4233F" w:rsidRDefault="00C32B33" w:rsidP="00C32B33">
      <w:pPr>
        <w:spacing w:before="240" w:line="360" w:lineRule="auto"/>
        <w:jc w:val="both"/>
        <w:rPr>
          <w:rFonts w:ascii="Times New Roman" w:eastAsia="Calibri" w:hAnsi="Times New Roman" w:cs="Times New Roman"/>
          <w:color w:val="4C4747"/>
          <w:spacing w:val="20"/>
          <w:sz w:val="24"/>
          <w:szCs w:val="24"/>
          <w:lang w:val="es-DO"/>
        </w:rPr>
      </w:pPr>
    </w:p>
    <w:p w14:paraId="21619473" w14:textId="77777777" w:rsidR="00CC742B" w:rsidRPr="00A4233F" w:rsidRDefault="00CC742B" w:rsidP="00CC742B">
      <w:pPr>
        <w:pStyle w:val="Sinespaciado"/>
        <w:jc w:val="center"/>
        <w:rPr>
          <w:color w:val="4C4747"/>
          <w:lang w:val="es-DO"/>
        </w:rPr>
      </w:pPr>
      <w:r w:rsidRPr="00A4233F">
        <w:rPr>
          <w:color w:val="4C4747"/>
          <w:lang w:val="es-DO"/>
        </w:rPr>
        <w:lastRenderedPageBreak/>
        <w:t>Gráfico No. 1</w:t>
      </w:r>
    </w:p>
    <w:p w14:paraId="3788C9A9" w14:textId="14BEF087" w:rsidR="00CC742B" w:rsidRPr="00A4233F" w:rsidRDefault="00C32B33" w:rsidP="00CC742B">
      <w:pPr>
        <w:pStyle w:val="Sinespaciado"/>
        <w:jc w:val="center"/>
        <w:rPr>
          <w:color w:val="4C4747"/>
          <w:lang w:val="es-DO"/>
        </w:rPr>
      </w:pPr>
      <w:r w:rsidRPr="00A4233F">
        <w:rPr>
          <w:color w:val="4C4747"/>
          <w:lang w:val="es-DO"/>
        </w:rPr>
        <w:t>Estado de cumplimiento prestadoras en presentación e</w:t>
      </w:r>
      <w:r w:rsidR="00CC742B" w:rsidRPr="00A4233F">
        <w:rPr>
          <w:color w:val="4C4747"/>
          <w:lang w:val="es-DO"/>
        </w:rPr>
        <w:t>stadísticas</w:t>
      </w:r>
    </w:p>
    <w:p w14:paraId="027B96A2" w14:textId="0A907163" w:rsidR="00CC742B" w:rsidRPr="00A4233F" w:rsidRDefault="00C32B33" w:rsidP="00CC742B">
      <w:pPr>
        <w:pStyle w:val="Sinespaciado"/>
        <w:jc w:val="center"/>
        <w:rPr>
          <w:color w:val="4C4747"/>
          <w:lang w:val="es-DO"/>
        </w:rPr>
      </w:pPr>
      <w:r w:rsidRPr="00A4233F">
        <w:rPr>
          <w:color w:val="4C4747"/>
          <w:lang w:val="es-DO"/>
        </w:rPr>
        <w:t>n</w:t>
      </w:r>
      <w:r w:rsidR="00CC742B" w:rsidRPr="00A4233F">
        <w:rPr>
          <w:color w:val="4C4747"/>
          <w:lang w:val="es-DO"/>
        </w:rPr>
        <w:t>oviembre de 2022</w:t>
      </w:r>
    </w:p>
    <w:p w14:paraId="2EAF6D84" w14:textId="77777777" w:rsidR="00CC742B" w:rsidRPr="00C62BB6" w:rsidRDefault="00CC742B" w:rsidP="00CC742B">
      <w:pPr>
        <w:pStyle w:val="Sinespaciado"/>
        <w:jc w:val="center"/>
        <w:rPr>
          <w:color w:val="4C4747"/>
          <w:lang w:val="es-DO"/>
        </w:rPr>
      </w:pPr>
    </w:p>
    <w:p w14:paraId="4C2C1E0E" w14:textId="31B9ACD3" w:rsidR="00CC742B" w:rsidRPr="00C62BB6" w:rsidRDefault="00CC742B" w:rsidP="00CC742B">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hAnsi="Times New Roman" w:cs="Times New Roman"/>
          <w:noProof/>
          <w:color w:val="4C4747"/>
        </w:rPr>
        <w:drawing>
          <wp:inline distT="0" distB="0" distL="0" distR="0" wp14:anchorId="3B27ED13" wp14:editId="19104069">
            <wp:extent cx="5040172" cy="2962656"/>
            <wp:effectExtent l="0" t="0" r="8255" b="9525"/>
            <wp:docPr id="2" name="Gráfico 2"/>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14BAB2C4" w14:textId="7E8EB375" w:rsidR="00CC742B" w:rsidRPr="00C62BB6" w:rsidRDefault="00C32B33" w:rsidP="00CC742B">
      <w:pPr>
        <w:spacing w:line="360" w:lineRule="auto"/>
        <w:jc w:val="both"/>
        <w:rPr>
          <w:rFonts w:ascii="Times New Roman" w:eastAsia="Calibri" w:hAnsi="Times New Roman" w:cs="Times New Roman"/>
          <w:b/>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00410EE5" w:rsidRPr="00C62BB6">
        <w:rPr>
          <w:rFonts w:ascii="Times New Roman" w:eastAsia="Calibri" w:hAnsi="Times New Roman" w:cs="Times New Roman"/>
          <w:b/>
          <w:color w:val="4C4747"/>
          <w:spacing w:val="20"/>
          <w:sz w:val="18"/>
          <w:szCs w:val="24"/>
          <w:lang w:val="es-DO"/>
        </w:rPr>
        <w:t xml:space="preserve"> </w:t>
      </w:r>
      <w:r w:rsidR="00410EE5" w:rsidRPr="00C62BB6">
        <w:rPr>
          <w:rFonts w:ascii="Times New Roman" w:eastAsia="Calibri" w:hAnsi="Times New Roman" w:cs="Times New Roman"/>
          <w:color w:val="4C4747"/>
          <w:spacing w:val="20"/>
          <w:sz w:val="18"/>
          <w:szCs w:val="24"/>
          <w:lang w:val="es-DO"/>
        </w:rPr>
        <w:t>Departamento de Estadística</w:t>
      </w:r>
      <w:r w:rsidR="00A4233F">
        <w:rPr>
          <w:rFonts w:ascii="Times New Roman" w:eastAsia="Calibri" w:hAnsi="Times New Roman" w:cs="Times New Roman"/>
          <w:color w:val="4C4747"/>
          <w:spacing w:val="20"/>
          <w:sz w:val="18"/>
          <w:szCs w:val="24"/>
          <w:lang w:val="es-DO"/>
        </w:rPr>
        <w:t>s</w:t>
      </w:r>
    </w:p>
    <w:p w14:paraId="5B448908" w14:textId="77777777" w:rsidR="00CC742B" w:rsidRPr="00BB4D02" w:rsidRDefault="00CC742B" w:rsidP="00A02BDE">
      <w:pPr>
        <w:pStyle w:val="Prrafodelista"/>
        <w:numPr>
          <w:ilvl w:val="0"/>
          <w:numId w:val="41"/>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Por otra parte, dentro de los aspectos a resaltar respecto a las funciones ejecutadas en el área durante el año 2022, podemos mencionar los siguientes: </w:t>
      </w:r>
    </w:p>
    <w:p w14:paraId="6F49CF58" w14:textId="4D156BBD" w:rsidR="00CC742B" w:rsidRPr="00BB4D02" w:rsidRDefault="00CC742B" w:rsidP="00A02BDE">
      <w:pPr>
        <w:pStyle w:val="Prrafodelista"/>
        <w:numPr>
          <w:ilvl w:val="0"/>
          <w:numId w:val="41"/>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Elaboración y difusión de los reportes de las estadísticas de telecomunicaciones: </w:t>
      </w:r>
    </w:p>
    <w:p w14:paraId="7DA46232" w14:textId="6912BEB5" w:rsidR="00CC742B" w:rsidRPr="00C62BB6" w:rsidRDefault="00CC742B" w:rsidP="00A02BDE">
      <w:pPr>
        <w:pStyle w:val="Prrafodelista"/>
        <w:numPr>
          <w:ilvl w:val="0"/>
          <w:numId w:val="44"/>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Trimestrales del</w:t>
      </w:r>
      <w:r w:rsidR="009D40B8" w:rsidRPr="00C62BB6">
        <w:rPr>
          <w:rFonts w:ascii="Times New Roman" w:eastAsia="Calibri" w:hAnsi="Times New Roman" w:cs="Times New Roman"/>
          <w:color w:val="4C4747"/>
          <w:spacing w:val="20"/>
          <w:sz w:val="24"/>
          <w:szCs w:val="24"/>
          <w:lang w:val="es-DO"/>
        </w:rPr>
        <w:t xml:space="preserve"> 2022, enero-marzo, abril-junio</w:t>
      </w:r>
    </w:p>
    <w:p w14:paraId="2658027D" w14:textId="661A9C40" w:rsidR="00CC742B" w:rsidRPr="00C62BB6" w:rsidRDefault="00CC742B" w:rsidP="00A02BDE">
      <w:pPr>
        <w:pStyle w:val="Prrafodelista"/>
        <w:numPr>
          <w:ilvl w:val="0"/>
          <w:numId w:val="44"/>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Se</w:t>
      </w:r>
      <w:r w:rsidR="009D40B8" w:rsidRPr="00C62BB6">
        <w:rPr>
          <w:rFonts w:ascii="Times New Roman" w:eastAsia="Calibri" w:hAnsi="Times New Roman" w:cs="Times New Roman"/>
          <w:color w:val="4C4747"/>
          <w:spacing w:val="20"/>
          <w:sz w:val="24"/>
          <w:szCs w:val="24"/>
          <w:lang w:val="es-DO"/>
        </w:rPr>
        <w:t>mestral julio-diciembre de 2021</w:t>
      </w:r>
    </w:p>
    <w:p w14:paraId="31C21AE5" w14:textId="77777777" w:rsidR="00410EE5" w:rsidRPr="00C62BB6" w:rsidRDefault="00CC742B" w:rsidP="00A02BDE">
      <w:pPr>
        <w:pStyle w:val="Prrafodelista"/>
        <w:numPr>
          <w:ilvl w:val="0"/>
          <w:numId w:val="44"/>
        </w:num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w:t>
      </w:r>
      <w:r w:rsidR="009D40B8" w:rsidRPr="00C62BB6">
        <w:rPr>
          <w:rFonts w:ascii="Times New Roman" w:eastAsia="Calibri" w:hAnsi="Times New Roman" w:cs="Times New Roman"/>
          <w:color w:val="4C4747"/>
          <w:spacing w:val="20"/>
          <w:sz w:val="24"/>
          <w:szCs w:val="24"/>
          <w:lang w:val="es-DO"/>
        </w:rPr>
        <w:t>nual de enero-diciembre de 2021</w:t>
      </w:r>
    </w:p>
    <w:p w14:paraId="6A103257" w14:textId="77777777" w:rsidR="00410EE5" w:rsidRPr="00BB4D02" w:rsidRDefault="00CC742B" w:rsidP="00A02BDE">
      <w:pPr>
        <w:pStyle w:val="Prrafodelista"/>
        <w:numPr>
          <w:ilvl w:val="0"/>
          <w:numId w:val="42"/>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Elaboración y difusión del “Informe de Desempeño de las Telecomunicaciones 2021”.</w:t>
      </w:r>
    </w:p>
    <w:p w14:paraId="22BB932C" w14:textId="77777777" w:rsidR="00410EE5" w:rsidRPr="00BB4D02" w:rsidRDefault="00CC742B" w:rsidP="00A02BDE">
      <w:pPr>
        <w:pStyle w:val="Prrafodelista"/>
        <w:numPr>
          <w:ilvl w:val="0"/>
          <w:numId w:val="42"/>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Nacional de Estadísticas, a realizarse en el año 2022, para el levantamiento de la situación actual de uso y acceso a las TIC como parte la Agenda Digital 2030.</w:t>
      </w:r>
    </w:p>
    <w:p w14:paraId="3F28B5F7" w14:textId="77777777" w:rsidR="00410EE5" w:rsidRPr="00BB4D02" w:rsidRDefault="00CC742B" w:rsidP="00A02BDE">
      <w:pPr>
        <w:pStyle w:val="Prrafodelista"/>
        <w:numPr>
          <w:ilvl w:val="0"/>
          <w:numId w:val="43"/>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lastRenderedPageBreak/>
        <w:t>Actualización y remisión a COMTELCA del informe “Iniciativas de la R.D. para la Reducción de la Brecha de Género en TIC.</w:t>
      </w:r>
    </w:p>
    <w:p w14:paraId="7FAA87E3" w14:textId="4BD08B83" w:rsidR="00CC742B" w:rsidRPr="00BB4D02" w:rsidRDefault="00CC742B" w:rsidP="00A02BDE">
      <w:pPr>
        <w:pStyle w:val="Prrafodelista"/>
        <w:numPr>
          <w:ilvl w:val="0"/>
          <w:numId w:val="43"/>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Elaboración y remisión a COMTELCA informe de “Iniciativas de la R.D para la Protección de Niños, Niñas y Adolescentes”.</w:t>
      </w:r>
    </w:p>
    <w:p w14:paraId="50A96E9E" w14:textId="77777777" w:rsidR="00591C1B" w:rsidRPr="00A4233F" w:rsidRDefault="00591C1B" w:rsidP="00410EE5">
      <w:pPr>
        <w:spacing w:before="24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Proyecto de Burocracia Cero</w:t>
      </w:r>
    </w:p>
    <w:p w14:paraId="63E3F953" w14:textId="4C475476" w:rsidR="00591C1B"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 Programa Burocracia Cero, fue</w:t>
      </w:r>
      <w:r w:rsidR="00410EE5" w:rsidRPr="00A4233F">
        <w:rPr>
          <w:rFonts w:ascii="Times New Roman" w:eastAsia="Calibri" w:hAnsi="Times New Roman" w:cs="Times New Roman"/>
          <w:color w:val="4C4747"/>
          <w:spacing w:val="20"/>
          <w:sz w:val="24"/>
          <w:szCs w:val="24"/>
          <w:lang w:val="es-DO"/>
        </w:rPr>
        <w:t xml:space="preserve"> creado mediante el Decreto número</w:t>
      </w:r>
      <w:r w:rsidRPr="00A4233F">
        <w:rPr>
          <w:rFonts w:ascii="Times New Roman" w:eastAsia="Calibri" w:hAnsi="Times New Roman" w:cs="Times New Roman"/>
          <w:color w:val="4C4747"/>
          <w:spacing w:val="20"/>
          <w:sz w:val="24"/>
          <w:szCs w:val="24"/>
          <w:lang w:val="es-DO"/>
        </w:rPr>
        <w:t xml:space="preserve"> 640-20 el cual busca dinamizar los trámites burocráticos en las instituciones estatales, al tiempo de eficientizar los servicios, elevar la eficiencia de la administración pública a través de marcos normativos claros, oportunos y transparentes, que permitan la simplificación de los trámites y servicios, así como la mejora de la calidad de las regulaciones.</w:t>
      </w:r>
    </w:p>
    <w:p w14:paraId="3CDA3098" w14:textId="205BCD28" w:rsidR="00591C1B"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Como parte del Programa Burocracia Cero, el </w:t>
      </w:r>
      <w:r w:rsidR="00410EE5" w:rsidRPr="00A4233F">
        <w:rPr>
          <w:rFonts w:ascii="Times New Roman" w:eastAsia="Calibri" w:hAnsi="Times New Roman" w:cs="Times New Roman"/>
          <w:color w:val="4C4747"/>
          <w:spacing w:val="20"/>
          <w:sz w:val="24"/>
          <w:szCs w:val="24"/>
          <w:lang w:val="es-DO"/>
        </w:rPr>
        <w:t>INDOTEL</w:t>
      </w:r>
      <w:r w:rsidRPr="00A4233F">
        <w:rPr>
          <w:rFonts w:ascii="Times New Roman" w:eastAsia="Calibri" w:hAnsi="Times New Roman" w:cs="Times New Roman"/>
          <w:color w:val="4C4747"/>
          <w:spacing w:val="20"/>
          <w:sz w:val="24"/>
          <w:szCs w:val="24"/>
          <w:lang w:val="es-DO"/>
        </w:rPr>
        <w:t xml:space="preserve"> ha trabajado de la mano tanto con la Oficina Gubernamental de Tecnologías de la Información y Comunicación (OGTIC)</w:t>
      </w:r>
      <w:r w:rsidR="00410EE5" w:rsidRPr="00A4233F">
        <w:rPr>
          <w:rFonts w:ascii="Times New Roman" w:eastAsia="Calibri" w:hAnsi="Times New Roman" w:cs="Times New Roman"/>
          <w:color w:val="4C4747"/>
          <w:spacing w:val="20"/>
          <w:sz w:val="24"/>
          <w:szCs w:val="24"/>
          <w:lang w:val="es-DO"/>
        </w:rPr>
        <w:t>,</w:t>
      </w:r>
      <w:r w:rsidRPr="00A4233F">
        <w:rPr>
          <w:rFonts w:ascii="Times New Roman" w:eastAsia="Calibri" w:hAnsi="Times New Roman" w:cs="Times New Roman"/>
          <w:color w:val="4C4747"/>
          <w:spacing w:val="20"/>
          <w:sz w:val="24"/>
          <w:szCs w:val="24"/>
          <w:lang w:val="es-DO"/>
        </w:rPr>
        <w:t xml:space="preserve"> como con Pro Dominicana en la inclusión de los servicios que estarán disponible en dichos portales.</w:t>
      </w:r>
    </w:p>
    <w:p w14:paraId="10E85844" w14:textId="77777777" w:rsidR="00410EE5"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la primera fase del proyecto, en el </w:t>
      </w:r>
      <w:r w:rsidR="00410EE5" w:rsidRPr="00A4233F">
        <w:rPr>
          <w:rFonts w:ascii="Times New Roman" w:eastAsia="Calibri" w:hAnsi="Times New Roman" w:cs="Times New Roman"/>
          <w:color w:val="4C4747"/>
          <w:spacing w:val="20"/>
          <w:sz w:val="24"/>
          <w:szCs w:val="24"/>
          <w:lang w:val="es-DO"/>
        </w:rPr>
        <w:t>INDOTEL</w:t>
      </w:r>
      <w:r w:rsidRPr="00A4233F">
        <w:rPr>
          <w:rFonts w:ascii="Times New Roman" w:eastAsia="Calibri" w:hAnsi="Times New Roman" w:cs="Times New Roman"/>
          <w:color w:val="4C4747"/>
          <w:spacing w:val="20"/>
          <w:sz w:val="24"/>
          <w:szCs w:val="24"/>
          <w:lang w:val="es-DO"/>
        </w:rPr>
        <w:t xml:space="preserve">, se realizó el levantamiento de las necesidades requeridas a ser implementadas en los formularios digitales, actualización y elaboración de los procedimientos, elaboración de flujogramas de cada uno de los servicios, se actualizaron las fichas de los servicios, así como también las pruebas de calidad a las plataformas que serán utilizadas para realizar las solicitudes. </w:t>
      </w:r>
    </w:p>
    <w:p w14:paraId="33507FFF" w14:textId="5067F975" w:rsidR="00591C1B"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la actualidad, los trámites que serán cargados en los portales se encuentran en los procesos de adecuaciones finales por parte de los desarrolladores de la OGTIC y Pro Dominicana.</w:t>
      </w:r>
    </w:p>
    <w:p w14:paraId="089E3108" w14:textId="77777777" w:rsidR="00591C1B"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El ciudadano podrá solicitar el trámite a INDOTEL completando un formulario online incluyendo los requisitos necesarios. Al mismo tiempo, se indicará el costo de cada servicio en el portal.</w:t>
      </w:r>
    </w:p>
    <w:p w14:paraId="37CBBF39" w14:textId="77777777" w:rsidR="00591C1B"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 lo interno, el personal encargado de trabajar las solicitudes recibidas a través del portal seguirá realizando sus funciones como hasta ahora, con la novedad de que, a través del portal, deberán actualizar el porcentaje de avance, dar respuesta a la solicitud e interactuar con el ciudadano sobre requerimientos adicionales o correcciones.</w:t>
      </w:r>
    </w:p>
    <w:p w14:paraId="1E73B3D8" w14:textId="33FDCD9C" w:rsidR="00591C1B" w:rsidRPr="00A4233F" w:rsidRDefault="004E08E9"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Fueron</w:t>
      </w:r>
      <w:r w:rsidR="00591C1B" w:rsidRPr="00A4233F">
        <w:rPr>
          <w:rFonts w:ascii="Times New Roman" w:eastAsia="Calibri" w:hAnsi="Times New Roman" w:cs="Times New Roman"/>
          <w:color w:val="4C4747"/>
          <w:spacing w:val="20"/>
          <w:sz w:val="24"/>
          <w:szCs w:val="24"/>
          <w:lang w:val="es-DO"/>
        </w:rPr>
        <w:t xml:space="preserve"> incluidos 7 trámites en el Portal de Servicios del Gobierno Dominicano de la Oficina Gubernamental de Tecnologías de la Información y Comunicación (OGTIC), los cuales son:</w:t>
      </w:r>
    </w:p>
    <w:p w14:paraId="57C7198B" w14:textId="5B2213D2" w:rsidR="00591C1B"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Solicitud de Concesión sin concurso público</w:t>
      </w:r>
    </w:p>
    <w:p w14:paraId="0C2BCC8E" w14:textId="6329FD25" w:rsidR="00591C1B"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Ampliación de Concesión</w:t>
      </w:r>
    </w:p>
    <w:p w14:paraId="07531C03" w14:textId="05B79241" w:rsidR="00591C1B"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Renovación de Concesión</w:t>
      </w:r>
    </w:p>
    <w:p w14:paraId="1A6649F4" w14:textId="7F9D5EF7" w:rsidR="00591C1B"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Inscripción en Registro Especial</w:t>
      </w:r>
    </w:p>
    <w:p w14:paraId="612FC538" w14:textId="31AB01CF" w:rsidR="00591C1B"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Certificaciones</w:t>
      </w:r>
    </w:p>
    <w:p w14:paraId="00ADDC4D" w14:textId="73FEC169" w:rsidR="00591C1B"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Licencia para usar frecuencias del espectro radioeléctrico que se encuentra vinculada a una autorización</w:t>
      </w:r>
    </w:p>
    <w:p w14:paraId="2AC59FA8" w14:textId="5090075F" w:rsidR="004E08E9" w:rsidRPr="00BB4D02" w:rsidRDefault="00591C1B" w:rsidP="00A02BDE">
      <w:pPr>
        <w:pStyle w:val="Prrafodelista"/>
        <w:numPr>
          <w:ilvl w:val="0"/>
          <w:numId w:val="3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Licencia e Inscripción para la operación de Servicios Móviles Aeronáuticos y operación de Servicios </w:t>
      </w:r>
      <w:r w:rsidR="00410EE5" w:rsidRPr="00BB4D02">
        <w:rPr>
          <w:rFonts w:ascii="Times New Roman" w:eastAsia="Calibri" w:hAnsi="Times New Roman" w:cs="Times New Roman"/>
          <w:color w:val="4C4747"/>
          <w:spacing w:val="20"/>
          <w:sz w:val="24"/>
          <w:szCs w:val="24"/>
          <w:lang w:val="es-DO"/>
        </w:rPr>
        <w:t>Privados de Radiocomunicaciones</w:t>
      </w:r>
    </w:p>
    <w:p w14:paraId="11754EA6" w14:textId="77777777" w:rsidR="00591C1B" w:rsidRPr="00A4233F" w:rsidRDefault="00591C1B" w:rsidP="00410EE5">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Fueron incluidos en el portal de Ventanilla Única de Inversión (VUI) de Pro Dominicana los siguientes tres trámites:</w:t>
      </w:r>
    </w:p>
    <w:p w14:paraId="5C56DE81" w14:textId="544AA035" w:rsidR="00591C1B" w:rsidRPr="00BB4D02" w:rsidRDefault="00591C1B" w:rsidP="00A02BDE">
      <w:pPr>
        <w:pStyle w:val="Prrafodelista"/>
        <w:numPr>
          <w:ilvl w:val="0"/>
          <w:numId w:val="40"/>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Inscripción en Registro Especial</w:t>
      </w:r>
    </w:p>
    <w:p w14:paraId="0BA2D2CC" w14:textId="52FED96F" w:rsidR="00591C1B" w:rsidRPr="00BB4D02" w:rsidRDefault="00591C1B" w:rsidP="00A02BDE">
      <w:pPr>
        <w:pStyle w:val="Prrafodelista"/>
        <w:numPr>
          <w:ilvl w:val="0"/>
          <w:numId w:val="40"/>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Solicitud de Concesión sin concurso público</w:t>
      </w:r>
    </w:p>
    <w:p w14:paraId="69FD760D" w14:textId="59CBAD0C" w:rsidR="00591C1B" w:rsidRPr="00BB4D02" w:rsidRDefault="00591C1B" w:rsidP="00A02BDE">
      <w:pPr>
        <w:pStyle w:val="Prrafodelista"/>
        <w:numPr>
          <w:ilvl w:val="0"/>
          <w:numId w:val="40"/>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Solicitud de Hom</w:t>
      </w:r>
      <w:r w:rsidR="00410EE5" w:rsidRPr="00BB4D02">
        <w:rPr>
          <w:rFonts w:ascii="Times New Roman" w:eastAsia="Calibri" w:hAnsi="Times New Roman" w:cs="Times New Roman"/>
          <w:color w:val="4C4747"/>
          <w:spacing w:val="20"/>
          <w:sz w:val="24"/>
          <w:szCs w:val="24"/>
          <w:lang w:val="es-DO"/>
        </w:rPr>
        <w:t>ologación de Equipos y Aparatos</w:t>
      </w:r>
    </w:p>
    <w:p w14:paraId="3BA6D100" w14:textId="77777777" w:rsidR="00591C1B" w:rsidRPr="00A4233F" w:rsidRDefault="00591C1B" w:rsidP="00591C1B">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En la segunda fase del programa se simplificarán los procesos de cada servicio, permitiendo así optimizar el flujo, disminuir pasos y eliminar los cuellos de botella.</w:t>
      </w:r>
    </w:p>
    <w:p w14:paraId="7A8ABC88" w14:textId="1C049F3E" w:rsidR="004E08E9" w:rsidRPr="00A4233F" w:rsidRDefault="00591C1B" w:rsidP="00A75CDE">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Luego de simplificados los procesos, se procederá a automatizar cada solicitud a través de las plataformas de la OGTIC y Pro Dominicana. Esto se reflejará en un ahorro significativo de tiempo de respuesta y recursos, ya que se utilizará una única plataforma, se disminuirá el uso del papel y se agilizará la manera en la que se interactúa entre las distintas áreas internas de la institución y con el ciudadano.</w:t>
      </w:r>
    </w:p>
    <w:p w14:paraId="785DC39E" w14:textId="77777777" w:rsidR="00A75CDE" w:rsidRPr="00C62BB6" w:rsidRDefault="00A75CDE" w:rsidP="00A75CDE">
      <w:pPr>
        <w:spacing w:line="360" w:lineRule="auto"/>
        <w:jc w:val="both"/>
        <w:rPr>
          <w:rFonts w:ascii="Times New Roman" w:eastAsia="Calibri" w:hAnsi="Times New Roman" w:cs="Times New Roman"/>
          <w:color w:val="4C4747"/>
          <w:spacing w:val="20"/>
          <w:sz w:val="24"/>
          <w:szCs w:val="24"/>
          <w:lang w:val="es-DO"/>
        </w:rPr>
      </w:pPr>
    </w:p>
    <w:p w14:paraId="7B968A50" w14:textId="00C5389F" w:rsidR="00641CAA" w:rsidRPr="00C62BB6" w:rsidRDefault="006D62FE" w:rsidP="00641CAA">
      <w:pPr>
        <w:keepNext/>
        <w:spacing w:after="0"/>
        <w:jc w:val="both"/>
        <w:outlineLvl w:val="3"/>
        <w:rPr>
          <w:rFonts w:ascii="Times New Roman" w:eastAsia="Times New Roman" w:hAnsi="Times New Roman" w:cs="Times New Roman"/>
          <w:b/>
          <w:bCs/>
          <w:color w:val="4C4747"/>
          <w:sz w:val="24"/>
          <w:szCs w:val="28"/>
          <w:lang w:val="es-DO" w:eastAsia="es-DO"/>
        </w:rPr>
      </w:pPr>
      <w:r w:rsidRPr="00C62BB6">
        <w:rPr>
          <w:rFonts w:ascii="Times New Roman" w:eastAsia="Times New Roman" w:hAnsi="Times New Roman" w:cs="Times New Roman"/>
          <w:b/>
          <w:bCs/>
          <w:color w:val="4C4747"/>
          <w:sz w:val="24"/>
          <w:szCs w:val="28"/>
          <w:lang w:val="es-DO" w:eastAsia="es-DO"/>
        </w:rPr>
        <w:t xml:space="preserve">4.5.1 </w:t>
      </w:r>
      <w:r w:rsidR="00641CAA" w:rsidRPr="00C62BB6">
        <w:rPr>
          <w:rFonts w:ascii="Times New Roman" w:eastAsia="Times New Roman" w:hAnsi="Times New Roman" w:cs="Times New Roman"/>
          <w:b/>
          <w:bCs/>
          <w:color w:val="4C4747"/>
          <w:sz w:val="24"/>
          <w:szCs w:val="28"/>
          <w:lang w:val="es-DO" w:eastAsia="es-DO"/>
        </w:rPr>
        <w:t>Normas Básicas de Control Interno (NOBACI)</w:t>
      </w:r>
    </w:p>
    <w:p w14:paraId="1CFB5681" w14:textId="77777777" w:rsidR="00641CAA" w:rsidRPr="00C62BB6" w:rsidRDefault="00641CAA" w:rsidP="00641CAA">
      <w:pPr>
        <w:pStyle w:val="Sinespaciado"/>
        <w:rPr>
          <w:color w:val="4C4747"/>
          <w:lang w:val="es-DO"/>
        </w:rPr>
      </w:pPr>
    </w:p>
    <w:p w14:paraId="4325725A" w14:textId="77777777" w:rsidR="00652417" w:rsidRPr="00A4233F" w:rsidRDefault="00652417" w:rsidP="00652417">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La Contraloría General de la República (CGR) es el órgano rector en materia de control interno en la administración pública. En este sentido ha implementado las Normas de Control Interno (NOBACI) las cuales cuentan con 5 matrices, denominadas: Ambiente de Control (AMC), Valoración y Administración de Riesgos (VAR), Actividades de Control (ADC), Información y Comunicación (IyC) y Monitoreo y Evaluación (MyE) en las cuales se desglosan los diferentes requerimientos que se necesitan para el control interno. </w:t>
      </w:r>
    </w:p>
    <w:p w14:paraId="2D94237A" w14:textId="79AB1286" w:rsidR="00652417" w:rsidRPr="00A4233F" w:rsidRDefault="00652417" w:rsidP="004E08E9">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La Contraloría General de la República emitió la Resolución No. 008-20, de fecha 14 de octubre de 2020, mediante la cual se dispone con efectividad al 30 de septiembre de 2020, la realización de un corte con la información de la NOBACI y la entrada en vigencia a partir del 1 de octubre de 2020 de las nuevas matrices de aut</w:t>
      </w:r>
      <w:r w:rsidR="00E07D8F" w:rsidRPr="00A4233F">
        <w:rPr>
          <w:rFonts w:ascii="Times New Roman" w:eastAsia="Calibri" w:hAnsi="Times New Roman" w:cs="Times New Roman"/>
          <w:color w:val="4C4747"/>
          <w:spacing w:val="20"/>
          <w:sz w:val="24"/>
          <w:szCs w:val="24"/>
          <w:lang w:val="es-DO"/>
        </w:rPr>
        <w:t>oevaluación</w:t>
      </w:r>
      <w:r w:rsidRPr="00A4233F">
        <w:rPr>
          <w:rFonts w:ascii="Times New Roman" w:eastAsia="Calibri" w:hAnsi="Times New Roman" w:cs="Times New Roman"/>
          <w:color w:val="4C4747"/>
          <w:spacing w:val="20"/>
          <w:sz w:val="24"/>
          <w:szCs w:val="24"/>
          <w:lang w:val="es-DO"/>
        </w:rPr>
        <w:t>.</w:t>
      </w:r>
    </w:p>
    <w:p w14:paraId="4F420F6D" w14:textId="60695AE4" w:rsidR="004E08E9" w:rsidRPr="00A4233F" w:rsidRDefault="00E07D8F" w:rsidP="00410EE5">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Para dar cumplimiento, </w:t>
      </w:r>
      <w:r w:rsidR="00652417" w:rsidRPr="00A4233F">
        <w:rPr>
          <w:rFonts w:ascii="Times New Roman" w:eastAsia="Calibri" w:hAnsi="Times New Roman" w:cs="Times New Roman"/>
          <w:color w:val="4C4747"/>
          <w:spacing w:val="20"/>
          <w:sz w:val="24"/>
          <w:szCs w:val="24"/>
          <w:lang w:val="es-DO"/>
        </w:rPr>
        <w:t xml:space="preserve">hemos ido trabajando </w:t>
      </w:r>
      <w:r w:rsidR="004E08E9" w:rsidRPr="00A4233F">
        <w:rPr>
          <w:rFonts w:ascii="Times New Roman" w:eastAsia="Calibri" w:hAnsi="Times New Roman" w:cs="Times New Roman"/>
          <w:color w:val="4C4747"/>
          <w:spacing w:val="20"/>
          <w:sz w:val="24"/>
          <w:szCs w:val="24"/>
          <w:lang w:val="es-DO"/>
        </w:rPr>
        <w:t xml:space="preserve">con el soporte de una Analista de la Contraloría General de la República </w:t>
      </w:r>
      <w:r w:rsidR="00652417" w:rsidRPr="00A4233F">
        <w:rPr>
          <w:rFonts w:ascii="Times New Roman" w:eastAsia="Calibri" w:hAnsi="Times New Roman" w:cs="Times New Roman"/>
          <w:color w:val="4C4747"/>
          <w:spacing w:val="20"/>
          <w:sz w:val="24"/>
          <w:szCs w:val="24"/>
          <w:lang w:val="es-DO"/>
        </w:rPr>
        <w:t>la actualización de políticas, procedimientos, guías, entre otros documentos existentes, así como también, creando aque</w:t>
      </w:r>
      <w:r w:rsidR="00410EE5" w:rsidRPr="00A4233F">
        <w:rPr>
          <w:rFonts w:ascii="Times New Roman" w:eastAsia="Calibri" w:hAnsi="Times New Roman" w:cs="Times New Roman"/>
          <w:color w:val="4C4747"/>
          <w:spacing w:val="20"/>
          <w:sz w:val="24"/>
          <w:szCs w:val="24"/>
          <w:lang w:val="es-DO"/>
        </w:rPr>
        <w:t>llos con los que no contábamos.</w:t>
      </w:r>
    </w:p>
    <w:p w14:paraId="46DF9BE5" w14:textId="2919E8D4" w:rsidR="00641CAA" w:rsidRPr="00A4233F" w:rsidRDefault="006D62FE" w:rsidP="00410EE5">
      <w:pPr>
        <w:keepNext/>
        <w:spacing w:before="240" w:after="0"/>
        <w:jc w:val="both"/>
        <w:outlineLvl w:val="3"/>
        <w:rPr>
          <w:rFonts w:ascii="Times New Roman" w:eastAsia="Times New Roman" w:hAnsi="Times New Roman" w:cs="Times New Roman"/>
          <w:b/>
          <w:bCs/>
          <w:color w:val="4C4747"/>
          <w:sz w:val="24"/>
          <w:szCs w:val="28"/>
          <w:lang w:val="es-DO" w:eastAsia="es-DO"/>
        </w:rPr>
      </w:pPr>
      <w:r w:rsidRPr="00A4233F">
        <w:rPr>
          <w:rFonts w:ascii="Times New Roman" w:eastAsia="Times New Roman" w:hAnsi="Times New Roman" w:cs="Times New Roman"/>
          <w:b/>
          <w:bCs/>
          <w:color w:val="4C4747"/>
          <w:sz w:val="24"/>
          <w:szCs w:val="28"/>
          <w:lang w:val="es-DO" w:eastAsia="es-DO"/>
        </w:rPr>
        <w:lastRenderedPageBreak/>
        <w:t xml:space="preserve">4.5.2 </w:t>
      </w:r>
      <w:r w:rsidR="00641CAA" w:rsidRPr="00A4233F">
        <w:rPr>
          <w:rFonts w:ascii="Times New Roman" w:eastAsia="Times New Roman" w:hAnsi="Times New Roman" w:cs="Times New Roman"/>
          <w:b/>
          <w:bCs/>
          <w:color w:val="4C4747"/>
          <w:sz w:val="24"/>
          <w:szCs w:val="28"/>
          <w:lang w:val="es-DO" w:eastAsia="es-DO"/>
        </w:rPr>
        <w:t>Resultados de los Sistemas de Calidad</w:t>
      </w:r>
    </w:p>
    <w:p w14:paraId="0841A525" w14:textId="77777777" w:rsidR="00641CAA" w:rsidRPr="00A4233F" w:rsidRDefault="00641CAA" w:rsidP="00641CAA">
      <w:pPr>
        <w:pStyle w:val="Sinespaciado"/>
        <w:rPr>
          <w:color w:val="4C4747"/>
          <w:highlight w:val="yellow"/>
          <w:lang w:val="es-DO"/>
        </w:rPr>
      </w:pPr>
    </w:p>
    <w:p w14:paraId="49DB47B8" w14:textId="77BA651A" w:rsidR="00E85EFE" w:rsidRPr="00A4233F" w:rsidRDefault="00E85EFE" w:rsidP="00410EE5">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la institución </w:t>
      </w:r>
      <w:r w:rsidR="00410EE5" w:rsidRPr="00A4233F">
        <w:rPr>
          <w:rFonts w:ascii="Times New Roman" w:eastAsia="Calibri" w:hAnsi="Times New Roman" w:cs="Times New Roman"/>
          <w:color w:val="4C4747"/>
          <w:spacing w:val="20"/>
          <w:sz w:val="24"/>
          <w:szCs w:val="24"/>
          <w:lang w:val="es-DO"/>
        </w:rPr>
        <w:t>se lleva</w:t>
      </w:r>
      <w:r w:rsidRPr="00A4233F">
        <w:rPr>
          <w:rFonts w:ascii="Times New Roman" w:eastAsia="Calibri" w:hAnsi="Times New Roman" w:cs="Times New Roman"/>
          <w:color w:val="4C4747"/>
          <w:spacing w:val="20"/>
          <w:sz w:val="24"/>
          <w:szCs w:val="24"/>
          <w:lang w:val="es-DO"/>
        </w:rPr>
        <w:t xml:space="preserve"> a cabo una gestión por procesos. Realiza</w:t>
      </w:r>
      <w:r w:rsidR="00410EE5" w:rsidRPr="00A4233F">
        <w:rPr>
          <w:rFonts w:ascii="Times New Roman" w:eastAsia="Calibri" w:hAnsi="Times New Roman" w:cs="Times New Roman"/>
          <w:color w:val="4C4747"/>
          <w:spacing w:val="20"/>
          <w:sz w:val="24"/>
          <w:szCs w:val="24"/>
          <w:lang w:val="es-DO"/>
        </w:rPr>
        <w:t xml:space="preserve">ndo </w:t>
      </w:r>
      <w:r w:rsidRPr="00A4233F">
        <w:rPr>
          <w:rFonts w:ascii="Times New Roman" w:eastAsia="Calibri" w:hAnsi="Times New Roman" w:cs="Times New Roman"/>
          <w:color w:val="4C4747"/>
          <w:spacing w:val="20"/>
          <w:sz w:val="24"/>
          <w:szCs w:val="24"/>
          <w:lang w:val="es-DO"/>
        </w:rPr>
        <w:t xml:space="preserve">anualmente un autodiagnóstico utilizando la metodología CAF a través del cual </w:t>
      </w:r>
      <w:r w:rsidR="00410EE5" w:rsidRPr="00A4233F">
        <w:rPr>
          <w:rFonts w:ascii="Times New Roman" w:eastAsia="Calibri" w:hAnsi="Times New Roman" w:cs="Times New Roman"/>
          <w:color w:val="4C4747"/>
          <w:spacing w:val="20"/>
          <w:sz w:val="24"/>
          <w:szCs w:val="24"/>
          <w:lang w:val="es-DO"/>
        </w:rPr>
        <w:t>se identifica</w:t>
      </w:r>
      <w:r w:rsidRPr="00A4233F">
        <w:rPr>
          <w:rFonts w:ascii="Times New Roman" w:eastAsia="Calibri" w:hAnsi="Times New Roman" w:cs="Times New Roman"/>
          <w:color w:val="4C4747"/>
          <w:spacing w:val="20"/>
          <w:sz w:val="24"/>
          <w:szCs w:val="24"/>
          <w:lang w:val="es-DO"/>
        </w:rPr>
        <w:t xml:space="preserve"> los puntos fuertes y las áreas de mejoras para implementar las acciones necesarias para elevar la calidad de los servicios que ofre</w:t>
      </w:r>
      <w:r w:rsidR="00410EE5" w:rsidRPr="00A4233F">
        <w:rPr>
          <w:rFonts w:ascii="Times New Roman" w:eastAsia="Calibri" w:hAnsi="Times New Roman" w:cs="Times New Roman"/>
          <w:color w:val="4C4747"/>
          <w:spacing w:val="20"/>
          <w:sz w:val="24"/>
          <w:szCs w:val="24"/>
          <w:lang w:val="es-DO"/>
        </w:rPr>
        <w:t>cemos.</w:t>
      </w:r>
    </w:p>
    <w:p w14:paraId="53291E19" w14:textId="7412FF99" w:rsidR="00E85EFE" w:rsidRPr="00A4233F" w:rsidRDefault="00E85EFE" w:rsidP="00410EE5">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La metodología CAF requiere que se evalúen 9 Criterios y 28 Sub Criterios. Los primeros cinco Criterios son facilitadores a través de los cuales se evalúa lo que hace la organización y la manera en que son planteadas las tareas para alcanzar los resultados deseados y en los restantes cuatro Criterios, se evalúan los resultados y se mide la percepción de los emp</w:t>
      </w:r>
      <w:r w:rsidR="00410EE5" w:rsidRPr="00A4233F">
        <w:rPr>
          <w:rFonts w:ascii="Times New Roman" w:eastAsia="Calibri" w:hAnsi="Times New Roman" w:cs="Times New Roman"/>
          <w:color w:val="4C4747"/>
          <w:spacing w:val="20"/>
          <w:sz w:val="24"/>
          <w:szCs w:val="24"/>
          <w:lang w:val="es-DO"/>
        </w:rPr>
        <w:t>leados, clientes y la sociedad.</w:t>
      </w:r>
    </w:p>
    <w:p w14:paraId="1B35C6B8" w14:textId="29F7ED7D" w:rsidR="00410EE5" w:rsidRPr="00A4233F" w:rsidRDefault="00E07D8F" w:rsidP="00410EE5">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el </w:t>
      </w:r>
      <w:r w:rsidR="00E85EFE" w:rsidRPr="00A4233F">
        <w:rPr>
          <w:rFonts w:ascii="Times New Roman" w:eastAsia="Calibri" w:hAnsi="Times New Roman" w:cs="Times New Roman"/>
          <w:color w:val="4C4747"/>
          <w:spacing w:val="20"/>
          <w:sz w:val="24"/>
          <w:szCs w:val="24"/>
          <w:lang w:val="es-DO"/>
        </w:rPr>
        <w:t xml:space="preserve">2022 fueron modificados los integrantes del </w:t>
      </w:r>
      <w:r w:rsidR="00513ACC" w:rsidRPr="00A4233F">
        <w:rPr>
          <w:rFonts w:ascii="Times New Roman" w:eastAsia="Calibri" w:hAnsi="Times New Roman" w:cs="Times New Roman"/>
          <w:color w:val="4C4747"/>
          <w:spacing w:val="20"/>
          <w:sz w:val="24"/>
          <w:szCs w:val="24"/>
          <w:lang w:val="es-DO"/>
        </w:rPr>
        <w:t>c</w:t>
      </w:r>
      <w:r w:rsidR="00E85EFE" w:rsidRPr="00A4233F">
        <w:rPr>
          <w:rFonts w:ascii="Times New Roman" w:eastAsia="Calibri" w:hAnsi="Times New Roman" w:cs="Times New Roman"/>
          <w:color w:val="4C4747"/>
          <w:spacing w:val="20"/>
          <w:sz w:val="24"/>
          <w:szCs w:val="24"/>
          <w:lang w:val="es-DO"/>
        </w:rPr>
        <w:t xml:space="preserve">omité de </w:t>
      </w:r>
      <w:r w:rsidR="00513ACC" w:rsidRPr="00A4233F">
        <w:rPr>
          <w:rFonts w:ascii="Times New Roman" w:eastAsia="Calibri" w:hAnsi="Times New Roman" w:cs="Times New Roman"/>
          <w:color w:val="4C4747"/>
          <w:spacing w:val="20"/>
          <w:sz w:val="24"/>
          <w:szCs w:val="24"/>
          <w:lang w:val="es-DO"/>
        </w:rPr>
        <w:t>c</w:t>
      </w:r>
      <w:r w:rsidR="003D78AE" w:rsidRPr="00A4233F">
        <w:rPr>
          <w:rFonts w:ascii="Times New Roman" w:eastAsia="Calibri" w:hAnsi="Times New Roman" w:cs="Times New Roman"/>
          <w:color w:val="4C4747"/>
          <w:spacing w:val="20"/>
          <w:sz w:val="24"/>
          <w:szCs w:val="24"/>
          <w:lang w:val="es-DO"/>
        </w:rPr>
        <w:t xml:space="preserve">alidad por lo que </w:t>
      </w:r>
      <w:r w:rsidR="00E85EFE" w:rsidRPr="00A4233F">
        <w:rPr>
          <w:rFonts w:ascii="Times New Roman" w:eastAsia="Calibri" w:hAnsi="Times New Roman" w:cs="Times New Roman"/>
          <w:color w:val="4C4747"/>
          <w:spacing w:val="20"/>
          <w:sz w:val="24"/>
          <w:szCs w:val="24"/>
          <w:lang w:val="es-DO"/>
        </w:rPr>
        <w:t>fue remitido al Ministerio de Administración Pública (MAP) los nombres de los nuevos integrantes</w:t>
      </w:r>
      <w:r w:rsidR="003D78AE" w:rsidRPr="00A4233F">
        <w:rPr>
          <w:rFonts w:ascii="Times New Roman" w:eastAsia="Calibri" w:hAnsi="Times New Roman" w:cs="Times New Roman"/>
          <w:color w:val="4C4747"/>
          <w:spacing w:val="20"/>
          <w:sz w:val="24"/>
          <w:szCs w:val="24"/>
          <w:lang w:val="es-DO"/>
        </w:rPr>
        <w:t>,</w:t>
      </w:r>
      <w:r w:rsidR="00E85EFE" w:rsidRPr="00A4233F">
        <w:rPr>
          <w:rFonts w:ascii="Times New Roman" w:eastAsia="Calibri" w:hAnsi="Times New Roman" w:cs="Times New Roman"/>
          <w:color w:val="4C4747"/>
          <w:spacing w:val="20"/>
          <w:sz w:val="24"/>
          <w:szCs w:val="24"/>
          <w:lang w:val="es-DO"/>
        </w:rPr>
        <w:t xml:space="preserve"> así como también fue elaborado el autodiagnóstico de la institución utilizando la metodología (CAF). </w:t>
      </w:r>
    </w:p>
    <w:p w14:paraId="76AE0495" w14:textId="77777777" w:rsidR="00410EE5" w:rsidRPr="00A4233F" w:rsidRDefault="00410EE5" w:rsidP="00410EE5">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Dentro de las evidencias que se dispone</w:t>
      </w:r>
      <w:r w:rsidR="00E85EFE" w:rsidRPr="00A4233F">
        <w:rPr>
          <w:rFonts w:ascii="Times New Roman" w:eastAsia="Calibri" w:hAnsi="Times New Roman" w:cs="Times New Roman"/>
          <w:color w:val="4C4747"/>
          <w:spacing w:val="20"/>
          <w:sz w:val="24"/>
          <w:szCs w:val="24"/>
          <w:lang w:val="es-DO"/>
        </w:rPr>
        <w:t xml:space="preserve"> para su cumplimiento se encuentran: Plan Estratégico Institucional (PEI), misión, visión, valores, la Comisión de </w:t>
      </w:r>
      <w:r w:rsidR="003D78AE" w:rsidRPr="00A4233F">
        <w:rPr>
          <w:rFonts w:ascii="Times New Roman" w:eastAsia="Calibri" w:hAnsi="Times New Roman" w:cs="Times New Roman"/>
          <w:color w:val="4C4747"/>
          <w:spacing w:val="20"/>
          <w:sz w:val="24"/>
          <w:szCs w:val="24"/>
          <w:lang w:val="es-DO"/>
        </w:rPr>
        <w:t>Integridad  y Cumplimiento Normativo</w:t>
      </w:r>
      <w:r w:rsidR="00E85EFE" w:rsidRPr="00A4233F">
        <w:rPr>
          <w:rFonts w:ascii="Times New Roman" w:eastAsia="Calibri" w:hAnsi="Times New Roman" w:cs="Times New Roman"/>
          <w:color w:val="4C4747"/>
          <w:spacing w:val="20"/>
          <w:sz w:val="24"/>
          <w:szCs w:val="24"/>
          <w:lang w:val="es-DO"/>
        </w:rPr>
        <w:t xml:space="preserve">,  la cual vela por la correcta conducta de los colaboradores y una Alta Dirección cuyo comportamiento se encuentran apegado a los valores institucionales. </w:t>
      </w:r>
    </w:p>
    <w:p w14:paraId="1706797D" w14:textId="557A76DB" w:rsidR="00382F19" w:rsidRPr="00A4233F" w:rsidRDefault="00410EE5" w:rsidP="00410EE5">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Se tiene identificado</w:t>
      </w:r>
      <w:r w:rsidR="00E85EFE" w:rsidRPr="00A4233F">
        <w:rPr>
          <w:rFonts w:ascii="Times New Roman" w:eastAsia="Calibri" w:hAnsi="Times New Roman" w:cs="Times New Roman"/>
          <w:color w:val="4C4747"/>
          <w:spacing w:val="20"/>
          <w:sz w:val="24"/>
          <w:szCs w:val="24"/>
          <w:lang w:val="es-DO"/>
        </w:rPr>
        <w:t xml:space="preserve"> los grupos de interés así como sus necesidades y expectativas. Disponemos documentados los procedimientos y políticas para gestionar los recursos humanos, firmamos acuerdos y convenios  con instituciones nacional</w:t>
      </w:r>
      <w:r w:rsidR="00382F19" w:rsidRPr="00A4233F">
        <w:rPr>
          <w:rFonts w:ascii="Times New Roman" w:eastAsia="Calibri" w:hAnsi="Times New Roman" w:cs="Times New Roman"/>
          <w:color w:val="4C4747"/>
          <w:spacing w:val="20"/>
          <w:sz w:val="24"/>
          <w:szCs w:val="24"/>
          <w:lang w:val="es-DO"/>
        </w:rPr>
        <w:t xml:space="preserve">es e internacionales, tanto del </w:t>
      </w:r>
    </w:p>
    <w:p w14:paraId="707DA6A9" w14:textId="6E6F7A5D" w:rsidR="00E85EFE" w:rsidRPr="00A4233F" w:rsidRDefault="00E85EFE" w:rsidP="00410EE5">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sector privado como del sector público, coordinamos mesas técnicas con el sector que regulamos para identificar sus necesidades y tenemos identificados los proc</w:t>
      </w:r>
      <w:r w:rsidR="00410EE5" w:rsidRPr="00A4233F">
        <w:rPr>
          <w:rFonts w:ascii="Times New Roman" w:eastAsia="Calibri" w:hAnsi="Times New Roman" w:cs="Times New Roman"/>
          <w:color w:val="4C4747"/>
          <w:spacing w:val="20"/>
          <w:sz w:val="24"/>
          <w:szCs w:val="24"/>
          <w:lang w:val="es-DO"/>
        </w:rPr>
        <w:t xml:space="preserve">esos claves de la institución. </w:t>
      </w:r>
    </w:p>
    <w:p w14:paraId="05711673" w14:textId="769BAE84" w:rsidR="00652417" w:rsidRPr="00A4233F" w:rsidRDefault="00E85EFE" w:rsidP="00916E17">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los últimos cuatro Criterios fueron evaluados los resultados orientados a los clientes, colaboradores y la responsabilidad social. Para su cumplimiento disponemos de una encuesta de satisfacción al cliente, una Carta Compromiso al Ciudadano, indicadores de las Mediciones del Sistema de Transparencia, encuesta de clima organizacional para verificar los resultados que está alcanzando la organización en relación con la satisfacción del personal, fueron llevados a cabo proyectos de desarrollo con la finalidad de cerrar la brecha digital de las telecomunicaciones y disponemos de indicadores de efectividad de los principales procesos.</w:t>
      </w:r>
    </w:p>
    <w:p w14:paraId="60AEE54D" w14:textId="6205E847" w:rsidR="00977D9C" w:rsidRPr="00A4233F" w:rsidRDefault="006D62FE" w:rsidP="00916E17">
      <w:pPr>
        <w:keepNext/>
        <w:spacing w:before="240" w:after="0"/>
        <w:jc w:val="both"/>
        <w:outlineLvl w:val="3"/>
        <w:rPr>
          <w:rFonts w:ascii="Times New Roman" w:eastAsia="Times New Roman" w:hAnsi="Times New Roman" w:cs="Times New Roman"/>
          <w:b/>
          <w:bCs/>
          <w:color w:val="4C4747"/>
          <w:sz w:val="24"/>
          <w:szCs w:val="28"/>
          <w:lang w:val="es-DO" w:eastAsia="es-DO"/>
        </w:rPr>
      </w:pPr>
      <w:r w:rsidRPr="00A4233F">
        <w:rPr>
          <w:rFonts w:ascii="Times New Roman" w:eastAsia="Times New Roman" w:hAnsi="Times New Roman" w:cs="Times New Roman"/>
          <w:b/>
          <w:bCs/>
          <w:color w:val="4C4747"/>
          <w:sz w:val="24"/>
          <w:szCs w:val="28"/>
          <w:lang w:val="es-DO" w:eastAsia="es-DO"/>
        </w:rPr>
        <w:t xml:space="preserve">4.5.3 </w:t>
      </w:r>
      <w:r w:rsidR="00977D9C" w:rsidRPr="00A4233F">
        <w:rPr>
          <w:rFonts w:ascii="Times New Roman" w:eastAsia="Times New Roman" w:hAnsi="Times New Roman" w:cs="Times New Roman"/>
          <w:b/>
          <w:bCs/>
          <w:color w:val="4C4747"/>
          <w:sz w:val="24"/>
          <w:szCs w:val="28"/>
          <w:lang w:val="es-DO" w:eastAsia="es-DO"/>
        </w:rPr>
        <w:t>Acciones para el Fortalecimiento Institucional</w:t>
      </w:r>
    </w:p>
    <w:p w14:paraId="309FA333" w14:textId="77777777" w:rsidR="00977D9C" w:rsidRPr="00A4233F" w:rsidRDefault="00977D9C" w:rsidP="00977D9C">
      <w:pPr>
        <w:pStyle w:val="Sinespaciado"/>
        <w:rPr>
          <w:color w:val="4C4747"/>
          <w:lang w:val="es-DO"/>
        </w:rPr>
      </w:pPr>
    </w:p>
    <w:p w14:paraId="40268A25" w14:textId="77777777" w:rsidR="00A75CDE" w:rsidRPr="00A4233F" w:rsidRDefault="00017EAE" w:rsidP="00977D9C">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w:t>
      </w:r>
      <w:r w:rsidR="00652417" w:rsidRPr="00A4233F">
        <w:rPr>
          <w:rFonts w:ascii="Times New Roman" w:eastAsia="Calibri" w:hAnsi="Times New Roman" w:cs="Times New Roman"/>
          <w:color w:val="4C4747"/>
          <w:spacing w:val="20"/>
          <w:sz w:val="24"/>
          <w:szCs w:val="24"/>
          <w:lang w:val="es-DO"/>
        </w:rPr>
        <w:t xml:space="preserve">l </w:t>
      </w:r>
      <w:r w:rsidRPr="00A4233F">
        <w:rPr>
          <w:rFonts w:ascii="Times New Roman" w:eastAsia="Calibri" w:hAnsi="Times New Roman" w:cs="Times New Roman"/>
          <w:color w:val="4C4747"/>
          <w:spacing w:val="20"/>
          <w:sz w:val="24"/>
          <w:szCs w:val="24"/>
          <w:lang w:val="es-DO"/>
        </w:rPr>
        <w:t>Plan Estratégico Instituci</w:t>
      </w:r>
      <w:r w:rsidR="008C215F" w:rsidRPr="00A4233F">
        <w:rPr>
          <w:rFonts w:ascii="Times New Roman" w:eastAsia="Calibri" w:hAnsi="Times New Roman" w:cs="Times New Roman"/>
          <w:color w:val="4C4747"/>
          <w:spacing w:val="20"/>
          <w:sz w:val="24"/>
          <w:szCs w:val="24"/>
          <w:lang w:val="es-DO"/>
        </w:rPr>
        <w:t xml:space="preserve">onal (PEI) 2021-2024 </w:t>
      </w:r>
      <w:r w:rsidR="00E85EFE" w:rsidRPr="00A4233F">
        <w:rPr>
          <w:rFonts w:ascii="Times New Roman" w:eastAsia="Calibri" w:hAnsi="Times New Roman" w:cs="Times New Roman"/>
          <w:color w:val="4C4747"/>
          <w:spacing w:val="20"/>
          <w:sz w:val="24"/>
          <w:szCs w:val="24"/>
          <w:lang w:val="es-DO"/>
        </w:rPr>
        <w:t xml:space="preserve">fueron definidos 4 </w:t>
      </w:r>
      <w:r w:rsidRPr="00A4233F">
        <w:rPr>
          <w:rFonts w:ascii="Times New Roman" w:eastAsia="Calibri" w:hAnsi="Times New Roman" w:cs="Times New Roman"/>
          <w:color w:val="4C4747"/>
          <w:spacing w:val="20"/>
          <w:sz w:val="24"/>
          <w:szCs w:val="24"/>
          <w:lang w:val="es-DO"/>
        </w:rPr>
        <w:t xml:space="preserve">Ejes Estratégicos, uno de ellos es el Eje de Fortalecimiento Institucional </w:t>
      </w:r>
      <w:r w:rsidR="00271397" w:rsidRPr="00A4233F">
        <w:rPr>
          <w:rFonts w:ascii="Times New Roman" w:eastAsia="Calibri" w:hAnsi="Times New Roman" w:cs="Times New Roman"/>
          <w:color w:val="4C4747"/>
          <w:spacing w:val="20"/>
          <w:sz w:val="24"/>
          <w:szCs w:val="24"/>
          <w:lang w:val="es-DO"/>
        </w:rPr>
        <w:t xml:space="preserve">que </w:t>
      </w:r>
      <w:r w:rsidRPr="00A4233F">
        <w:rPr>
          <w:rFonts w:ascii="Times New Roman" w:eastAsia="Calibri" w:hAnsi="Times New Roman" w:cs="Times New Roman"/>
          <w:color w:val="4C4747"/>
          <w:spacing w:val="20"/>
          <w:sz w:val="24"/>
          <w:szCs w:val="24"/>
          <w:lang w:val="es-DO"/>
        </w:rPr>
        <w:t>tiene como finalidad fortalecer las áreas de apoyo y transversales para eficientizar la gestión institucional</w:t>
      </w:r>
      <w:r w:rsidR="00E07D8F" w:rsidRPr="00A4233F">
        <w:rPr>
          <w:rFonts w:ascii="Times New Roman" w:eastAsia="Calibri" w:hAnsi="Times New Roman" w:cs="Times New Roman"/>
          <w:color w:val="4C4747"/>
          <w:spacing w:val="20"/>
          <w:sz w:val="24"/>
          <w:szCs w:val="24"/>
          <w:lang w:val="es-DO"/>
        </w:rPr>
        <w:t xml:space="preserve">. </w:t>
      </w:r>
      <w:r w:rsidRPr="00A4233F">
        <w:rPr>
          <w:rFonts w:ascii="Times New Roman" w:eastAsia="Calibri" w:hAnsi="Times New Roman" w:cs="Times New Roman"/>
          <w:color w:val="4C4747"/>
          <w:spacing w:val="20"/>
          <w:sz w:val="24"/>
          <w:szCs w:val="24"/>
          <w:lang w:val="es-DO"/>
        </w:rPr>
        <w:t>Las iniciativas llevadas a cabo por las áreas que impactan este Eje están siendo mencionadas en las diferentes secciones del presente acápite de “Resultados Áreas Transversales y de Apoyo”</w:t>
      </w:r>
      <w:r w:rsidR="00556352" w:rsidRPr="00A4233F">
        <w:rPr>
          <w:rFonts w:ascii="Times New Roman" w:eastAsia="Calibri" w:hAnsi="Times New Roman" w:cs="Times New Roman"/>
          <w:color w:val="4C4747"/>
          <w:spacing w:val="20"/>
          <w:sz w:val="24"/>
          <w:szCs w:val="24"/>
          <w:lang w:val="es-DO"/>
        </w:rPr>
        <w:t xml:space="preserve"> y el cumplimiento de las metas establecidas en este Eje se miden en la evaluación del Plan Operativo Anual (POA).</w:t>
      </w:r>
    </w:p>
    <w:p w14:paraId="753BD791" w14:textId="77777777" w:rsidR="00A75CDE" w:rsidRPr="00A4233F" w:rsidRDefault="00A75CDE" w:rsidP="00977D9C">
      <w:pPr>
        <w:spacing w:line="360" w:lineRule="auto"/>
        <w:jc w:val="both"/>
        <w:rPr>
          <w:rFonts w:ascii="Times New Roman" w:eastAsia="Calibri" w:hAnsi="Times New Roman" w:cs="Times New Roman"/>
          <w:color w:val="4C4747"/>
          <w:spacing w:val="20"/>
          <w:sz w:val="24"/>
          <w:szCs w:val="24"/>
          <w:lang w:val="es-DO"/>
        </w:rPr>
      </w:pPr>
    </w:p>
    <w:p w14:paraId="1644102E" w14:textId="77777777" w:rsidR="00A75CDE" w:rsidRPr="00A4233F" w:rsidRDefault="00556352" w:rsidP="00A75CDE">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 </w:t>
      </w:r>
    </w:p>
    <w:p w14:paraId="03F49745" w14:textId="77777777" w:rsidR="00A75CDE" w:rsidRPr="00A4233F" w:rsidRDefault="00A75CDE" w:rsidP="00A75CDE">
      <w:pPr>
        <w:spacing w:line="360" w:lineRule="auto"/>
        <w:jc w:val="both"/>
        <w:rPr>
          <w:rFonts w:ascii="Times New Roman" w:eastAsia="Calibri" w:hAnsi="Times New Roman" w:cs="Times New Roman"/>
          <w:color w:val="4C4747"/>
          <w:spacing w:val="20"/>
          <w:sz w:val="24"/>
          <w:szCs w:val="24"/>
          <w:lang w:val="es-DO"/>
        </w:rPr>
      </w:pPr>
    </w:p>
    <w:p w14:paraId="2D2CBAE5" w14:textId="77777777" w:rsidR="00790E59" w:rsidRPr="00A4233F" w:rsidRDefault="00790E59" w:rsidP="00A75CDE">
      <w:pPr>
        <w:spacing w:line="360" w:lineRule="auto"/>
        <w:jc w:val="both"/>
        <w:rPr>
          <w:rFonts w:ascii="Times New Roman" w:eastAsia="Calibri" w:hAnsi="Times New Roman" w:cs="Times New Roman"/>
          <w:color w:val="4C4747"/>
          <w:spacing w:val="20"/>
          <w:sz w:val="24"/>
          <w:szCs w:val="24"/>
          <w:lang w:val="es-DO"/>
        </w:rPr>
      </w:pPr>
    </w:p>
    <w:p w14:paraId="280AA042" w14:textId="77777777" w:rsidR="00790E59" w:rsidRPr="00A4233F" w:rsidRDefault="00790E59" w:rsidP="00A75CDE">
      <w:pPr>
        <w:spacing w:line="360" w:lineRule="auto"/>
        <w:jc w:val="both"/>
        <w:rPr>
          <w:rFonts w:ascii="Times New Roman" w:eastAsia="Calibri" w:hAnsi="Times New Roman" w:cs="Times New Roman"/>
          <w:color w:val="4C4747"/>
          <w:spacing w:val="20"/>
          <w:sz w:val="24"/>
          <w:szCs w:val="24"/>
          <w:lang w:val="es-DO"/>
        </w:rPr>
      </w:pPr>
    </w:p>
    <w:p w14:paraId="58D41D00" w14:textId="6F0BA7AE" w:rsidR="00A75CDE" w:rsidRPr="00A4233F" w:rsidRDefault="00E86F9C" w:rsidP="00A75CDE">
      <w:pPr>
        <w:spacing w:line="360" w:lineRule="auto"/>
        <w:jc w:val="both"/>
        <w:rPr>
          <w:rFonts w:ascii="Times New Roman" w:hAnsi="Times New Roman" w:cs="Times New Roman"/>
          <w:b/>
          <w:color w:val="4C4747"/>
          <w:sz w:val="24"/>
          <w:szCs w:val="24"/>
          <w:lang w:val="es-DO" w:eastAsia="es-DO"/>
        </w:rPr>
      </w:pPr>
      <w:r w:rsidRPr="00A4233F">
        <w:rPr>
          <w:rFonts w:ascii="Times New Roman" w:hAnsi="Times New Roman" w:cs="Times New Roman"/>
          <w:b/>
          <w:color w:val="4C4747"/>
          <w:sz w:val="24"/>
          <w:szCs w:val="24"/>
          <w:lang w:val="es-DO" w:eastAsia="es-DO"/>
        </w:rPr>
        <w:lastRenderedPageBreak/>
        <w:t xml:space="preserve">4.5.4 </w:t>
      </w:r>
      <w:r w:rsidR="00FF04FC" w:rsidRPr="00A4233F">
        <w:rPr>
          <w:rFonts w:ascii="Times New Roman" w:hAnsi="Times New Roman" w:cs="Times New Roman"/>
          <w:b/>
          <w:color w:val="4C4747"/>
          <w:sz w:val="24"/>
          <w:szCs w:val="24"/>
          <w:lang w:val="es-DO" w:eastAsia="es-DO"/>
        </w:rPr>
        <w:t>Equidad de Género</w:t>
      </w:r>
    </w:p>
    <w:p w14:paraId="78A51500" w14:textId="77777777" w:rsidR="00FE3890" w:rsidRPr="00A4233F" w:rsidRDefault="00FE3890" w:rsidP="00FE389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 INDOTEL, acogiéndose a la iniciativa del Ministerio de la Mujer de transversalizar el enfoque de género en la planificación nacional, se encuentra implementando el Sello de Igualdad de Género en  el sector público, el cual es un acelerador para el logro de la igualdad de género y de la Agenda 2030, que busca transformar las instituciones en sus dimensiones internas y externas, con la promoción de acciones encaminadas a eliminar brechas de género y aumentar la participación y las oportunidades laborales equitativas entre mujeres y hombres.</w:t>
      </w:r>
    </w:p>
    <w:p w14:paraId="70238D1E" w14:textId="77777777" w:rsidR="00FE3890" w:rsidRPr="00A4233F" w:rsidRDefault="00FE3890" w:rsidP="00FE389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A la fecha, nos encontramos en el proceso de ejecución del plan de acción para cumplir con los requerimientos establecidos por el Sello a través de las cinco dimensiones que se evalúan las cuales son: Planificación para la Igualdad, Capacidades y Arquitectura para la Igualdad de Género, Ambiente Laboral para la Igualdad de Género, Alianzas para la Igualdad e Impacto en las Políticas Públicas, las cuales tienen como finalidad impulsar el desarrollo de una cultura organizacional favorable para la igualdad de género.</w:t>
      </w:r>
    </w:p>
    <w:p w14:paraId="1EE9BC4D" w14:textId="77777777" w:rsidR="00FE3890" w:rsidRPr="00A4233F" w:rsidRDefault="00FE3890" w:rsidP="00FE389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Hemos dado inicio a la elaboración de cápsulas informativas sobre temas concernientes a la igualdad de género para ser incluidas en el boletín institucional.</w:t>
      </w:r>
    </w:p>
    <w:p w14:paraId="07E987F4" w14:textId="77777777" w:rsidR="00FE3890" w:rsidRPr="00A4233F" w:rsidRDefault="00FE3890" w:rsidP="00FE389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Con el objetivo de sensibilizar al personal del INDOTEL sobre temas relativos a la equidad de género y la inclusión, se han impartido una serie de encuentros formativos, algunos coordinados junto al Programa de las Naciones Unidas para el Desarrollo (PNUD) y el Ministerio de la Mujer:</w:t>
      </w:r>
    </w:p>
    <w:p w14:paraId="2511550A" w14:textId="75249D57" w:rsidR="00FE3890" w:rsidRPr="00A4233F" w:rsidRDefault="00916E17" w:rsidP="00A02BDE">
      <w:pPr>
        <w:pStyle w:val="Prrafodelista"/>
        <w:numPr>
          <w:ilvl w:val="0"/>
          <w:numId w:val="26"/>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w:t>
      </w:r>
      <w:r w:rsidR="00FE3890" w:rsidRPr="00A4233F">
        <w:rPr>
          <w:rFonts w:ascii="Times New Roman" w:eastAsia="Calibri" w:hAnsi="Times New Roman" w:cs="Times New Roman"/>
          <w:color w:val="4C4747"/>
          <w:spacing w:val="20"/>
          <w:sz w:val="24"/>
          <w:szCs w:val="24"/>
          <w:lang w:val="es-DO"/>
        </w:rPr>
        <w:t>C</w:t>
      </w:r>
      <w:r w:rsidRPr="00A4233F">
        <w:rPr>
          <w:rFonts w:ascii="Times New Roman" w:eastAsia="Calibri" w:hAnsi="Times New Roman" w:cs="Times New Roman"/>
          <w:color w:val="4C4747"/>
          <w:spacing w:val="20"/>
          <w:sz w:val="24"/>
          <w:szCs w:val="24"/>
          <w:lang w:val="es-DO"/>
        </w:rPr>
        <w:t>harla Sobre Sello de Igualdad”</w:t>
      </w:r>
    </w:p>
    <w:p w14:paraId="24F8195B" w14:textId="1CCA0EE6" w:rsidR="00FE3890" w:rsidRPr="00A4233F" w:rsidRDefault="00916E17" w:rsidP="00A02BDE">
      <w:pPr>
        <w:pStyle w:val="Prrafodelista"/>
        <w:numPr>
          <w:ilvl w:val="0"/>
          <w:numId w:val="26"/>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w:t>
      </w:r>
      <w:r w:rsidR="00FE3890" w:rsidRPr="00A4233F">
        <w:rPr>
          <w:rFonts w:ascii="Times New Roman" w:eastAsia="Calibri" w:hAnsi="Times New Roman" w:cs="Times New Roman"/>
          <w:color w:val="4C4747"/>
          <w:spacing w:val="20"/>
          <w:sz w:val="24"/>
          <w:szCs w:val="24"/>
          <w:lang w:val="es-DO"/>
        </w:rPr>
        <w:t>Medidas para abordar las Brechas Salari</w:t>
      </w:r>
      <w:r w:rsidRPr="00A4233F">
        <w:rPr>
          <w:rFonts w:ascii="Times New Roman" w:eastAsia="Calibri" w:hAnsi="Times New Roman" w:cs="Times New Roman"/>
          <w:color w:val="4C4747"/>
          <w:spacing w:val="20"/>
          <w:sz w:val="24"/>
          <w:szCs w:val="24"/>
          <w:lang w:val="es-DO"/>
        </w:rPr>
        <w:t>ales en el Sector Público”</w:t>
      </w:r>
      <w:r w:rsidR="00FE3890" w:rsidRPr="00A4233F">
        <w:rPr>
          <w:rFonts w:ascii="Times New Roman" w:eastAsia="Calibri" w:hAnsi="Times New Roman" w:cs="Times New Roman"/>
          <w:color w:val="4C4747"/>
          <w:spacing w:val="20"/>
          <w:sz w:val="24"/>
          <w:szCs w:val="24"/>
          <w:lang w:val="es-DO"/>
        </w:rPr>
        <w:t>, dirigido al personal, coordinado por el Ministerio de la Mujer.</w:t>
      </w:r>
    </w:p>
    <w:p w14:paraId="5CF17ECA" w14:textId="77777777" w:rsidR="00FE3890" w:rsidRDefault="00FE3890" w:rsidP="00FE389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el mes de septiembre se impartieron una serie de capacitaciones, las cuales buscaron promover en el personal directivo una mayor comprensión de las barreras estructurales que enfrentan diferentes grupos sociales en el país, así como incentivar las actitudes favorables a la diversidad, la igualdad de género, el respeto de los derechos humanos y la formulación de políticas públicas inclusivas. Las mismas fueron impartidas por personal técnico del Programa de las Naciones Unidas para el Desarrollo (PNUD), las cuales se detallan a continuación:</w:t>
      </w:r>
    </w:p>
    <w:p w14:paraId="3799F735" w14:textId="7D300E5A" w:rsidR="00FE3890" w:rsidRPr="00BB4D02" w:rsidRDefault="00FE3890" w:rsidP="00A02BDE">
      <w:pPr>
        <w:pStyle w:val="Prrafodelista"/>
        <w:numPr>
          <w:ilvl w:val="0"/>
          <w:numId w:val="38"/>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Fundamentos de los derechos humanos e inclusión de personas con VIH</w:t>
      </w:r>
    </w:p>
    <w:p w14:paraId="28AD6E58" w14:textId="6659A56C" w:rsidR="00FE3890" w:rsidRPr="00BB4D02" w:rsidRDefault="00FE3890" w:rsidP="00A02BDE">
      <w:pPr>
        <w:pStyle w:val="Prrafodelista"/>
        <w:numPr>
          <w:ilvl w:val="0"/>
          <w:numId w:val="38"/>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Introducción a la discapacidad: Concepto, terminología y análisis             </w:t>
      </w:r>
    </w:p>
    <w:p w14:paraId="206EE164" w14:textId="182C17BF" w:rsidR="00FE3890" w:rsidRPr="00BB4D02" w:rsidRDefault="00FE3890" w:rsidP="00A02BDE">
      <w:pPr>
        <w:pStyle w:val="Prrafodelista"/>
        <w:numPr>
          <w:ilvl w:val="0"/>
          <w:numId w:val="38"/>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Enfoque de género en las políticas públicas </w:t>
      </w:r>
    </w:p>
    <w:p w14:paraId="58C96E60" w14:textId="6E97C95C" w:rsidR="00FE3890" w:rsidRPr="00BB4D02" w:rsidRDefault="00FE3890" w:rsidP="00A02BDE">
      <w:pPr>
        <w:pStyle w:val="Prrafodelista"/>
        <w:numPr>
          <w:ilvl w:val="0"/>
          <w:numId w:val="38"/>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Enfoque de derechos humanos en la formulación de políticas públicas                                                                                   </w:t>
      </w:r>
    </w:p>
    <w:p w14:paraId="032389A3" w14:textId="5014B97E" w:rsidR="00556352" w:rsidRPr="00BB4D02" w:rsidRDefault="00FE3890" w:rsidP="00A02BDE">
      <w:pPr>
        <w:pStyle w:val="Prrafodelista"/>
        <w:numPr>
          <w:ilvl w:val="0"/>
          <w:numId w:val="38"/>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Derechos humanos e inclusió</w:t>
      </w:r>
      <w:r w:rsidR="00916E17" w:rsidRPr="00BB4D02">
        <w:rPr>
          <w:rFonts w:ascii="Times New Roman" w:eastAsia="Calibri" w:hAnsi="Times New Roman" w:cs="Times New Roman"/>
          <w:color w:val="4C4747"/>
          <w:spacing w:val="20"/>
          <w:sz w:val="24"/>
          <w:szCs w:val="24"/>
          <w:lang w:val="es-DO"/>
        </w:rPr>
        <w:t>n de personas LGBTI+</w:t>
      </w:r>
    </w:p>
    <w:p w14:paraId="00C7C053" w14:textId="3D879441" w:rsidR="00FE3890" w:rsidRPr="00A4233F" w:rsidRDefault="00FE3890" w:rsidP="00916E17">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el mes de noviembre se implement</w:t>
      </w:r>
      <w:r w:rsidR="00916E17" w:rsidRPr="00A4233F">
        <w:rPr>
          <w:rFonts w:ascii="Times New Roman" w:eastAsia="Calibri" w:hAnsi="Times New Roman" w:cs="Times New Roman"/>
          <w:color w:val="4C4747"/>
          <w:spacing w:val="20"/>
          <w:sz w:val="24"/>
          <w:szCs w:val="24"/>
          <w:lang w:val="es-DO"/>
        </w:rPr>
        <w:t>ó la “Campaña Tolerancia Cero”</w:t>
      </w:r>
      <w:r w:rsidRPr="00A4233F">
        <w:rPr>
          <w:rFonts w:ascii="Times New Roman" w:eastAsia="Calibri" w:hAnsi="Times New Roman" w:cs="Times New Roman"/>
          <w:color w:val="4C4747"/>
          <w:spacing w:val="20"/>
          <w:sz w:val="24"/>
          <w:szCs w:val="24"/>
          <w:lang w:val="es-DO"/>
        </w:rPr>
        <w:t xml:space="preserve">, con el objetivo de prevenir todo tipo de violencia en el ámbito laboral, las misma  incluyó capsulas informativas difundidas en las redes sociales y en los murales digitales de la institución, video de la posición de las máximas autoridades del </w:t>
      </w:r>
      <w:r w:rsidR="00916E17" w:rsidRPr="00A4233F">
        <w:rPr>
          <w:rFonts w:ascii="Times New Roman" w:eastAsia="Calibri" w:hAnsi="Times New Roman" w:cs="Times New Roman"/>
          <w:color w:val="4C4747"/>
          <w:spacing w:val="20"/>
          <w:sz w:val="24"/>
          <w:szCs w:val="24"/>
          <w:lang w:val="es-DO"/>
        </w:rPr>
        <w:t>INDOTEL</w:t>
      </w:r>
      <w:r w:rsidRPr="00A4233F">
        <w:rPr>
          <w:rFonts w:ascii="Times New Roman" w:eastAsia="Calibri" w:hAnsi="Times New Roman" w:cs="Times New Roman"/>
          <w:color w:val="4C4747"/>
          <w:spacing w:val="20"/>
          <w:sz w:val="24"/>
          <w:szCs w:val="24"/>
          <w:lang w:val="es-DO"/>
        </w:rPr>
        <w:t xml:space="preserve"> e informativos con respecto al tema,  difusión de los medios de denuncia y se culminó con una charla de Violencia y Acoso en el Trabajo impartido por personal técnico del Programa de las Naciones Unidas para el </w:t>
      </w:r>
      <w:r w:rsidRPr="00A4233F">
        <w:rPr>
          <w:rFonts w:ascii="Times New Roman" w:eastAsia="Calibri" w:hAnsi="Times New Roman" w:cs="Times New Roman"/>
          <w:color w:val="4C4747"/>
          <w:spacing w:val="20"/>
          <w:sz w:val="24"/>
          <w:szCs w:val="24"/>
          <w:lang w:val="es-DO"/>
        </w:rPr>
        <w:lastRenderedPageBreak/>
        <w:t>Desarrollo (PNUD) a todos los colaboradores y colaboradoras de la institución.</w:t>
      </w:r>
    </w:p>
    <w:p w14:paraId="0A29DFE3" w14:textId="528A6C8D" w:rsidR="00FE3890" w:rsidRPr="00A4233F" w:rsidRDefault="00FE3890" w:rsidP="00FE389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Parte del Equipo Técnico de</w:t>
      </w:r>
      <w:r w:rsidR="00916E17" w:rsidRPr="00A4233F">
        <w:rPr>
          <w:rFonts w:ascii="Times New Roman" w:eastAsia="Calibri" w:hAnsi="Times New Roman" w:cs="Times New Roman"/>
          <w:color w:val="4C4747"/>
          <w:spacing w:val="20"/>
          <w:sz w:val="24"/>
          <w:szCs w:val="24"/>
          <w:lang w:val="es-DO"/>
        </w:rPr>
        <w:t xml:space="preserve"> Género participó en el Curso “</w:t>
      </w:r>
      <w:r w:rsidRPr="00A4233F">
        <w:rPr>
          <w:rFonts w:ascii="Times New Roman" w:eastAsia="Calibri" w:hAnsi="Times New Roman" w:cs="Times New Roman"/>
          <w:color w:val="4C4747"/>
          <w:spacing w:val="20"/>
          <w:sz w:val="24"/>
          <w:szCs w:val="24"/>
          <w:lang w:val="es-DO"/>
        </w:rPr>
        <w:t>Principios Básicos de Gé</w:t>
      </w:r>
      <w:r w:rsidR="00916E17" w:rsidRPr="00A4233F">
        <w:rPr>
          <w:rFonts w:ascii="Times New Roman" w:eastAsia="Calibri" w:hAnsi="Times New Roman" w:cs="Times New Roman"/>
          <w:color w:val="4C4747"/>
          <w:spacing w:val="20"/>
          <w:sz w:val="24"/>
          <w:szCs w:val="24"/>
          <w:lang w:val="es-DO"/>
        </w:rPr>
        <w:t>nero y Prevención de Violencia”</w:t>
      </w:r>
      <w:r w:rsidRPr="00A4233F">
        <w:rPr>
          <w:rFonts w:ascii="Times New Roman" w:eastAsia="Calibri" w:hAnsi="Times New Roman" w:cs="Times New Roman"/>
          <w:color w:val="4C4747"/>
          <w:spacing w:val="20"/>
          <w:sz w:val="24"/>
          <w:szCs w:val="24"/>
          <w:lang w:val="es-DO"/>
        </w:rPr>
        <w:t xml:space="preserve"> impartido por técnicos de la Escuela de Igualdad de la Dirección de Educación en Género del Ministerio de la Mujer.</w:t>
      </w:r>
    </w:p>
    <w:p w14:paraId="51AF344E" w14:textId="51718CFF" w:rsidR="00FF04FC" w:rsidRPr="00C62BB6" w:rsidRDefault="00FF04FC" w:rsidP="00977D9C">
      <w:pPr>
        <w:spacing w:line="360" w:lineRule="auto"/>
        <w:jc w:val="both"/>
        <w:rPr>
          <w:rFonts w:ascii="Times New Roman" w:eastAsia="Calibri" w:hAnsi="Times New Roman" w:cs="Times New Roman"/>
          <w:color w:val="4C4747"/>
          <w:spacing w:val="20"/>
          <w:sz w:val="24"/>
          <w:szCs w:val="24"/>
          <w:lang w:val="es-DO"/>
        </w:rPr>
      </w:pPr>
    </w:p>
    <w:p w14:paraId="45310451"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047F5E03"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2546509D"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158F615E"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38970DD1"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15F9ED62"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30149601"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20CB7031"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379BDABF"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7123AE25"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4315FB83"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4693EC74"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33E30638"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27725149"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67A5272C"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45DCB207" w14:textId="77777777" w:rsidR="00E86F9C" w:rsidRPr="00C62BB6" w:rsidRDefault="00E86F9C" w:rsidP="00977D9C">
      <w:pPr>
        <w:spacing w:line="360" w:lineRule="auto"/>
        <w:jc w:val="both"/>
        <w:rPr>
          <w:rFonts w:ascii="Times New Roman" w:eastAsia="Calibri" w:hAnsi="Times New Roman" w:cs="Times New Roman"/>
          <w:color w:val="4C4747"/>
          <w:spacing w:val="20"/>
          <w:sz w:val="24"/>
          <w:szCs w:val="24"/>
          <w:lang w:val="es-DO"/>
        </w:rPr>
      </w:pPr>
    </w:p>
    <w:p w14:paraId="6ED6A0C9" w14:textId="342DB70C" w:rsidR="00977D9C" w:rsidRPr="00A4233F" w:rsidRDefault="00A75CDE" w:rsidP="00977D9C">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30" w:name="_Toc79678425"/>
      <w:bookmarkStart w:id="31" w:name="_Toc122425248"/>
      <w:r w:rsidRPr="00C62BB6">
        <w:rPr>
          <w:rFonts w:ascii="Times New Roman" w:eastAsia="Times New Roman" w:hAnsi="Times New Roman" w:cs="Times New Roman"/>
          <w:b/>
          <w:bCs/>
          <w:color w:val="4C4747"/>
          <w:sz w:val="24"/>
          <w:szCs w:val="28"/>
          <w:lang w:val="es-DO" w:eastAsia="es-DO"/>
        </w:rPr>
        <w:lastRenderedPageBreak/>
        <w:t xml:space="preserve">4.6 </w:t>
      </w:r>
      <w:r w:rsidR="00977D9C" w:rsidRPr="00A4233F">
        <w:rPr>
          <w:rFonts w:ascii="Times New Roman" w:eastAsia="Times New Roman" w:hAnsi="Times New Roman" w:cs="Times New Roman"/>
          <w:b/>
          <w:bCs/>
          <w:color w:val="4C4747"/>
          <w:sz w:val="24"/>
          <w:szCs w:val="28"/>
          <w:lang w:val="es-DO" w:eastAsia="es-DO"/>
        </w:rPr>
        <w:t>Desempeño del Área de Comunicaciones</w:t>
      </w:r>
      <w:bookmarkEnd w:id="30"/>
      <w:bookmarkEnd w:id="31"/>
    </w:p>
    <w:p w14:paraId="3AE3387B" w14:textId="77777777" w:rsidR="00977D9C" w:rsidRPr="00A4233F" w:rsidRDefault="00977D9C" w:rsidP="00977D9C">
      <w:pPr>
        <w:pStyle w:val="Sinespaciado"/>
        <w:rPr>
          <w:color w:val="4C4747"/>
          <w:lang w:val="es-DO"/>
        </w:rPr>
      </w:pPr>
    </w:p>
    <w:p w14:paraId="693E1C1F" w14:textId="542CAFFB" w:rsidR="00C356F0" w:rsidRPr="00A4233F" w:rsidRDefault="0023702B"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En el </w:t>
      </w:r>
      <w:r w:rsidR="00F245FB" w:rsidRPr="00A4233F">
        <w:rPr>
          <w:rFonts w:ascii="Times New Roman" w:eastAsia="Calibri" w:hAnsi="Times New Roman" w:cs="Times New Roman"/>
          <w:color w:val="4C4747"/>
          <w:spacing w:val="20"/>
          <w:sz w:val="24"/>
          <w:szCs w:val="24"/>
          <w:lang w:val="es-DO"/>
        </w:rPr>
        <w:t>INDOTEL</w:t>
      </w:r>
      <w:r w:rsidRPr="00A4233F">
        <w:rPr>
          <w:rFonts w:ascii="Times New Roman" w:eastAsia="Calibri" w:hAnsi="Times New Roman" w:cs="Times New Roman"/>
          <w:color w:val="4C4747"/>
          <w:spacing w:val="20"/>
          <w:sz w:val="24"/>
          <w:szCs w:val="24"/>
          <w:lang w:val="es-DO"/>
        </w:rPr>
        <w:t xml:space="preserve"> a través de la</w:t>
      </w:r>
      <w:r w:rsidR="00C356F0" w:rsidRPr="00A4233F">
        <w:rPr>
          <w:rFonts w:ascii="Times New Roman" w:eastAsia="Calibri" w:hAnsi="Times New Roman" w:cs="Times New Roman"/>
          <w:color w:val="4C4747"/>
          <w:spacing w:val="20"/>
          <w:sz w:val="24"/>
          <w:szCs w:val="24"/>
          <w:lang w:val="es-DO"/>
        </w:rPr>
        <w:t xml:space="preserve"> </w:t>
      </w:r>
      <w:r w:rsidR="00EB2EA6" w:rsidRPr="00A4233F">
        <w:rPr>
          <w:rFonts w:ascii="Times New Roman" w:eastAsia="Calibri" w:hAnsi="Times New Roman" w:cs="Times New Roman"/>
          <w:color w:val="4C4747"/>
          <w:spacing w:val="20"/>
          <w:sz w:val="24"/>
          <w:szCs w:val="24"/>
          <w:lang w:val="es-DO"/>
        </w:rPr>
        <w:t>Dirección de</w:t>
      </w:r>
      <w:r w:rsidR="00556352" w:rsidRPr="00A4233F">
        <w:rPr>
          <w:rFonts w:ascii="Times New Roman" w:eastAsia="Calibri" w:hAnsi="Times New Roman" w:cs="Times New Roman"/>
          <w:color w:val="4C4747"/>
          <w:spacing w:val="20"/>
          <w:sz w:val="24"/>
          <w:szCs w:val="24"/>
          <w:lang w:val="es-DO"/>
        </w:rPr>
        <w:t xml:space="preserve"> </w:t>
      </w:r>
      <w:r w:rsidR="00C356F0" w:rsidRPr="00A4233F">
        <w:rPr>
          <w:rFonts w:ascii="Times New Roman" w:eastAsia="Calibri" w:hAnsi="Times New Roman" w:cs="Times New Roman"/>
          <w:color w:val="4C4747"/>
          <w:spacing w:val="20"/>
          <w:sz w:val="24"/>
          <w:szCs w:val="24"/>
          <w:lang w:val="es-DO"/>
        </w:rPr>
        <w:t xml:space="preserve">Relaciones Públicas y Comunicaciones </w:t>
      </w:r>
      <w:r w:rsidRPr="00A4233F">
        <w:rPr>
          <w:rFonts w:ascii="Times New Roman" w:eastAsia="Calibri" w:hAnsi="Times New Roman" w:cs="Times New Roman"/>
          <w:color w:val="4C4747"/>
          <w:spacing w:val="20"/>
          <w:sz w:val="24"/>
          <w:szCs w:val="24"/>
          <w:lang w:val="es-DO"/>
        </w:rPr>
        <w:t xml:space="preserve">se </w:t>
      </w:r>
      <w:r w:rsidR="00C356F0" w:rsidRPr="00A4233F">
        <w:rPr>
          <w:rFonts w:ascii="Times New Roman" w:eastAsia="Calibri" w:hAnsi="Times New Roman" w:cs="Times New Roman"/>
          <w:color w:val="4C4747"/>
          <w:spacing w:val="20"/>
          <w:sz w:val="24"/>
          <w:szCs w:val="24"/>
          <w:lang w:val="es-DO"/>
        </w:rPr>
        <w:t xml:space="preserve">ha planificado, desarrollado e implementado diversas acciones de comunicación y mercadeo, con el objetivo de posicionar las iniciativas de la institución con sus públicos meta internos y externos. </w:t>
      </w:r>
    </w:p>
    <w:p w14:paraId="0EC9BAC4" w14:textId="77777777" w:rsidR="00C356F0" w:rsidRPr="00A4233F" w:rsidRDefault="00C356F0" w:rsidP="00C356F0">
      <w:pPr>
        <w:pStyle w:val="NormalWeb"/>
        <w:jc w:val="both"/>
        <w:rPr>
          <w:rFonts w:eastAsia="Calibri"/>
          <w:b/>
          <w:color w:val="4C4747"/>
          <w:spacing w:val="20"/>
          <w:lang w:eastAsia="en-US"/>
        </w:rPr>
      </w:pPr>
      <w:r w:rsidRPr="00A4233F">
        <w:rPr>
          <w:rFonts w:eastAsia="Calibri"/>
          <w:b/>
          <w:color w:val="4C4747"/>
          <w:spacing w:val="20"/>
          <w:lang w:eastAsia="en-US"/>
        </w:rPr>
        <w:t>Campañas de Comunicación y Mercadeo</w:t>
      </w:r>
    </w:p>
    <w:p w14:paraId="6C0E9B16" w14:textId="3D8FFB55" w:rsidR="00C356F0" w:rsidRPr="00A4233F" w:rsidRDefault="00C356F0"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El 9 de marzo del 2022 entró en vigencia la normativa de Series Negadas que busca prevenir y minimizar el robo y reventa de equipos celulares. Para esta </w:t>
      </w:r>
      <w:r w:rsidR="009A40A4" w:rsidRPr="00A4233F">
        <w:rPr>
          <w:rFonts w:ascii="Times New Roman" w:eastAsia="Calibri" w:hAnsi="Times New Roman" w:cs="Times New Roman"/>
          <w:color w:val="4C4747"/>
          <w:spacing w:val="20"/>
          <w:sz w:val="24"/>
          <w:szCs w:val="24"/>
          <w:lang w:val="es-DO"/>
        </w:rPr>
        <w:t xml:space="preserve">normativa </w:t>
      </w:r>
      <w:r w:rsidRPr="00A4233F">
        <w:rPr>
          <w:rFonts w:ascii="Times New Roman" w:eastAsia="Calibri" w:hAnsi="Times New Roman" w:cs="Times New Roman"/>
          <w:color w:val="4C4747"/>
          <w:spacing w:val="20"/>
          <w:sz w:val="24"/>
          <w:szCs w:val="24"/>
          <w:lang w:val="es-DO"/>
        </w:rPr>
        <w:t xml:space="preserve">se realizó una campaña de comunicación multimedios por un período de tres meses, la cual se difundió en plataformas digitales sociales, prensa tradicional, </w:t>
      </w:r>
      <w:r w:rsidR="00F70234" w:rsidRPr="00A4233F">
        <w:rPr>
          <w:rFonts w:ascii="Times New Roman" w:eastAsia="Calibri" w:hAnsi="Times New Roman" w:cs="Times New Roman"/>
          <w:color w:val="4C4747"/>
          <w:spacing w:val="20"/>
          <w:sz w:val="24"/>
          <w:szCs w:val="24"/>
          <w:lang w:val="es-DO"/>
        </w:rPr>
        <w:t xml:space="preserve">medios </w:t>
      </w:r>
      <w:r w:rsidRPr="00A4233F">
        <w:rPr>
          <w:rFonts w:ascii="Times New Roman" w:eastAsia="Calibri" w:hAnsi="Times New Roman" w:cs="Times New Roman"/>
          <w:color w:val="4C4747"/>
          <w:spacing w:val="20"/>
          <w:sz w:val="24"/>
          <w:szCs w:val="24"/>
          <w:lang w:val="es-DO"/>
        </w:rPr>
        <w:t>de televisión y radio.</w:t>
      </w:r>
    </w:p>
    <w:p w14:paraId="206608CA" w14:textId="452E2FBF" w:rsidR="00C356F0" w:rsidRPr="00A4233F" w:rsidRDefault="00C356F0" w:rsidP="00916E17">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Esta campaña arrojó más de 80 mil resultados de búsqueda en distintos navegadores. Las palabras claves más utilizadas por los usuarios fueron “Instituto Dominicano de la Telecomunicaciones, IMEl, Lista Negra, y Teléfono Móvil” generado un tráfico de </w:t>
      </w:r>
      <w:r w:rsidR="00916E17" w:rsidRPr="00A4233F">
        <w:rPr>
          <w:rFonts w:ascii="Times New Roman" w:eastAsia="Calibri" w:hAnsi="Times New Roman" w:cs="Times New Roman"/>
          <w:color w:val="4C4747"/>
          <w:spacing w:val="20"/>
          <w:sz w:val="24"/>
          <w:szCs w:val="24"/>
          <w:lang w:val="es-DO"/>
        </w:rPr>
        <w:t>26,484 vistas en la página web.</w:t>
      </w:r>
    </w:p>
    <w:p w14:paraId="056BE74E" w14:textId="77777777" w:rsidR="00C356F0" w:rsidRPr="00C62BB6" w:rsidRDefault="00C356F0" w:rsidP="00C356F0">
      <w:pP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noProof/>
          <w:color w:val="4C4747"/>
          <w:spacing w:val="20"/>
          <w:sz w:val="24"/>
          <w:szCs w:val="24"/>
        </w:rPr>
        <w:drawing>
          <wp:inline distT="0" distB="0" distL="0" distR="0" wp14:anchorId="15E22B2B" wp14:editId="147F093C">
            <wp:extent cx="4954137" cy="2149940"/>
            <wp:effectExtent l="19050" t="19050" r="18415" b="22225"/>
            <wp:docPr id="2059" name="Imagen 20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stretch>
                      <a:fillRect/>
                    </a:stretch>
                  </pic:blipFill>
                  <pic:spPr>
                    <a:xfrm>
                      <a:off x="0" y="0"/>
                      <a:ext cx="4963981" cy="2154212"/>
                    </a:xfrm>
                    <a:prstGeom prst="rect">
                      <a:avLst/>
                    </a:prstGeom>
                    <a:ln>
                      <a:solidFill>
                        <a:schemeClr val="bg1">
                          <a:lumMod val="50000"/>
                        </a:schemeClr>
                      </a:solidFill>
                    </a:ln>
                  </pic:spPr>
                </pic:pic>
              </a:graphicData>
            </a:graphic>
          </wp:inline>
        </w:drawing>
      </w:r>
    </w:p>
    <w:p w14:paraId="17955E79" w14:textId="77777777" w:rsidR="00C356F0" w:rsidRPr="00C62BB6" w:rsidRDefault="00C356F0" w:rsidP="00C356F0">
      <w:pPr>
        <w:spacing w:after="0" w:line="240" w:lineRule="auto"/>
        <w:rPr>
          <w:rFonts w:ascii="Times New Roman" w:eastAsia="Calibri" w:hAnsi="Times New Roman" w:cs="Times New Roman"/>
          <w:color w:val="4C4747"/>
          <w:spacing w:val="20"/>
          <w:sz w:val="18"/>
          <w:szCs w:val="24"/>
        </w:rPr>
      </w:pPr>
      <w:r w:rsidRPr="00C62BB6">
        <w:rPr>
          <w:rFonts w:ascii="Times New Roman" w:eastAsia="Calibri" w:hAnsi="Times New Roman" w:cs="Times New Roman"/>
          <w:b/>
          <w:color w:val="4C4747"/>
          <w:spacing w:val="20"/>
          <w:sz w:val="18"/>
          <w:szCs w:val="24"/>
        </w:rPr>
        <w:t>Fuente</w:t>
      </w:r>
      <w:r w:rsidRPr="00C62BB6">
        <w:rPr>
          <w:rFonts w:ascii="Times New Roman" w:eastAsia="Calibri" w:hAnsi="Times New Roman" w:cs="Times New Roman"/>
          <w:color w:val="4C4747"/>
          <w:spacing w:val="20"/>
          <w:sz w:val="18"/>
          <w:szCs w:val="24"/>
        </w:rPr>
        <w:t>: Software Analytics</w:t>
      </w:r>
    </w:p>
    <w:p w14:paraId="58561834" w14:textId="77777777" w:rsidR="00C356F0" w:rsidRPr="00C62BB6" w:rsidRDefault="00C356F0" w:rsidP="00C356F0">
      <w:pPr>
        <w:rPr>
          <w:rFonts w:ascii="Times New Roman" w:eastAsia="Calibri" w:hAnsi="Times New Roman" w:cs="Times New Roman"/>
          <w:color w:val="4C4747"/>
          <w:spacing w:val="20"/>
          <w:sz w:val="24"/>
          <w:szCs w:val="24"/>
        </w:rPr>
      </w:pPr>
    </w:p>
    <w:p w14:paraId="79EB7155" w14:textId="77777777" w:rsidR="00C356F0" w:rsidRPr="00C62BB6" w:rsidRDefault="00C356F0" w:rsidP="00C356F0">
      <w:pPr>
        <w:spacing w:after="0" w:line="240" w:lineRule="auto"/>
        <w:rPr>
          <w:rFonts w:ascii="Times New Roman" w:eastAsia="Calibri" w:hAnsi="Times New Roman" w:cs="Times New Roman"/>
          <w:color w:val="4C4747"/>
          <w:spacing w:val="20"/>
          <w:sz w:val="18"/>
          <w:szCs w:val="24"/>
        </w:rPr>
      </w:pPr>
      <w:r w:rsidRPr="00C62BB6">
        <w:rPr>
          <w:rFonts w:ascii="Times New Roman" w:eastAsia="Calibri" w:hAnsi="Times New Roman" w:cs="Times New Roman"/>
          <w:noProof/>
          <w:color w:val="4C4747"/>
          <w:spacing w:val="20"/>
          <w:sz w:val="24"/>
          <w:szCs w:val="24"/>
        </w:rPr>
        <w:lastRenderedPageBreak/>
        <w:drawing>
          <wp:inline distT="0" distB="0" distL="0" distR="0" wp14:anchorId="057CA8C4" wp14:editId="19CAD8FF">
            <wp:extent cx="4967785" cy="2070002"/>
            <wp:effectExtent l="19050" t="19050" r="23495" b="26035"/>
            <wp:docPr id="2060" name="Imagen 20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
                    <pic:cNvPicPr/>
                  </pic:nvPicPr>
                  <pic:blipFill>
                    <a:blip r:embed="rId38">
                      <a:extLst>
                        <a:ext uri="{28A0092B-C50C-407E-A947-70E740481C1C}">
                          <a14:useLocalDpi xmlns:a14="http://schemas.microsoft.com/office/drawing/2010/main" val="0"/>
                        </a:ext>
                      </a:extLst>
                    </a:blip>
                    <a:stretch>
                      <a:fillRect/>
                    </a:stretch>
                  </pic:blipFill>
                  <pic:spPr>
                    <a:xfrm>
                      <a:off x="0" y="0"/>
                      <a:ext cx="4969931" cy="2070896"/>
                    </a:xfrm>
                    <a:prstGeom prst="rect">
                      <a:avLst/>
                    </a:prstGeom>
                    <a:ln>
                      <a:solidFill>
                        <a:schemeClr val="bg1">
                          <a:lumMod val="50000"/>
                        </a:schemeClr>
                      </a:solidFill>
                    </a:ln>
                  </pic:spPr>
                </pic:pic>
              </a:graphicData>
            </a:graphic>
          </wp:inline>
        </w:drawing>
      </w:r>
      <w:r w:rsidRPr="00C62BB6">
        <w:rPr>
          <w:rFonts w:ascii="Times New Roman" w:eastAsia="Calibri" w:hAnsi="Times New Roman" w:cs="Times New Roman"/>
          <w:b/>
          <w:color w:val="4C4747"/>
          <w:spacing w:val="20"/>
          <w:sz w:val="18"/>
          <w:szCs w:val="24"/>
        </w:rPr>
        <w:t>Fuente:</w:t>
      </w:r>
      <w:r w:rsidRPr="00C62BB6">
        <w:rPr>
          <w:rFonts w:ascii="Times New Roman" w:eastAsia="Calibri" w:hAnsi="Times New Roman" w:cs="Times New Roman"/>
          <w:color w:val="4C4747"/>
          <w:spacing w:val="20"/>
          <w:sz w:val="18"/>
          <w:szCs w:val="24"/>
        </w:rPr>
        <w:t xml:space="preserve"> Software Analytics</w:t>
      </w:r>
    </w:p>
    <w:p w14:paraId="1F3F2AB5" w14:textId="77777777" w:rsidR="00C356F0" w:rsidRPr="00A4233F" w:rsidRDefault="00C356F0" w:rsidP="00916E17">
      <w:pPr>
        <w:spacing w:before="240"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las redes sociales de la institución durante la campaña Series Negadas, Instagram obtuvo 36,540 impresiones, Facebook 2,657 y Twitter 9,773 para un total de 48,970 impresiones. También, se alcanzó en Instagram 386 comentarios y 692 likes, Facebook 1 comentario y 59 likes. A seguidas, Twitter logró 25 retweets y 88 likes para un acumulado de 1,251 en interacción (la suma de comentarios, retweets y likes).</w:t>
      </w:r>
    </w:p>
    <w:p w14:paraId="65B804BA" w14:textId="130574C7" w:rsidR="00C356F0" w:rsidRPr="00A4233F" w:rsidRDefault="00C356F0" w:rsidP="00916E17">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También, durante el desarrollo de la campaña se realizó un tour de medios donde fueron coordinadas entrevistas en programas de radio y televisión, con el objetivo de responder las inquietudes de los usuarios dando a conocer las pautas a seguir sobre la nue</w:t>
      </w:r>
      <w:r w:rsidR="00916E17" w:rsidRPr="00A4233F">
        <w:rPr>
          <w:rFonts w:ascii="Times New Roman" w:eastAsia="Calibri" w:hAnsi="Times New Roman" w:cs="Times New Roman"/>
          <w:color w:val="4C4747"/>
          <w:spacing w:val="20"/>
          <w:sz w:val="24"/>
          <w:szCs w:val="24"/>
          <w:lang w:val="es-DO"/>
        </w:rPr>
        <w:t>va normativa de Series Negadas.</w:t>
      </w:r>
    </w:p>
    <w:tbl>
      <w:tblPr>
        <w:tblStyle w:val="Tablaconcuadrcula"/>
        <w:tblpPr w:leftFromText="141" w:rightFromText="141" w:vertAnchor="text" w:horzAnchor="margin" w:tblpY="7"/>
        <w:tblW w:w="8185" w:type="dxa"/>
        <w:tblLayout w:type="fixed"/>
        <w:tblLook w:val="06A0" w:firstRow="1" w:lastRow="0" w:firstColumn="1" w:lastColumn="0" w:noHBand="1" w:noVBand="1"/>
      </w:tblPr>
      <w:tblGrid>
        <w:gridCol w:w="2155"/>
        <w:gridCol w:w="2070"/>
        <w:gridCol w:w="1890"/>
        <w:gridCol w:w="2070"/>
      </w:tblGrid>
      <w:tr w:rsidR="00BE59F6" w:rsidRPr="005A11A8" w14:paraId="70F0E1BD" w14:textId="77777777" w:rsidTr="00943FA5">
        <w:trPr>
          <w:trHeight w:val="558"/>
        </w:trPr>
        <w:tc>
          <w:tcPr>
            <w:tcW w:w="2155" w:type="dxa"/>
            <w:tcBorders>
              <w:top w:val="single" w:sz="4" w:space="0" w:color="auto"/>
              <w:left w:val="single" w:sz="4" w:space="0" w:color="auto"/>
              <w:bottom w:val="single" w:sz="4" w:space="0" w:color="auto"/>
              <w:right w:val="single" w:sz="4" w:space="0" w:color="auto"/>
            </w:tcBorders>
            <w:shd w:val="clear" w:color="auto" w:fill="002060"/>
            <w:vAlign w:val="center"/>
          </w:tcPr>
          <w:p w14:paraId="62826386" w14:textId="77777777" w:rsidR="00BE59F6" w:rsidRPr="00790E59" w:rsidRDefault="00BE59F6" w:rsidP="00BE59F6">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Redes Sociales</w:t>
            </w:r>
          </w:p>
        </w:tc>
        <w:tc>
          <w:tcPr>
            <w:tcW w:w="2070" w:type="dxa"/>
            <w:tcBorders>
              <w:top w:val="single" w:sz="4" w:space="0" w:color="auto"/>
              <w:left w:val="single" w:sz="4" w:space="0" w:color="auto"/>
              <w:bottom w:val="single" w:sz="4" w:space="0" w:color="auto"/>
              <w:right w:val="single" w:sz="4" w:space="0" w:color="auto"/>
            </w:tcBorders>
            <w:shd w:val="clear" w:color="auto" w:fill="002060"/>
            <w:vAlign w:val="center"/>
          </w:tcPr>
          <w:p w14:paraId="3F3109EF" w14:textId="77777777" w:rsidR="00BE59F6" w:rsidRPr="00790E59" w:rsidRDefault="00BE59F6" w:rsidP="00BE59F6">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Impresiones</w:t>
            </w:r>
          </w:p>
        </w:tc>
        <w:tc>
          <w:tcPr>
            <w:tcW w:w="1890" w:type="dxa"/>
            <w:tcBorders>
              <w:top w:val="single" w:sz="4" w:space="0" w:color="auto"/>
              <w:left w:val="single" w:sz="4" w:space="0" w:color="auto"/>
              <w:bottom w:val="single" w:sz="4" w:space="0" w:color="auto"/>
              <w:right w:val="single" w:sz="4" w:space="0" w:color="auto"/>
            </w:tcBorders>
            <w:shd w:val="clear" w:color="auto" w:fill="002060"/>
            <w:vAlign w:val="center"/>
          </w:tcPr>
          <w:p w14:paraId="5756F223" w14:textId="77777777" w:rsidR="00BE59F6" w:rsidRPr="00790E59" w:rsidRDefault="00BE59F6" w:rsidP="00BE59F6">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Cometarios/ Retweets</w:t>
            </w:r>
          </w:p>
        </w:tc>
        <w:tc>
          <w:tcPr>
            <w:tcW w:w="2070" w:type="dxa"/>
            <w:tcBorders>
              <w:top w:val="single" w:sz="4" w:space="0" w:color="auto"/>
              <w:left w:val="single" w:sz="4" w:space="0" w:color="auto"/>
              <w:bottom w:val="single" w:sz="4" w:space="0" w:color="auto"/>
              <w:right w:val="single" w:sz="4" w:space="0" w:color="auto"/>
            </w:tcBorders>
            <w:shd w:val="clear" w:color="auto" w:fill="002060"/>
            <w:vAlign w:val="center"/>
          </w:tcPr>
          <w:p w14:paraId="3D93FA2A" w14:textId="77777777" w:rsidR="00BE59F6" w:rsidRPr="00790E59" w:rsidRDefault="00BE59F6" w:rsidP="00BE59F6">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Likes</w:t>
            </w:r>
          </w:p>
        </w:tc>
      </w:tr>
      <w:tr w:rsidR="00BE59F6" w:rsidRPr="00C62BB6" w14:paraId="1758E718" w14:textId="77777777" w:rsidTr="00943FA5">
        <w:trPr>
          <w:trHeight w:val="645"/>
        </w:trPr>
        <w:tc>
          <w:tcPr>
            <w:tcW w:w="2155" w:type="dxa"/>
            <w:tcBorders>
              <w:top w:val="single" w:sz="4" w:space="0" w:color="auto"/>
              <w:left w:val="single" w:sz="4" w:space="0" w:color="auto"/>
              <w:bottom w:val="single" w:sz="4" w:space="0" w:color="auto"/>
              <w:right w:val="single" w:sz="4" w:space="0" w:color="auto"/>
            </w:tcBorders>
            <w:vAlign w:val="bottom"/>
          </w:tcPr>
          <w:p w14:paraId="6411109C" w14:textId="77777777" w:rsidR="00BE59F6" w:rsidRPr="00C62BB6" w:rsidRDefault="00BE59F6" w:rsidP="00BE59F6">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Instagram</w:t>
            </w:r>
          </w:p>
        </w:tc>
        <w:tc>
          <w:tcPr>
            <w:tcW w:w="2070" w:type="dxa"/>
            <w:tcBorders>
              <w:top w:val="single" w:sz="4" w:space="0" w:color="auto"/>
              <w:left w:val="single" w:sz="4" w:space="0" w:color="auto"/>
              <w:bottom w:val="single" w:sz="4" w:space="0" w:color="auto"/>
              <w:right w:val="single" w:sz="4" w:space="0" w:color="auto"/>
            </w:tcBorders>
            <w:vAlign w:val="bottom"/>
          </w:tcPr>
          <w:p w14:paraId="7DB721BC"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36,540</w:t>
            </w:r>
          </w:p>
        </w:tc>
        <w:tc>
          <w:tcPr>
            <w:tcW w:w="1890" w:type="dxa"/>
            <w:tcBorders>
              <w:top w:val="single" w:sz="4" w:space="0" w:color="auto"/>
              <w:left w:val="single" w:sz="4" w:space="0" w:color="auto"/>
              <w:bottom w:val="single" w:sz="4" w:space="0" w:color="auto"/>
              <w:right w:val="single" w:sz="4" w:space="0" w:color="auto"/>
            </w:tcBorders>
            <w:vAlign w:val="bottom"/>
          </w:tcPr>
          <w:p w14:paraId="75962D2B"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386</w:t>
            </w:r>
          </w:p>
        </w:tc>
        <w:tc>
          <w:tcPr>
            <w:tcW w:w="2070" w:type="dxa"/>
            <w:tcBorders>
              <w:top w:val="single" w:sz="4" w:space="0" w:color="auto"/>
              <w:left w:val="single" w:sz="4" w:space="0" w:color="auto"/>
              <w:bottom w:val="single" w:sz="4" w:space="0" w:color="auto"/>
              <w:right w:val="single" w:sz="4" w:space="0" w:color="auto"/>
            </w:tcBorders>
            <w:vAlign w:val="bottom"/>
          </w:tcPr>
          <w:p w14:paraId="1D4FBED6"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692</w:t>
            </w:r>
          </w:p>
        </w:tc>
      </w:tr>
      <w:tr w:rsidR="00BE59F6" w:rsidRPr="00C62BB6" w14:paraId="3C76710B" w14:textId="77777777" w:rsidTr="00943FA5">
        <w:trPr>
          <w:trHeight w:val="705"/>
        </w:trPr>
        <w:tc>
          <w:tcPr>
            <w:tcW w:w="2155" w:type="dxa"/>
            <w:tcBorders>
              <w:top w:val="single" w:sz="4" w:space="0" w:color="auto"/>
              <w:left w:val="single" w:sz="4" w:space="0" w:color="auto"/>
              <w:bottom w:val="single" w:sz="4" w:space="0" w:color="auto"/>
              <w:right w:val="single" w:sz="4" w:space="0" w:color="auto"/>
            </w:tcBorders>
            <w:vAlign w:val="bottom"/>
          </w:tcPr>
          <w:p w14:paraId="48A644E8" w14:textId="77777777" w:rsidR="00BE59F6" w:rsidRPr="00C62BB6" w:rsidRDefault="00BE59F6" w:rsidP="00BE59F6">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Facebook</w:t>
            </w:r>
          </w:p>
        </w:tc>
        <w:tc>
          <w:tcPr>
            <w:tcW w:w="2070" w:type="dxa"/>
            <w:tcBorders>
              <w:top w:val="single" w:sz="4" w:space="0" w:color="auto"/>
              <w:left w:val="single" w:sz="4" w:space="0" w:color="auto"/>
              <w:bottom w:val="single" w:sz="4" w:space="0" w:color="auto"/>
              <w:right w:val="single" w:sz="4" w:space="0" w:color="auto"/>
            </w:tcBorders>
            <w:vAlign w:val="bottom"/>
          </w:tcPr>
          <w:p w14:paraId="2DAE532C"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2,657</w:t>
            </w:r>
          </w:p>
        </w:tc>
        <w:tc>
          <w:tcPr>
            <w:tcW w:w="1890" w:type="dxa"/>
            <w:tcBorders>
              <w:top w:val="single" w:sz="4" w:space="0" w:color="auto"/>
              <w:left w:val="single" w:sz="4" w:space="0" w:color="auto"/>
              <w:bottom w:val="single" w:sz="4" w:space="0" w:color="auto"/>
              <w:right w:val="single" w:sz="4" w:space="0" w:color="auto"/>
            </w:tcBorders>
            <w:vAlign w:val="bottom"/>
          </w:tcPr>
          <w:p w14:paraId="13B97F20"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w:t>
            </w:r>
          </w:p>
        </w:tc>
        <w:tc>
          <w:tcPr>
            <w:tcW w:w="2070" w:type="dxa"/>
            <w:tcBorders>
              <w:top w:val="single" w:sz="4" w:space="0" w:color="auto"/>
              <w:left w:val="single" w:sz="4" w:space="0" w:color="auto"/>
              <w:bottom w:val="single" w:sz="4" w:space="0" w:color="auto"/>
              <w:right w:val="single" w:sz="4" w:space="0" w:color="auto"/>
            </w:tcBorders>
            <w:vAlign w:val="bottom"/>
          </w:tcPr>
          <w:p w14:paraId="4E4EB4AF"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59</w:t>
            </w:r>
          </w:p>
        </w:tc>
      </w:tr>
      <w:tr w:rsidR="00BE59F6" w:rsidRPr="00C62BB6" w14:paraId="60D22317" w14:textId="77777777" w:rsidTr="00943FA5">
        <w:trPr>
          <w:trHeight w:val="705"/>
        </w:trPr>
        <w:tc>
          <w:tcPr>
            <w:tcW w:w="2155" w:type="dxa"/>
            <w:tcBorders>
              <w:top w:val="single" w:sz="4" w:space="0" w:color="auto"/>
              <w:left w:val="single" w:sz="4" w:space="0" w:color="auto"/>
              <w:bottom w:val="single" w:sz="4" w:space="0" w:color="auto"/>
              <w:right w:val="single" w:sz="4" w:space="0" w:color="auto"/>
            </w:tcBorders>
            <w:vAlign w:val="bottom"/>
          </w:tcPr>
          <w:p w14:paraId="26DB9A2D" w14:textId="77777777" w:rsidR="00BE59F6" w:rsidRPr="00C62BB6" w:rsidRDefault="00BE59F6" w:rsidP="00BE59F6">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Twitter</w:t>
            </w:r>
          </w:p>
        </w:tc>
        <w:tc>
          <w:tcPr>
            <w:tcW w:w="2070" w:type="dxa"/>
            <w:tcBorders>
              <w:top w:val="single" w:sz="4" w:space="0" w:color="auto"/>
              <w:left w:val="single" w:sz="4" w:space="0" w:color="auto"/>
              <w:bottom w:val="single" w:sz="4" w:space="0" w:color="auto"/>
              <w:right w:val="single" w:sz="4" w:space="0" w:color="auto"/>
            </w:tcBorders>
            <w:vAlign w:val="bottom"/>
          </w:tcPr>
          <w:p w14:paraId="51B66865"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9,773</w:t>
            </w:r>
          </w:p>
        </w:tc>
        <w:tc>
          <w:tcPr>
            <w:tcW w:w="1890" w:type="dxa"/>
            <w:tcBorders>
              <w:top w:val="single" w:sz="4" w:space="0" w:color="auto"/>
              <w:left w:val="single" w:sz="4" w:space="0" w:color="auto"/>
              <w:bottom w:val="single" w:sz="4" w:space="0" w:color="auto"/>
              <w:right w:val="single" w:sz="4" w:space="0" w:color="auto"/>
            </w:tcBorders>
            <w:vAlign w:val="bottom"/>
          </w:tcPr>
          <w:p w14:paraId="5DCFBF6F"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25</w:t>
            </w:r>
          </w:p>
        </w:tc>
        <w:tc>
          <w:tcPr>
            <w:tcW w:w="2070" w:type="dxa"/>
            <w:tcBorders>
              <w:top w:val="single" w:sz="4" w:space="0" w:color="auto"/>
              <w:left w:val="single" w:sz="4" w:space="0" w:color="auto"/>
              <w:bottom w:val="single" w:sz="4" w:space="0" w:color="auto"/>
              <w:right w:val="single" w:sz="4" w:space="0" w:color="auto"/>
            </w:tcBorders>
            <w:vAlign w:val="bottom"/>
          </w:tcPr>
          <w:p w14:paraId="05EFEFE0" w14:textId="77777777" w:rsidR="00BE59F6" w:rsidRPr="00C62BB6" w:rsidRDefault="00BE59F6" w:rsidP="00BE59F6">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88</w:t>
            </w:r>
          </w:p>
        </w:tc>
      </w:tr>
    </w:tbl>
    <w:p w14:paraId="7D461634" w14:textId="77777777" w:rsidR="00C356F0" w:rsidRPr="00C62BB6" w:rsidRDefault="00C356F0" w:rsidP="00C356F0">
      <w:pPr>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Software Analytics</w:t>
      </w:r>
    </w:p>
    <w:p w14:paraId="04CEC3A1" w14:textId="77777777" w:rsidR="00C356F0" w:rsidRPr="005A11A8" w:rsidRDefault="00C356F0" w:rsidP="00C356F0">
      <w:pPr>
        <w:rPr>
          <w:rFonts w:ascii="Times New Roman" w:eastAsia="Calibri" w:hAnsi="Times New Roman" w:cs="Times New Roman"/>
          <w:color w:val="4C4747"/>
          <w:spacing w:val="20"/>
          <w:sz w:val="24"/>
          <w:szCs w:val="24"/>
          <w:lang w:val="es-DO"/>
        </w:rPr>
      </w:pPr>
    </w:p>
    <w:p w14:paraId="0B3398FC" w14:textId="71AA4860" w:rsidR="00C356F0" w:rsidRPr="00A4233F" w:rsidRDefault="00C356F0" w:rsidP="00C356F0">
      <w:pPr>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lastRenderedPageBreak/>
        <w:t>Campaña “Puntos Wi</w:t>
      </w:r>
      <w:r w:rsidR="00916E17" w:rsidRPr="00A4233F">
        <w:rPr>
          <w:rFonts w:ascii="Times New Roman" w:eastAsia="Calibri" w:hAnsi="Times New Roman" w:cs="Times New Roman"/>
          <w:b/>
          <w:color w:val="4C4747"/>
          <w:spacing w:val="20"/>
          <w:sz w:val="24"/>
          <w:szCs w:val="24"/>
          <w:lang w:val="es-DO"/>
        </w:rPr>
        <w:t>-F</w:t>
      </w:r>
      <w:r w:rsidRPr="00A4233F">
        <w:rPr>
          <w:rFonts w:ascii="Times New Roman" w:eastAsia="Calibri" w:hAnsi="Times New Roman" w:cs="Times New Roman"/>
          <w:b/>
          <w:color w:val="4C4747"/>
          <w:spacing w:val="20"/>
          <w:sz w:val="24"/>
          <w:szCs w:val="24"/>
          <w:lang w:val="es-DO"/>
        </w:rPr>
        <w:t>i”</w:t>
      </w:r>
    </w:p>
    <w:p w14:paraId="5580B671" w14:textId="0CD780C6"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El INDOTEL firmó Cartas Compromiso con instituciones religiosas, educativas, salud, comunitarias y gobiernos lo</w:t>
      </w:r>
      <w:r w:rsidR="00916E17" w:rsidRPr="00A4233F">
        <w:rPr>
          <w:rFonts w:eastAsia="Calibri"/>
          <w:color w:val="4C4747"/>
          <w:spacing w:val="20"/>
          <w:lang w:eastAsia="en-US"/>
        </w:rPr>
        <w:t>cales, para instalar 41 puntos W</w:t>
      </w:r>
      <w:r w:rsidRPr="00A4233F">
        <w:rPr>
          <w:rFonts w:eastAsia="Calibri"/>
          <w:color w:val="4C4747"/>
          <w:spacing w:val="20"/>
          <w:lang w:eastAsia="en-US"/>
        </w:rPr>
        <w:t>i</w:t>
      </w:r>
      <w:r w:rsidR="00916E17" w:rsidRPr="00A4233F">
        <w:rPr>
          <w:rFonts w:eastAsia="Calibri"/>
          <w:color w:val="4C4747"/>
          <w:spacing w:val="20"/>
          <w:lang w:eastAsia="en-US"/>
        </w:rPr>
        <w:t>-F</w:t>
      </w:r>
      <w:r w:rsidRPr="00A4233F">
        <w:rPr>
          <w:rFonts w:eastAsia="Calibri"/>
          <w:color w:val="4C4747"/>
          <w:spacing w:val="20"/>
          <w:lang w:eastAsia="en-US"/>
        </w:rPr>
        <w:t>i en espacios públicos, diseminados en distintas zonas del país, cumpliendo con el objetivo dispuesto en el proyecto “Dominicana Conecta” de garantizar el acceso universal de internet a toda la población dominicana.</w:t>
      </w:r>
    </w:p>
    <w:p w14:paraId="45E3DE0C"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Como parte de esta iniciativa, a partir del 1 de julio hasta 30 de septiembre del 2022 estuvo en vigencia la campaña “Puntos Wifi”. La misma fue difundida en medios de radio, televisión y medios impresos por un período de tres meses.</w:t>
      </w:r>
    </w:p>
    <w:p w14:paraId="01A6454D" w14:textId="73A47B0F" w:rsidR="00C356F0" w:rsidRPr="00A4233F" w:rsidRDefault="00C356F0" w:rsidP="00916E17">
      <w:pPr>
        <w:pStyle w:val="NormalWeb"/>
        <w:spacing w:line="360" w:lineRule="auto"/>
        <w:jc w:val="both"/>
        <w:rPr>
          <w:rFonts w:eastAsia="Calibri"/>
          <w:color w:val="4C4747"/>
          <w:spacing w:val="20"/>
          <w:lang w:eastAsia="en-US"/>
        </w:rPr>
      </w:pPr>
      <w:r w:rsidRPr="00A4233F">
        <w:rPr>
          <w:rFonts w:eastAsia="Calibri"/>
          <w:color w:val="4C4747"/>
          <w:spacing w:val="20"/>
          <w:lang w:eastAsia="en-US"/>
        </w:rPr>
        <w:t>Para esta campaña fue utilizado un presupuesto de RD$ 2,159,200 que se utilizó para pagos de colocación de public</w:t>
      </w:r>
      <w:r w:rsidR="00916E17" w:rsidRPr="00A4233F">
        <w:rPr>
          <w:rFonts w:eastAsia="Calibri"/>
          <w:color w:val="4C4747"/>
          <w:spacing w:val="20"/>
          <w:lang w:eastAsia="en-US"/>
        </w:rPr>
        <w:t>idad en medios de comunicación.</w:t>
      </w:r>
    </w:p>
    <w:p w14:paraId="62BD4F1F" w14:textId="77777777" w:rsidR="00C356F0" w:rsidRPr="00A4233F" w:rsidRDefault="00C356F0" w:rsidP="00C356F0">
      <w:pPr>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Campaña Televisión Terrestre Digital (TTD)</w:t>
      </w:r>
    </w:p>
    <w:p w14:paraId="1391424A"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El INDOTEL, se ha propuesto dar pasos concretos a los fines de lograr el encendido digital, fueron realizadas mesas de trabajo para presentar las propuestas visuales del desarrollo de la campaña Televisión Terrestre Digital en su primera fase. Esta campaña dio inicio el 24 de octubre hasta el 18 de noviembre 2022 (primera fase), la cual ha sido difundida en los medios tradicionales de radio, televisión y periódicos impresos (El Nacional, El Hoy, canal 2, canal 11, Antena 7, Color Visión canal 9, La nota 95.7).</w:t>
      </w:r>
    </w:p>
    <w:p w14:paraId="46A8D0A6"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En materia de comunicación se realizó la producción y distribución de material audiovisual para ser colocados en los medios de comunicación.</w:t>
      </w:r>
    </w:p>
    <w:p w14:paraId="555939E2" w14:textId="201EF0F1"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lastRenderedPageBreak/>
        <w:t>Para esta campaña se ejecutó un monto de RD$6</w:t>
      </w:r>
      <w:r w:rsidR="008F59AD" w:rsidRPr="00A4233F">
        <w:rPr>
          <w:rFonts w:eastAsia="Calibri"/>
          <w:color w:val="4C4747"/>
          <w:spacing w:val="20"/>
          <w:lang w:eastAsia="en-US"/>
        </w:rPr>
        <w:t>,002,866.5</w:t>
      </w:r>
      <w:r w:rsidRPr="00A4233F">
        <w:rPr>
          <w:rFonts w:eastAsia="Calibri"/>
          <w:color w:val="4C4747"/>
          <w:spacing w:val="20"/>
          <w:lang w:eastAsia="en-US"/>
        </w:rPr>
        <w:t xml:space="preserve"> que se utilizó para pagos de colocación de publicidad en medios de comunicación.</w:t>
      </w:r>
    </w:p>
    <w:p w14:paraId="559852A6" w14:textId="77777777" w:rsidR="00C356F0" w:rsidRPr="00A4233F" w:rsidRDefault="00C356F0" w:rsidP="00C356F0">
      <w:pPr>
        <w:pStyle w:val="NormalWeb"/>
        <w:jc w:val="both"/>
        <w:rPr>
          <w:rFonts w:eastAsia="Calibri"/>
          <w:b/>
          <w:color w:val="4C4747"/>
          <w:spacing w:val="20"/>
          <w:lang w:eastAsia="en-US"/>
        </w:rPr>
      </w:pPr>
      <w:r w:rsidRPr="00A4233F">
        <w:rPr>
          <w:rFonts w:eastAsia="Calibri"/>
          <w:b/>
          <w:color w:val="4C4747"/>
          <w:spacing w:val="20"/>
          <w:lang w:eastAsia="en-US"/>
        </w:rPr>
        <w:t>Celebración del Día Mundial de las Telecomunicaciones</w:t>
      </w:r>
    </w:p>
    <w:p w14:paraId="4FA79A52" w14:textId="49B2E78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La segunda semana del mes de mayo el INDOTEL celebró la semana de las telecomunicaciones</w:t>
      </w:r>
      <w:r w:rsidR="00556352" w:rsidRPr="00A4233F">
        <w:rPr>
          <w:rFonts w:eastAsia="Calibri"/>
          <w:color w:val="4C4747"/>
          <w:spacing w:val="20"/>
          <w:lang w:eastAsia="en-US"/>
        </w:rPr>
        <w:t xml:space="preserve">, </w:t>
      </w:r>
      <w:r w:rsidRPr="00A4233F">
        <w:rPr>
          <w:rFonts w:eastAsia="Calibri"/>
          <w:color w:val="4C4747"/>
          <w:spacing w:val="20"/>
          <w:lang w:eastAsia="en-US"/>
        </w:rPr>
        <w:t>se coordinaron diversas actividades que tuvieron como finalidad informar y educar a los públicos interesados sobre los diferentes tópicos sobre el estado y futuro de las telecomunicaciones en la República Dominicana; así como el impacto de las tecnologías y su rol en el desarrollo de la sociedad, las capacidades de los ciudadanos, la creación de oportunidades y crecimiento económico del país.</w:t>
      </w:r>
    </w:p>
    <w:p w14:paraId="3A6B746B" w14:textId="19B7AD55"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Durante la semana de las telecomunicaciones se agotó una agenda de encuentros junto a expertos en el sector de las telecomunicaciones, donde se logró contar con la presencia de más de 220 participantes.</w:t>
      </w:r>
    </w:p>
    <w:p w14:paraId="475DF900"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Los temas abordados fueron los siguientes:</w:t>
      </w:r>
    </w:p>
    <w:p w14:paraId="7B263D74" w14:textId="77777777" w:rsidR="00C356F0" w:rsidRPr="00A4233F" w:rsidRDefault="00C356F0" w:rsidP="00A02BDE">
      <w:pPr>
        <w:pStyle w:val="NormalWeb"/>
        <w:numPr>
          <w:ilvl w:val="0"/>
          <w:numId w:val="11"/>
        </w:numPr>
        <w:spacing w:line="360" w:lineRule="auto"/>
        <w:jc w:val="both"/>
        <w:rPr>
          <w:rFonts w:eastAsia="Calibri"/>
          <w:color w:val="4C4747"/>
          <w:spacing w:val="20"/>
          <w:lang w:eastAsia="en-US"/>
        </w:rPr>
      </w:pPr>
      <w:r w:rsidRPr="00A4233F">
        <w:rPr>
          <w:rFonts w:eastAsia="Calibri"/>
          <w:color w:val="4C4747"/>
          <w:spacing w:val="20"/>
          <w:lang w:eastAsia="en-US"/>
        </w:rPr>
        <w:t>Implementación de la Televisión Terrestre Digital en República Dominicana</w:t>
      </w:r>
    </w:p>
    <w:p w14:paraId="05107DC9" w14:textId="77777777" w:rsidR="00C356F0" w:rsidRPr="00A4233F" w:rsidRDefault="00C356F0" w:rsidP="00A02BDE">
      <w:pPr>
        <w:pStyle w:val="NormalWeb"/>
        <w:numPr>
          <w:ilvl w:val="0"/>
          <w:numId w:val="11"/>
        </w:numPr>
        <w:spacing w:line="360" w:lineRule="auto"/>
        <w:jc w:val="both"/>
        <w:rPr>
          <w:rFonts w:eastAsia="Calibri"/>
          <w:color w:val="4C4747"/>
          <w:spacing w:val="20"/>
          <w:lang w:eastAsia="en-US"/>
        </w:rPr>
      </w:pPr>
      <w:r w:rsidRPr="00A4233F">
        <w:rPr>
          <w:rFonts w:eastAsia="Calibri"/>
          <w:color w:val="4C4747"/>
          <w:spacing w:val="20"/>
          <w:lang w:eastAsia="en-US"/>
        </w:rPr>
        <w:t>Panel Ciberbullying: Cómo identificarlo, prevenirlo y enfrentarlo</w:t>
      </w:r>
    </w:p>
    <w:p w14:paraId="3D96CE80" w14:textId="4A79F4B1" w:rsidR="00C356F0" w:rsidRPr="00A4233F" w:rsidRDefault="00C356F0" w:rsidP="00A02BDE">
      <w:pPr>
        <w:pStyle w:val="NormalWeb"/>
        <w:numPr>
          <w:ilvl w:val="0"/>
          <w:numId w:val="11"/>
        </w:numPr>
        <w:spacing w:line="360" w:lineRule="auto"/>
        <w:jc w:val="both"/>
        <w:rPr>
          <w:rFonts w:eastAsia="Calibri"/>
          <w:color w:val="4C4747"/>
          <w:spacing w:val="20"/>
          <w:lang w:eastAsia="en-US"/>
        </w:rPr>
      </w:pPr>
      <w:r w:rsidRPr="00A4233F">
        <w:rPr>
          <w:rFonts w:eastAsia="Calibri"/>
          <w:color w:val="4C4747"/>
          <w:spacing w:val="20"/>
          <w:lang w:eastAsia="en-US"/>
        </w:rPr>
        <w:t>Taller Robótica y Programación para estudiantes de escuelas públicas</w:t>
      </w:r>
    </w:p>
    <w:p w14:paraId="18C6D429"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A través de la producción y distribución de notas de prensa, se logró realizar producciones audiovisuales y media tours para el Día Mundial de las Telecomunicaciones, con entrevistas directas con los principales medios de comunicación en el país, tanto en prensa escrita, televisión y radio.</w:t>
      </w:r>
    </w:p>
    <w:p w14:paraId="2B80CDB2" w14:textId="62DDE1B1" w:rsidR="00C356F0" w:rsidRPr="00A4233F" w:rsidRDefault="00C356F0" w:rsidP="00943FA5">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 xml:space="preserve">Además, para el posicionamiento de los diferentes hitos logrados por el INDOTEL durante </w:t>
      </w:r>
      <w:r w:rsidR="002D2821" w:rsidRPr="00A4233F">
        <w:rPr>
          <w:rFonts w:ascii="Times New Roman" w:eastAsia="Calibri" w:hAnsi="Times New Roman" w:cs="Times New Roman"/>
          <w:color w:val="4C4747"/>
          <w:spacing w:val="20"/>
          <w:sz w:val="24"/>
          <w:szCs w:val="24"/>
          <w:lang w:val="es-DO"/>
        </w:rPr>
        <w:t>el año 2022  s</w:t>
      </w:r>
      <w:r w:rsidRPr="00A4233F">
        <w:rPr>
          <w:rFonts w:ascii="Times New Roman" w:eastAsia="Calibri" w:hAnsi="Times New Roman" w:cs="Times New Roman"/>
          <w:color w:val="4C4747"/>
          <w:spacing w:val="20"/>
          <w:sz w:val="24"/>
          <w:szCs w:val="24"/>
          <w:lang w:val="es-DO"/>
        </w:rPr>
        <w:t xml:space="preserve">e realizaron planes y acciones de comunicación en medios de prensa, radio, televisión y plataformas digitales, los cuales sirvieron para </w:t>
      </w:r>
      <w:r w:rsidR="00F245FB" w:rsidRPr="00A4233F">
        <w:rPr>
          <w:rFonts w:ascii="Times New Roman" w:eastAsia="Calibri" w:hAnsi="Times New Roman" w:cs="Times New Roman"/>
          <w:color w:val="4C4747"/>
          <w:spacing w:val="20"/>
          <w:sz w:val="24"/>
          <w:szCs w:val="24"/>
          <w:lang w:val="es-DO"/>
        </w:rPr>
        <w:t>mantener informados al público.</w:t>
      </w:r>
    </w:p>
    <w:p w14:paraId="076000DB" w14:textId="77777777" w:rsidR="00C356F0" w:rsidRPr="00A4233F" w:rsidRDefault="00C356F0" w:rsidP="00C356F0">
      <w:p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Dentro de las acciones de comunicaciones que se realizaron se encuentran:</w:t>
      </w:r>
    </w:p>
    <w:p w14:paraId="090D8736" w14:textId="77777777" w:rsidR="00C356F0" w:rsidRPr="00A4233F" w:rsidRDefault="00C356F0" w:rsidP="00A02BDE">
      <w:pPr>
        <w:pStyle w:val="NormalWeb"/>
        <w:numPr>
          <w:ilvl w:val="0"/>
          <w:numId w:val="10"/>
        </w:numPr>
        <w:spacing w:line="360" w:lineRule="auto"/>
        <w:jc w:val="both"/>
        <w:rPr>
          <w:rFonts w:eastAsia="Calibri"/>
          <w:color w:val="4C4747"/>
          <w:spacing w:val="20"/>
          <w:lang w:eastAsia="en-US"/>
        </w:rPr>
      </w:pPr>
      <w:r w:rsidRPr="00A4233F">
        <w:rPr>
          <w:rFonts w:eastAsia="Calibri"/>
          <w:color w:val="4C4747"/>
          <w:spacing w:val="20"/>
          <w:lang w:eastAsia="en-US"/>
        </w:rPr>
        <w:t>Creación, distribución y publicación de notas de prensa de cada una de las actividades y logros obtenidos por el órgano regulador de las telecomunicaciones.</w:t>
      </w:r>
    </w:p>
    <w:p w14:paraId="6708D830" w14:textId="77777777" w:rsidR="00C356F0" w:rsidRPr="00A4233F" w:rsidRDefault="00C356F0" w:rsidP="00A02BDE">
      <w:pPr>
        <w:pStyle w:val="NormalWeb"/>
        <w:numPr>
          <w:ilvl w:val="0"/>
          <w:numId w:val="10"/>
        </w:numPr>
        <w:spacing w:line="360" w:lineRule="auto"/>
        <w:jc w:val="both"/>
        <w:rPr>
          <w:rFonts w:eastAsia="Calibri"/>
          <w:color w:val="4C4747"/>
          <w:spacing w:val="20"/>
          <w:lang w:eastAsia="en-US"/>
        </w:rPr>
      </w:pPr>
      <w:r w:rsidRPr="00A4233F">
        <w:rPr>
          <w:rFonts w:eastAsia="Calibri"/>
          <w:color w:val="4C4747"/>
          <w:spacing w:val="20"/>
          <w:lang w:eastAsia="en-US"/>
        </w:rPr>
        <w:t>Producción y distribución de material audiovisual para los múltiples eventos realizados.</w:t>
      </w:r>
    </w:p>
    <w:p w14:paraId="595AA4C5" w14:textId="77777777" w:rsidR="00C356F0" w:rsidRPr="00A4233F" w:rsidRDefault="00C356F0" w:rsidP="00A02BDE">
      <w:pPr>
        <w:pStyle w:val="NormalWeb"/>
        <w:numPr>
          <w:ilvl w:val="0"/>
          <w:numId w:val="10"/>
        </w:numPr>
        <w:spacing w:line="360" w:lineRule="auto"/>
        <w:jc w:val="both"/>
        <w:rPr>
          <w:rFonts w:eastAsia="Calibri"/>
          <w:color w:val="4C4747"/>
          <w:spacing w:val="20"/>
          <w:lang w:eastAsia="en-US"/>
        </w:rPr>
      </w:pPr>
      <w:r w:rsidRPr="00A4233F">
        <w:rPr>
          <w:rFonts w:eastAsia="Calibri"/>
          <w:color w:val="4C4747"/>
          <w:spacing w:val="20"/>
          <w:lang w:eastAsia="en-US"/>
        </w:rPr>
        <w:t>Elaboración de convocatoria a la prensa y publicación en las agendas de los medios de comunicación impresos y digitales de las actividades realizadas por la institución.</w:t>
      </w:r>
    </w:p>
    <w:p w14:paraId="056FF2A9" w14:textId="77777777" w:rsidR="00C356F0" w:rsidRPr="00A4233F" w:rsidRDefault="00C356F0" w:rsidP="00A02BDE">
      <w:pPr>
        <w:pStyle w:val="NormalWeb"/>
        <w:numPr>
          <w:ilvl w:val="0"/>
          <w:numId w:val="10"/>
        </w:numPr>
        <w:spacing w:line="360" w:lineRule="auto"/>
        <w:jc w:val="both"/>
        <w:rPr>
          <w:rFonts w:eastAsia="Calibri"/>
          <w:color w:val="4C4747"/>
          <w:spacing w:val="20"/>
          <w:lang w:eastAsia="en-US"/>
        </w:rPr>
      </w:pPr>
      <w:r w:rsidRPr="00A4233F">
        <w:rPr>
          <w:rFonts w:eastAsia="Calibri"/>
          <w:color w:val="4C4747"/>
          <w:spacing w:val="20"/>
          <w:lang w:eastAsia="en-US"/>
        </w:rPr>
        <w:t>Contacto directo y tour de medios con periodistas y líderes de opinión.</w:t>
      </w:r>
    </w:p>
    <w:p w14:paraId="32BCEFBF" w14:textId="77777777" w:rsidR="00C356F0" w:rsidRPr="00A4233F" w:rsidRDefault="00C356F0" w:rsidP="00A02BDE">
      <w:pPr>
        <w:pStyle w:val="NormalWeb"/>
        <w:numPr>
          <w:ilvl w:val="0"/>
          <w:numId w:val="10"/>
        </w:numPr>
        <w:spacing w:line="360" w:lineRule="auto"/>
        <w:jc w:val="both"/>
        <w:rPr>
          <w:rFonts w:eastAsia="Calibri"/>
          <w:color w:val="4C4747"/>
          <w:spacing w:val="20"/>
          <w:lang w:eastAsia="en-US"/>
        </w:rPr>
      </w:pPr>
      <w:r w:rsidRPr="00A4233F">
        <w:rPr>
          <w:rFonts w:eastAsia="Calibri"/>
          <w:color w:val="4C4747"/>
          <w:spacing w:val="20"/>
          <w:lang w:eastAsia="en-US"/>
        </w:rPr>
        <w:t>Desarrollo y ejecución de diversos paneles y conferencias sobre temas relacionados al sector de las telecomunicaciones.</w:t>
      </w:r>
    </w:p>
    <w:p w14:paraId="15464EA0" w14:textId="77777777" w:rsidR="00C356F0" w:rsidRPr="00A4233F" w:rsidRDefault="00C356F0" w:rsidP="00C356F0">
      <w:pPr>
        <w:pStyle w:val="NormalWeb"/>
        <w:contextualSpacing/>
        <w:jc w:val="both"/>
        <w:rPr>
          <w:rFonts w:eastAsia="Calibri"/>
          <w:b/>
          <w:color w:val="4C4747"/>
          <w:spacing w:val="20"/>
          <w:lang w:eastAsia="en-US"/>
        </w:rPr>
      </w:pPr>
      <w:r w:rsidRPr="00A4233F">
        <w:rPr>
          <w:rFonts w:eastAsia="Calibri"/>
          <w:b/>
          <w:color w:val="4C4747"/>
          <w:spacing w:val="20"/>
          <w:lang w:eastAsia="en-US"/>
        </w:rPr>
        <w:t>Lanzamiento de la Carta de Derechos y Deberes de los Usuarios</w:t>
      </w:r>
    </w:p>
    <w:p w14:paraId="45431A9B" w14:textId="1DC3281E" w:rsidR="00C356F0" w:rsidRPr="00A4233F" w:rsidRDefault="00C356F0" w:rsidP="00C356F0">
      <w:pPr>
        <w:spacing w:line="360" w:lineRule="auto"/>
        <w:contextualSpacing/>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El 20 de octubre 2022 fue </w:t>
      </w:r>
      <w:r w:rsidR="008F59AD" w:rsidRPr="00A4233F">
        <w:rPr>
          <w:rFonts w:ascii="Times New Roman" w:eastAsia="Calibri" w:hAnsi="Times New Roman" w:cs="Times New Roman"/>
          <w:color w:val="4C4747"/>
          <w:spacing w:val="20"/>
          <w:sz w:val="24"/>
          <w:szCs w:val="24"/>
          <w:lang w:val="es-DO"/>
        </w:rPr>
        <w:t>lanzado</w:t>
      </w:r>
      <w:r w:rsidRPr="00A4233F">
        <w:rPr>
          <w:rFonts w:ascii="Times New Roman" w:eastAsia="Calibri" w:hAnsi="Times New Roman" w:cs="Times New Roman"/>
          <w:color w:val="4C4747"/>
          <w:spacing w:val="20"/>
          <w:sz w:val="24"/>
          <w:szCs w:val="24"/>
          <w:lang w:val="es-DO"/>
        </w:rPr>
        <w:t xml:space="preserve"> por el INDOTEL la Carta de Derechos y Deberes de los Usuarios de Servicios Públicos de Telecomunicaciones para personas con discapacidad visual y auditiva, con el objetivo de que estas puedan conocer sus obligaciones y privilegios como usuarios del sector.</w:t>
      </w:r>
    </w:p>
    <w:p w14:paraId="3A6074EA" w14:textId="77777777" w:rsidR="00C356F0" w:rsidRPr="00A4233F" w:rsidRDefault="00C356F0" w:rsidP="00C356F0">
      <w:pPr>
        <w:spacing w:line="360" w:lineRule="auto"/>
        <w:contextualSpacing/>
        <w:jc w:val="both"/>
        <w:rPr>
          <w:rFonts w:ascii="Times New Roman" w:eastAsia="Calibri" w:hAnsi="Times New Roman" w:cs="Times New Roman"/>
          <w:color w:val="4C4747"/>
          <w:spacing w:val="20"/>
          <w:sz w:val="24"/>
          <w:szCs w:val="24"/>
          <w:lang w:val="es-DO"/>
        </w:rPr>
      </w:pPr>
    </w:p>
    <w:p w14:paraId="21720F39" w14:textId="77777777" w:rsidR="00C356F0" w:rsidRPr="00A4233F" w:rsidRDefault="00C356F0" w:rsidP="00C356F0">
      <w:pPr>
        <w:spacing w:line="360" w:lineRule="auto"/>
        <w:contextualSpacing/>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En materia de comunicación se llevaron a cabo las siguientes acciones:</w:t>
      </w:r>
    </w:p>
    <w:p w14:paraId="2FBECBDC" w14:textId="77777777" w:rsidR="00C356F0" w:rsidRPr="00A4233F" w:rsidRDefault="00C356F0" w:rsidP="00A02BDE">
      <w:pPr>
        <w:pStyle w:val="Prrafodelista"/>
        <w:numPr>
          <w:ilvl w:val="0"/>
          <w:numId w:val="7"/>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Creación de línea gráfica para representar la identidad la campaña.</w:t>
      </w:r>
    </w:p>
    <w:p w14:paraId="459F7BB5" w14:textId="77777777" w:rsidR="00C356F0" w:rsidRPr="00A4233F" w:rsidRDefault="00C356F0" w:rsidP="00A02BDE">
      <w:pPr>
        <w:pStyle w:val="Prrafodelista"/>
        <w:numPr>
          <w:ilvl w:val="0"/>
          <w:numId w:val="7"/>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Campaña para las redes sociales bajo el tema “INDOTEL TE INCLUYE”.</w:t>
      </w:r>
    </w:p>
    <w:p w14:paraId="12599EDB" w14:textId="77777777" w:rsidR="00C356F0" w:rsidRPr="00A4233F" w:rsidRDefault="00C356F0" w:rsidP="00A02BDE">
      <w:pPr>
        <w:pStyle w:val="Prrafodelista"/>
        <w:numPr>
          <w:ilvl w:val="0"/>
          <w:numId w:val="7"/>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Elaboración de convocatoria a la prensa y publicación en las agendas de los medios de comunicación impresos y digitales.</w:t>
      </w:r>
    </w:p>
    <w:p w14:paraId="132FF1B5" w14:textId="77777777" w:rsidR="00C356F0" w:rsidRPr="00A4233F" w:rsidRDefault="00C356F0" w:rsidP="00A02BDE">
      <w:pPr>
        <w:pStyle w:val="Prrafodelista"/>
        <w:numPr>
          <w:ilvl w:val="0"/>
          <w:numId w:val="7"/>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Exposición de los letreros con la Carta de Derechos y Deberes de los Usuarios de Servicios Públicos de las Telecomunicaciones durante el lanzamiento.</w:t>
      </w:r>
    </w:p>
    <w:p w14:paraId="31585E6F" w14:textId="77777777" w:rsidR="00C356F0" w:rsidRPr="00A4233F" w:rsidRDefault="00C356F0" w:rsidP="00A02BDE">
      <w:pPr>
        <w:pStyle w:val="Prrafodelista"/>
        <w:numPr>
          <w:ilvl w:val="0"/>
          <w:numId w:val="7"/>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Producción y distribución de material audiovisual durante la actividad.</w:t>
      </w:r>
    </w:p>
    <w:p w14:paraId="262B8C36" w14:textId="77777777" w:rsidR="00C356F0" w:rsidRPr="00A4233F" w:rsidRDefault="00C356F0" w:rsidP="00A02BDE">
      <w:pPr>
        <w:pStyle w:val="Prrafodelista"/>
        <w:numPr>
          <w:ilvl w:val="0"/>
          <w:numId w:val="7"/>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Creación, distribución y publicación de notas de prensa en los medios.</w:t>
      </w:r>
    </w:p>
    <w:p w14:paraId="05FE6B04" w14:textId="181A07BA" w:rsidR="00C356F0" w:rsidRPr="00A4233F" w:rsidRDefault="00C356F0" w:rsidP="00A02BDE">
      <w:pPr>
        <w:pStyle w:val="Prrafodelista"/>
        <w:numPr>
          <w:ilvl w:val="0"/>
          <w:numId w:val="7"/>
        </w:numPr>
        <w:spacing w:line="360" w:lineRule="auto"/>
        <w:jc w:val="both"/>
        <w:rPr>
          <w:rFonts w:eastAsia="Calibri"/>
          <w:color w:val="4C4747"/>
          <w:spacing w:val="20"/>
          <w:sz w:val="24"/>
          <w:szCs w:val="24"/>
          <w:lang w:val="es-MX"/>
        </w:rPr>
      </w:pPr>
      <w:r w:rsidRPr="00A4233F">
        <w:rPr>
          <w:rFonts w:ascii="Times New Roman" w:eastAsia="Calibri" w:hAnsi="Times New Roman" w:cs="Times New Roman"/>
          <w:color w:val="4C4747"/>
          <w:spacing w:val="20"/>
          <w:sz w:val="24"/>
          <w:szCs w:val="24"/>
          <w:lang w:val="es-DO"/>
        </w:rPr>
        <w:t>Tour de medios en diferentes medios de comunicación (radio, televisión) promoviendo el relanzamiento de la Carta de Derechos y Deberes, donde incluye personas con discapacidad auditiva y visual.</w:t>
      </w:r>
    </w:p>
    <w:p w14:paraId="19F15CF1" w14:textId="77777777" w:rsidR="005A11A8" w:rsidRPr="00A4233F" w:rsidRDefault="005A11A8" w:rsidP="005A11A8">
      <w:pPr>
        <w:spacing w:line="360" w:lineRule="auto"/>
        <w:jc w:val="both"/>
        <w:rPr>
          <w:rFonts w:eastAsia="Calibri"/>
          <w:color w:val="4C4747"/>
          <w:spacing w:val="20"/>
          <w:sz w:val="24"/>
          <w:szCs w:val="24"/>
          <w:lang w:val="es-MX"/>
        </w:rPr>
      </w:pPr>
    </w:p>
    <w:p w14:paraId="0C5C19E0" w14:textId="77777777" w:rsidR="00C356F0" w:rsidRPr="00A4233F" w:rsidRDefault="00C356F0" w:rsidP="00C356F0">
      <w:pPr>
        <w:pStyle w:val="NormalWeb"/>
        <w:jc w:val="both"/>
        <w:rPr>
          <w:rFonts w:eastAsia="Calibri"/>
          <w:b/>
          <w:color w:val="4C4747"/>
          <w:spacing w:val="20"/>
          <w:lang w:eastAsia="en-US"/>
        </w:rPr>
      </w:pPr>
      <w:r w:rsidRPr="00A4233F">
        <w:rPr>
          <w:rFonts w:eastAsia="Calibri"/>
          <w:b/>
          <w:color w:val="4C4747"/>
          <w:spacing w:val="20"/>
          <w:lang w:eastAsia="en-US"/>
        </w:rPr>
        <w:t>IDforo 2022</w:t>
      </w:r>
    </w:p>
    <w:p w14:paraId="44595A4D" w14:textId="07BC246B"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 xml:space="preserve">El </w:t>
      </w:r>
      <w:r w:rsidR="008F59AD" w:rsidRPr="00A4233F">
        <w:rPr>
          <w:rFonts w:eastAsia="Calibri"/>
          <w:color w:val="4C4747"/>
          <w:spacing w:val="20"/>
          <w:lang w:eastAsia="en-US"/>
        </w:rPr>
        <w:t>INDOTEL</w:t>
      </w:r>
      <w:r w:rsidRPr="00A4233F">
        <w:rPr>
          <w:rFonts w:eastAsia="Calibri"/>
          <w:color w:val="4C4747"/>
          <w:spacing w:val="20"/>
          <w:lang w:eastAsia="en-US"/>
        </w:rPr>
        <w:t xml:space="preserve"> fue el anfitrión de la Cumbre IDForo 2022, este año con el tema, Generación de Confianza en la Transformación Digital, un espacio de debate iberoamericano sobre tendencias de identidad digital y servicios electrónicos, que se llevó a cabo </w:t>
      </w:r>
      <w:r w:rsidR="00EB2EA6" w:rsidRPr="00A4233F">
        <w:rPr>
          <w:rFonts w:eastAsia="Calibri"/>
          <w:color w:val="4C4747"/>
          <w:spacing w:val="20"/>
          <w:lang w:eastAsia="en-US"/>
        </w:rPr>
        <w:t xml:space="preserve">del 2 al 4 </w:t>
      </w:r>
      <w:r w:rsidRPr="00A4233F">
        <w:rPr>
          <w:rFonts w:eastAsia="Calibri"/>
          <w:color w:val="4C4747"/>
          <w:spacing w:val="20"/>
          <w:lang w:eastAsia="en-US"/>
        </w:rPr>
        <w:t>de noviembre.</w:t>
      </w:r>
    </w:p>
    <w:p w14:paraId="32EA1118"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Se elaboraron planes y acciones en materia de comunicación, emitido a través de las redes sociales, prensa escrita, medios de radio y televisión, que se detallan a continuación:</w:t>
      </w:r>
    </w:p>
    <w:p w14:paraId="589E8661" w14:textId="77777777" w:rsidR="00C356F0" w:rsidRPr="00A4233F" w:rsidRDefault="00C356F0" w:rsidP="00A02BDE">
      <w:pPr>
        <w:pStyle w:val="Prrafodelista"/>
        <w:numPr>
          <w:ilvl w:val="0"/>
          <w:numId w:val="12"/>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lastRenderedPageBreak/>
        <w:t>Creación y distribución de notas informativas promoviendo la jornada de la cumbre IDForo2022.</w:t>
      </w:r>
    </w:p>
    <w:p w14:paraId="54962E13" w14:textId="77777777" w:rsidR="00C356F0" w:rsidRPr="00A4233F" w:rsidRDefault="00C356F0" w:rsidP="00A02BDE">
      <w:pPr>
        <w:pStyle w:val="Prrafodelista"/>
        <w:numPr>
          <w:ilvl w:val="0"/>
          <w:numId w:val="12"/>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 xml:space="preserve">Cobertura de redes sociales durante los 3 días de cumbre. </w:t>
      </w:r>
    </w:p>
    <w:p w14:paraId="20726BE4" w14:textId="77777777" w:rsidR="00C356F0" w:rsidRPr="00A4233F" w:rsidRDefault="00C356F0" w:rsidP="00A02BDE">
      <w:pPr>
        <w:pStyle w:val="Prrafodelista"/>
        <w:numPr>
          <w:ilvl w:val="0"/>
          <w:numId w:val="12"/>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Producción y distribución de material audiovisual en las redes sociales de la institución.</w:t>
      </w:r>
    </w:p>
    <w:p w14:paraId="60A1CD43" w14:textId="77777777" w:rsidR="00C356F0" w:rsidRPr="00A4233F" w:rsidRDefault="00C356F0" w:rsidP="00A02BDE">
      <w:pPr>
        <w:pStyle w:val="Prrafodelista"/>
        <w:numPr>
          <w:ilvl w:val="0"/>
          <w:numId w:val="12"/>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Tour de medios en diferentes medios de comunicación (radio, televisión).</w:t>
      </w:r>
    </w:p>
    <w:p w14:paraId="3A4C6F76" w14:textId="6A9DE579" w:rsidR="00C356F0" w:rsidRPr="00A4233F" w:rsidRDefault="00C356F0" w:rsidP="00A02BDE">
      <w:pPr>
        <w:pStyle w:val="Prrafodelista"/>
        <w:numPr>
          <w:ilvl w:val="0"/>
          <w:numId w:val="12"/>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Elaboración de guía informativa</w:t>
      </w:r>
      <w:r w:rsidR="008F59AD" w:rsidRPr="00A4233F">
        <w:rPr>
          <w:rFonts w:ascii="Times New Roman" w:eastAsia="Calibri" w:hAnsi="Times New Roman" w:cs="Times New Roman"/>
          <w:color w:val="4C4747"/>
          <w:spacing w:val="20"/>
          <w:sz w:val="24"/>
          <w:szCs w:val="24"/>
          <w:lang w:val="es-DO"/>
        </w:rPr>
        <w:t>.</w:t>
      </w:r>
    </w:p>
    <w:p w14:paraId="215CDFD4" w14:textId="77777777" w:rsidR="00C356F0" w:rsidRPr="00A4233F" w:rsidRDefault="00C356F0" w:rsidP="00A02BDE">
      <w:pPr>
        <w:pStyle w:val="Prrafodelista"/>
        <w:numPr>
          <w:ilvl w:val="0"/>
          <w:numId w:val="12"/>
        </w:numPr>
        <w:spacing w:line="360" w:lineRule="auto"/>
        <w:jc w:val="both"/>
        <w:rPr>
          <w:rFonts w:ascii="Times New Roman" w:eastAsia="Calibri" w:hAnsi="Times New Roman" w:cs="Times New Roman"/>
          <w:color w:val="4C4747"/>
          <w:spacing w:val="20"/>
          <w:sz w:val="24"/>
          <w:szCs w:val="24"/>
          <w:lang w:val="es-DO"/>
        </w:rPr>
      </w:pPr>
      <w:r w:rsidRPr="00A4233F">
        <w:rPr>
          <w:rFonts w:ascii="Times New Roman" w:eastAsia="Calibri" w:hAnsi="Times New Roman" w:cs="Times New Roman"/>
          <w:color w:val="4C4747"/>
          <w:spacing w:val="20"/>
          <w:sz w:val="24"/>
          <w:szCs w:val="24"/>
          <w:lang w:val="es-DO"/>
        </w:rPr>
        <w:t>Creación de línea gráfica para representar la identidad la actividad.</w:t>
      </w:r>
    </w:p>
    <w:p w14:paraId="03039951" w14:textId="598148D3" w:rsidR="00C356F0" w:rsidRPr="00A4233F" w:rsidRDefault="00B30127" w:rsidP="00C356F0">
      <w:pPr>
        <w:pStyle w:val="NormalWeb"/>
        <w:jc w:val="both"/>
        <w:rPr>
          <w:rFonts w:eastAsia="Calibri"/>
          <w:b/>
          <w:color w:val="4C4747"/>
          <w:spacing w:val="20"/>
          <w:lang w:eastAsia="en-US"/>
        </w:rPr>
      </w:pPr>
      <w:r w:rsidRPr="00A4233F">
        <w:rPr>
          <w:rFonts w:eastAsia="Calibri"/>
          <w:b/>
          <w:color w:val="4C4747"/>
          <w:spacing w:val="20"/>
          <w:lang w:eastAsia="en-US"/>
        </w:rPr>
        <w:t>Relaciones p</w:t>
      </w:r>
      <w:r w:rsidR="00C356F0" w:rsidRPr="00A4233F">
        <w:rPr>
          <w:rFonts w:eastAsia="Calibri"/>
          <w:b/>
          <w:color w:val="4C4747"/>
          <w:spacing w:val="20"/>
          <w:lang w:eastAsia="en-US"/>
        </w:rPr>
        <w:t>úblicas internas y externas</w:t>
      </w:r>
    </w:p>
    <w:p w14:paraId="3C1D6EF9"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A través de la unidad de publicidad se difundieron las campañas, resoluciones y avisos del INDOTEL, en los diferentes medios de comunicación impresos y digitales, con el propósito de informar a los usuarios y prestadoras de las telecomunicaciones.</w:t>
      </w:r>
    </w:p>
    <w:p w14:paraId="6F37DCC3" w14:textId="36F9A342" w:rsidR="00C356F0"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Todo esto se ha estado proyectando en 35 medios de comunicación, divididos en 07 periódicos impresos, 10 programas radiales y 18 programas de televisión. A continuación, la descripción del uso por cada medio de comunicación durante el pe</w:t>
      </w:r>
      <w:r w:rsidR="008F59AD" w:rsidRPr="00A4233F">
        <w:rPr>
          <w:rFonts w:eastAsia="Calibri"/>
          <w:color w:val="4C4747"/>
          <w:spacing w:val="20"/>
          <w:lang w:eastAsia="en-US"/>
        </w:rPr>
        <w:t>ríodo enero-noviembre año 2022.</w:t>
      </w:r>
    </w:p>
    <w:p w14:paraId="66F44A84" w14:textId="77777777" w:rsidR="00F65C89" w:rsidRDefault="00F65C89" w:rsidP="00C356F0">
      <w:pPr>
        <w:pStyle w:val="NormalWeb"/>
        <w:spacing w:line="360" w:lineRule="auto"/>
        <w:jc w:val="both"/>
        <w:rPr>
          <w:rFonts w:eastAsia="Calibri"/>
          <w:color w:val="4C4747"/>
          <w:spacing w:val="20"/>
          <w:lang w:eastAsia="en-US"/>
        </w:rPr>
      </w:pPr>
    </w:p>
    <w:p w14:paraId="4B160342" w14:textId="77777777" w:rsidR="00F65C89" w:rsidRDefault="00F65C89" w:rsidP="00C356F0">
      <w:pPr>
        <w:pStyle w:val="NormalWeb"/>
        <w:spacing w:line="360" w:lineRule="auto"/>
        <w:jc w:val="both"/>
        <w:rPr>
          <w:rFonts w:eastAsia="Calibri"/>
          <w:color w:val="4C4747"/>
          <w:spacing w:val="20"/>
          <w:lang w:eastAsia="en-US"/>
        </w:rPr>
      </w:pPr>
    </w:p>
    <w:p w14:paraId="2687E29B" w14:textId="77777777" w:rsidR="00F65C89" w:rsidRDefault="00F65C89" w:rsidP="00C356F0">
      <w:pPr>
        <w:pStyle w:val="NormalWeb"/>
        <w:spacing w:line="360" w:lineRule="auto"/>
        <w:jc w:val="both"/>
        <w:rPr>
          <w:rFonts w:eastAsia="Calibri"/>
          <w:color w:val="4C4747"/>
          <w:spacing w:val="20"/>
          <w:lang w:eastAsia="en-US"/>
        </w:rPr>
      </w:pPr>
    </w:p>
    <w:p w14:paraId="460D0FCD" w14:textId="77777777" w:rsidR="00F65C89" w:rsidRDefault="00F65C89" w:rsidP="00C356F0">
      <w:pPr>
        <w:pStyle w:val="NormalWeb"/>
        <w:spacing w:line="360" w:lineRule="auto"/>
        <w:jc w:val="both"/>
        <w:rPr>
          <w:rFonts w:eastAsia="Calibri"/>
          <w:color w:val="4C4747"/>
          <w:spacing w:val="20"/>
          <w:lang w:eastAsia="en-US"/>
        </w:rPr>
      </w:pPr>
    </w:p>
    <w:p w14:paraId="7E240DDA" w14:textId="77777777" w:rsidR="00F65C89" w:rsidRPr="00A4233F" w:rsidRDefault="00F65C89" w:rsidP="00C356F0">
      <w:pPr>
        <w:pStyle w:val="NormalWeb"/>
        <w:spacing w:line="360" w:lineRule="auto"/>
        <w:jc w:val="both"/>
        <w:rPr>
          <w:rFonts w:eastAsia="Calibri"/>
          <w:color w:val="4C4747"/>
          <w:spacing w:val="20"/>
          <w:lang w:eastAsia="en-US"/>
        </w:rPr>
      </w:pPr>
    </w:p>
    <w:p w14:paraId="4D1D1FB9"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lastRenderedPageBreak/>
        <w:t>Colocación de publicidad en medios:</w:t>
      </w:r>
    </w:p>
    <w:tbl>
      <w:tblPr>
        <w:tblStyle w:val="Tablaconcuadrcula"/>
        <w:tblW w:w="7915" w:type="dxa"/>
        <w:tblLayout w:type="fixed"/>
        <w:tblLook w:val="06A0" w:firstRow="1" w:lastRow="0" w:firstColumn="1" w:lastColumn="0" w:noHBand="1" w:noVBand="1"/>
      </w:tblPr>
      <w:tblGrid>
        <w:gridCol w:w="1905"/>
        <w:gridCol w:w="1510"/>
        <w:gridCol w:w="4500"/>
      </w:tblGrid>
      <w:tr w:rsidR="00C356F0" w:rsidRPr="003A41E6" w14:paraId="2750FE39" w14:textId="77777777" w:rsidTr="00790E59">
        <w:trPr>
          <w:trHeight w:val="532"/>
        </w:trPr>
        <w:tc>
          <w:tcPr>
            <w:tcW w:w="1905" w:type="dxa"/>
            <w:tcBorders>
              <w:top w:val="single" w:sz="4" w:space="0" w:color="auto"/>
              <w:left w:val="single" w:sz="4" w:space="0" w:color="auto"/>
              <w:bottom w:val="single" w:sz="4" w:space="0" w:color="auto"/>
              <w:right w:val="single" w:sz="4" w:space="0" w:color="auto"/>
            </w:tcBorders>
            <w:shd w:val="clear" w:color="auto" w:fill="002060"/>
            <w:vAlign w:val="center"/>
          </w:tcPr>
          <w:p w14:paraId="7156D1D9" w14:textId="77777777" w:rsidR="00C356F0" w:rsidRPr="00790E59" w:rsidRDefault="00C356F0" w:rsidP="00790E59">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Medios</w:t>
            </w:r>
          </w:p>
        </w:tc>
        <w:tc>
          <w:tcPr>
            <w:tcW w:w="1510" w:type="dxa"/>
            <w:tcBorders>
              <w:top w:val="single" w:sz="4" w:space="0" w:color="auto"/>
              <w:left w:val="single" w:sz="4" w:space="0" w:color="auto"/>
              <w:bottom w:val="single" w:sz="4" w:space="0" w:color="auto"/>
              <w:right w:val="single" w:sz="4" w:space="0" w:color="auto"/>
            </w:tcBorders>
            <w:shd w:val="clear" w:color="auto" w:fill="002060"/>
            <w:vAlign w:val="center"/>
          </w:tcPr>
          <w:p w14:paraId="2ABD6346" w14:textId="21F8E9E1" w:rsidR="00C356F0" w:rsidRPr="00790E59" w:rsidRDefault="00C356F0" w:rsidP="00790E59">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Cantidad de Medios</w:t>
            </w:r>
          </w:p>
        </w:tc>
        <w:tc>
          <w:tcPr>
            <w:tcW w:w="4500" w:type="dxa"/>
            <w:tcBorders>
              <w:top w:val="single" w:sz="4" w:space="0" w:color="auto"/>
              <w:left w:val="single" w:sz="4" w:space="0" w:color="auto"/>
              <w:bottom w:val="single" w:sz="4" w:space="0" w:color="auto"/>
              <w:right w:val="single" w:sz="4" w:space="0" w:color="auto"/>
            </w:tcBorders>
            <w:shd w:val="clear" w:color="auto" w:fill="002060"/>
            <w:vAlign w:val="center"/>
          </w:tcPr>
          <w:p w14:paraId="3E964E92" w14:textId="77777777" w:rsidR="00C356F0" w:rsidRPr="00790E59" w:rsidRDefault="00C356F0" w:rsidP="00790E59">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Descripción</w:t>
            </w:r>
          </w:p>
        </w:tc>
      </w:tr>
      <w:tr w:rsidR="00C356F0" w:rsidRPr="00376423" w14:paraId="7A44BD99" w14:textId="77777777" w:rsidTr="00943FA5">
        <w:trPr>
          <w:trHeight w:val="1241"/>
        </w:trPr>
        <w:tc>
          <w:tcPr>
            <w:tcW w:w="1905" w:type="dxa"/>
            <w:tcBorders>
              <w:top w:val="single" w:sz="4" w:space="0" w:color="auto"/>
              <w:left w:val="single" w:sz="4" w:space="0" w:color="auto"/>
              <w:bottom w:val="single" w:sz="4" w:space="0" w:color="auto"/>
              <w:right w:val="single" w:sz="4" w:space="0" w:color="auto"/>
            </w:tcBorders>
          </w:tcPr>
          <w:p w14:paraId="6935999C"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Periódicos impresos</w:t>
            </w:r>
          </w:p>
        </w:tc>
        <w:tc>
          <w:tcPr>
            <w:tcW w:w="1510" w:type="dxa"/>
            <w:tcBorders>
              <w:top w:val="single" w:sz="4" w:space="0" w:color="auto"/>
              <w:left w:val="single" w:sz="4" w:space="0" w:color="auto"/>
              <w:bottom w:val="single" w:sz="4" w:space="0" w:color="auto"/>
              <w:right w:val="single" w:sz="4" w:space="0" w:color="auto"/>
            </w:tcBorders>
          </w:tcPr>
          <w:p w14:paraId="4852EBC2"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w:t>
            </w:r>
          </w:p>
        </w:tc>
        <w:tc>
          <w:tcPr>
            <w:tcW w:w="4500" w:type="dxa"/>
            <w:tcBorders>
              <w:top w:val="single" w:sz="4" w:space="0" w:color="auto"/>
              <w:left w:val="single" w:sz="4" w:space="0" w:color="auto"/>
              <w:bottom w:val="single" w:sz="4" w:space="0" w:color="auto"/>
              <w:right w:val="single" w:sz="4" w:space="0" w:color="auto"/>
            </w:tcBorders>
          </w:tcPr>
          <w:p w14:paraId="097C2283" w14:textId="59F97074"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Difusión   de resoluciones (14) audiencias (9) consulta pública</w:t>
            </w:r>
            <w:r w:rsidR="008F59AD" w:rsidRPr="00C62BB6">
              <w:rPr>
                <w:rFonts w:ascii="Times New Roman" w:eastAsia="Calibri" w:hAnsi="Times New Roman" w:cs="Times New Roman"/>
                <w:color w:val="4C4747"/>
                <w:spacing w:val="20"/>
                <w:sz w:val="24"/>
                <w:szCs w:val="24"/>
                <w:lang w:val="es-DO"/>
              </w:rPr>
              <w:t xml:space="preserve"> (05) licitación (06) aviso (4)</w:t>
            </w:r>
          </w:p>
        </w:tc>
      </w:tr>
      <w:tr w:rsidR="00C356F0" w:rsidRPr="00376423" w14:paraId="30576EBE" w14:textId="77777777" w:rsidTr="00943FA5">
        <w:trPr>
          <w:trHeight w:val="890"/>
        </w:trPr>
        <w:tc>
          <w:tcPr>
            <w:tcW w:w="1905" w:type="dxa"/>
            <w:tcBorders>
              <w:top w:val="single" w:sz="4" w:space="0" w:color="auto"/>
              <w:left w:val="single" w:sz="4" w:space="0" w:color="auto"/>
              <w:bottom w:val="single" w:sz="4" w:space="0" w:color="auto"/>
              <w:right w:val="single" w:sz="4" w:space="0" w:color="auto"/>
            </w:tcBorders>
          </w:tcPr>
          <w:p w14:paraId="3A2A97C2"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Periódicos impresos</w:t>
            </w:r>
          </w:p>
        </w:tc>
        <w:tc>
          <w:tcPr>
            <w:tcW w:w="1510" w:type="dxa"/>
            <w:tcBorders>
              <w:top w:val="single" w:sz="4" w:space="0" w:color="auto"/>
              <w:left w:val="single" w:sz="4" w:space="0" w:color="auto"/>
              <w:bottom w:val="single" w:sz="4" w:space="0" w:color="auto"/>
              <w:right w:val="single" w:sz="4" w:space="0" w:color="auto"/>
            </w:tcBorders>
          </w:tcPr>
          <w:p w14:paraId="0F0CCD03"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7</w:t>
            </w:r>
          </w:p>
        </w:tc>
        <w:tc>
          <w:tcPr>
            <w:tcW w:w="4500" w:type="dxa"/>
            <w:tcBorders>
              <w:top w:val="single" w:sz="4" w:space="0" w:color="auto"/>
              <w:left w:val="single" w:sz="4" w:space="0" w:color="auto"/>
              <w:bottom w:val="single" w:sz="4" w:space="0" w:color="auto"/>
              <w:right w:val="single" w:sz="4" w:space="0" w:color="auto"/>
            </w:tcBorders>
          </w:tcPr>
          <w:p w14:paraId="2B8F37AB" w14:textId="56F67000"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Celebración del Día Mundial de las Telecomunicaciones </w:t>
            </w:r>
            <w:r w:rsidR="008F59AD" w:rsidRPr="00C62BB6">
              <w:rPr>
                <w:rFonts w:ascii="Times New Roman" w:eastAsia="Calibri" w:hAnsi="Times New Roman" w:cs="Times New Roman"/>
                <w:color w:val="4C4747"/>
                <w:spacing w:val="20"/>
                <w:sz w:val="24"/>
                <w:szCs w:val="24"/>
                <w:lang w:val="es-DO"/>
              </w:rPr>
              <w:t>y la Sociedad de la Información</w:t>
            </w:r>
          </w:p>
        </w:tc>
      </w:tr>
      <w:tr w:rsidR="00C356F0" w:rsidRPr="00376423" w14:paraId="4B63F1E8" w14:textId="77777777" w:rsidTr="00943FA5">
        <w:trPr>
          <w:trHeight w:val="287"/>
        </w:trPr>
        <w:tc>
          <w:tcPr>
            <w:tcW w:w="1905" w:type="dxa"/>
            <w:tcBorders>
              <w:top w:val="single" w:sz="4" w:space="0" w:color="auto"/>
              <w:left w:val="single" w:sz="4" w:space="0" w:color="auto"/>
              <w:bottom w:val="single" w:sz="4" w:space="0" w:color="auto"/>
              <w:right w:val="single" w:sz="4" w:space="0" w:color="auto"/>
            </w:tcBorders>
          </w:tcPr>
          <w:p w14:paraId="25403DC6"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Radio</w:t>
            </w:r>
          </w:p>
        </w:tc>
        <w:tc>
          <w:tcPr>
            <w:tcW w:w="1510" w:type="dxa"/>
            <w:tcBorders>
              <w:top w:val="single" w:sz="4" w:space="0" w:color="auto"/>
              <w:left w:val="single" w:sz="4" w:space="0" w:color="auto"/>
              <w:bottom w:val="single" w:sz="4" w:space="0" w:color="auto"/>
              <w:right w:val="single" w:sz="4" w:space="0" w:color="auto"/>
            </w:tcBorders>
          </w:tcPr>
          <w:p w14:paraId="2C8EAB19"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w:t>
            </w:r>
          </w:p>
        </w:tc>
        <w:tc>
          <w:tcPr>
            <w:tcW w:w="4500" w:type="dxa"/>
            <w:vMerge w:val="restart"/>
            <w:tcBorders>
              <w:top w:val="single" w:sz="4" w:space="0" w:color="auto"/>
              <w:left w:val="single" w:sz="4" w:space="0" w:color="auto"/>
              <w:right w:val="single" w:sz="4" w:space="0" w:color="auto"/>
            </w:tcBorders>
            <w:vAlign w:val="center"/>
          </w:tcPr>
          <w:p w14:paraId="7846B392" w14:textId="65311A7A"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Campaña: Norma del Sistema de Series Negada</w:t>
            </w:r>
          </w:p>
        </w:tc>
      </w:tr>
      <w:tr w:rsidR="00C356F0" w:rsidRPr="00C62BB6" w14:paraId="2D2261EB" w14:textId="77777777" w:rsidTr="00943FA5">
        <w:trPr>
          <w:trHeight w:val="440"/>
        </w:trPr>
        <w:tc>
          <w:tcPr>
            <w:tcW w:w="1905" w:type="dxa"/>
            <w:tcBorders>
              <w:top w:val="single" w:sz="4" w:space="0" w:color="auto"/>
              <w:left w:val="single" w:sz="4" w:space="0" w:color="auto"/>
              <w:bottom w:val="single" w:sz="4" w:space="0" w:color="auto"/>
              <w:right w:val="single" w:sz="4" w:space="0" w:color="auto"/>
            </w:tcBorders>
          </w:tcPr>
          <w:p w14:paraId="54443383"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Televisión</w:t>
            </w:r>
          </w:p>
        </w:tc>
        <w:tc>
          <w:tcPr>
            <w:tcW w:w="1510" w:type="dxa"/>
            <w:tcBorders>
              <w:top w:val="single" w:sz="4" w:space="0" w:color="auto"/>
              <w:left w:val="single" w:sz="4" w:space="0" w:color="auto"/>
              <w:bottom w:val="single" w:sz="4" w:space="0" w:color="auto"/>
              <w:right w:val="single" w:sz="4" w:space="0" w:color="auto"/>
            </w:tcBorders>
          </w:tcPr>
          <w:p w14:paraId="57790773"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18</w:t>
            </w:r>
          </w:p>
        </w:tc>
        <w:tc>
          <w:tcPr>
            <w:tcW w:w="4500" w:type="dxa"/>
            <w:vMerge/>
          </w:tcPr>
          <w:p w14:paraId="591F9EF7" w14:textId="77777777"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p>
        </w:tc>
      </w:tr>
      <w:tr w:rsidR="00C356F0" w:rsidRPr="00C62BB6" w14:paraId="2A31EF57" w14:textId="77777777" w:rsidTr="00943FA5">
        <w:trPr>
          <w:trHeight w:val="764"/>
        </w:trPr>
        <w:tc>
          <w:tcPr>
            <w:tcW w:w="1905" w:type="dxa"/>
            <w:tcBorders>
              <w:top w:val="single" w:sz="4" w:space="0" w:color="auto"/>
              <w:left w:val="single" w:sz="4" w:space="0" w:color="auto"/>
              <w:bottom w:val="single" w:sz="4" w:space="0" w:color="auto"/>
              <w:right w:val="single" w:sz="4" w:space="0" w:color="auto"/>
            </w:tcBorders>
          </w:tcPr>
          <w:p w14:paraId="1B133556"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Periódicos impresos</w:t>
            </w:r>
          </w:p>
        </w:tc>
        <w:tc>
          <w:tcPr>
            <w:tcW w:w="1510" w:type="dxa"/>
            <w:tcBorders>
              <w:top w:val="single" w:sz="4" w:space="0" w:color="auto"/>
              <w:left w:val="single" w:sz="4" w:space="0" w:color="auto"/>
              <w:bottom w:val="single" w:sz="4" w:space="0" w:color="auto"/>
              <w:right w:val="single" w:sz="4" w:space="0" w:color="auto"/>
            </w:tcBorders>
          </w:tcPr>
          <w:p w14:paraId="4AF1EA3A"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w:t>
            </w:r>
          </w:p>
        </w:tc>
        <w:tc>
          <w:tcPr>
            <w:tcW w:w="4500" w:type="dxa"/>
            <w:vMerge/>
          </w:tcPr>
          <w:p w14:paraId="3DB37F93" w14:textId="77777777"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p>
        </w:tc>
      </w:tr>
      <w:tr w:rsidR="00C356F0" w:rsidRPr="00C62BB6" w14:paraId="7053FF5D" w14:textId="77777777" w:rsidTr="00943FA5">
        <w:trPr>
          <w:trHeight w:val="818"/>
        </w:trPr>
        <w:tc>
          <w:tcPr>
            <w:tcW w:w="1905" w:type="dxa"/>
            <w:tcBorders>
              <w:top w:val="single" w:sz="4" w:space="0" w:color="auto"/>
              <w:left w:val="single" w:sz="4" w:space="0" w:color="auto"/>
              <w:bottom w:val="single" w:sz="4" w:space="0" w:color="auto"/>
              <w:right w:val="single" w:sz="4" w:space="0" w:color="auto"/>
            </w:tcBorders>
          </w:tcPr>
          <w:p w14:paraId="58B79447" w14:textId="27D1ADF0"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Periódicos impresos</w:t>
            </w:r>
          </w:p>
        </w:tc>
        <w:tc>
          <w:tcPr>
            <w:tcW w:w="1510" w:type="dxa"/>
            <w:tcBorders>
              <w:top w:val="single" w:sz="4" w:space="0" w:color="auto"/>
              <w:left w:val="single" w:sz="4" w:space="0" w:color="auto"/>
              <w:bottom w:val="single" w:sz="4" w:space="0" w:color="auto"/>
            </w:tcBorders>
          </w:tcPr>
          <w:p w14:paraId="15C04010"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w:t>
            </w:r>
          </w:p>
        </w:tc>
        <w:tc>
          <w:tcPr>
            <w:tcW w:w="4500" w:type="dxa"/>
            <w:vMerge w:val="restart"/>
            <w:vAlign w:val="center"/>
          </w:tcPr>
          <w:p w14:paraId="0B66583E" w14:textId="77777777"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Campaña: Televisión Terrestre Digital</w:t>
            </w:r>
          </w:p>
        </w:tc>
      </w:tr>
      <w:tr w:rsidR="00C356F0" w:rsidRPr="00C62BB6" w14:paraId="07A9B7B7" w14:textId="77777777" w:rsidTr="00943FA5">
        <w:trPr>
          <w:trHeight w:val="341"/>
        </w:trPr>
        <w:tc>
          <w:tcPr>
            <w:tcW w:w="1905" w:type="dxa"/>
            <w:tcBorders>
              <w:top w:val="single" w:sz="4" w:space="0" w:color="auto"/>
              <w:left w:val="single" w:sz="4" w:space="0" w:color="auto"/>
              <w:bottom w:val="single" w:sz="4" w:space="0" w:color="auto"/>
              <w:right w:val="single" w:sz="4" w:space="0" w:color="auto"/>
            </w:tcBorders>
          </w:tcPr>
          <w:p w14:paraId="61787F81"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Radio</w:t>
            </w:r>
          </w:p>
        </w:tc>
        <w:tc>
          <w:tcPr>
            <w:tcW w:w="1510" w:type="dxa"/>
            <w:tcBorders>
              <w:top w:val="single" w:sz="4" w:space="0" w:color="auto"/>
              <w:left w:val="single" w:sz="4" w:space="0" w:color="auto"/>
              <w:bottom w:val="single" w:sz="4" w:space="0" w:color="auto"/>
            </w:tcBorders>
          </w:tcPr>
          <w:p w14:paraId="66C06748"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w:t>
            </w:r>
          </w:p>
        </w:tc>
        <w:tc>
          <w:tcPr>
            <w:tcW w:w="4500" w:type="dxa"/>
            <w:vMerge/>
          </w:tcPr>
          <w:p w14:paraId="7E4712D0" w14:textId="77777777"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p>
        </w:tc>
      </w:tr>
      <w:tr w:rsidR="00C356F0" w:rsidRPr="00C62BB6" w14:paraId="5425BF82" w14:textId="77777777" w:rsidTr="00943FA5">
        <w:trPr>
          <w:trHeight w:val="377"/>
        </w:trPr>
        <w:tc>
          <w:tcPr>
            <w:tcW w:w="1905" w:type="dxa"/>
            <w:tcBorders>
              <w:top w:val="single" w:sz="4" w:space="0" w:color="auto"/>
              <w:left w:val="single" w:sz="4" w:space="0" w:color="auto"/>
              <w:bottom w:val="single" w:sz="4" w:space="0" w:color="auto"/>
              <w:right w:val="single" w:sz="4" w:space="0" w:color="auto"/>
            </w:tcBorders>
          </w:tcPr>
          <w:p w14:paraId="14F9AE97"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Televisión</w:t>
            </w:r>
          </w:p>
        </w:tc>
        <w:tc>
          <w:tcPr>
            <w:tcW w:w="1510" w:type="dxa"/>
            <w:tcBorders>
              <w:top w:val="single" w:sz="4" w:space="0" w:color="auto"/>
              <w:left w:val="single" w:sz="4" w:space="0" w:color="auto"/>
              <w:bottom w:val="single" w:sz="4" w:space="0" w:color="auto"/>
            </w:tcBorders>
          </w:tcPr>
          <w:p w14:paraId="49AB98CB"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w:t>
            </w:r>
          </w:p>
        </w:tc>
        <w:tc>
          <w:tcPr>
            <w:tcW w:w="4500" w:type="dxa"/>
            <w:vMerge/>
          </w:tcPr>
          <w:p w14:paraId="57117797" w14:textId="77777777" w:rsidR="00C356F0" w:rsidRPr="00C62BB6" w:rsidRDefault="00C356F0" w:rsidP="00943FA5">
            <w:pPr>
              <w:spacing w:line="276" w:lineRule="auto"/>
              <w:jc w:val="center"/>
              <w:rPr>
                <w:rFonts w:ascii="Times New Roman" w:eastAsia="Calibri" w:hAnsi="Times New Roman" w:cs="Times New Roman"/>
                <w:color w:val="4C4747"/>
                <w:spacing w:val="20"/>
                <w:sz w:val="24"/>
                <w:szCs w:val="24"/>
                <w:lang w:val="es-DO"/>
              </w:rPr>
            </w:pPr>
          </w:p>
        </w:tc>
      </w:tr>
      <w:tr w:rsidR="00C356F0" w:rsidRPr="00C62BB6" w14:paraId="33041F8A" w14:textId="77777777" w:rsidTr="00943FA5">
        <w:trPr>
          <w:trHeight w:val="395"/>
        </w:trPr>
        <w:tc>
          <w:tcPr>
            <w:tcW w:w="1905" w:type="dxa"/>
            <w:tcBorders>
              <w:top w:val="single" w:sz="4" w:space="0" w:color="auto"/>
              <w:left w:val="single" w:sz="4" w:space="0" w:color="auto"/>
              <w:bottom w:val="single" w:sz="4" w:space="0" w:color="auto"/>
              <w:right w:val="single" w:sz="4" w:space="0" w:color="auto"/>
            </w:tcBorders>
          </w:tcPr>
          <w:p w14:paraId="366ACF4F"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Radio</w:t>
            </w:r>
          </w:p>
        </w:tc>
        <w:tc>
          <w:tcPr>
            <w:tcW w:w="1510" w:type="dxa"/>
            <w:tcBorders>
              <w:top w:val="single" w:sz="4" w:space="0" w:color="auto"/>
              <w:left w:val="single" w:sz="4" w:space="0" w:color="auto"/>
              <w:bottom w:val="single" w:sz="4" w:space="0" w:color="auto"/>
            </w:tcBorders>
          </w:tcPr>
          <w:p w14:paraId="3A9FE2A4"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10</w:t>
            </w:r>
          </w:p>
        </w:tc>
        <w:tc>
          <w:tcPr>
            <w:tcW w:w="4500" w:type="dxa"/>
            <w:vMerge w:val="restart"/>
            <w:vAlign w:val="center"/>
          </w:tcPr>
          <w:p w14:paraId="22C6785C" w14:textId="77777777" w:rsidR="00C356F0" w:rsidRPr="00C62BB6" w:rsidRDefault="00C356F0" w:rsidP="00943FA5">
            <w:pPr>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Campaña: Puntos Wifi</w:t>
            </w:r>
          </w:p>
        </w:tc>
      </w:tr>
      <w:tr w:rsidR="00C356F0" w:rsidRPr="00C62BB6" w14:paraId="5A8952A6" w14:textId="77777777" w:rsidTr="00943FA5">
        <w:trPr>
          <w:trHeight w:val="332"/>
        </w:trPr>
        <w:tc>
          <w:tcPr>
            <w:tcW w:w="1905" w:type="dxa"/>
            <w:tcBorders>
              <w:top w:val="single" w:sz="4" w:space="0" w:color="auto"/>
              <w:left w:val="single" w:sz="4" w:space="0" w:color="auto"/>
              <w:bottom w:val="single" w:sz="4" w:space="0" w:color="auto"/>
              <w:right w:val="single" w:sz="4" w:space="0" w:color="auto"/>
            </w:tcBorders>
          </w:tcPr>
          <w:p w14:paraId="281F7FF0" w14:textId="64C900DD" w:rsidR="00C356F0" w:rsidRPr="00C62BB6" w:rsidRDefault="00B30127"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Televisión</w:t>
            </w:r>
          </w:p>
        </w:tc>
        <w:tc>
          <w:tcPr>
            <w:tcW w:w="1510" w:type="dxa"/>
            <w:tcBorders>
              <w:top w:val="single" w:sz="4" w:space="0" w:color="auto"/>
              <w:left w:val="single" w:sz="4" w:space="0" w:color="auto"/>
              <w:bottom w:val="single" w:sz="4" w:space="0" w:color="auto"/>
            </w:tcBorders>
          </w:tcPr>
          <w:p w14:paraId="5B7BD0E2" w14:textId="77777777" w:rsidR="00C356F0" w:rsidRPr="00C62BB6" w:rsidRDefault="00C356F0" w:rsidP="00943FA5">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18</w:t>
            </w:r>
          </w:p>
        </w:tc>
        <w:tc>
          <w:tcPr>
            <w:tcW w:w="4500" w:type="dxa"/>
            <w:vMerge/>
            <w:vAlign w:val="bottom"/>
          </w:tcPr>
          <w:p w14:paraId="38095EDF" w14:textId="77777777" w:rsidR="00C356F0" w:rsidRPr="00C62BB6" w:rsidRDefault="00C356F0" w:rsidP="00C356F0">
            <w:pPr>
              <w:rPr>
                <w:rFonts w:ascii="Times New Roman" w:eastAsia="Calibri" w:hAnsi="Times New Roman" w:cs="Times New Roman"/>
                <w:color w:val="4C4747"/>
                <w:spacing w:val="20"/>
                <w:sz w:val="24"/>
                <w:szCs w:val="24"/>
                <w:lang w:val="es-DO"/>
              </w:rPr>
            </w:pPr>
          </w:p>
        </w:tc>
      </w:tr>
    </w:tbl>
    <w:p w14:paraId="613488A3" w14:textId="77777777" w:rsidR="00C356F0" w:rsidRPr="00C62BB6" w:rsidRDefault="00C356F0" w:rsidP="00C356F0">
      <w:pPr>
        <w:spacing w:after="0"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Unidad de Publicidad, Dirección de Relaciones Públicas y Comunicaciones</w:t>
      </w:r>
    </w:p>
    <w:p w14:paraId="4D4FF961" w14:textId="77777777" w:rsidR="008F59AD" w:rsidRPr="00C62BB6" w:rsidRDefault="008F59AD" w:rsidP="00C356F0">
      <w:pPr>
        <w:rPr>
          <w:rFonts w:ascii="Times New Roman" w:eastAsia="Calibri" w:hAnsi="Times New Roman" w:cs="Times New Roman"/>
          <w:color w:val="4C4747"/>
          <w:spacing w:val="20"/>
          <w:sz w:val="24"/>
          <w:szCs w:val="24"/>
          <w:lang w:val="es-DO"/>
        </w:rPr>
      </w:pPr>
    </w:p>
    <w:p w14:paraId="16BB705E" w14:textId="77777777" w:rsidR="00C356F0" w:rsidRPr="00C62BB6" w:rsidRDefault="00C356F0" w:rsidP="00C356F0">
      <w:pPr>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Redes Sociales</w:t>
      </w:r>
    </w:p>
    <w:p w14:paraId="2FD2847D" w14:textId="77777777" w:rsidR="00C356F0" w:rsidRPr="00C62BB6" w:rsidRDefault="00C356F0" w:rsidP="00C356F0">
      <w:pPr>
        <w:pStyle w:val="NormalWeb"/>
        <w:spacing w:line="360" w:lineRule="auto"/>
        <w:jc w:val="both"/>
        <w:rPr>
          <w:rFonts w:eastAsia="Calibri"/>
          <w:color w:val="4C4747"/>
          <w:spacing w:val="20"/>
          <w:lang w:eastAsia="en-US"/>
        </w:rPr>
      </w:pPr>
      <w:r w:rsidRPr="00C62BB6">
        <w:rPr>
          <w:rFonts w:eastAsia="Calibri"/>
          <w:color w:val="4C4747"/>
          <w:spacing w:val="20"/>
          <w:lang w:eastAsia="en-US"/>
        </w:rPr>
        <w:t>Como símbolo de confianza, transparencia y eficiencia, el INDOTEL emite información rápida y actualizada mediante sus plataformas digitales de Instagram, Facebook, y el portal web de la institución.</w:t>
      </w:r>
    </w:p>
    <w:p w14:paraId="1A2325A6" w14:textId="2AADFE1E" w:rsidR="00C356F0" w:rsidRPr="00790E59" w:rsidRDefault="00C356F0" w:rsidP="00943FA5">
      <w:pPr>
        <w:pStyle w:val="NormalWeb"/>
        <w:spacing w:line="360" w:lineRule="auto"/>
        <w:jc w:val="both"/>
        <w:rPr>
          <w:rFonts w:eastAsia="Calibri"/>
          <w:color w:val="4C4747"/>
          <w:spacing w:val="20"/>
          <w:lang w:eastAsia="en-US"/>
        </w:rPr>
      </w:pPr>
      <w:r w:rsidRPr="00C62BB6">
        <w:rPr>
          <w:rFonts w:eastAsia="Calibri"/>
          <w:color w:val="4C4747"/>
          <w:spacing w:val="20"/>
          <w:lang w:eastAsia="en-US"/>
        </w:rPr>
        <w:t>A través de los diferentes canales digitales que tiene la institución, el órgano regulador recibe preguntas e inquietudes de parte de los usuarios, los cuales son atendidos por la unidad de medios digitales, siendo los casos complejos referidos al Departamento de Atenció</w:t>
      </w:r>
      <w:r w:rsidR="00150414" w:rsidRPr="00C62BB6">
        <w:rPr>
          <w:rFonts w:eastAsia="Calibri"/>
          <w:color w:val="4C4747"/>
          <w:spacing w:val="20"/>
          <w:lang w:eastAsia="en-US"/>
        </w:rPr>
        <w:t>n al Usuario (DAU) del INDOTEL.</w:t>
      </w:r>
    </w:p>
    <w:tbl>
      <w:tblPr>
        <w:tblW w:w="79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3735"/>
        <w:gridCol w:w="1100"/>
        <w:gridCol w:w="1453"/>
        <w:gridCol w:w="1627"/>
      </w:tblGrid>
      <w:tr w:rsidR="00C356F0" w:rsidRPr="00376423" w14:paraId="1F32F6D4" w14:textId="77777777" w:rsidTr="00943FA5">
        <w:trPr>
          <w:trHeight w:val="709"/>
        </w:trPr>
        <w:tc>
          <w:tcPr>
            <w:tcW w:w="7915" w:type="dxa"/>
            <w:gridSpan w:val="4"/>
            <w:shd w:val="clear" w:color="auto" w:fill="002060"/>
            <w:noWrap/>
            <w:vAlign w:val="center"/>
            <w:hideMark/>
          </w:tcPr>
          <w:p w14:paraId="51680920" w14:textId="77777777" w:rsidR="00C356F0" w:rsidRPr="00790E59"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lastRenderedPageBreak/>
              <w:t>Crecimiento de las Redes Sociales</w:t>
            </w:r>
            <w:r w:rsidRPr="00790E59">
              <w:rPr>
                <w:rFonts w:ascii="Times New Roman" w:eastAsia="Calibri" w:hAnsi="Times New Roman" w:cs="Times New Roman"/>
                <w:b/>
                <w:color w:val="FFFFFF" w:themeColor="background1"/>
                <w:spacing w:val="20"/>
                <w:sz w:val="24"/>
                <w:szCs w:val="24"/>
                <w:lang w:val="es-DO"/>
              </w:rPr>
              <w:br/>
              <w:t>Enero –Noviembre de 2022</w:t>
            </w:r>
          </w:p>
        </w:tc>
      </w:tr>
      <w:tr w:rsidR="00C356F0" w:rsidRPr="003A41E6" w14:paraId="633154F2" w14:textId="77777777" w:rsidTr="00943FA5">
        <w:trPr>
          <w:trHeight w:val="330"/>
        </w:trPr>
        <w:tc>
          <w:tcPr>
            <w:tcW w:w="4800" w:type="dxa"/>
            <w:shd w:val="clear" w:color="auto" w:fill="002060"/>
            <w:vAlign w:val="center"/>
            <w:hideMark/>
          </w:tcPr>
          <w:p w14:paraId="0133F391" w14:textId="77777777" w:rsidR="00C356F0" w:rsidRPr="00790E59"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Seguidores</w:t>
            </w:r>
          </w:p>
        </w:tc>
        <w:tc>
          <w:tcPr>
            <w:tcW w:w="1138" w:type="dxa"/>
            <w:shd w:val="clear" w:color="auto" w:fill="002060"/>
            <w:vAlign w:val="center"/>
            <w:hideMark/>
          </w:tcPr>
          <w:p w14:paraId="4113BF44" w14:textId="77777777" w:rsidR="00C356F0" w:rsidRPr="00790E59"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Enero</w:t>
            </w:r>
          </w:p>
        </w:tc>
        <w:tc>
          <w:tcPr>
            <w:tcW w:w="1400" w:type="dxa"/>
            <w:shd w:val="clear" w:color="auto" w:fill="002060"/>
            <w:vAlign w:val="center"/>
            <w:hideMark/>
          </w:tcPr>
          <w:p w14:paraId="2D9D7962" w14:textId="77777777" w:rsidR="00C356F0" w:rsidRPr="00790E59"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Noviembre</w:t>
            </w:r>
          </w:p>
        </w:tc>
        <w:tc>
          <w:tcPr>
            <w:tcW w:w="577" w:type="dxa"/>
            <w:shd w:val="clear" w:color="auto" w:fill="002060"/>
            <w:vAlign w:val="center"/>
            <w:hideMark/>
          </w:tcPr>
          <w:p w14:paraId="0D467634" w14:textId="77777777" w:rsidR="00C356F0" w:rsidRPr="00790E59" w:rsidRDefault="00C356F0" w:rsidP="00C356F0">
            <w:pPr>
              <w:spacing w:after="0" w:line="24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Crecimiento</w:t>
            </w:r>
          </w:p>
        </w:tc>
      </w:tr>
      <w:tr w:rsidR="00C356F0" w:rsidRPr="003A41E6" w14:paraId="74C87412" w14:textId="77777777" w:rsidTr="00943FA5">
        <w:trPr>
          <w:trHeight w:val="330"/>
        </w:trPr>
        <w:tc>
          <w:tcPr>
            <w:tcW w:w="4800" w:type="dxa"/>
            <w:shd w:val="clear" w:color="auto" w:fill="auto"/>
            <w:vAlign w:val="center"/>
            <w:hideMark/>
          </w:tcPr>
          <w:p w14:paraId="7694C09F"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Instagram</w:t>
            </w:r>
          </w:p>
        </w:tc>
        <w:tc>
          <w:tcPr>
            <w:tcW w:w="1138" w:type="dxa"/>
            <w:shd w:val="clear" w:color="auto" w:fill="auto"/>
            <w:vAlign w:val="center"/>
            <w:hideMark/>
          </w:tcPr>
          <w:p w14:paraId="43AE8581"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45,474</w:t>
            </w:r>
          </w:p>
        </w:tc>
        <w:tc>
          <w:tcPr>
            <w:tcW w:w="1400" w:type="dxa"/>
            <w:shd w:val="clear" w:color="auto" w:fill="auto"/>
            <w:vAlign w:val="center"/>
            <w:hideMark/>
          </w:tcPr>
          <w:p w14:paraId="19447584"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48,720</w:t>
            </w:r>
          </w:p>
        </w:tc>
        <w:tc>
          <w:tcPr>
            <w:tcW w:w="577" w:type="dxa"/>
            <w:shd w:val="clear" w:color="auto" w:fill="auto"/>
            <w:vAlign w:val="center"/>
            <w:hideMark/>
          </w:tcPr>
          <w:p w14:paraId="725CFFA6"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7.36%</w:t>
            </w:r>
          </w:p>
        </w:tc>
      </w:tr>
      <w:tr w:rsidR="00C356F0" w:rsidRPr="003A41E6" w14:paraId="67907D33" w14:textId="77777777" w:rsidTr="00943FA5">
        <w:trPr>
          <w:trHeight w:val="330"/>
        </w:trPr>
        <w:tc>
          <w:tcPr>
            <w:tcW w:w="4800" w:type="dxa"/>
            <w:shd w:val="clear" w:color="auto" w:fill="auto"/>
            <w:vAlign w:val="center"/>
            <w:hideMark/>
          </w:tcPr>
          <w:p w14:paraId="4919BE9D"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Facebook</w:t>
            </w:r>
          </w:p>
        </w:tc>
        <w:tc>
          <w:tcPr>
            <w:tcW w:w="1138" w:type="dxa"/>
            <w:shd w:val="clear" w:color="auto" w:fill="auto"/>
            <w:vAlign w:val="center"/>
            <w:hideMark/>
          </w:tcPr>
          <w:p w14:paraId="7BB27269"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16,151</w:t>
            </w:r>
          </w:p>
        </w:tc>
        <w:tc>
          <w:tcPr>
            <w:tcW w:w="1400" w:type="dxa"/>
            <w:shd w:val="clear" w:color="auto" w:fill="auto"/>
            <w:vAlign w:val="center"/>
            <w:hideMark/>
          </w:tcPr>
          <w:p w14:paraId="07DC1D22"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16,891</w:t>
            </w:r>
          </w:p>
        </w:tc>
        <w:tc>
          <w:tcPr>
            <w:tcW w:w="577" w:type="dxa"/>
            <w:shd w:val="clear" w:color="auto" w:fill="auto"/>
            <w:vAlign w:val="center"/>
            <w:hideMark/>
          </w:tcPr>
          <w:p w14:paraId="225665EA"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4.58%</w:t>
            </w:r>
          </w:p>
        </w:tc>
      </w:tr>
      <w:tr w:rsidR="00C356F0" w:rsidRPr="003A41E6" w14:paraId="4BCCB42A" w14:textId="77777777" w:rsidTr="00943FA5">
        <w:trPr>
          <w:trHeight w:val="330"/>
        </w:trPr>
        <w:tc>
          <w:tcPr>
            <w:tcW w:w="4800" w:type="dxa"/>
            <w:shd w:val="clear" w:color="auto" w:fill="auto"/>
            <w:vAlign w:val="center"/>
            <w:hideMark/>
          </w:tcPr>
          <w:p w14:paraId="2D1FFA66"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Twitter</w:t>
            </w:r>
          </w:p>
        </w:tc>
        <w:tc>
          <w:tcPr>
            <w:tcW w:w="1138" w:type="dxa"/>
            <w:shd w:val="clear" w:color="auto" w:fill="auto"/>
            <w:vAlign w:val="center"/>
            <w:hideMark/>
          </w:tcPr>
          <w:p w14:paraId="3ED5F1F9"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125,673</w:t>
            </w:r>
          </w:p>
        </w:tc>
        <w:tc>
          <w:tcPr>
            <w:tcW w:w="1400" w:type="dxa"/>
            <w:shd w:val="clear" w:color="auto" w:fill="auto"/>
            <w:vAlign w:val="center"/>
            <w:hideMark/>
          </w:tcPr>
          <w:p w14:paraId="30B0ABE9"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127,605</w:t>
            </w:r>
          </w:p>
        </w:tc>
        <w:tc>
          <w:tcPr>
            <w:tcW w:w="577" w:type="dxa"/>
            <w:shd w:val="clear" w:color="auto" w:fill="auto"/>
            <w:vAlign w:val="center"/>
            <w:hideMark/>
          </w:tcPr>
          <w:p w14:paraId="04BFC3F1" w14:textId="77777777" w:rsidR="00C356F0" w:rsidRPr="00C62BB6" w:rsidRDefault="00C356F0" w:rsidP="005A11A8">
            <w:pPr>
              <w:spacing w:after="0"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1.54%</w:t>
            </w:r>
          </w:p>
        </w:tc>
      </w:tr>
    </w:tbl>
    <w:p w14:paraId="07289145" w14:textId="77777777" w:rsidR="00C356F0" w:rsidRPr="00C62BB6" w:rsidRDefault="00C356F0" w:rsidP="00C356F0">
      <w:pPr>
        <w:spacing w:after="0" w:line="240" w:lineRule="auto"/>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Software Analytics </w:t>
      </w:r>
    </w:p>
    <w:p w14:paraId="1C81BC96" w14:textId="437F989A" w:rsidR="00C356F0" w:rsidRPr="00C62BB6" w:rsidRDefault="00C356F0" w:rsidP="00C356F0">
      <w:pPr>
        <w:pStyle w:val="NormalWeb"/>
        <w:spacing w:line="360" w:lineRule="auto"/>
        <w:jc w:val="both"/>
        <w:rPr>
          <w:rFonts w:eastAsia="Calibri"/>
          <w:color w:val="4C4747"/>
          <w:spacing w:val="20"/>
          <w:lang w:eastAsia="en-US"/>
        </w:rPr>
      </w:pPr>
      <w:r w:rsidRPr="00C62BB6">
        <w:rPr>
          <w:rFonts w:eastAsia="Calibri"/>
          <w:color w:val="4C4747"/>
          <w:spacing w:val="20"/>
          <w:lang w:eastAsia="en-US"/>
        </w:rPr>
        <w:t>Actualmente las redes sociales del INDOTEL se mantiene incrementa</w:t>
      </w:r>
      <w:r w:rsidR="00150414" w:rsidRPr="00C62BB6">
        <w:rPr>
          <w:rFonts w:eastAsia="Calibri"/>
          <w:color w:val="4C4747"/>
          <w:spacing w:val="20"/>
          <w:lang w:eastAsia="en-US"/>
        </w:rPr>
        <w:t>n</w:t>
      </w:r>
      <w:r w:rsidRPr="00C62BB6">
        <w:rPr>
          <w:rFonts w:eastAsia="Calibri"/>
          <w:color w:val="4C4747"/>
          <w:spacing w:val="20"/>
          <w:lang w:eastAsia="en-US"/>
        </w:rPr>
        <w:t>do la cantidad de sus seguidores; durante el período enero-noviembre 2022 Instagram aumentó un 7.36%, siendo esta la red social con mayor crecimiento en cuanto a números de usuarios, Facebook 4.58% y Twitter un 1.54%.</w:t>
      </w:r>
    </w:p>
    <w:p w14:paraId="382C9731" w14:textId="77777777" w:rsidR="00C356F0" w:rsidRPr="00C62BB6" w:rsidRDefault="00C356F0" w:rsidP="00C356F0">
      <w:pPr>
        <w:pStyle w:val="NormalWeb"/>
        <w:spacing w:line="360" w:lineRule="auto"/>
        <w:jc w:val="both"/>
        <w:rPr>
          <w:rFonts w:eastAsia="Calibri"/>
          <w:color w:val="4C4747"/>
          <w:spacing w:val="20"/>
          <w:lang w:eastAsia="en-US"/>
        </w:rPr>
      </w:pPr>
      <w:r w:rsidRPr="00C62BB6">
        <w:rPr>
          <w:rFonts w:eastAsia="Calibri"/>
          <w:color w:val="4C4747"/>
          <w:spacing w:val="20"/>
          <w:lang w:eastAsia="en-US"/>
        </w:rPr>
        <w:t>El INDOTEL realiza publicaciones periódicas a través de los canales digitales oficiales, con el objetivo de orientar a los usuarios y grupos de interés del sector de las telecomunicaciones.</w:t>
      </w:r>
    </w:p>
    <w:p w14:paraId="21B0FE55" w14:textId="77777777" w:rsidR="00C356F0" w:rsidRPr="00C62BB6" w:rsidRDefault="00C356F0" w:rsidP="00C356F0">
      <w:pPr>
        <w:pStyle w:val="NormalWeb"/>
        <w:spacing w:line="360" w:lineRule="auto"/>
        <w:jc w:val="both"/>
        <w:rPr>
          <w:rFonts w:eastAsia="Calibri"/>
          <w:color w:val="4C4747"/>
          <w:spacing w:val="20"/>
          <w:lang w:eastAsia="en-US"/>
        </w:rPr>
      </w:pPr>
      <w:r w:rsidRPr="00C62BB6">
        <w:rPr>
          <w:rFonts w:eastAsia="Calibri"/>
          <w:color w:val="4C4747"/>
          <w:spacing w:val="20"/>
          <w:lang w:eastAsia="en-US"/>
        </w:rPr>
        <w:t>Dentro de los temas desarrollados se encuentran:</w:t>
      </w:r>
    </w:p>
    <w:p w14:paraId="1E19B9F4"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Ciberseguridad Empresarial</w:t>
      </w:r>
    </w:p>
    <w:p w14:paraId="5BFF8C85"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Firma Digital</w:t>
      </w:r>
    </w:p>
    <w:p w14:paraId="75BEC412"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Aplicaciones para administrar red WiFi domestica</w:t>
      </w:r>
    </w:p>
    <w:p w14:paraId="3274ED1D"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Retos de ciberseguridad</w:t>
      </w:r>
    </w:p>
    <w:p w14:paraId="4AB92DB4"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Redes 5G, 4G, 3G, 2G, 1G</w:t>
      </w:r>
    </w:p>
    <w:p w14:paraId="3D1B26C3"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Latencia en internet</w:t>
      </w:r>
    </w:p>
    <w:p w14:paraId="55AACE8C"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Nueva Normativa de Series Negadas</w:t>
      </w:r>
    </w:p>
    <w:p w14:paraId="14C2A42F"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Inconvenientes con los servicios de telefonía</w:t>
      </w:r>
    </w:p>
    <w:p w14:paraId="0A2151F4"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Tecnología Mimo</w:t>
      </w:r>
    </w:p>
    <w:p w14:paraId="3B51BDEE"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Logros del Instituto Dominicano de las Telecomunicaciones</w:t>
      </w:r>
    </w:p>
    <w:p w14:paraId="49F02775"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Tipos de Spam</w:t>
      </w:r>
    </w:p>
    <w:p w14:paraId="1D267EBC"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Tecnología educativa y las TIC</w:t>
      </w:r>
    </w:p>
    <w:p w14:paraId="68D8B3DB"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lastRenderedPageBreak/>
        <w:t>Datos de la Televisión Terrestre Digital</w:t>
      </w:r>
    </w:p>
    <w:p w14:paraId="5C78D649"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Ciberacoso</w:t>
      </w:r>
    </w:p>
    <w:p w14:paraId="22C1A6C8"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Indicadores de telecomunicaciones</w:t>
      </w:r>
    </w:p>
    <w:p w14:paraId="7A280E96"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Canasta Digital Social</w:t>
      </w:r>
    </w:p>
    <w:p w14:paraId="6DC478B7"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Copias de seguridad</w:t>
      </w:r>
    </w:p>
    <w:p w14:paraId="2557F7CC"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Internet de las Cosas (IOT</w:t>
      </w:r>
    </w:p>
    <w:p w14:paraId="3ACA1591"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INDOTEL te incluye</w:t>
      </w:r>
    </w:p>
    <w:p w14:paraId="75AA27F3"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Tolerancia 0</w:t>
      </w:r>
    </w:p>
    <w:p w14:paraId="1BCB9209"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El Censo</w:t>
      </w:r>
    </w:p>
    <w:p w14:paraId="6BAE2761"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Gestión de Identidades</w:t>
      </w:r>
    </w:p>
    <w:p w14:paraId="1329925A"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 xml:space="preserve">Bandas de frecuencia de la radiocomunicación </w:t>
      </w:r>
    </w:p>
    <w:p w14:paraId="3CE03F91"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Big Data</w:t>
      </w:r>
    </w:p>
    <w:p w14:paraId="01F37259"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 xml:space="preserve">E- Government </w:t>
      </w:r>
    </w:p>
    <w:p w14:paraId="73767D8C"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Recuento de logros del INDOTEL</w:t>
      </w:r>
    </w:p>
    <w:p w14:paraId="23BB4D10"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E-working</w:t>
      </w:r>
    </w:p>
    <w:p w14:paraId="63882A43"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Webinar- El Estado del Arte de la Ciberseguridad en los países miembros del SICA</w:t>
      </w:r>
    </w:p>
    <w:p w14:paraId="79CA492B"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E-Community</w:t>
      </w:r>
    </w:p>
    <w:p w14:paraId="6065E7FC"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La fibra óptica</w:t>
      </w:r>
    </w:p>
    <w:p w14:paraId="4081A802"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Igualdad de Género</w:t>
      </w:r>
    </w:p>
    <w:p w14:paraId="49171910"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IMEIl</w:t>
      </w:r>
    </w:p>
    <w:p w14:paraId="48A7731A" w14:textId="56D5D2A2"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Puntos Wifi</w:t>
      </w:r>
    </w:p>
    <w:p w14:paraId="5AF7823D" w14:textId="77777777" w:rsidR="00C356F0" w:rsidRPr="00C62BB6" w:rsidRDefault="00C356F0" w:rsidP="00C356F0">
      <w:pPr>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Canasta Digital Social</w:t>
      </w:r>
    </w:p>
    <w:p w14:paraId="644C372C" w14:textId="77777777" w:rsidR="00C356F0" w:rsidRPr="00C62BB6" w:rsidRDefault="00C356F0" w:rsidP="00C356F0">
      <w:pPr>
        <w:pStyle w:val="NormalWeb"/>
        <w:spacing w:line="360" w:lineRule="auto"/>
        <w:jc w:val="both"/>
        <w:rPr>
          <w:rFonts w:eastAsia="Calibri"/>
          <w:color w:val="4C4747"/>
          <w:spacing w:val="20"/>
          <w:lang w:eastAsia="en-US"/>
        </w:rPr>
      </w:pPr>
      <w:r w:rsidRPr="00C62BB6">
        <w:rPr>
          <w:rFonts w:eastAsia="Calibri"/>
          <w:color w:val="4C4747"/>
          <w:spacing w:val="20"/>
          <w:lang w:eastAsia="en-US"/>
        </w:rPr>
        <w:t>Como plan estratégico de comunicación dentro del proyecto Canasta Digital Social se realizaron las siguientes acciones:</w:t>
      </w:r>
    </w:p>
    <w:p w14:paraId="5AED8B18"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Cobertura de prensa.</w:t>
      </w:r>
    </w:p>
    <w:p w14:paraId="65FDF813"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Redacción de nota informativa enviada a los medios de comunicación.</w:t>
      </w:r>
    </w:p>
    <w:p w14:paraId="5B22E15E" w14:textId="77777777"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lastRenderedPageBreak/>
        <w:t>Producción y distribución de material audiovisual para de la actividad.</w:t>
      </w:r>
    </w:p>
    <w:p w14:paraId="24A6ED09" w14:textId="2D45FAE2" w:rsidR="00C356F0" w:rsidRPr="00C62BB6" w:rsidRDefault="00C356F0" w:rsidP="00A02BDE">
      <w:pPr>
        <w:pStyle w:val="NormalWeb"/>
        <w:numPr>
          <w:ilvl w:val="0"/>
          <w:numId w:val="9"/>
        </w:numPr>
        <w:spacing w:line="360" w:lineRule="auto"/>
        <w:jc w:val="both"/>
        <w:rPr>
          <w:rFonts w:eastAsia="Calibri"/>
          <w:color w:val="4C4747"/>
          <w:spacing w:val="20"/>
          <w:lang w:eastAsia="en-US"/>
        </w:rPr>
      </w:pPr>
      <w:r w:rsidRPr="00C62BB6">
        <w:rPr>
          <w:rFonts w:eastAsia="Calibri"/>
          <w:color w:val="4C4747"/>
          <w:spacing w:val="20"/>
          <w:lang w:eastAsia="en-US"/>
        </w:rPr>
        <w:t>Elaboración de artes gráficos para redes sociales.</w:t>
      </w:r>
    </w:p>
    <w:p w14:paraId="0C375164" w14:textId="77777777" w:rsidR="00E86F9C" w:rsidRPr="00C62BB6" w:rsidRDefault="00E86F9C" w:rsidP="00E86F9C">
      <w:pPr>
        <w:pStyle w:val="NormalWeb"/>
        <w:spacing w:line="360" w:lineRule="auto"/>
        <w:jc w:val="both"/>
        <w:rPr>
          <w:rFonts w:eastAsia="Calibri"/>
          <w:color w:val="4C4747"/>
          <w:spacing w:val="20"/>
          <w:lang w:eastAsia="en-US"/>
        </w:rPr>
      </w:pPr>
    </w:p>
    <w:p w14:paraId="32E03E8C" w14:textId="77777777" w:rsidR="00C356F0" w:rsidRPr="00C62BB6" w:rsidRDefault="00C356F0" w:rsidP="00C356F0">
      <w:pPr>
        <w:pStyle w:val="NormalWeb"/>
        <w:jc w:val="both"/>
        <w:rPr>
          <w:rFonts w:eastAsia="Calibri"/>
          <w:b/>
          <w:color w:val="4C4747"/>
          <w:spacing w:val="20"/>
          <w:lang w:eastAsia="en-US"/>
        </w:rPr>
      </w:pPr>
      <w:r w:rsidRPr="00C62BB6">
        <w:rPr>
          <w:rFonts w:eastAsia="Calibri"/>
          <w:b/>
          <w:color w:val="4C4747"/>
          <w:spacing w:val="20"/>
          <w:lang w:eastAsia="en-US"/>
        </w:rPr>
        <w:t>Centro de Capacitación en Informática Tetelo Vargas – ITLA</w:t>
      </w:r>
    </w:p>
    <w:p w14:paraId="5FCC5740" w14:textId="3DD4C6D8" w:rsidR="00C356F0" w:rsidRPr="00C62BB6" w:rsidRDefault="00C356F0" w:rsidP="00943FA5">
      <w:pPr>
        <w:pStyle w:val="NormalWeb"/>
        <w:spacing w:after="0" w:afterAutospacing="0" w:line="360" w:lineRule="auto"/>
        <w:jc w:val="both"/>
        <w:rPr>
          <w:rFonts w:eastAsia="Calibri"/>
          <w:color w:val="4C4747"/>
          <w:spacing w:val="20"/>
          <w:lang w:eastAsia="en-US"/>
        </w:rPr>
      </w:pPr>
      <w:r w:rsidRPr="00C62BB6">
        <w:rPr>
          <w:rFonts w:eastAsia="Calibri"/>
          <w:color w:val="4C4747"/>
          <w:spacing w:val="20"/>
          <w:lang w:eastAsia="en-US"/>
        </w:rPr>
        <w:t>En materia de comunicación se ejecutaron las siguientes acciones para la puesta en funcionamiento de</w:t>
      </w:r>
      <w:r w:rsidR="00456467" w:rsidRPr="00C62BB6">
        <w:rPr>
          <w:rFonts w:eastAsia="Calibri"/>
          <w:color w:val="4C4747"/>
          <w:spacing w:val="20"/>
          <w:lang w:eastAsia="en-US"/>
        </w:rPr>
        <w:t>l Centro de</w:t>
      </w:r>
      <w:r w:rsidRPr="00C62BB6">
        <w:rPr>
          <w:rFonts w:eastAsia="Calibri"/>
          <w:color w:val="4C4747"/>
          <w:spacing w:val="20"/>
          <w:lang w:eastAsia="en-US"/>
        </w:rPr>
        <w:t xml:space="preserve"> Capacitación en Informática Tételo Vargas-ITLA de la provincia San Pedro de Macorís.</w:t>
      </w:r>
    </w:p>
    <w:p w14:paraId="3D3C1CA6" w14:textId="77777777" w:rsidR="00C356F0" w:rsidRPr="00C62BB6" w:rsidRDefault="00C356F0" w:rsidP="00A02BDE">
      <w:pPr>
        <w:pStyle w:val="NormalWeb"/>
        <w:numPr>
          <w:ilvl w:val="0"/>
          <w:numId w:val="8"/>
        </w:numPr>
        <w:spacing w:before="0" w:beforeAutospacing="0" w:line="360" w:lineRule="auto"/>
        <w:jc w:val="both"/>
        <w:rPr>
          <w:rFonts w:eastAsia="Calibri"/>
          <w:color w:val="4C4747"/>
          <w:spacing w:val="20"/>
          <w:lang w:eastAsia="en-US"/>
        </w:rPr>
      </w:pPr>
      <w:r w:rsidRPr="00C62BB6">
        <w:rPr>
          <w:rFonts w:eastAsia="Calibri"/>
          <w:color w:val="4C4747"/>
          <w:spacing w:val="20"/>
          <w:lang w:eastAsia="en-US"/>
        </w:rPr>
        <w:t>Cobertura de prensa.</w:t>
      </w:r>
    </w:p>
    <w:p w14:paraId="4623E372" w14:textId="77777777" w:rsidR="00C356F0" w:rsidRPr="00C62BB6" w:rsidRDefault="00C356F0" w:rsidP="00A02BDE">
      <w:pPr>
        <w:pStyle w:val="NormalWeb"/>
        <w:numPr>
          <w:ilvl w:val="0"/>
          <w:numId w:val="8"/>
        </w:numPr>
        <w:spacing w:line="360" w:lineRule="auto"/>
        <w:jc w:val="both"/>
        <w:rPr>
          <w:rFonts w:eastAsia="Calibri"/>
          <w:color w:val="4C4747"/>
          <w:spacing w:val="20"/>
          <w:lang w:eastAsia="en-US"/>
        </w:rPr>
      </w:pPr>
      <w:r w:rsidRPr="00C62BB6">
        <w:rPr>
          <w:rFonts w:eastAsia="Calibri"/>
          <w:color w:val="4C4747"/>
          <w:spacing w:val="20"/>
          <w:lang w:eastAsia="en-US"/>
        </w:rPr>
        <w:t>Redacción de nota informativa enviada a los medios de prensa escrita.</w:t>
      </w:r>
    </w:p>
    <w:p w14:paraId="69D96FC4" w14:textId="77777777" w:rsidR="00C356F0" w:rsidRPr="00C62BB6" w:rsidRDefault="00C356F0" w:rsidP="00A02BDE">
      <w:pPr>
        <w:pStyle w:val="NormalWeb"/>
        <w:numPr>
          <w:ilvl w:val="0"/>
          <w:numId w:val="8"/>
        </w:numPr>
        <w:spacing w:line="360" w:lineRule="auto"/>
        <w:jc w:val="both"/>
        <w:rPr>
          <w:rFonts w:eastAsia="Calibri"/>
          <w:color w:val="4C4747"/>
          <w:spacing w:val="20"/>
          <w:lang w:eastAsia="en-US"/>
        </w:rPr>
      </w:pPr>
      <w:r w:rsidRPr="00C62BB6">
        <w:rPr>
          <w:rFonts w:eastAsia="Calibri"/>
          <w:color w:val="4C4747"/>
          <w:spacing w:val="20"/>
          <w:lang w:eastAsia="en-US"/>
        </w:rPr>
        <w:t>Producción y distribución de material audiovisual de la actividad.</w:t>
      </w:r>
    </w:p>
    <w:p w14:paraId="55A1ACDC" w14:textId="77777777" w:rsidR="00C356F0" w:rsidRPr="00C62BB6" w:rsidRDefault="00C356F0" w:rsidP="00A02BDE">
      <w:pPr>
        <w:pStyle w:val="NormalWeb"/>
        <w:numPr>
          <w:ilvl w:val="0"/>
          <w:numId w:val="8"/>
        </w:numPr>
        <w:spacing w:line="360" w:lineRule="auto"/>
        <w:jc w:val="both"/>
        <w:rPr>
          <w:rFonts w:eastAsia="Calibri"/>
          <w:color w:val="4C4747"/>
          <w:spacing w:val="20"/>
          <w:lang w:eastAsia="en-US"/>
        </w:rPr>
      </w:pPr>
      <w:r w:rsidRPr="00C62BB6">
        <w:rPr>
          <w:rFonts w:eastAsia="Calibri"/>
          <w:color w:val="4C4747"/>
          <w:spacing w:val="20"/>
          <w:lang w:eastAsia="en-US"/>
        </w:rPr>
        <w:t>Elaboración de artes gráficos para redes sociales.</w:t>
      </w:r>
    </w:p>
    <w:p w14:paraId="33528E56" w14:textId="4E153F4E" w:rsidR="00F245FB" w:rsidRPr="00C62BB6" w:rsidRDefault="00C356F0" w:rsidP="00A02BDE">
      <w:pPr>
        <w:pStyle w:val="NormalWeb"/>
        <w:numPr>
          <w:ilvl w:val="0"/>
          <w:numId w:val="8"/>
        </w:numPr>
        <w:spacing w:line="360" w:lineRule="auto"/>
        <w:jc w:val="both"/>
        <w:rPr>
          <w:rFonts w:eastAsia="Calibri"/>
          <w:color w:val="4C4747"/>
          <w:spacing w:val="20"/>
          <w:lang w:eastAsia="en-US"/>
        </w:rPr>
      </w:pPr>
      <w:r w:rsidRPr="00C62BB6">
        <w:rPr>
          <w:rFonts w:eastAsia="Calibri"/>
          <w:color w:val="4C4747"/>
          <w:spacing w:val="20"/>
          <w:lang w:eastAsia="en-US"/>
        </w:rPr>
        <w:t>Maestría de Ceremonia.</w:t>
      </w:r>
    </w:p>
    <w:p w14:paraId="1979C8B1" w14:textId="77777777" w:rsidR="00F245FB" w:rsidRPr="00C62BB6" w:rsidRDefault="00F245FB" w:rsidP="00943FA5">
      <w:pPr>
        <w:pStyle w:val="NormalWeb"/>
        <w:spacing w:after="0" w:afterAutospacing="0" w:line="360" w:lineRule="auto"/>
        <w:jc w:val="both"/>
        <w:rPr>
          <w:rFonts w:eastAsia="Calibri"/>
          <w:b/>
          <w:color w:val="4C4747"/>
          <w:spacing w:val="20"/>
          <w:lang w:eastAsia="en-US"/>
        </w:rPr>
      </w:pPr>
      <w:r w:rsidRPr="00C62BB6">
        <w:rPr>
          <w:rFonts w:eastAsia="Calibri"/>
          <w:b/>
          <w:color w:val="4C4747"/>
          <w:spacing w:val="20"/>
          <w:lang w:eastAsia="en-US"/>
        </w:rPr>
        <w:t>Notas de prensa</w:t>
      </w:r>
    </w:p>
    <w:p w14:paraId="1EA7154D" w14:textId="013399BB" w:rsidR="00F245FB" w:rsidRPr="00C62BB6" w:rsidRDefault="00C356F0" w:rsidP="00F245FB">
      <w:pPr>
        <w:pStyle w:val="NormalWeb"/>
        <w:spacing w:before="0" w:beforeAutospacing="0" w:line="360" w:lineRule="auto"/>
        <w:jc w:val="both"/>
        <w:rPr>
          <w:rFonts w:eastAsia="Calibri"/>
          <w:color w:val="4C4747"/>
          <w:spacing w:val="20"/>
          <w:lang w:eastAsia="en-US"/>
        </w:rPr>
      </w:pPr>
      <w:r w:rsidRPr="00C62BB6">
        <w:rPr>
          <w:rFonts w:eastAsia="Calibri"/>
          <w:color w:val="4C4747"/>
          <w:spacing w:val="20"/>
          <w:lang w:eastAsia="en-US"/>
        </w:rPr>
        <w:t>Como herramienta eficaz para dar a conocer las noticias relevantes del INDOTEL, durante los meses enero-noviembre 2022 se elaboraron y despacharon a los medios informativos 44 notas de prensa, las cuales generaron 57 publi</w:t>
      </w:r>
      <w:r w:rsidR="00150414" w:rsidRPr="00C62BB6">
        <w:rPr>
          <w:rFonts w:eastAsia="Calibri"/>
          <w:color w:val="4C4747"/>
          <w:spacing w:val="20"/>
          <w:lang w:eastAsia="en-US"/>
        </w:rPr>
        <w:t xml:space="preserve">caciones en periódicos impresos </w:t>
      </w:r>
      <w:r w:rsidRPr="00C62BB6">
        <w:rPr>
          <w:rFonts w:eastAsia="Calibri"/>
          <w:color w:val="4C4747"/>
          <w:spacing w:val="20"/>
          <w:lang w:eastAsia="en-US"/>
        </w:rPr>
        <w:t xml:space="preserve">y 804 en periódicos digitales, para un total de 861 </w:t>
      </w:r>
      <w:r w:rsidR="00F245FB" w:rsidRPr="00C62BB6">
        <w:rPr>
          <w:rFonts w:eastAsia="Calibri"/>
          <w:color w:val="4C4747"/>
          <w:spacing w:val="20"/>
          <w:lang w:eastAsia="en-US"/>
        </w:rPr>
        <w:t>publicaciones.</w:t>
      </w:r>
    </w:p>
    <w:p w14:paraId="585325B4" w14:textId="77777777" w:rsidR="00F245FB" w:rsidRPr="00C62BB6" w:rsidRDefault="00F245FB" w:rsidP="00C356F0">
      <w:pPr>
        <w:pStyle w:val="NormalWeb"/>
        <w:spacing w:line="360" w:lineRule="auto"/>
        <w:jc w:val="both"/>
        <w:rPr>
          <w:rFonts w:eastAsia="Calibri"/>
          <w:color w:val="4C4747"/>
          <w:spacing w:val="20"/>
          <w:lang w:eastAsia="en-US"/>
        </w:rPr>
      </w:pPr>
    </w:p>
    <w:p w14:paraId="08DA5145" w14:textId="77777777" w:rsidR="00F245FB" w:rsidRPr="00C62BB6" w:rsidRDefault="00F245FB" w:rsidP="00C356F0">
      <w:pPr>
        <w:pStyle w:val="NormalWeb"/>
        <w:spacing w:line="360" w:lineRule="auto"/>
        <w:jc w:val="both"/>
        <w:rPr>
          <w:rFonts w:eastAsia="Calibri"/>
          <w:color w:val="4C4747"/>
          <w:spacing w:val="20"/>
          <w:lang w:eastAsia="en-US"/>
        </w:rPr>
      </w:pPr>
    </w:p>
    <w:p w14:paraId="3A6C869A" w14:textId="77777777" w:rsidR="00F245FB" w:rsidRPr="00C62BB6" w:rsidRDefault="00F245FB" w:rsidP="00C356F0">
      <w:pPr>
        <w:pStyle w:val="NormalWeb"/>
        <w:spacing w:line="360" w:lineRule="auto"/>
        <w:jc w:val="both"/>
        <w:rPr>
          <w:rFonts w:eastAsia="Calibri"/>
          <w:color w:val="4C4747"/>
          <w:spacing w:val="20"/>
          <w:lang w:eastAsia="en-US"/>
        </w:rPr>
      </w:pPr>
    </w:p>
    <w:tbl>
      <w:tblPr>
        <w:tblStyle w:val="Tablaconcuadrcula"/>
        <w:tblpPr w:leftFromText="141" w:rightFromText="141" w:vertAnchor="text" w:horzAnchor="margin" w:tblpXSpec="center" w:tblpY="-389"/>
        <w:tblW w:w="0" w:type="auto"/>
        <w:tblLayout w:type="fixed"/>
        <w:tblLook w:val="06A0" w:firstRow="1" w:lastRow="0" w:firstColumn="1" w:lastColumn="0" w:noHBand="1" w:noVBand="1"/>
      </w:tblPr>
      <w:tblGrid>
        <w:gridCol w:w="2514"/>
        <w:gridCol w:w="1442"/>
        <w:gridCol w:w="1365"/>
        <w:gridCol w:w="1154"/>
      </w:tblGrid>
      <w:tr w:rsidR="00513ACC" w:rsidRPr="00376423" w14:paraId="1238B9AD" w14:textId="77777777" w:rsidTr="00C62BB6">
        <w:trPr>
          <w:trHeight w:val="890"/>
        </w:trPr>
        <w:tc>
          <w:tcPr>
            <w:tcW w:w="6475" w:type="dxa"/>
            <w:gridSpan w:val="4"/>
            <w:tcBorders>
              <w:top w:val="single" w:sz="4" w:space="0" w:color="auto"/>
              <w:left w:val="single" w:sz="4" w:space="0" w:color="auto"/>
              <w:bottom w:val="single" w:sz="4" w:space="0" w:color="auto"/>
              <w:right w:val="single" w:sz="4" w:space="0" w:color="000000" w:themeColor="text1"/>
            </w:tcBorders>
            <w:shd w:val="clear" w:color="auto" w:fill="002060"/>
            <w:vAlign w:val="center"/>
          </w:tcPr>
          <w:p w14:paraId="4B658F56" w14:textId="77777777" w:rsidR="00513ACC" w:rsidRPr="00790E59" w:rsidRDefault="00513ACC" w:rsidP="00513ACC">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lastRenderedPageBreak/>
              <w:t>Publicaciones generadas con notas de prensa</w:t>
            </w:r>
          </w:p>
        </w:tc>
      </w:tr>
      <w:tr w:rsidR="00513ACC" w:rsidRPr="00D62B1F" w14:paraId="6A36405D" w14:textId="77777777" w:rsidTr="00C62BB6">
        <w:trPr>
          <w:trHeight w:val="530"/>
        </w:trPr>
        <w:tc>
          <w:tcPr>
            <w:tcW w:w="6475" w:type="dxa"/>
            <w:gridSpan w:val="4"/>
            <w:tcBorders>
              <w:top w:val="single" w:sz="4" w:space="0" w:color="auto"/>
              <w:left w:val="single" w:sz="4" w:space="0" w:color="auto"/>
              <w:bottom w:val="single" w:sz="4" w:space="0" w:color="auto"/>
              <w:right w:val="single" w:sz="4" w:space="0" w:color="000000" w:themeColor="text1"/>
            </w:tcBorders>
            <w:shd w:val="clear" w:color="auto" w:fill="002060"/>
            <w:vAlign w:val="center"/>
          </w:tcPr>
          <w:p w14:paraId="2537D6C0" w14:textId="77777777" w:rsidR="00513ACC" w:rsidRPr="00790E59" w:rsidRDefault="00513ACC" w:rsidP="00513ACC">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Periodo Enero - noviembre 2022</w:t>
            </w:r>
          </w:p>
        </w:tc>
      </w:tr>
      <w:tr w:rsidR="00513ACC" w:rsidRPr="00D62B1F" w14:paraId="46439049" w14:textId="77777777" w:rsidTr="00C62BB6">
        <w:trPr>
          <w:trHeight w:val="636"/>
        </w:trPr>
        <w:tc>
          <w:tcPr>
            <w:tcW w:w="2514" w:type="dxa"/>
            <w:tcBorders>
              <w:top w:val="single" w:sz="4" w:space="0" w:color="auto"/>
              <w:left w:val="single" w:sz="4" w:space="0" w:color="auto"/>
              <w:bottom w:val="single" w:sz="4" w:space="0" w:color="auto"/>
              <w:right w:val="single" w:sz="4" w:space="0" w:color="000000" w:themeColor="text1"/>
            </w:tcBorders>
            <w:shd w:val="clear" w:color="auto" w:fill="002060"/>
            <w:vAlign w:val="center"/>
          </w:tcPr>
          <w:p w14:paraId="3E502DF7" w14:textId="77777777" w:rsidR="00513ACC" w:rsidRPr="00790E59" w:rsidRDefault="00513ACC" w:rsidP="00513ACC">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Mes</w:t>
            </w:r>
          </w:p>
        </w:tc>
        <w:tc>
          <w:tcPr>
            <w:tcW w:w="1442" w:type="dxa"/>
            <w:tcBorders>
              <w:top w:val="nil"/>
              <w:left w:val="single" w:sz="4" w:space="0" w:color="auto"/>
              <w:bottom w:val="single" w:sz="4" w:space="0" w:color="auto"/>
              <w:right w:val="single" w:sz="4" w:space="0" w:color="auto"/>
            </w:tcBorders>
            <w:shd w:val="clear" w:color="auto" w:fill="002060"/>
            <w:vAlign w:val="center"/>
          </w:tcPr>
          <w:p w14:paraId="25003213" w14:textId="77777777" w:rsidR="00513ACC" w:rsidRPr="00790E59" w:rsidRDefault="00513ACC" w:rsidP="00513ACC">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Impresos</w:t>
            </w:r>
          </w:p>
        </w:tc>
        <w:tc>
          <w:tcPr>
            <w:tcW w:w="1365" w:type="dxa"/>
            <w:tcBorders>
              <w:top w:val="nil"/>
              <w:left w:val="single" w:sz="4" w:space="0" w:color="auto"/>
              <w:bottom w:val="single" w:sz="4" w:space="0" w:color="auto"/>
              <w:right w:val="single" w:sz="4" w:space="0" w:color="auto"/>
            </w:tcBorders>
            <w:shd w:val="clear" w:color="auto" w:fill="002060"/>
            <w:vAlign w:val="center"/>
          </w:tcPr>
          <w:p w14:paraId="138DD879" w14:textId="77777777" w:rsidR="00513ACC" w:rsidRPr="00790E59" w:rsidRDefault="00513ACC" w:rsidP="00513ACC">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Digitales</w:t>
            </w:r>
          </w:p>
        </w:tc>
        <w:tc>
          <w:tcPr>
            <w:tcW w:w="1154" w:type="dxa"/>
            <w:tcBorders>
              <w:top w:val="nil"/>
              <w:left w:val="single" w:sz="4" w:space="0" w:color="auto"/>
              <w:bottom w:val="single" w:sz="4" w:space="0" w:color="auto"/>
              <w:right w:val="single" w:sz="4" w:space="0" w:color="000000" w:themeColor="text1"/>
            </w:tcBorders>
            <w:shd w:val="clear" w:color="auto" w:fill="002060"/>
            <w:vAlign w:val="center"/>
          </w:tcPr>
          <w:p w14:paraId="43B65E11" w14:textId="77777777" w:rsidR="00513ACC" w:rsidRPr="00790E59" w:rsidRDefault="00513ACC" w:rsidP="00513ACC">
            <w:pPr>
              <w:spacing w:line="360" w:lineRule="auto"/>
              <w:jc w:val="center"/>
              <w:rPr>
                <w:rFonts w:ascii="Times New Roman" w:eastAsia="Calibri" w:hAnsi="Times New Roman" w:cs="Times New Roman"/>
                <w:b/>
                <w:color w:val="FFFFFF" w:themeColor="background1"/>
                <w:spacing w:val="20"/>
                <w:sz w:val="24"/>
                <w:szCs w:val="24"/>
                <w:lang w:val="es-DO"/>
              </w:rPr>
            </w:pPr>
            <w:r w:rsidRPr="00790E59">
              <w:rPr>
                <w:rFonts w:ascii="Times New Roman" w:eastAsia="Calibri" w:hAnsi="Times New Roman" w:cs="Times New Roman"/>
                <w:b/>
                <w:color w:val="FFFFFF" w:themeColor="background1"/>
                <w:spacing w:val="20"/>
                <w:sz w:val="24"/>
                <w:szCs w:val="24"/>
                <w:lang w:val="es-DO"/>
              </w:rPr>
              <w:t>Conteo</w:t>
            </w:r>
          </w:p>
        </w:tc>
      </w:tr>
      <w:tr w:rsidR="00C62BB6" w:rsidRPr="00C62BB6" w14:paraId="52374A3F" w14:textId="77777777" w:rsidTr="00C62BB6">
        <w:trPr>
          <w:trHeight w:val="237"/>
        </w:trPr>
        <w:tc>
          <w:tcPr>
            <w:tcW w:w="2514" w:type="dxa"/>
            <w:tcBorders>
              <w:top w:val="single" w:sz="4" w:space="0" w:color="auto"/>
              <w:left w:val="single" w:sz="4" w:space="0" w:color="auto"/>
              <w:bottom w:val="single" w:sz="4" w:space="0" w:color="auto"/>
              <w:right w:val="single" w:sz="4" w:space="0" w:color="auto"/>
            </w:tcBorders>
            <w:vAlign w:val="center"/>
          </w:tcPr>
          <w:p w14:paraId="29031FC1"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Enero</w:t>
            </w:r>
          </w:p>
        </w:tc>
        <w:tc>
          <w:tcPr>
            <w:tcW w:w="1442" w:type="dxa"/>
            <w:tcBorders>
              <w:top w:val="single" w:sz="4" w:space="0" w:color="auto"/>
              <w:left w:val="single" w:sz="4" w:space="0" w:color="auto"/>
              <w:bottom w:val="single" w:sz="4" w:space="0" w:color="auto"/>
              <w:right w:val="single" w:sz="4" w:space="0" w:color="auto"/>
            </w:tcBorders>
            <w:vAlign w:val="center"/>
          </w:tcPr>
          <w:p w14:paraId="77E603C7"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w:t>
            </w:r>
          </w:p>
        </w:tc>
        <w:tc>
          <w:tcPr>
            <w:tcW w:w="1365" w:type="dxa"/>
            <w:tcBorders>
              <w:top w:val="single" w:sz="4" w:space="0" w:color="auto"/>
              <w:left w:val="single" w:sz="4" w:space="0" w:color="auto"/>
              <w:bottom w:val="single" w:sz="4" w:space="0" w:color="auto"/>
              <w:right w:val="single" w:sz="4" w:space="0" w:color="auto"/>
            </w:tcBorders>
            <w:vAlign w:val="center"/>
          </w:tcPr>
          <w:p w14:paraId="4E2BF33C"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35</w:t>
            </w:r>
          </w:p>
        </w:tc>
        <w:tc>
          <w:tcPr>
            <w:tcW w:w="1154" w:type="dxa"/>
            <w:tcBorders>
              <w:top w:val="single" w:sz="4" w:space="0" w:color="auto"/>
              <w:left w:val="single" w:sz="4" w:space="0" w:color="auto"/>
              <w:bottom w:val="single" w:sz="4" w:space="0" w:color="auto"/>
              <w:right w:val="single" w:sz="4" w:space="0" w:color="auto"/>
            </w:tcBorders>
            <w:vAlign w:val="center"/>
          </w:tcPr>
          <w:p w14:paraId="071F2E13"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38</w:t>
            </w:r>
          </w:p>
        </w:tc>
      </w:tr>
      <w:tr w:rsidR="00C62BB6" w:rsidRPr="00C62BB6" w14:paraId="002315FC" w14:textId="77777777" w:rsidTr="00C62BB6">
        <w:trPr>
          <w:trHeight w:val="237"/>
        </w:trPr>
        <w:tc>
          <w:tcPr>
            <w:tcW w:w="2514" w:type="dxa"/>
            <w:tcBorders>
              <w:top w:val="single" w:sz="4" w:space="0" w:color="auto"/>
              <w:left w:val="single" w:sz="4" w:space="0" w:color="auto"/>
              <w:bottom w:val="single" w:sz="4" w:space="0" w:color="auto"/>
              <w:right w:val="single" w:sz="4" w:space="0" w:color="auto"/>
            </w:tcBorders>
            <w:vAlign w:val="center"/>
          </w:tcPr>
          <w:p w14:paraId="2E282755"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Febrero</w:t>
            </w:r>
          </w:p>
        </w:tc>
        <w:tc>
          <w:tcPr>
            <w:tcW w:w="1442" w:type="dxa"/>
            <w:tcBorders>
              <w:top w:val="single" w:sz="4" w:space="0" w:color="auto"/>
              <w:left w:val="single" w:sz="4" w:space="0" w:color="auto"/>
              <w:bottom w:val="single" w:sz="4" w:space="0" w:color="auto"/>
              <w:right w:val="single" w:sz="4" w:space="0" w:color="auto"/>
            </w:tcBorders>
            <w:vAlign w:val="center"/>
          </w:tcPr>
          <w:p w14:paraId="5579B68D"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10</w:t>
            </w:r>
          </w:p>
        </w:tc>
        <w:tc>
          <w:tcPr>
            <w:tcW w:w="1365" w:type="dxa"/>
            <w:tcBorders>
              <w:top w:val="single" w:sz="4" w:space="0" w:color="auto"/>
              <w:left w:val="single" w:sz="4" w:space="0" w:color="auto"/>
              <w:bottom w:val="single" w:sz="4" w:space="0" w:color="auto"/>
              <w:right w:val="single" w:sz="4" w:space="0" w:color="auto"/>
            </w:tcBorders>
            <w:vAlign w:val="center"/>
          </w:tcPr>
          <w:p w14:paraId="395D34C9"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110</w:t>
            </w:r>
          </w:p>
        </w:tc>
        <w:tc>
          <w:tcPr>
            <w:tcW w:w="1154" w:type="dxa"/>
            <w:tcBorders>
              <w:top w:val="single" w:sz="4" w:space="0" w:color="auto"/>
              <w:left w:val="single" w:sz="4" w:space="0" w:color="auto"/>
              <w:bottom w:val="single" w:sz="4" w:space="0" w:color="auto"/>
              <w:right w:val="single" w:sz="4" w:space="0" w:color="auto"/>
            </w:tcBorders>
            <w:vAlign w:val="center"/>
          </w:tcPr>
          <w:p w14:paraId="47BEDCA2"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120</w:t>
            </w:r>
          </w:p>
        </w:tc>
      </w:tr>
      <w:tr w:rsidR="00C62BB6" w:rsidRPr="00C62BB6" w14:paraId="12C68447" w14:textId="77777777" w:rsidTr="00C62BB6">
        <w:trPr>
          <w:trHeight w:val="237"/>
        </w:trPr>
        <w:tc>
          <w:tcPr>
            <w:tcW w:w="2514" w:type="dxa"/>
            <w:tcBorders>
              <w:top w:val="single" w:sz="4" w:space="0" w:color="auto"/>
              <w:left w:val="single" w:sz="4" w:space="0" w:color="auto"/>
              <w:bottom w:val="single" w:sz="4" w:space="0" w:color="auto"/>
              <w:right w:val="single" w:sz="4" w:space="0" w:color="auto"/>
            </w:tcBorders>
            <w:vAlign w:val="center"/>
          </w:tcPr>
          <w:p w14:paraId="5D0F23EF"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Marzo</w:t>
            </w:r>
          </w:p>
        </w:tc>
        <w:tc>
          <w:tcPr>
            <w:tcW w:w="1442" w:type="dxa"/>
            <w:tcBorders>
              <w:top w:val="single" w:sz="4" w:space="0" w:color="auto"/>
              <w:left w:val="single" w:sz="4" w:space="0" w:color="auto"/>
              <w:bottom w:val="single" w:sz="4" w:space="0" w:color="auto"/>
              <w:right w:val="single" w:sz="4" w:space="0" w:color="auto"/>
            </w:tcBorders>
            <w:vAlign w:val="center"/>
          </w:tcPr>
          <w:p w14:paraId="28E27B4B"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11</w:t>
            </w:r>
          </w:p>
        </w:tc>
        <w:tc>
          <w:tcPr>
            <w:tcW w:w="1365" w:type="dxa"/>
            <w:tcBorders>
              <w:top w:val="single" w:sz="4" w:space="0" w:color="auto"/>
              <w:left w:val="single" w:sz="4" w:space="0" w:color="auto"/>
              <w:bottom w:val="single" w:sz="4" w:space="0" w:color="auto"/>
              <w:right w:val="single" w:sz="4" w:space="0" w:color="auto"/>
            </w:tcBorders>
            <w:vAlign w:val="center"/>
          </w:tcPr>
          <w:p w14:paraId="13A0AA97"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82</w:t>
            </w:r>
          </w:p>
        </w:tc>
        <w:tc>
          <w:tcPr>
            <w:tcW w:w="1154" w:type="dxa"/>
            <w:tcBorders>
              <w:top w:val="single" w:sz="4" w:space="0" w:color="auto"/>
              <w:left w:val="single" w:sz="4" w:space="0" w:color="auto"/>
              <w:bottom w:val="single" w:sz="4" w:space="0" w:color="auto"/>
              <w:right w:val="single" w:sz="4" w:space="0" w:color="auto"/>
            </w:tcBorders>
            <w:vAlign w:val="center"/>
          </w:tcPr>
          <w:p w14:paraId="15BD1B21"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93</w:t>
            </w:r>
          </w:p>
        </w:tc>
      </w:tr>
      <w:tr w:rsidR="00C62BB6" w:rsidRPr="00C62BB6" w14:paraId="08C8506F" w14:textId="77777777" w:rsidTr="00C62BB6">
        <w:trPr>
          <w:trHeight w:val="237"/>
        </w:trPr>
        <w:tc>
          <w:tcPr>
            <w:tcW w:w="2514" w:type="dxa"/>
            <w:tcBorders>
              <w:top w:val="single" w:sz="4" w:space="0" w:color="auto"/>
              <w:left w:val="single" w:sz="4" w:space="0" w:color="auto"/>
              <w:bottom w:val="single" w:sz="4" w:space="0" w:color="auto"/>
              <w:right w:val="single" w:sz="4" w:space="0" w:color="auto"/>
            </w:tcBorders>
            <w:vAlign w:val="center"/>
          </w:tcPr>
          <w:p w14:paraId="64CD4F9D"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Abril</w:t>
            </w:r>
          </w:p>
        </w:tc>
        <w:tc>
          <w:tcPr>
            <w:tcW w:w="1442" w:type="dxa"/>
            <w:tcBorders>
              <w:top w:val="single" w:sz="4" w:space="0" w:color="auto"/>
              <w:left w:val="single" w:sz="4" w:space="0" w:color="auto"/>
              <w:bottom w:val="single" w:sz="4" w:space="0" w:color="auto"/>
              <w:right w:val="single" w:sz="4" w:space="0" w:color="auto"/>
            </w:tcBorders>
            <w:vAlign w:val="center"/>
          </w:tcPr>
          <w:p w14:paraId="3374203D"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7</w:t>
            </w:r>
          </w:p>
        </w:tc>
        <w:tc>
          <w:tcPr>
            <w:tcW w:w="1365" w:type="dxa"/>
            <w:tcBorders>
              <w:top w:val="single" w:sz="4" w:space="0" w:color="auto"/>
              <w:left w:val="single" w:sz="4" w:space="0" w:color="auto"/>
              <w:bottom w:val="single" w:sz="4" w:space="0" w:color="auto"/>
              <w:right w:val="single" w:sz="4" w:space="0" w:color="auto"/>
            </w:tcBorders>
            <w:vAlign w:val="center"/>
          </w:tcPr>
          <w:p w14:paraId="090594B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118</w:t>
            </w:r>
          </w:p>
        </w:tc>
        <w:tc>
          <w:tcPr>
            <w:tcW w:w="1154" w:type="dxa"/>
            <w:tcBorders>
              <w:top w:val="single" w:sz="4" w:space="0" w:color="auto"/>
              <w:left w:val="single" w:sz="4" w:space="0" w:color="auto"/>
              <w:bottom w:val="single" w:sz="4" w:space="0" w:color="auto"/>
              <w:right w:val="single" w:sz="4" w:space="0" w:color="auto"/>
            </w:tcBorders>
            <w:vAlign w:val="center"/>
          </w:tcPr>
          <w:p w14:paraId="3626C7B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125</w:t>
            </w:r>
          </w:p>
        </w:tc>
      </w:tr>
      <w:tr w:rsidR="00C62BB6" w:rsidRPr="00C62BB6" w14:paraId="779060F0" w14:textId="77777777" w:rsidTr="00C62BB6">
        <w:trPr>
          <w:trHeight w:val="237"/>
        </w:trPr>
        <w:tc>
          <w:tcPr>
            <w:tcW w:w="2514" w:type="dxa"/>
            <w:tcBorders>
              <w:top w:val="single" w:sz="4" w:space="0" w:color="auto"/>
              <w:left w:val="single" w:sz="4" w:space="0" w:color="auto"/>
              <w:bottom w:val="single" w:sz="4" w:space="0" w:color="auto"/>
              <w:right w:val="single" w:sz="4" w:space="0" w:color="auto"/>
            </w:tcBorders>
            <w:vAlign w:val="center"/>
          </w:tcPr>
          <w:p w14:paraId="07C2787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Mayo</w:t>
            </w:r>
          </w:p>
        </w:tc>
        <w:tc>
          <w:tcPr>
            <w:tcW w:w="1442" w:type="dxa"/>
            <w:tcBorders>
              <w:top w:val="single" w:sz="4" w:space="0" w:color="auto"/>
              <w:left w:val="single" w:sz="4" w:space="0" w:color="auto"/>
              <w:bottom w:val="single" w:sz="4" w:space="0" w:color="auto"/>
              <w:right w:val="single" w:sz="4" w:space="0" w:color="auto"/>
            </w:tcBorders>
            <w:vAlign w:val="center"/>
          </w:tcPr>
          <w:p w14:paraId="4A93FAF1"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10</w:t>
            </w:r>
          </w:p>
        </w:tc>
        <w:tc>
          <w:tcPr>
            <w:tcW w:w="1365" w:type="dxa"/>
            <w:tcBorders>
              <w:top w:val="single" w:sz="4" w:space="0" w:color="auto"/>
              <w:left w:val="single" w:sz="4" w:space="0" w:color="auto"/>
              <w:bottom w:val="single" w:sz="4" w:space="0" w:color="auto"/>
              <w:right w:val="single" w:sz="4" w:space="0" w:color="auto"/>
            </w:tcBorders>
            <w:vAlign w:val="center"/>
          </w:tcPr>
          <w:p w14:paraId="2A0ED29C"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63</w:t>
            </w:r>
          </w:p>
        </w:tc>
        <w:tc>
          <w:tcPr>
            <w:tcW w:w="1154" w:type="dxa"/>
            <w:tcBorders>
              <w:top w:val="single" w:sz="4" w:space="0" w:color="auto"/>
              <w:left w:val="single" w:sz="4" w:space="0" w:color="auto"/>
              <w:bottom w:val="single" w:sz="4" w:space="0" w:color="auto"/>
              <w:right w:val="single" w:sz="4" w:space="0" w:color="auto"/>
            </w:tcBorders>
            <w:vAlign w:val="center"/>
          </w:tcPr>
          <w:p w14:paraId="15B26319"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73</w:t>
            </w:r>
          </w:p>
        </w:tc>
      </w:tr>
      <w:tr w:rsidR="00C62BB6" w:rsidRPr="00C62BB6" w14:paraId="15675E3F" w14:textId="77777777" w:rsidTr="00C62BB6">
        <w:trPr>
          <w:trHeight w:val="237"/>
        </w:trPr>
        <w:tc>
          <w:tcPr>
            <w:tcW w:w="2514" w:type="dxa"/>
            <w:tcBorders>
              <w:top w:val="single" w:sz="4" w:space="0" w:color="auto"/>
              <w:left w:val="single" w:sz="4" w:space="0" w:color="auto"/>
              <w:bottom w:val="single" w:sz="4" w:space="0" w:color="auto"/>
              <w:right w:val="single" w:sz="4" w:space="0" w:color="auto"/>
            </w:tcBorders>
            <w:vAlign w:val="center"/>
          </w:tcPr>
          <w:p w14:paraId="78E3D37E"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Junio</w:t>
            </w:r>
          </w:p>
        </w:tc>
        <w:tc>
          <w:tcPr>
            <w:tcW w:w="1442" w:type="dxa"/>
            <w:tcBorders>
              <w:top w:val="single" w:sz="4" w:space="0" w:color="auto"/>
              <w:left w:val="single" w:sz="4" w:space="0" w:color="auto"/>
              <w:bottom w:val="single" w:sz="4" w:space="0" w:color="auto"/>
              <w:right w:val="single" w:sz="4" w:space="0" w:color="auto"/>
            </w:tcBorders>
            <w:vAlign w:val="center"/>
          </w:tcPr>
          <w:p w14:paraId="57356FCC"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0</w:t>
            </w:r>
          </w:p>
        </w:tc>
        <w:tc>
          <w:tcPr>
            <w:tcW w:w="1365" w:type="dxa"/>
            <w:tcBorders>
              <w:top w:val="single" w:sz="4" w:space="0" w:color="auto"/>
              <w:left w:val="single" w:sz="4" w:space="0" w:color="auto"/>
              <w:bottom w:val="single" w:sz="4" w:space="0" w:color="auto"/>
              <w:right w:val="single" w:sz="4" w:space="0" w:color="auto"/>
            </w:tcBorders>
            <w:vAlign w:val="center"/>
          </w:tcPr>
          <w:p w14:paraId="380EDC05"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25</w:t>
            </w:r>
          </w:p>
        </w:tc>
        <w:tc>
          <w:tcPr>
            <w:tcW w:w="1154" w:type="dxa"/>
            <w:tcBorders>
              <w:top w:val="single" w:sz="4" w:space="0" w:color="auto"/>
              <w:left w:val="single" w:sz="4" w:space="0" w:color="auto"/>
              <w:bottom w:val="single" w:sz="4" w:space="0" w:color="auto"/>
              <w:right w:val="single" w:sz="4" w:space="0" w:color="auto"/>
            </w:tcBorders>
            <w:vAlign w:val="center"/>
          </w:tcPr>
          <w:p w14:paraId="2D1B8FC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125</w:t>
            </w:r>
          </w:p>
        </w:tc>
      </w:tr>
      <w:tr w:rsidR="00C62BB6" w:rsidRPr="00C62BB6" w14:paraId="285AAA3F" w14:textId="77777777" w:rsidTr="00C62BB6">
        <w:trPr>
          <w:trHeight w:val="340"/>
        </w:trPr>
        <w:tc>
          <w:tcPr>
            <w:tcW w:w="2514" w:type="dxa"/>
            <w:tcBorders>
              <w:top w:val="single" w:sz="4" w:space="0" w:color="auto"/>
              <w:left w:val="single" w:sz="4" w:space="0" w:color="auto"/>
              <w:bottom w:val="single" w:sz="4" w:space="0" w:color="auto"/>
              <w:right w:val="single" w:sz="4" w:space="0" w:color="auto"/>
            </w:tcBorders>
            <w:vAlign w:val="center"/>
          </w:tcPr>
          <w:p w14:paraId="39975D05"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Julio</w:t>
            </w:r>
          </w:p>
        </w:tc>
        <w:tc>
          <w:tcPr>
            <w:tcW w:w="1442" w:type="dxa"/>
            <w:tcBorders>
              <w:top w:val="single" w:sz="4" w:space="0" w:color="auto"/>
              <w:left w:val="single" w:sz="4" w:space="0" w:color="auto"/>
              <w:bottom w:val="single" w:sz="4" w:space="0" w:color="auto"/>
              <w:right w:val="single" w:sz="4" w:space="0" w:color="auto"/>
            </w:tcBorders>
            <w:vAlign w:val="center"/>
          </w:tcPr>
          <w:p w14:paraId="7ED86340"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w:t>
            </w:r>
          </w:p>
        </w:tc>
        <w:tc>
          <w:tcPr>
            <w:tcW w:w="1365" w:type="dxa"/>
            <w:tcBorders>
              <w:top w:val="single" w:sz="4" w:space="0" w:color="auto"/>
              <w:left w:val="single" w:sz="4" w:space="0" w:color="auto"/>
              <w:bottom w:val="single" w:sz="4" w:space="0" w:color="auto"/>
              <w:right w:val="single" w:sz="4" w:space="0" w:color="auto"/>
            </w:tcBorders>
            <w:vAlign w:val="center"/>
          </w:tcPr>
          <w:p w14:paraId="4E6497AB"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142</w:t>
            </w:r>
          </w:p>
        </w:tc>
        <w:tc>
          <w:tcPr>
            <w:tcW w:w="1154" w:type="dxa"/>
            <w:tcBorders>
              <w:top w:val="single" w:sz="4" w:space="0" w:color="auto"/>
              <w:left w:val="single" w:sz="4" w:space="0" w:color="auto"/>
              <w:bottom w:val="single" w:sz="4" w:space="0" w:color="auto"/>
              <w:right w:val="single" w:sz="4" w:space="0" w:color="auto"/>
            </w:tcBorders>
            <w:vAlign w:val="center"/>
          </w:tcPr>
          <w:p w14:paraId="041B5A0F"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144</w:t>
            </w:r>
          </w:p>
        </w:tc>
      </w:tr>
      <w:tr w:rsidR="00C62BB6" w:rsidRPr="00C62BB6" w14:paraId="24D73EC6" w14:textId="77777777" w:rsidTr="00C62BB6">
        <w:trPr>
          <w:trHeight w:val="340"/>
        </w:trPr>
        <w:tc>
          <w:tcPr>
            <w:tcW w:w="2514" w:type="dxa"/>
            <w:tcBorders>
              <w:top w:val="single" w:sz="4" w:space="0" w:color="auto"/>
              <w:left w:val="single" w:sz="4" w:space="0" w:color="auto"/>
              <w:bottom w:val="single" w:sz="4" w:space="0" w:color="auto"/>
              <w:right w:val="single" w:sz="4" w:space="0" w:color="auto"/>
            </w:tcBorders>
            <w:vAlign w:val="center"/>
          </w:tcPr>
          <w:p w14:paraId="39420097"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Agosto</w:t>
            </w:r>
          </w:p>
        </w:tc>
        <w:tc>
          <w:tcPr>
            <w:tcW w:w="1442" w:type="dxa"/>
            <w:tcBorders>
              <w:top w:val="single" w:sz="4" w:space="0" w:color="auto"/>
              <w:left w:val="single" w:sz="4" w:space="0" w:color="auto"/>
              <w:bottom w:val="single" w:sz="4" w:space="0" w:color="auto"/>
              <w:right w:val="single" w:sz="4" w:space="0" w:color="auto"/>
            </w:tcBorders>
            <w:vAlign w:val="center"/>
          </w:tcPr>
          <w:p w14:paraId="341D6232"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w:t>
            </w:r>
          </w:p>
        </w:tc>
        <w:tc>
          <w:tcPr>
            <w:tcW w:w="1365" w:type="dxa"/>
            <w:tcBorders>
              <w:top w:val="single" w:sz="4" w:space="0" w:color="auto"/>
              <w:left w:val="single" w:sz="4" w:space="0" w:color="auto"/>
              <w:bottom w:val="single" w:sz="4" w:space="0" w:color="auto"/>
              <w:right w:val="single" w:sz="4" w:space="0" w:color="auto"/>
            </w:tcBorders>
            <w:vAlign w:val="center"/>
          </w:tcPr>
          <w:p w14:paraId="664CDAA0"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139</w:t>
            </w:r>
          </w:p>
        </w:tc>
        <w:tc>
          <w:tcPr>
            <w:tcW w:w="1154" w:type="dxa"/>
            <w:tcBorders>
              <w:top w:val="single" w:sz="4" w:space="0" w:color="auto"/>
              <w:left w:val="single" w:sz="4" w:space="0" w:color="auto"/>
              <w:bottom w:val="single" w:sz="4" w:space="0" w:color="auto"/>
              <w:right w:val="single" w:sz="4" w:space="0" w:color="auto"/>
            </w:tcBorders>
            <w:vAlign w:val="center"/>
          </w:tcPr>
          <w:p w14:paraId="2D6C0A63"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147</w:t>
            </w:r>
          </w:p>
        </w:tc>
      </w:tr>
      <w:tr w:rsidR="00C62BB6" w:rsidRPr="00C62BB6" w14:paraId="199A005F" w14:textId="77777777" w:rsidTr="00C62BB6">
        <w:trPr>
          <w:trHeight w:val="458"/>
        </w:trPr>
        <w:tc>
          <w:tcPr>
            <w:tcW w:w="2514" w:type="dxa"/>
            <w:tcBorders>
              <w:top w:val="single" w:sz="4" w:space="0" w:color="auto"/>
              <w:left w:val="single" w:sz="4" w:space="0" w:color="auto"/>
              <w:bottom w:val="single" w:sz="4" w:space="0" w:color="auto"/>
              <w:right w:val="single" w:sz="4" w:space="0" w:color="auto"/>
            </w:tcBorders>
            <w:vAlign w:val="center"/>
          </w:tcPr>
          <w:p w14:paraId="708FFE5B"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Septiembre</w:t>
            </w:r>
          </w:p>
        </w:tc>
        <w:tc>
          <w:tcPr>
            <w:tcW w:w="1442" w:type="dxa"/>
            <w:tcBorders>
              <w:top w:val="single" w:sz="4" w:space="0" w:color="auto"/>
              <w:left w:val="single" w:sz="4" w:space="0" w:color="auto"/>
              <w:bottom w:val="single" w:sz="4" w:space="0" w:color="auto"/>
              <w:right w:val="single" w:sz="4" w:space="0" w:color="auto"/>
            </w:tcBorders>
            <w:vAlign w:val="center"/>
          </w:tcPr>
          <w:p w14:paraId="5F1DCD63"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2</w:t>
            </w:r>
          </w:p>
        </w:tc>
        <w:tc>
          <w:tcPr>
            <w:tcW w:w="1365" w:type="dxa"/>
            <w:tcBorders>
              <w:top w:val="single" w:sz="4" w:space="0" w:color="auto"/>
              <w:left w:val="single" w:sz="4" w:space="0" w:color="auto"/>
              <w:bottom w:val="single" w:sz="4" w:space="0" w:color="auto"/>
              <w:right w:val="single" w:sz="4" w:space="0" w:color="auto"/>
            </w:tcBorders>
            <w:vAlign w:val="center"/>
          </w:tcPr>
          <w:p w14:paraId="155D3133"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41</w:t>
            </w:r>
          </w:p>
        </w:tc>
        <w:tc>
          <w:tcPr>
            <w:tcW w:w="1154" w:type="dxa"/>
            <w:tcBorders>
              <w:top w:val="single" w:sz="4" w:space="0" w:color="auto"/>
              <w:left w:val="single" w:sz="4" w:space="0" w:color="auto"/>
              <w:bottom w:val="single" w:sz="4" w:space="0" w:color="auto"/>
              <w:right w:val="single" w:sz="4" w:space="0" w:color="auto"/>
            </w:tcBorders>
            <w:vAlign w:val="center"/>
          </w:tcPr>
          <w:p w14:paraId="33352A0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43</w:t>
            </w:r>
          </w:p>
        </w:tc>
      </w:tr>
      <w:tr w:rsidR="00C62BB6" w:rsidRPr="00C62BB6" w14:paraId="1607BFB2" w14:textId="77777777" w:rsidTr="00C62BB6">
        <w:trPr>
          <w:trHeight w:val="340"/>
        </w:trPr>
        <w:tc>
          <w:tcPr>
            <w:tcW w:w="2514" w:type="dxa"/>
            <w:tcBorders>
              <w:top w:val="single" w:sz="4" w:space="0" w:color="auto"/>
              <w:left w:val="single" w:sz="4" w:space="0" w:color="auto"/>
              <w:bottom w:val="single" w:sz="4" w:space="0" w:color="auto"/>
              <w:right w:val="single" w:sz="4" w:space="0" w:color="auto"/>
            </w:tcBorders>
            <w:vAlign w:val="center"/>
          </w:tcPr>
          <w:p w14:paraId="440D0E55"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Octubre</w:t>
            </w:r>
          </w:p>
        </w:tc>
        <w:tc>
          <w:tcPr>
            <w:tcW w:w="1442" w:type="dxa"/>
            <w:tcBorders>
              <w:top w:val="single" w:sz="4" w:space="0" w:color="auto"/>
              <w:left w:val="single" w:sz="4" w:space="0" w:color="auto"/>
              <w:bottom w:val="single" w:sz="4" w:space="0" w:color="auto"/>
              <w:right w:val="single" w:sz="4" w:space="0" w:color="auto"/>
            </w:tcBorders>
            <w:vAlign w:val="center"/>
          </w:tcPr>
          <w:p w14:paraId="43EBBA35"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w:t>
            </w:r>
          </w:p>
        </w:tc>
        <w:tc>
          <w:tcPr>
            <w:tcW w:w="1365" w:type="dxa"/>
            <w:tcBorders>
              <w:top w:val="single" w:sz="4" w:space="0" w:color="auto"/>
              <w:left w:val="single" w:sz="4" w:space="0" w:color="auto"/>
              <w:bottom w:val="single" w:sz="4" w:space="0" w:color="auto"/>
              <w:right w:val="single" w:sz="4" w:space="0" w:color="auto"/>
            </w:tcBorders>
            <w:vAlign w:val="center"/>
          </w:tcPr>
          <w:p w14:paraId="4553493D"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35</w:t>
            </w:r>
          </w:p>
        </w:tc>
        <w:tc>
          <w:tcPr>
            <w:tcW w:w="1154" w:type="dxa"/>
            <w:tcBorders>
              <w:top w:val="single" w:sz="4" w:space="0" w:color="auto"/>
              <w:left w:val="single" w:sz="4" w:space="0" w:color="auto"/>
              <w:bottom w:val="single" w:sz="4" w:space="0" w:color="auto"/>
              <w:right w:val="single" w:sz="4" w:space="0" w:color="auto"/>
            </w:tcBorders>
            <w:vAlign w:val="center"/>
          </w:tcPr>
          <w:p w14:paraId="272D75AA"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38</w:t>
            </w:r>
          </w:p>
        </w:tc>
      </w:tr>
      <w:tr w:rsidR="00C62BB6" w:rsidRPr="00C62BB6" w14:paraId="744737C0" w14:textId="77777777" w:rsidTr="00C62BB6">
        <w:trPr>
          <w:trHeight w:val="340"/>
        </w:trPr>
        <w:tc>
          <w:tcPr>
            <w:tcW w:w="2514" w:type="dxa"/>
            <w:tcBorders>
              <w:top w:val="single" w:sz="4" w:space="0" w:color="auto"/>
              <w:left w:val="single" w:sz="4" w:space="0" w:color="auto"/>
              <w:bottom w:val="single" w:sz="4" w:space="0" w:color="auto"/>
              <w:right w:val="single" w:sz="4" w:space="0" w:color="auto"/>
            </w:tcBorders>
            <w:vAlign w:val="center"/>
          </w:tcPr>
          <w:p w14:paraId="4251C75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Noviembre</w:t>
            </w:r>
          </w:p>
        </w:tc>
        <w:tc>
          <w:tcPr>
            <w:tcW w:w="1442" w:type="dxa"/>
            <w:tcBorders>
              <w:top w:val="single" w:sz="4" w:space="0" w:color="auto"/>
              <w:left w:val="single" w:sz="4" w:space="0" w:color="auto"/>
              <w:bottom w:val="single" w:sz="4" w:space="0" w:color="auto"/>
              <w:right w:val="single" w:sz="4" w:space="0" w:color="auto"/>
            </w:tcBorders>
            <w:vAlign w:val="center"/>
          </w:tcPr>
          <w:p w14:paraId="56590682"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w:t>
            </w:r>
          </w:p>
        </w:tc>
        <w:tc>
          <w:tcPr>
            <w:tcW w:w="1365" w:type="dxa"/>
            <w:tcBorders>
              <w:top w:val="single" w:sz="4" w:space="0" w:color="auto"/>
              <w:left w:val="single" w:sz="4" w:space="0" w:color="auto"/>
              <w:bottom w:val="single" w:sz="4" w:space="0" w:color="auto"/>
              <w:right w:val="single" w:sz="4" w:space="0" w:color="auto"/>
            </w:tcBorders>
            <w:vAlign w:val="center"/>
          </w:tcPr>
          <w:p w14:paraId="305B8205"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14</w:t>
            </w:r>
          </w:p>
        </w:tc>
        <w:tc>
          <w:tcPr>
            <w:tcW w:w="1154" w:type="dxa"/>
            <w:tcBorders>
              <w:top w:val="single" w:sz="4" w:space="0" w:color="auto"/>
              <w:left w:val="single" w:sz="4" w:space="0" w:color="auto"/>
              <w:bottom w:val="single" w:sz="4" w:space="0" w:color="auto"/>
              <w:right w:val="single" w:sz="4" w:space="0" w:color="auto"/>
            </w:tcBorders>
            <w:vAlign w:val="center"/>
          </w:tcPr>
          <w:p w14:paraId="4197B6A9"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15</w:t>
            </w:r>
          </w:p>
        </w:tc>
      </w:tr>
      <w:tr w:rsidR="00C62BB6" w:rsidRPr="00C62BB6" w14:paraId="2A67C22D" w14:textId="77777777" w:rsidTr="00C62BB6">
        <w:trPr>
          <w:trHeight w:val="340"/>
        </w:trPr>
        <w:tc>
          <w:tcPr>
            <w:tcW w:w="2514" w:type="dxa"/>
            <w:tcBorders>
              <w:top w:val="single" w:sz="4" w:space="0" w:color="auto"/>
              <w:left w:val="single" w:sz="4" w:space="0" w:color="auto"/>
              <w:bottom w:val="single" w:sz="4" w:space="0" w:color="auto"/>
              <w:right w:val="single" w:sz="4" w:space="0" w:color="auto"/>
            </w:tcBorders>
            <w:vAlign w:val="center"/>
          </w:tcPr>
          <w:p w14:paraId="6B32B017"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Total</w:t>
            </w:r>
          </w:p>
        </w:tc>
        <w:tc>
          <w:tcPr>
            <w:tcW w:w="1442" w:type="dxa"/>
            <w:tcBorders>
              <w:top w:val="single" w:sz="4" w:space="0" w:color="auto"/>
              <w:left w:val="single" w:sz="4" w:space="0" w:color="auto"/>
              <w:bottom w:val="single" w:sz="4" w:space="0" w:color="auto"/>
              <w:right w:val="single" w:sz="4" w:space="0" w:color="auto"/>
            </w:tcBorders>
            <w:vAlign w:val="center"/>
          </w:tcPr>
          <w:p w14:paraId="129A5F90"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57</w:t>
            </w:r>
          </w:p>
        </w:tc>
        <w:tc>
          <w:tcPr>
            <w:tcW w:w="1365" w:type="dxa"/>
            <w:tcBorders>
              <w:top w:val="single" w:sz="4" w:space="0" w:color="auto"/>
              <w:left w:val="single" w:sz="4" w:space="0" w:color="auto"/>
              <w:bottom w:val="single" w:sz="4" w:space="0" w:color="auto"/>
              <w:right w:val="single" w:sz="4" w:space="0" w:color="auto"/>
            </w:tcBorders>
            <w:vAlign w:val="center"/>
          </w:tcPr>
          <w:p w14:paraId="4750DEDE"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804</w:t>
            </w:r>
          </w:p>
        </w:tc>
        <w:tc>
          <w:tcPr>
            <w:tcW w:w="1154" w:type="dxa"/>
            <w:tcBorders>
              <w:top w:val="single" w:sz="4" w:space="0" w:color="auto"/>
              <w:left w:val="single" w:sz="4" w:space="0" w:color="auto"/>
              <w:bottom w:val="single" w:sz="4" w:space="0" w:color="auto"/>
              <w:right w:val="single" w:sz="4" w:space="0" w:color="auto"/>
            </w:tcBorders>
            <w:vAlign w:val="center"/>
          </w:tcPr>
          <w:p w14:paraId="0482D666" w14:textId="77777777" w:rsidR="00513ACC" w:rsidRPr="00C62BB6" w:rsidRDefault="00513ACC" w:rsidP="00513ACC">
            <w:pPr>
              <w:spacing w:line="360" w:lineRule="auto"/>
              <w:jc w:val="cente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861</w:t>
            </w:r>
          </w:p>
        </w:tc>
      </w:tr>
    </w:tbl>
    <w:p w14:paraId="5BE210AA" w14:textId="77777777" w:rsidR="00F245FB" w:rsidRPr="00C62BB6" w:rsidRDefault="00F245FB" w:rsidP="00C356F0">
      <w:pPr>
        <w:pStyle w:val="NormalWeb"/>
        <w:spacing w:line="360" w:lineRule="auto"/>
        <w:jc w:val="both"/>
        <w:rPr>
          <w:rFonts w:eastAsia="Calibri"/>
          <w:color w:val="4C4747"/>
          <w:spacing w:val="20"/>
          <w:lang w:eastAsia="en-US"/>
        </w:rPr>
      </w:pPr>
    </w:p>
    <w:p w14:paraId="5580A6AC" w14:textId="77777777" w:rsidR="00150414" w:rsidRPr="00C62BB6" w:rsidRDefault="00150414" w:rsidP="00C356F0">
      <w:pPr>
        <w:pStyle w:val="NormalWeb"/>
        <w:spacing w:line="360" w:lineRule="auto"/>
        <w:jc w:val="both"/>
        <w:rPr>
          <w:rFonts w:eastAsia="Calibri"/>
          <w:color w:val="4C4747"/>
          <w:spacing w:val="20"/>
          <w:lang w:eastAsia="en-US"/>
        </w:rPr>
      </w:pPr>
    </w:p>
    <w:p w14:paraId="0C6C297C" w14:textId="77777777" w:rsidR="00C356F0" w:rsidRPr="00C62BB6" w:rsidRDefault="00C356F0" w:rsidP="00C356F0">
      <w:pPr>
        <w:spacing w:after="0" w:line="240" w:lineRule="auto"/>
        <w:rPr>
          <w:rFonts w:ascii="Times New Roman" w:eastAsia="Calibri" w:hAnsi="Times New Roman" w:cs="Times New Roman"/>
          <w:color w:val="4C4747"/>
          <w:spacing w:val="20"/>
          <w:sz w:val="24"/>
          <w:szCs w:val="24"/>
          <w:lang w:val="es-DO"/>
        </w:rPr>
      </w:pPr>
    </w:p>
    <w:p w14:paraId="2C8028F4" w14:textId="77777777" w:rsidR="00C356F0" w:rsidRPr="00C62BB6" w:rsidRDefault="00C356F0" w:rsidP="00C356F0">
      <w:pPr>
        <w:spacing w:after="0" w:line="240" w:lineRule="auto"/>
        <w:rPr>
          <w:rFonts w:ascii="Times New Roman" w:eastAsia="Calibri" w:hAnsi="Times New Roman" w:cs="Times New Roman"/>
          <w:color w:val="4C4747"/>
          <w:spacing w:val="20"/>
          <w:sz w:val="24"/>
          <w:szCs w:val="24"/>
          <w:lang w:val="es-DO"/>
        </w:rPr>
      </w:pPr>
    </w:p>
    <w:p w14:paraId="21509C59" w14:textId="77777777" w:rsidR="00C356F0" w:rsidRPr="00C62BB6" w:rsidRDefault="00C356F0" w:rsidP="00C356F0">
      <w:pPr>
        <w:spacing w:after="0" w:line="240" w:lineRule="auto"/>
        <w:rPr>
          <w:rFonts w:ascii="Times New Roman" w:eastAsia="Calibri" w:hAnsi="Times New Roman" w:cs="Times New Roman"/>
          <w:color w:val="4C4747"/>
          <w:spacing w:val="20"/>
          <w:sz w:val="24"/>
          <w:szCs w:val="24"/>
          <w:lang w:val="es-DO"/>
        </w:rPr>
      </w:pPr>
    </w:p>
    <w:p w14:paraId="04F90142" w14:textId="77777777" w:rsidR="00F245FB" w:rsidRPr="00C62BB6" w:rsidRDefault="00C356F0" w:rsidP="00C356F0">
      <w:pPr>
        <w:spacing w:after="0" w:line="240" w:lineRule="auto"/>
        <w:rPr>
          <w:rFonts w:ascii="Times New Roman" w:eastAsia="Calibri" w:hAnsi="Times New Roman" w:cs="Times New Roman"/>
          <w:b/>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 xml:space="preserve"> </w:t>
      </w:r>
    </w:p>
    <w:p w14:paraId="4818C207"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78D87296"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22B0E1D9"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76D51752"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74BB7A67"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5753C6DD"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4400F975" w14:textId="77777777" w:rsidR="00F245FB" w:rsidRPr="00C62BB6" w:rsidRDefault="00F245FB" w:rsidP="00C356F0">
      <w:pPr>
        <w:spacing w:after="0" w:line="240" w:lineRule="auto"/>
        <w:rPr>
          <w:rFonts w:ascii="Times New Roman" w:eastAsia="Calibri" w:hAnsi="Times New Roman" w:cs="Times New Roman"/>
          <w:b/>
          <w:color w:val="4C4747"/>
          <w:spacing w:val="20"/>
          <w:sz w:val="18"/>
          <w:szCs w:val="24"/>
          <w:lang w:val="es-DO"/>
        </w:rPr>
      </w:pPr>
    </w:p>
    <w:p w14:paraId="736B1044"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6D5C04E0"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7E33EF18"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29687750"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27B5FAD3"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0B64446D"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20A1BFEC"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784C8EA8"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2C09BFA3"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0D09ACC1"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4735281A"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5D504BEE"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6C7DC52C"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30020F6A"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5A1614AC" w14:textId="77777777" w:rsidR="00513ACC" w:rsidRPr="00C62BB6" w:rsidRDefault="00513ACC" w:rsidP="00C356F0">
      <w:pPr>
        <w:spacing w:after="0" w:line="240" w:lineRule="auto"/>
        <w:rPr>
          <w:rFonts w:ascii="Times New Roman" w:eastAsia="Calibri" w:hAnsi="Times New Roman" w:cs="Times New Roman"/>
          <w:b/>
          <w:color w:val="4C4747"/>
          <w:spacing w:val="20"/>
          <w:sz w:val="18"/>
          <w:szCs w:val="24"/>
          <w:lang w:val="es-DO"/>
        </w:rPr>
      </w:pPr>
    </w:p>
    <w:p w14:paraId="2C8ACA90" w14:textId="6703C665" w:rsidR="00C356F0" w:rsidRPr="00C62BB6" w:rsidRDefault="00C356F0" w:rsidP="00513ACC">
      <w:pPr>
        <w:spacing w:after="0" w:line="240" w:lineRule="auto"/>
        <w:ind w:left="720"/>
        <w:rPr>
          <w:rFonts w:ascii="Times New Roman" w:eastAsia="Calibri" w:hAnsi="Times New Roman" w:cs="Times New Roman"/>
          <w:color w:val="4C4747"/>
          <w:spacing w:val="20"/>
          <w:sz w:val="18"/>
          <w:szCs w:val="24"/>
          <w:lang w:val="es-DO"/>
        </w:rPr>
      </w:pPr>
      <w:r w:rsidRPr="00C62BB6">
        <w:rPr>
          <w:rFonts w:ascii="Times New Roman" w:eastAsia="Calibri" w:hAnsi="Times New Roman" w:cs="Times New Roman"/>
          <w:b/>
          <w:color w:val="4C4747"/>
          <w:spacing w:val="20"/>
          <w:sz w:val="18"/>
          <w:szCs w:val="24"/>
          <w:lang w:val="es-DO"/>
        </w:rPr>
        <w:t>Fuente:</w:t>
      </w:r>
      <w:r w:rsidRPr="00C62BB6">
        <w:rPr>
          <w:rFonts w:ascii="Times New Roman" w:eastAsia="Calibri" w:hAnsi="Times New Roman" w:cs="Times New Roman"/>
          <w:color w:val="4C4747"/>
          <w:spacing w:val="20"/>
          <w:sz w:val="18"/>
          <w:szCs w:val="24"/>
          <w:lang w:val="es-DO"/>
        </w:rPr>
        <w:t xml:space="preserve"> Unidad de prensa, Dirección de Relaciones Públicas y </w:t>
      </w:r>
      <w:r w:rsidR="00513ACC" w:rsidRPr="00C62BB6">
        <w:rPr>
          <w:rFonts w:ascii="Times New Roman" w:eastAsia="Calibri" w:hAnsi="Times New Roman" w:cs="Times New Roman"/>
          <w:color w:val="4C4747"/>
          <w:spacing w:val="20"/>
          <w:sz w:val="18"/>
          <w:szCs w:val="24"/>
          <w:lang w:val="es-DO"/>
        </w:rPr>
        <w:t>C</w:t>
      </w:r>
      <w:r w:rsidRPr="00C62BB6">
        <w:rPr>
          <w:rFonts w:ascii="Times New Roman" w:eastAsia="Calibri" w:hAnsi="Times New Roman" w:cs="Times New Roman"/>
          <w:color w:val="4C4747"/>
          <w:spacing w:val="20"/>
          <w:sz w:val="18"/>
          <w:szCs w:val="24"/>
          <w:lang w:val="es-DO"/>
        </w:rPr>
        <w:t>omunicaciones</w:t>
      </w:r>
    </w:p>
    <w:p w14:paraId="6389D40C" w14:textId="77777777" w:rsidR="00C356F0" w:rsidRPr="00C62BB6" w:rsidRDefault="00C356F0" w:rsidP="00C356F0">
      <w:pPr>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 xml:space="preserve">      </w:t>
      </w:r>
    </w:p>
    <w:p w14:paraId="3998B31E" w14:textId="77777777" w:rsidR="00C356F0" w:rsidRPr="00A4233F" w:rsidRDefault="00C356F0" w:rsidP="00C356F0">
      <w:pPr>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t>Boletines semanales y trimestrales</w:t>
      </w:r>
    </w:p>
    <w:p w14:paraId="321C48D0"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Para suministrar en un solo documento las acciones institucionales, tópicos del sector y otros temas de interés para sus colaboradores, se emiten boletines informativos trimestrales y semanales de acuerdo con las necesidades de las dependencias internas, que contiene temas de interés de las distintas áreas, direcciones y Presidencia del Consejo Directivo, donde son socializados en el portal web de la institución, correo electrónico, murales y pantallas digitales.</w:t>
      </w:r>
    </w:p>
    <w:p w14:paraId="02220EE9" w14:textId="0999D451"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Otra herramienta de acceso a lo que ocurre en el sector de las telecomunicaciones con las noticias nacionales e internacionales en</w:t>
      </w:r>
      <w:r w:rsidR="00BB4D02">
        <w:rPr>
          <w:rFonts w:eastAsia="Calibri"/>
          <w:color w:val="4C4747"/>
          <w:spacing w:val="20"/>
          <w:lang w:eastAsia="en-US"/>
        </w:rPr>
        <w:t xml:space="preserve"> </w:t>
      </w:r>
      <w:r w:rsidRPr="00A4233F">
        <w:rPr>
          <w:rFonts w:eastAsia="Calibri"/>
          <w:color w:val="4C4747"/>
          <w:spacing w:val="20"/>
          <w:lang w:eastAsia="en-US"/>
        </w:rPr>
        <w:t xml:space="preserve">ese tenor, es la síntesis de prensa digital del INDOTEL, la cual es </w:t>
      </w:r>
      <w:r w:rsidRPr="00A4233F">
        <w:rPr>
          <w:rFonts w:eastAsia="Calibri"/>
          <w:color w:val="4C4747"/>
          <w:spacing w:val="20"/>
          <w:lang w:eastAsia="en-US"/>
        </w:rPr>
        <w:lastRenderedPageBreak/>
        <w:t>enviada por el correo institucional para interés de todos los colaboradores.</w:t>
      </w:r>
    </w:p>
    <w:p w14:paraId="6FA2AEB9" w14:textId="77777777" w:rsidR="00C356F0" w:rsidRPr="00A4233F" w:rsidRDefault="00C356F0" w:rsidP="00C356F0">
      <w:pPr>
        <w:pStyle w:val="NormalWeb"/>
        <w:spacing w:line="360" w:lineRule="auto"/>
        <w:jc w:val="both"/>
        <w:rPr>
          <w:rFonts w:eastAsia="Calibri"/>
          <w:color w:val="4C4747"/>
          <w:spacing w:val="20"/>
          <w:lang w:eastAsia="en-US"/>
        </w:rPr>
      </w:pPr>
      <w:r w:rsidRPr="00A4233F">
        <w:rPr>
          <w:rFonts w:eastAsia="Calibri"/>
          <w:color w:val="4C4747"/>
          <w:spacing w:val="20"/>
          <w:lang w:eastAsia="en-US"/>
        </w:rPr>
        <w:t>También, se prepara a diario un resumen digital de los editoriales de los principales medios de prensa de circulación nacional para información de la Presidencia del Consejo Directivo, la Dirección Ejecutiva y otros funcionarios.</w:t>
      </w:r>
    </w:p>
    <w:p w14:paraId="16DEEF2E" w14:textId="77777777" w:rsidR="00513ACC" w:rsidRPr="00C62BB6" w:rsidRDefault="00513ACC" w:rsidP="00C356F0">
      <w:pPr>
        <w:pStyle w:val="NormalWeb"/>
        <w:spacing w:line="360" w:lineRule="auto"/>
        <w:jc w:val="both"/>
        <w:rPr>
          <w:rFonts w:eastAsia="Calibri"/>
          <w:color w:val="4C4747"/>
          <w:spacing w:val="20"/>
          <w:lang w:eastAsia="en-US"/>
        </w:rPr>
      </w:pPr>
    </w:p>
    <w:p w14:paraId="413A0EDE" w14:textId="77777777" w:rsidR="00E86F9C" w:rsidRPr="00C62BB6" w:rsidRDefault="00E86F9C" w:rsidP="00C356F0">
      <w:pPr>
        <w:pStyle w:val="NormalWeb"/>
        <w:spacing w:line="360" w:lineRule="auto"/>
        <w:jc w:val="both"/>
        <w:rPr>
          <w:rFonts w:eastAsia="Calibri"/>
          <w:color w:val="4C4747"/>
          <w:spacing w:val="20"/>
          <w:lang w:eastAsia="en-US"/>
        </w:rPr>
      </w:pPr>
    </w:p>
    <w:p w14:paraId="6B59348F" w14:textId="77777777" w:rsidR="00E86F9C" w:rsidRPr="00C62BB6" w:rsidRDefault="00E86F9C" w:rsidP="00C356F0">
      <w:pPr>
        <w:pStyle w:val="NormalWeb"/>
        <w:spacing w:line="360" w:lineRule="auto"/>
        <w:jc w:val="both"/>
        <w:rPr>
          <w:rFonts w:eastAsia="Calibri"/>
          <w:color w:val="4C4747"/>
          <w:spacing w:val="20"/>
          <w:lang w:eastAsia="en-US"/>
        </w:rPr>
      </w:pPr>
    </w:p>
    <w:p w14:paraId="584250F4" w14:textId="77777777" w:rsidR="00E86F9C" w:rsidRPr="00C62BB6" w:rsidRDefault="00E86F9C" w:rsidP="00C356F0">
      <w:pPr>
        <w:pStyle w:val="NormalWeb"/>
        <w:spacing w:line="360" w:lineRule="auto"/>
        <w:jc w:val="both"/>
        <w:rPr>
          <w:rFonts w:eastAsia="Calibri"/>
          <w:color w:val="4C4747"/>
          <w:spacing w:val="20"/>
          <w:lang w:eastAsia="en-US"/>
        </w:rPr>
      </w:pPr>
    </w:p>
    <w:p w14:paraId="032875FD" w14:textId="77777777" w:rsidR="00E86F9C" w:rsidRPr="00C62BB6" w:rsidRDefault="00E86F9C" w:rsidP="00C356F0">
      <w:pPr>
        <w:pStyle w:val="NormalWeb"/>
        <w:spacing w:line="360" w:lineRule="auto"/>
        <w:jc w:val="both"/>
        <w:rPr>
          <w:rFonts w:eastAsia="Calibri"/>
          <w:color w:val="4C4747"/>
          <w:spacing w:val="20"/>
          <w:lang w:eastAsia="en-US"/>
        </w:rPr>
      </w:pPr>
    </w:p>
    <w:p w14:paraId="42431A1D" w14:textId="77777777" w:rsidR="00E86F9C" w:rsidRPr="00C62BB6" w:rsidRDefault="00E86F9C" w:rsidP="00C356F0">
      <w:pPr>
        <w:pStyle w:val="NormalWeb"/>
        <w:spacing w:line="360" w:lineRule="auto"/>
        <w:jc w:val="both"/>
        <w:rPr>
          <w:rFonts w:eastAsia="Calibri"/>
          <w:color w:val="4C4747"/>
          <w:spacing w:val="20"/>
          <w:lang w:eastAsia="en-US"/>
        </w:rPr>
      </w:pPr>
    </w:p>
    <w:p w14:paraId="234DB503" w14:textId="77777777" w:rsidR="00E86F9C" w:rsidRPr="00C62BB6" w:rsidRDefault="00E86F9C" w:rsidP="00C356F0">
      <w:pPr>
        <w:pStyle w:val="NormalWeb"/>
        <w:spacing w:line="360" w:lineRule="auto"/>
        <w:jc w:val="both"/>
        <w:rPr>
          <w:rFonts w:eastAsia="Calibri"/>
          <w:color w:val="4C4747"/>
          <w:spacing w:val="20"/>
          <w:lang w:eastAsia="en-US"/>
        </w:rPr>
      </w:pPr>
    </w:p>
    <w:p w14:paraId="772602D6" w14:textId="77777777" w:rsidR="00E86F9C" w:rsidRPr="00C62BB6" w:rsidRDefault="00E86F9C" w:rsidP="00C356F0">
      <w:pPr>
        <w:pStyle w:val="NormalWeb"/>
        <w:spacing w:line="360" w:lineRule="auto"/>
        <w:jc w:val="both"/>
        <w:rPr>
          <w:rFonts w:eastAsia="Calibri"/>
          <w:color w:val="4C4747"/>
          <w:spacing w:val="20"/>
          <w:lang w:eastAsia="en-US"/>
        </w:rPr>
      </w:pPr>
    </w:p>
    <w:p w14:paraId="0847C847" w14:textId="77777777" w:rsidR="00E86F9C" w:rsidRPr="00C62BB6" w:rsidRDefault="00E86F9C" w:rsidP="00C356F0">
      <w:pPr>
        <w:pStyle w:val="NormalWeb"/>
        <w:spacing w:line="360" w:lineRule="auto"/>
        <w:jc w:val="both"/>
        <w:rPr>
          <w:rFonts w:eastAsia="Calibri"/>
          <w:color w:val="4C4747"/>
          <w:spacing w:val="20"/>
          <w:lang w:eastAsia="en-US"/>
        </w:rPr>
      </w:pPr>
    </w:p>
    <w:p w14:paraId="44DAFB13" w14:textId="77777777" w:rsidR="00E86F9C" w:rsidRPr="00C62BB6" w:rsidRDefault="00E86F9C" w:rsidP="00C356F0">
      <w:pPr>
        <w:pStyle w:val="NormalWeb"/>
        <w:spacing w:line="360" w:lineRule="auto"/>
        <w:jc w:val="both"/>
        <w:rPr>
          <w:rFonts w:eastAsia="Calibri"/>
          <w:color w:val="4C4747"/>
          <w:spacing w:val="20"/>
          <w:lang w:eastAsia="en-US"/>
        </w:rPr>
      </w:pPr>
    </w:p>
    <w:p w14:paraId="1FDED2FC" w14:textId="77777777" w:rsidR="00E86F9C" w:rsidRPr="00C62BB6" w:rsidRDefault="00E86F9C" w:rsidP="00C356F0">
      <w:pPr>
        <w:pStyle w:val="NormalWeb"/>
        <w:spacing w:line="360" w:lineRule="auto"/>
        <w:jc w:val="both"/>
        <w:rPr>
          <w:rFonts w:eastAsia="Calibri"/>
          <w:color w:val="4C4747"/>
          <w:spacing w:val="20"/>
          <w:lang w:eastAsia="en-US"/>
        </w:rPr>
      </w:pPr>
    </w:p>
    <w:p w14:paraId="4250C12C" w14:textId="77777777" w:rsidR="00E86F9C" w:rsidRPr="00C62BB6" w:rsidRDefault="00E86F9C" w:rsidP="00C356F0">
      <w:pPr>
        <w:pStyle w:val="NormalWeb"/>
        <w:spacing w:line="360" w:lineRule="auto"/>
        <w:jc w:val="both"/>
        <w:rPr>
          <w:rFonts w:eastAsia="Calibri"/>
          <w:color w:val="4C4747"/>
          <w:spacing w:val="20"/>
          <w:lang w:eastAsia="en-US"/>
        </w:rPr>
      </w:pPr>
    </w:p>
    <w:p w14:paraId="1F185120" w14:textId="77777777" w:rsidR="00E86F9C" w:rsidRPr="00C62BB6" w:rsidRDefault="00E86F9C" w:rsidP="00C356F0">
      <w:pPr>
        <w:pStyle w:val="NormalWeb"/>
        <w:spacing w:line="360" w:lineRule="auto"/>
        <w:jc w:val="both"/>
        <w:rPr>
          <w:rFonts w:eastAsia="Calibri"/>
          <w:color w:val="4C4747"/>
          <w:spacing w:val="20"/>
          <w:lang w:eastAsia="en-US"/>
        </w:rPr>
      </w:pPr>
    </w:p>
    <w:p w14:paraId="02ECFD57" w14:textId="77777777" w:rsidR="00E86F9C" w:rsidRPr="00C62BB6" w:rsidRDefault="00E86F9C" w:rsidP="00C356F0">
      <w:pPr>
        <w:pStyle w:val="NormalWeb"/>
        <w:spacing w:line="360" w:lineRule="auto"/>
        <w:jc w:val="both"/>
        <w:rPr>
          <w:rFonts w:eastAsia="Calibri"/>
          <w:color w:val="4C4747"/>
          <w:spacing w:val="20"/>
          <w:lang w:eastAsia="en-US"/>
        </w:rPr>
      </w:pPr>
    </w:p>
    <w:p w14:paraId="4A3EAA72" w14:textId="3600517B" w:rsidR="001806AE" w:rsidRPr="00C62BB6" w:rsidRDefault="00A75CDE" w:rsidP="00943FA5">
      <w:pPr>
        <w:keepNext/>
        <w:spacing w:before="240" w:after="60"/>
        <w:jc w:val="both"/>
        <w:outlineLvl w:val="2"/>
        <w:rPr>
          <w:rFonts w:ascii="Times New Roman" w:hAnsi="Times New Roman" w:cs="Times New Roman"/>
          <w:color w:val="4C4747"/>
          <w:lang w:val="es-DO" w:eastAsia="es-DO"/>
        </w:rPr>
      </w:pPr>
      <w:bookmarkStart w:id="32" w:name="_Toc79678426"/>
      <w:bookmarkStart w:id="33" w:name="_Toc122425249"/>
      <w:r w:rsidRPr="00C62BB6">
        <w:rPr>
          <w:rFonts w:ascii="Times New Roman" w:eastAsia="Times New Roman" w:hAnsi="Times New Roman" w:cs="Times New Roman"/>
          <w:b/>
          <w:bCs/>
          <w:color w:val="4C4747"/>
          <w:sz w:val="24"/>
          <w:szCs w:val="28"/>
          <w:lang w:val="es-DO" w:eastAsia="es-DO"/>
        </w:rPr>
        <w:lastRenderedPageBreak/>
        <w:t xml:space="preserve">4.7 </w:t>
      </w:r>
      <w:r w:rsidR="00977D9C" w:rsidRPr="00C62BB6">
        <w:rPr>
          <w:rFonts w:ascii="Times New Roman" w:eastAsia="Times New Roman" w:hAnsi="Times New Roman" w:cs="Times New Roman"/>
          <w:b/>
          <w:bCs/>
          <w:color w:val="4C4747"/>
          <w:sz w:val="24"/>
          <w:szCs w:val="28"/>
          <w:lang w:val="es-DO" w:eastAsia="es-DO"/>
        </w:rPr>
        <w:t>Relaciones Institucionales</w:t>
      </w:r>
      <w:bookmarkEnd w:id="32"/>
      <w:bookmarkEnd w:id="33"/>
    </w:p>
    <w:p w14:paraId="7116FA84" w14:textId="24D5F92D" w:rsidR="00F531AB" w:rsidRPr="00C62BB6" w:rsidRDefault="00F531AB" w:rsidP="00943FA5">
      <w:pPr>
        <w:pStyle w:val="NormalWeb"/>
        <w:spacing w:line="360" w:lineRule="auto"/>
        <w:jc w:val="both"/>
        <w:rPr>
          <w:rFonts w:eastAsia="Calibri"/>
          <w:color w:val="4C4747"/>
          <w:spacing w:val="20"/>
          <w:lang w:eastAsia="en-US"/>
        </w:rPr>
      </w:pPr>
      <w:r w:rsidRPr="00C62BB6">
        <w:rPr>
          <w:rFonts w:eastAsia="Calibri"/>
          <w:color w:val="4C4747"/>
          <w:spacing w:val="20"/>
          <w:lang w:eastAsia="en-US"/>
        </w:rPr>
        <w:t xml:space="preserve">Durante el periodo enero-noviembre de 2022, </w:t>
      </w:r>
      <w:r w:rsidR="00556352" w:rsidRPr="00C62BB6">
        <w:rPr>
          <w:rFonts w:eastAsia="Calibri"/>
          <w:color w:val="4C4747"/>
          <w:spacing w:val="20"/>
          <w:lang w:eastAsia="en-US"/>
        </w:rPr>
        <w:t xml:space="preserve">en el </w:t>
      </w:r>
      <w:r w:rsidRPr="00C62BB6">
        <w:rPr>
          <w:rFonts w:eastAsia="Calibri"/>
          <w:color w:val="4C4747"/>
          <w:spacing w:val="20"/>
          <w:lang w:eastAsia="en-US"/>
        </w:rPr>
        <w:t>IN</w:t>
      </w:r>
      <w:r w:rsidR="00742315" w:rsidRPr="00C62BB6">
        <w:rPr>
          <w:rFonts w:eastAsia="Calibri"/>
          <w:color w:val="4C4747"/>
          <w:spacing w:val="20"/>
          <w:lang w:eastAsia="en-US"/>
        </w:rPr>
        <w:t>DOTEL</w:t>
      </w:r>
      <w:r w:rsidR="00556352" w:rsidRPr="00C62BB6">
        <w:rPr>
          <w:rFonts w:eastAsia="Calibri"/>
          <w:color w:val="4C4747"/>
          <w:spacing w:val="20"/>
          <w:lang w:eastAsia="en-US"/>
        </w:rPr>
        <w:t xml:space="preserve"> se  suscribieron</w:t>
      </w:r>
      <w:r w:rsidRPr="00C62BB6">
        <w:rPr>
          <w:rFonts w:eastAsia="Calibri"/>
          <w:color w:val="4C4747"/>
          <w:spacing w:val="20"/>
          <w:lang w:eastAsia="en-US"/>
        </w:rPr>
        <w:t xml:space="preserve"> memorando</w:t>
      </w:r>
      <w:r w:rsidR="00456467" w:rsidRPr="00C62BB6">
        <w:rPr>
          <w:rFonts w:eastAsia="Calibri"/>
          <w:color w:val="4C4747"/>
          <w:spacing w:val="20"/>
          <w:lang w:eastAsia="en-US"/>
        </w:rPr>
        <w:t>s</w:t>
      </w:r>
      <w:r w:rsidRPr="00C62BB6">
        <w:rPr>
          <w:rFonts w:eastAsia="Calibri"/>
          <w:color w:val="4C4747"/>
          <w:spacing w:val="20"/>
          <w:lang w:eastAsia="en-US"/>
        </w:rPr>
        <w:t xml:space="preserve"> de entendimientos, convenios, acuerdos de colaboración con diferentes organizaciones e instituciones en busca de aunar esfuerzos para mejorar la calidad de los servicios y los procesos para los usuarios del sector telecomunicaciones. </w:t>
      </w:r>
    </w:p>
    <w:p w14:paraId="1A8CEAC3" w14:textId="109F7226" w:rsidR="00F531AB" w:rsidRPr="00C62BB6" w:rsidRDefault="00742315" w:rsidP="00943FA5">
      <w:pPr>
        <w:pStyle w:val="NormalWeb"/>
        <w:spacing w:line="360" w:lineRule="auto"/>
        <w:jc w:val="both"/>
        <w:rPr>
          <w:rFonts w:eastAsia="Calibri"/>
          <w:color w:val="4C4747"/>
          <w:spacing w:val="20"/>
        </w:rPr>
      </w:pPr>
      <w:r w:rsidRPr="00C62BB6">
        <w:rPr>
          <w:rFonts w:eastAsia="Calibri"/>
          <w:color w:val="4C4747"/>
          <w:spacing w:val="20"/>
          <w:lang w:eastAsia="en-US"/>
        </w:rPr>
        <w:t>Se ha</w:t>
      </w:r>
      <w:r w:rsidR="00F531AB" w:rsidRPr="00C62BB6">
        <w:rPr>
          <w:rFonts w:eastAsia="Calibri"/>
          <w:color w:val="4C4747"/>
          <w:spacing w:val="20"/>
          <w:lang w:eastAsia="en-US"/>
        </w:rPr>
        <w:t xml:space="preserve"> venido desarrollando e implementando mecanismos que mejoren las </w:t>
      </w:r>
      <w:r w:rsidRPr="00C62BB6">
        <w:rPr>
          <w:rFonts w:eastAsia="Calibri"/>
          <w:color w:val="4C4747"/>
          <w:spacing w:val="20"/>
          <w:lang w:eastAsia="en-US"/>
        </w:rPr>
        <w:t>relaciones interinstitucionales</w:t>
      </w:r>
      <w:r w:rsidR="00F531AB" w:rsidRPr="00C62BB6">
        <w:rPr>
          <w:rFonts w:eastAsia="Calibri"/>
          <w:color w:val="4C4747"/>
          <w:spacing w:val="20"/>
          <w:lang w:eastAsia="en-US"/>
        </w:rPr>
        <w:t xml:space="preserve"> que creen y fortalezcan una naturaleza de cooperación institucional. </w:t>
      </w:r>
    </w:p>
    <w:p w14:paraId="42DBD4DF" w14:textId="16CD8015" w:rsidR="009A738B" w:rsidRPr="00C62BB6" w:rsidRDefault="00F531AB" w:rsidP="001806AE">
      <w:pPr>
        <w:spacing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 continuación, los detalles de los memorándums de entendimiento, convenios o acuerdos de colaboración suscritos e instituciones que convergen:</w:t>
      </w:r>
    </w:p>
    <w:p w14:paraId="06823B98" w14:textId="034939E2" w:rsidR="009A738B" w:rsidRPr="00C62BB6" w:rsidRDefault="009A738B" w:rsidP="00A02BDE">
      <w:pPr>
        <w:pStyle w:val="Prrafodelista"/>
        <w:numPr>
          <w:ilvl w:val="0"/>
          <w:numId w:val="25"/>
        </w:num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Convenios </w:t>
      </w:r>
    </w:p>
    <w:p w14:paraId="59373867" w14:textId="77777777" w:rsidR="00D204A5" w:rsidRPr="00C62BB6" w:rsidRDefault="00F531AB" w:rsidP="00943FA5">
      <w:pPr>
        <w:spacing w:after="0"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Convenio de Cooperación entre el Instituto Dominicano de las Telecomunicaciones INDOTEl) y el Instituto Tecnológico de las Américas (ITLA) que rige el programa de becas para el Centro Tetelo Vargas -Exten</w:t>
      </w:r>
      <w:r w:rsidR="00742315" w:rsidRPr="00C62BB6">
        <w:rPr>
          <w:rFonts w:ascii="Times New Roman" w:eastAsia="Calibri" w:hAnsi="Times New Roman" w:cs="Times New Roman"/>
          <w:b/>
          <w:color w:val="4C4747"/>
          <w:spacing w:val="20"/>
          <w:sz w:val="24"/>
          <w:szCs w:val="24"/>
          <w:lang w:val="es-DO"/>
        </w:rPr>
        <w:t>sión ITLA San Pedro de Macorís, firmado el 28 de enero 2022</w:t>
      </w:r>
    </w:p>
    <w:p w14:paraId="1B7BA8AC" w14:textId="367BB9FC" w:rsidR="00D204A5" w:rsidRPr="00C62BB6" w:rsidRDefault="00D204A5" w:rsidP="00943FA5">
      <w:pPr>
        <w:spacing w:before="240" w:line="360" w:lineRule="auto"/>
        <w:jc w:val="both"/>
        <w:rPr>
          <w:rFonts w:ascii="Times New Roman" w:eastAsia="Calibri" w:hAnsi="Times New Roman" w:cs="Times New Roman"/>
          <w:color w:val="4C4747"/>
          <w:spacing w:val="20"/>
          <w:sz w:val="24"/>
          <w:szCs w:val="24"/>
          <w:lang w:val="es-DO"/>
        </w:rPr>
      </w:pPr>
      <w:r w:rsidRPr="00C62BB6">
        <w:rPr>
          <w:rFonts w:ascii="Times New Roman" w:eastAsia="Calibri" w:hAnsi="Times New Roman" w:cs="Times New Roman"/>
          <w:color w:val="4C4747"/>
          <w:spacing w:val="20"/>
          <w:sz w:val="24"/>
          <w:szCs w:val="24"/>
          <w:lang w:val="es-DO"/>
        </w:rPr>
        <w:t>A través del componente de apropiación social y desarrollo de habilidades, el cual INDOTEL financiará el total</w:t>
      </w:r>
      <w:r w:rsidR="00F531AB" w:rsidRPr="00C62BB6">
        <w:rPr>
          <w:rFonts w:ascii="Times New Roman" w:eastAsia="Calibri" w:hAnsi="Times New Roman" w:cs="Times New Roman"/>
          <w:color w:val="4C4747"/>
          <w:spacing w:val="20"/>
          <w:sz w:val="24"/>
          <w:szCs w:val="24"/>
          <w:lang w:val="es-DO"/>
        </w:rPr>
        <w:t xml:space="preserve"> </w:t>
      </w:r>
      <w:r w:rsidRPr="00C62BB6">
        <w:rPr>
          <w:rFonts w:ascii="Times New Roman" w:eastAsia="Calibri" w:hAnsi="Times New Roman" w:cs="Times New Roman"/>
          <w:color w:val="4C4747"/>
          <w:spacing w:val="20"/>
          <w:sz w:val="24"/>
          <w:szCs w:val="24"/>
          <w:lang w:val="es-DO"/>
        </w:rPr>
        <w:t xml:space="preserve">de </w:t>
      </w:r>
      <w:r w:rsidR="00F531AB" w:rsidRPr="00C62BB6">
        <w:rPr>
          <w:rFonts w:ascii="Times New Roman" w:eastAsia="Calibri" w:hAnsi="Times New Roman" w:cs="Times New Roman"/>
          <w:color w:val="4C4747"/>
          <w:spacing w:val="20"/>
          <w:sz w:val="24"/>
          <w:szCs w:val="24"/>
          <w:lang w:val="es-DO"/>
        </w:rPr>
        <w:t>becas</w:t>
      </w:r>
      <w:r w:rsidRPr="00C62BB6">
        <w:rPr>
          <w:rFonts w:ascii="Times New Roman" w:eastAsia="Calibri" w:hAnsi="Times New Roman" w:cs="Times New Roman"/>
          <w:color w:val="4C4747"/>
          <w:spacing w:val="20"/>
          <w:sz w:val="24"/>
          <w:szCs w:val="24"/>
          <w:lang w:val="es-DO"/>
        </w:rPr>
        <w:t xml:space="preserve"> a otorgar </w:t>
      </w:r>
      <w:r w:rsidR="00F531AB" w:rsidRPr="00C62BB6">
        <w:rPr>
          <w:rFonts w:ascii="Times New Roman" w:eastAsia="Calibri" w:hAnsi="Times New Roman" w:cs="Times New Roman"/>
          <w:color w:val="4C4747"/>
          <w:spacing w:val="20"/>
          <w:sz w:val="24"/>
          <w:szCs w:val="24"/>
          <w:lang w:val="es-DO"/>
        </w:rPr>
        <w:t>a jóvenes, estudiantes, adultos, hom</w:t>
      </w:r>
      <w:r w:rsidR="00742315" w:rsidRPr="00C62BB6">
        <w:rPr>
          <w:rFonts w:ascii="Times New Roman" w:eastAsia="Calibri" w:hAnsi="Times New Roman" w:cs="Times New Roman"/>
          <w:color w:val="4C4747"/>
          <w:spacing w:val="20"/>
          <w:sz w:val="24"/>
          <w:szCs w:val="24"/>
          <w:lang w:val="es-DO"/>
        </w:rPr>
        <w:t>bres y mujeres de la región E</w:t>
      </w:r>
      <w:r w:rsidR="00F531AB" w:rsidRPr="00C62BB6">
        <w:rPr>
          <w:rFonts w:ascii="Times New Roman" w:eastAsia="Calibri" w:hAnsi="Times New Roman" w:cs="Times New Roman"/>
          <w:color w:val="4C4747"/>
          <w:spacing w:val="20"/>
          <w:sz w:val="24"/>
          <w:szCs w:val="24"/>
          <w:lang w:val="es-DO"/>
        </w:rPr>
        <w:t>ste del país</w:t>
      </w:r>
      <w:r w:rsidRPr="00C62BB6">
        <w:rPr>
          <w:rFonts w:ascii="Times New Roman" w:eastAsia="Calibri" w:hAnsi="Times New Roman" w:cs="Times New Roman"/>
          <w:color w:val="4C4747"/>
          <w:spacing w:val="20"/>
          <w:sz w:val="24"/>
          <w:szCs w:val="24"/>
          <w:lang w:val="es-DO"/>
        </w:rPr>
        <w:t xml:space="preserve"> en programas de estudios relacionado a las TIC.</w:t>
      </w:r>
    </w:p>
    <w:p w14:paraId="6ED6ECD1" w14:textId="211487D0" w:rsidR="009D69C6" w:rsidRPr="00C62BB6" w:rsidRDefault="00D204A5" w:rsidP="00943FA5">
      <w:pPr>
        <w:pStyle w:val="NormalWeb"/>
        <w:spacing w:after="0" w:afterAutospacing="0" w:line="360" w:lineRule="auto"/>
        <w:jc w:val="both"/>
        <w:rPr>
          <w:rFonts w:eastAsia="Calibri"/>
          <w:color w:val="4C4747"/>
          <w:spacing w:val="20"/>
        </w:rPr>
      </w:pPr>
      <w:r w:rsidRPr="00C62BB6">
        <w:rPr>
          <w:rFonts w:eastAsia="Calibri"/>
          <w:color w:val="4C4747"/>
          <w:spacing w:val="20"/>
          <w:lang w:eastAsia="en-US"/>
        </w:rPr>
        <w:t>Este acuerdo es parte</w:t>
      </w:r>
      <w:r w:rsidR="00742315" w:rsidRPr="00C62BB6">
        <w:rPr>
          <w:rFonts w:eastAsia="Calibri"/>
          <w:color w:val="4C4747"/>
          <w:spacing w:val="20"/>
          <w:lang w:eastAsia="en-US"/>
        </w:rPr>
        <w:t xml:space="preserve"> </w:t>
      </w:r>
      <w:r w:rsidRPr="00C62BB6">
        <w:rPr>
          <w:rFonts w:eastAsia="Calibri"/>
          <w:color w:val="4C4747"/>
          <w:spacing w:val="20"/>
          <w:lang w:eastAsia="en-US"/>
        </w:rPr>
        <w:t>d</w:t>
      </w:r>
      <w:r w:rsidR="00742315" w:rsidRPr="00C62BB6">
        <w:rPr>
          <w:rFonts w:eastAsia="Calibri"/>
          <w:color w:val="4C4747"/>
          <w:spacing w:val="20"/>
          <w:lang w:eastAsia="en-US"/>
        </w:rPr>
        <w:t>el proyecto “CONECTAR A LOS NO CONECTADOS” del Plan Bianual 2021-2022</w:t>
      </w:r>
      <w:r w:rsidRPr="00C62BB6">
        <w:rPr>
          <w:rFonts w:eastAsia="Calibri"/>
          <w:color w:val="4C4747"/>
          <w:spacing w:val="20"/>
          <w:lang w:eastAsia="en-US"/>
        </w:rPr>
        <w:t>.</w:t>
      </w:r>
    </w:p>
    <w:p w14:paraId="590FCBBC" w14:textId="77777777" w:rsidR="00D204A5" w:rsidRPr="00C62BB6" w:rsidRDefault="00D204A5" w:rsidP="00943FA5">
      <w:pPr>
        <w:pStyle w:val="NormalWeb"/>
        <w:spacing w:before="0" w:beforeAutospacing="0" w:after="0" w:afterAutospacing="0" w:line="360" w:lineRule="auto"/>
        <w:jc w:val="both"/>
        <w:rPr>
          <w:rFonts w:eastAsia="Calibri"/>
          <w:color w:val="4C4747"/>
          <w:spacing w:val="20"/>
        </w:rPr>
      </w:pPr>
    </w:p>
    <w:p w14:paraId="7CD8741E" w14:textId="77777777" w:rsidR="00F05703" w:rsidRPr="00C62BB6" w:rsidRDefault="00F05703" w:rsidP="00943FA5">
      <w:pPr>
        <w:pStyle w:val="NormalWeb"/>
        <w:spacing w:before="0" w:beforeAutospacing="0" w:after="0" w:afterAutospacing="0" w:line="360" w:lineRule="auto"/>
        <w:jc w:val="both"/>
        <w:rPr>
          <w:rFonts w:eastAsia="Calibri"/>
          <w:color w:val="4C4747"/>
          <w:spacing w:val="20"/>
        </w:rPr>
      </w:pPr>
    </w:p>
    <w:p w14:paraId="3E87CA76" w14:textId="0E869B71" w:rsidR="00D204A5" w:rsidRPr="00A4233F" w:rsidRDefault="00F32701" w:rsidP="00943FA5">
      <w:pPr>
        <w:spacing w:after="0" w:line="360" w:lineRule="auto"/>
        <w:jc w:val="both"/>
        <w:rPr>
          <w:rFonts w:ascii="Times New Roman" w:eastAsia="Calibri" w:hAnsi="Times New Roman" w:cs="Times New Roman"/>
          <w:b/>
          <w:color w:val="4C4747"/>
          <w:spacing w:val="20"/>
          <w:sz w:val="24"/>
          <w:szCs w:val="24"/>
          <w:lang w:val="es-DO"/>
        </w:rPr>
      </w:pPr>
      <w:r w:rsidRPr="00A4233F">
        <w:rPr>
          <w:rFonts w:ascii="Times New Roman" w:eastAsia="Calibri" w:hAnsi="Times New Roman" w:cs="Times New Roman"/>
          <w:b/>
          <w:color w:val="4C4747"/>
          <w:spacing w:val="20"/>
          <w:sz w:val="24"/>
          <w:szCs w:val="24"/>
          <w:lang w:val="es-DO"/>
        </w:rPr>
        <w:lastRenderedPageBreak/>
        <w:t>Convenio de Cooperación entre el Instituto Dominicano de las Telecomunicaciones (INDOTEL), el Instituto Tecnológico de las Américas (ITLA) y la Gobernación de San Pedro de Macorís, que rige la adecuación física, equipamiento gestión y funcionamiento del Centro Tetelo Vargas extensión ITLA San Pedro de Macorís, firmado el 28 de enero 2022</w:t>
      </w:r>
    </w:p>
    <w:p w14:paraId="1F493A24" w14:textId="661F8DBF" w:rsidR="00D204A5" w:rsidRPr="00A4233F" w:rsidRDefault="00D204A5" w:rsidP="00943FA5">
      <w:pPr>
        <w:pStyle w:val="NormalWeb"/>
        <w:spacing w:before="240" w:beforeAutospacing="0" w:line="360" w:lineRule="auto"/>
        <w:jc w:val="both"/>
        <w:rPr>
          <w:rFonts w:eastAsia="Calibri"/>
          <w:color w:val="4C4747"/>
          <w:spacing w:val="20"/>
        </w:rPr>
      </w:pPr>
      <w:r w:rsidRPr="00A4233F">
        <w:rPr>
          <w:rFonts w:eastAsia="Calibri"/>
          <w:color w:val="4C4747"/>
          <w:spacing w:val="20"/>
          <w:lang w:eastAsia="en-US"/>
        </w:rPr>
        <w:t>A través de este acuerdo establece el</w:t>
      </w:r>
      <w:r w:rsidR="00F32701" w:rsidRPr="00A4233F">
        <w:rPr>
          <w:rFonts w:eastAsia="Calibri"/>
          <w:color w:val="4C4747"/>
          <w:spacing w:val="20"/>
          <w:lang w:eastAsia="en-US"/>
        </w:rPr>
        <w:t xml:space="preserve"> equipamiento tecnológico de los laboratorios de software, multimedia redes y seguridad, así como la adecuación física de la infraestructura del centro de capacitación en informática Tetelo Vargas.</w:t>
      </w:r>
    </w:p>
    <w:p w14:paraId="541A27FA" w14:textId="77777777" w:rsidR="009A738B" w:rsidRPr="00A4233F" w:rsidRDefault="009A738B"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Convenio de colaboración entre la Fundación MAPFRE y el Instituto Dominicano de las Telecomunicaciones (INDOTEL) para desarrollar el proyecto “CONTROLA TU RED”, firmado el 17 de marzo 2022</w:t>
      </w:r>
    </w:p>
    <w:p w14:paraId="0A7C8F4B" w14:textId="42E3C0DA"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El presente convenio in</w:t>
      </w:r>
      <w:r w:rsidR="001D4256" w:rsidRPr="00A4233F">
        <w:rPr>
          <w:rFonts w:eastAsia="Calibri"/>
          <w:color w:val="4C4747"/>
          <w:spacing w:val="20"/>
          <w:lang w:eastAsia="en-US"/>
        </w:rPr>
        <w:t>terinstitucional tiene por objetivo</w:t>
      </w:r>
      <w:r w:rsidRPr="00A4233F">
        <w:rPr>
          <w:rFonts w:eastAsia="Calibri"/>
          <w:color w:val="4C4747"/>
          <w:spacing w:val="20"/>
          <w:lang w:eastAsia="en-US"/>
        </w:rPr>
        <w:t xml:space="preserve"> desarrollar el proyecto “CONTROLA TU RED”, </w:t>
      </w:r>
      <w:r w:rsidR="001D4256" w:rsidRPr="00A4233F">
        <w:rPr>
          <w:rFonts w:eastAsia="Calibri"/>
          <w:color w:val="4C4747"/>
          <w:spacing w:val="20"/>
          <w:lang w:eastAsia="en-US"/>
        </w:rPr>
        <w:t>el cual se busca</w:t>
      </w:r>
      <w:r w:rsidRPr="00A4233F">
        <w:rPr>
          <w:rFonts w:eastAsia="Calibri"/>
          <w:color w:val="4C4747"/>
          <w:spacing w:val="20"/>
          <w:lang w:eastAsia="en-US"/>
        </w:rPr>
        <w:t xml:space="preserve"> ayudar a los jóvenes a comprender cómo funcionan las redes sociales y las tecnologías de la información y la comunicación, a fines de que aprendan a utilizarlas de una forma segura, adecuada y sean capaces de identificar y denunciar situaciones peligrosas.</w:t>
      </w:r>
    </w:p>
    <w:p w14:paraId="6C6C6AE1" w14:textId="77777777" w:rsidR="009A738B" w:rsidRPr="00A4233F" w:rsidRDefault="009A738B"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Convenio de Cooperación entre el Instituto Dominicano de las Telecomunicaciones (INDOTEL) y el Instituto Tecnológico de las Américas (ITLA) para la Gestión, Administración y Sostenibilidad de los Apartamentos Estudiantiles, firmado 15 de junio 2022</w:t>
      </w:r>
    </w:p>
    <w:p w14:paraId="638DC0D6" w14:textId="77777777" w:rsidR="00F05703" w:rsidRPr="00A4233F" w:rsidRDefault="001D4256" w:rsidP="00943FA5">
      <w:pPr>
        <w:pStyle w:val="NormalWeb"/>
        <w:spacing w:line="360" w:lineRule="auto"/>
        <w:jc w:val="both"/>
        <w:rPr>
          <w:rFonts w:eastAsia="Calibri"/>
          <w:color w:val="4C4747"/>
          <w:spacing w:val="20"/>
        </w:rPr>
      </w:pPr>
      <w:r w:rsidRPr="00A4233F">
        <w:rPr>
          <w:rFonts w:eastAsia="Calibri"/>
          <w:color w:val="4C4747"/>
          <w:spacing w:val="20"/>
          <w:lang w:eastAsia="en-US"/>
        </w:rPr>
        <w:t xml:space="preserve">Atreves de esta alianza se </w:t>
      </w:r>
      <w:r w:rsidR="009A738B" w:rsidRPr="00A4233F">
        <w:rPr>
          <w:rFonts w:eastAsia="Calibri"/>
          <w:color w:val="4C4747"/>
          <w:spacing w:val="20"/>
          <w:lang w:eastAsia="en-US"/>
        </w:rPr>
        <w:t xml:space="preserve">acuerdan realizar </w:t>
      </w:r>
      <w:r w:rsidRPr="00A4233F">
        <w:rPr>
          <w:rFonts w:eastAsia="Calibri"/>
          <w:color w:val="4C4747"/>
          <w:spacing w:val="20"/>
          <w:lang w:eastAsia="en-US"/>
        </w:rPr>
        <w:t>los</w:t>
      </w:r>
      <w:r w:rsidR="009A738B" w:rsidRPr="00A4233F">
        <w:rPr>
          <w:rFonts w:eastAsia="Calibri"/>
          <w:color w:val="4C4747"/>
          <w:spacing w:val="20"/>
          <w:lang w:eastAsia="en-US"/>
        </w:rPr>
        <w:t xml:space="preserve"> mejores esfuerzos y aplicar un intercambio educativo y formativo reciproco, donde el </w:t>
      </w:r>
    </w:p>
    <w:p w14:paraId="37EAD250" w14:textId="3792F718" w:rsidR="001D4256" w:rsidRPr="00C62BB6" w:rsidRDefault="009A738B" w:rsidP="00943FA5">
      <w:pPr>
        <w:pStyle w:val="NormalWeb"/>
        <w:spacing w:line="360" w:lineRule="auto"/>
        <w:jc w:val="both"/>
        <w:rPr>
          <w:rFonts w:eastAsia="Calibri"/>
          <w:color w:val="4C4747"/>
          <w:spacing w:val="20"/>
        </w:rPr>
      </w:pPr>
      <w:r w:rsidRPr="00C62BB6">
        <w:rPr>
          <w:rFonts w:eastAsia="Calibri"/>
          <w:color w:val="4C4747"/>
          <w:spacing w:val="20"/>
          <w:lang w:eastAsia="en-US"/>
        </w:rPr>
        <w:lastRenderedPageBreak/>
        <w:t>INDOTEL cede</w:t>
      </w:r>
      <w:r w:rsidR="001D4256" w:rsidRPr="00C62BB6">
        <w:rPr>
          <w:rFonts w:eastAsia="Calibri"/>
          <w:color w:val="4C4747"/>
          <w:spacing w:val="20"/>
          <w:lang w:eastAsia="en-US"/>
        </w:rPr>
        <w:t xml:space="preserve"> al ITLA en calidad de préstamo</w:t>
      </w:r>
      <w:r w:rsidRPr="00C62BB6">
        <w:rPr>
          <w:rFonts w:eastAsia="Calibri"/>
          <w:color w:val="4C4747"/>
          <w:spacing w:val="20"/>
          <w:lang w:eastAsia="en-US"/>
        </w:rPr>
        <w:t xml:space="preserve"> y por consiguiente </w:t>
      </w:r>
      <w:r w:rsidR="001D4256" w:rsidRPr="00C62BB6">
        <w:rPr>
          <w:rFonts w:eastAsia="Calibri"/>
          <w:color w:val="4C4747"/>
          <w:spacing w:val="20"/>
          <w:lang w:eastAsia="en-US"/>
        </w:rPr>
        <w:t>la</w:t>
      </w:r>
      <w:r w:rsidRPr="00C62BB6">
        <w:rPr>
          <w:rFonts w:eastAsia="Calibri"/>
          <w:color w:val="4C4747"/>
          <w:spacing w:val="20"/>
          <w:lang w:eastAsia="en-US"/>
        </w:rPr>
        <w:t xml:space="preserve"> gestión, sostenibilidad, dirección, administración, mantenimiento y supervisión de diecinueve (19) apartamentos</w:t>
      </w:r>
      <w:r w:rsidR="001D4256" w:rsidRPr="00C62BB6">
        <w:rPr>
          <w:rFonts w:eastAsia="Calibri"/>
          <w:color w:val="4C4747"/>
          <w:spacing w:val="20"/>
          <w:lang w:eastAsia="en-US"/>
        </w:rPr>
        <w:t>.</w:t>
      </w:r>
    </w:p>
    <w:p w14:paraId="517ACB52" w14:textId="6A34E023" w:rsidR="009D69C6" w:rsidRPr="00C62BB6" w:rsidRDefault="009A738B" w:rsidP="00A02BDE">
      <w:pPr>
        <w:pStyle w:val="Prrafodelista"/>
        <w:numPr>
          <w:ilvl w:val="0"/>
          <w:numId w:val="25"/>
        </w:num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Acuerdos</w:t>
      </w:r>
    </w:p>
    <w:p w14:paraId="257801ED" w14:textId="66736199" w:rsidR="00F32701" w:rsidRPr="00C62BB6" w:rsidRDefault="00F32701" w:rsidP="001806AE">
      <w:pPr>
        <w:spacing w:line="360" w:lineRule="auto"/>
        <w:jc w:val="both"/>
        <w:rPr>
          <w:rFonts w:ascii="Times New Roman" w:eastAsia="Calibri" w:hAnsi="Times New Roman" w:cs="Times New Roman"/>
          <w:b/>
          <w:color w:val="4C4747"/>
          <w:spacing w:val="20"/>
          <w:sz w:val="24"/>
          <w:szCs w:val="24"/>
          <w:lang w:val="es-DO"/>
        </w:rPr>
      </w:pPr>
      <w:r w:rsidRPr="00C62BB6">
        <w:rPr>
          <w:rFonts w:ascii="Times New Roman" w:eastAsia="Calibri" w:hAnsi="Times New Roman" w:cs="Times New Roman"/>
          <w:b/>
          <w:color w:val="4C4747"/>
          <w:spacing w:val="20"/>
          <w:sz w:val="24"/>
          <w:szCs w:val="24"/>
          <w:lang w:val="es-DO"/>
        </w:rPr>
        <w:t xml:space="preserve">Acuerdo interinstitucional de </w:t>
      </w:r>
      <w:r w:rsidR="009D69C6" w:rsidRPr="00C62BB6">
        <w:rPr>
          <w:rFonts w:ascii="Times New Roman" w:eastAsia="Calibri" w:hAnsi="Times New Roman" w:cs="Times New Roman"/>
          <w:b/>
          <w:color w:val="4C4747"/>
          <w:spacing w:val="20"/>
          <w:sz w:val="24"/>
          <w:szCs w:val="24"/>
          <w:lang w:val="es-DO"/>
        </w:rPr>
        <w:t xml:space="preserve">Cooperación y Coordinación para </w:t>
      </w:r>
      <w:r w:rsidRPr="00C62BB6">
        <w:rPr>
          <w:rFonts w:ascii="Times New Roman" w:eastAsia="Calibri" w:hAnsi="Times New Roman" w:cs="Times New Roman"/>
          <w:b/>
          <w:color w:val="4C4747"/>
          <w:spacing w:val="20"/>
          <w:sz w:val="24"/>
          <w:szCs w:val="24"/>
          <w:lang w:val="es-DO"/>
        </w:rPr>
        <w:t>la cesión en uso de un Centro INDOTEL para la instalación de las Oficinas Gubernamentales de la Gobernación de San José de Ocoa, firmado el 2 de febrero 2022</w:t>
      </w:r>
    </w:p>
    <w:p w14:paraId="5BA503DF" w14:textId="4693247F" w:rsidR="009D69C6" w:rsidRPr="00C62BB6" w:rsidRDefault="00F32701" w:rsidP="00943FA5">
      <w:pPr>
        <w:pStyle w:val="NormalWeb"/>
        <w:spacing w:line="360" w:lineRule="auto"/>
        <w:jc w:val="both"/>
        <w:rPr>
          <w:rFonts w:eastAsia="Calibri"/>
          <w:color w:val="4C4747"/>
          <w:spacing w:val="20"/>
        </w:rPr>
      </w:pPr>
      <w:r w:rsidRPr="00C62BB6">
        <w:rPr>
          <w:rFonts w:eastAsia="Calibri"/>
          <w:color w:val="4C4747"/>
          <w:spacing w:val="20"/>
          <w:lang w:eastAsia="en-US"/>
        </w:rPr>
        <w:t>Ceder en calidad de préstamos a la gobernación de San José de Ocoa y por consiguiente su gestión, sostenibilidad, dirección, administración, mantenimiento y supervisión del inmueble.</w:t>
      </w:r>
    </w:p>
    <w:p w14:paraId="0623E603" w14:textId="0F63B0A5" w:rsidR="00F32701" w:rsidRPr="00C62BB6" w:rsidRDefault="009D69C6" w:rsidP="00943FA5">
      <w:pPr>
        <w:pStyle w:val="NormalWeb"/>
        <w:spacing w:line="360" w:lineRule="auto"/>
        <w:jc w:val="both"/>
        <w:rPr>
          <w:b/>
          <w:color w:val="4C4747"/>
          <w:spacing w:val="20"/>
        </w:rPr>
      </w:pPr>
      <w:r w:rsidRPr="00C62BB6">
        <w:rPr>
          <w:rFonts w:eastAsia="Calibri"/>
          <w:b/>
          <w:color w:val="4C4747"/>
          <w:spacing w:val="20"/>
          <w:lang w:eastAsia="en-US"/>
        </w:rPr>
        <w:t>Acuerdo Interinstitucional de Cooperación y Coordinación para la cesión en uso de Centros INDOTEL para la implementación del programa “MI PAÍS SEGURO”, firmado el 7 de febrero 2022</w:t>
      </w:r>
    </w:p>
    <w:p w14:paraId="522E71F5" w14:textId="15EC0963" w:rsidR="00F32701" w:rsidRPr="00C62BB6" w:rsidRDefault="009D69C6" w:rsidP="00943FA5">
      <w:pPr>
        <w:pStyle w:val="NormalWeb"/>
        <w:spacing w:line="360" w:lineRule="auto"/>
        <w:jc w:val="both"/>
        <w:rPr>
          <w:color w:val="4C4747"/>
          <w:spacing w:val="20"/>
        </w:rPr>
      </w:pPr>
      <w:r w:rsidRPr="00C62BB6">
        <w:rPr>
          <w:rFonts w:eastAsia="Calibri"/>
          <w:color w:val="4C4747"/>
          <w:spacing w:val="20"/>
          <w:lang w:eastAsia="en-US"/>
        </w:rPr>
        <w:t>Ceder en calidad de préstamos a la Policía Nacional y por consiguiente su gestión, sostenibilidad, dirección, administración, mantenimiento y supervisión de los inmuebles.</w:t>
      </w:r>
    </w:p>
    <w:p w14:paraId="4724DA86" w14:textId="109995AB" w:rsidR="009D69C6" w:rsidRPr="00C62BB6" w:rsidRDefault="009D69C6" w:rsidP="00943FA5">
      <w:pPr>
        <w:pStyle w:val="NormalWeb"/>
        <w:spacing w:line="360" w:lineRule="auto"/>
        <w:jc w:val="both"/>
        <w:rPr>
          <w:b/>
          <w:color w:val="4C4747"/>
          <w:spacing w:val="20"/>
        </w:rPr>
      </w:pPr>
      <w:r w:rsidRPr="00C62BB6">
        <w:rPr>
          <w:rFonts w:eastAsia="Calibri"/>
          <w:b/>
          <w:color w:val="4C4747"/>
          <w:spacing w:val="20"/>
          <w:lang w:eastAsia="en-US"/>
        </w:rPr>
        <w:t>Acuerdo Interinstitucional de Cooperación y Coordi</w:t>
      </w:r>
      <w:r w:rsidR="001D4256" w:rsidRPr="00C62BB6">
        <w:rPr>
          <w:rFonts w:eastAsia="Calibri"/>
          <w:b/>
          <w:color w:val="4C4747"/>
          <w:spacing w:val="20"/>
          <w:lang w:eastAsia="en-US"/>
        </w:rPr>
        <w:t xml:space="preserve">nación para </w:t>
      </w:r>
      <w:r w:rsidRPr="00C62BB6">
        <w:rPr>
          <w:rFonts w:eastAsia="Calibri"/>
          <w:b/>
          <w:color w:val="4C4747"/>
          <w:spacing w:val="20"/>
          <w:lang w:eastAsia="en-US"/>
        </w:rPr>
        <w:t xml:space="preserve">la cesión en uso de Centros INDOTEL para ser utilizados en el programa </w:t>
      </w:r>
      <w:r w:rsidR="001D4256" w:rsidRPr="00C62BB6">
        <w:rPr>
          <w:rFonts w:eastAsia="Calibri"/>
          <w:b/>
          <w:color w:val="4C4747"/>
          <w:spacing w:val="20"/>
          <w:lang w:eastAsia="en-US"/>
        </w:rPr>
        <w:t>“</w:t>
      </w:r>
      <w:r w:rsidRPr="00C62BB6">
        <w:rPr>
          <w:rFonts w:eastAsia="Calibri"/>
          <w:b/>
          <w:color w:val="4C4747"/>
          <w:spacing w:val="20"/>
          <w:lang w:eastAsia="en-US"/>
        </w:rPr>
        <w:t>911” por el Servicio Nacional de Salud (SNS), firmado el 9 de marzo 2022</w:t>
      </w:r>
    </w:p>
    <w:p w14:paraId="41E24744" w14:textId="6F0F73FF" w:rsidR="00D144E2" w:rsidRPr="00C62BB6" w:rsidRDefault="009D69C6" w:rsidP="00943FA5">
      <w:pPr>
        <w:pStyle w:val="NormalWeb"/>
        <w:spacing w:line="360" w:lineRule="auto"/>
        <w:jc w:val="both"/>
        <w:rPr>
          <w:rFonts w:eastAsia="Calibri"/>
          <w:color w:val="4C4747"/>
          <w:spacing w:val="20"/>
          <w:lang w:eastAsia="en-US"/>
        </w:rPr>
      </w:pPr>
      <w:r w:rsidRPr="00C62BB6">
        <w:rPr>
          <w:rFonts w:eastAsia="Calibri"/>
          <w:color w:val="4C4747"/>
          <w:spacing w:val="20"/>
          <w:lang w:eastAsia="en-US"/>
        </w:rPr>
        <w:t>Ceder en calidad de préstamos a la SNS y por consiguiente su gestión, sostenibilidad, dirección, administración, mantenimiento y supervisión para la puesta en marcha del programa 911.</w:t>
      </w:r>
    </w:p>
    <w:p w14:paraId="4087BBBE" w14:textId="77777777" w:rsidR="00916E17" w:rsidRPr="00C62BB6" w:rsidRDefault="00916E17" w:rsidP="00943FA5">
      <w:pPr>
        <w:pStyle w:val="NormalWeb"/>
        <w:spacing w:line="360" w:lineRule="auto"/>
        <w:jc w:val="both"/>
        <w:rPr>
          <w:color w:val="4C4747"/>
          <w:spacing w:val="20"/>
        </w:rPr>
      </w:pPr>
    </w:p>
    <w:p w14:paraId="32C792C3" w14:textId="716C0875" w:rsidR="009D69C6" w:rsidRPr="00C62BB6" w:rsidRDefault="009D69C6" w:rsidP="00943FA5">
      <w:pPr>
        <w:pStyle w:val="NormalWeb"/>
        <w:spacing w:line="360" w:lineRule="auto"/>
        <w:jc w:val="both"/>
        <w:rPr>
          <w:b/>
          <w:color w:val="4C4747"/>
          <w:spacing w:val="20"/>
        </w:rPr>
      </w:pPr>
      <w:r w:rsidRPr="00C62BB6">
        <w:rPr>
          <w:rFonts w:eastAsia="Calibri"/>
          <w:b/>
          <w:color w:val="4C4747"/>
          <w:spacing w:val="20"/>
          <w:lang w:eastAsia="en-US"/>
        </w:rPr>
        <w:lastRenderedPageBreak/>
        <w:t>Acuerdo Interinstitucional de Cooperación para fines Educativos entre el Instituto Dominicano de las Telecomunicaciones (INDOTEL) y el Centro</w:t>
      </w:r>
      <w:r w:rsidR="00D144E2" w:rsidRPr="00C62BB6">
        <w:rPr>
          <w:rFonts w:eastAsia="Calibri"/>
          <w:b/>
          <w:color w:val="4C4747"/>
          <w:spacing w:val="20"/>
          <w:lang w:eastAsia="en-US"/>
        </w:rPr>
        <w:t xml:space="preserve"> Casas Comunitarias de Justicia, firmado el 10 de marzo 2022</w:t>
      </w:r>
    </w:p>
    <w:p w14:paraId="6BE02383" w14:textId="4797B3CA" w:rsidR="009D69C6" w:rsidRPr="00C62BB6" w:rsidRDefault="00D144E2" w:rsidP="00943FA5">
      <w:pPr>
        <w:pStyle w:val="NormalWeb"/>
        <w:spacing w:line="360" w:lineRule="auto"/>
        <w:jc w:val="both"/>
        <w:rPr>
          <w:color w:val="4C4747"/>
          <w:spacing w:val="20"/>
        </w:rPr>
      </w:pPr>
      <w:r w:rsidRPr="00C62BB6">
        <w:rPr>
          <w:rFonts w:eastAsia="Calibri"/>
          <w:color w:val="4C4747"/>
          <w:spacing w:val="20"/>
          <w:lang w:eastAsia="en-US"/>
        </w:rPr>
        <w:t>Acuerdo de cooperación educativo, que tiene el objetivo de orientar a los usuarios de los servicios públicos de telecomunicaciones en el país sobre sus derechos y deberes</w:t>
      </w:r>
      <w:r w:rsidR="001D4256" w:rsidRPr="00C62BB6">
        <w:rPr>
          <w:rFonts w:eastAsia="Calibri"/>
          <w:color w:val="4C4747"/>
          <w:spacing w:val="20"/>
          <w:lang w:eastAsia="en-US"/>
        </w:rPr>
        <w:t xml:space="preserve"> a través de la implementación de programas educativos y de formación.</w:t>
      </w:r>
    </w:p>
    <w:p w14:paraId="727F50BD" w14:textId="77777777" w:rsidR="009A738B" w:rsidRPr="00C62BB6" w:rsidRDefault="009A738B" w:rsidP="009A738B">
      <w:pPr>
        <w:pStyle w:val="NormalWeb"/>
        <w:spacing w:line="360" w:lineRule="auto"/>
        <w:jc w:val="both"/>
        <w:rPr>
          <w:rFonts w:eastAsia="Calibri"/>
          <w:b/>
          <w:color w:val="4C4747"/>
          <w:spacing w:val="20"/>
          <w:lang w:eastAsia="en-US"/>
        </w:rPr>
      </w:pPr>
      <w:r w:rsidRPr="00C62BB6">
        <w:rPr>
          <w:rFonts w:eastAsia="Calibri"/>
          <w:b/>
          <w:color w:val="4C4747"/>
          <w:spacing w:val="20"/>
          <w:lang w:eastAsia="en-US"/>
        </w:rPr>
        <w:t>Acuerdo Interinstitucional para la sesión en uso de un Centro INDOTEL ubicado en Higüey, provincia la Altagracia para la continuidad de los trabajos de la Fundación Hermanos Rosario A. (FHERA), firmado el 30 de marzo 2022</w:t>
      </w:r>
    </w:p>
    <w:p w14:paraId="194952C1" w14:textId="77777777" w:rsidR="009A738B" w:rsidRPr="00C62BB6" w:rsidRDefault="009A738B" w:rsidP="009A738B">
      <w:pPr>
        <w:pStyle w:val="NormalWeb"/>
        <w:spacing w:line="360" w:lineRule="auto"/>
        <w:jc w:val="both"/>
        <w:rPr>
          <w:rFonts w:eastAsia="Calibri"/>
          <w:color w:val="4C4747"/>
          <w:spacing w:val="20"/>
          <w:lang w:eastAsia="en-US"/>
        </w:rPr>
      </w:pPr>
      <w:r w:rsidRPr="00C62BB6">
        <w:rPr>
          <w:rFonts w:eastAsia="Calibri"/>
          <w:color w:val="4C4747"/>
          <w:spacing w:val="20"/>
          <w:lang w:eastAsia="en-US"/>
        </w:rPr>
        <w:t>Acuerdo Interinstitucional para la cesión en uso de un centro INDOTEL ubicado en Higüey, provincia la Altagracia para la continuidad de los trabajos de la Fundación Hermanos Rosario.</w:t>
      </w:r>
    </w:p>
    <w:p w14:paraId="344D6FC8" w14:textId="5DB17B70" w:rsidR="009A738B" w:rsidRPr="00C62BB6" w:rsidRDefault="009A738B" w:rsidP="009A738B">
      <w:pPr>
        <w:pStyle w:val="NormalWeb"/>
        <w:spacing w:line="360" w:lineRule="auto"/>
        <w:jc w:val="both"/>
        <w:rPr>
          <w:rFonts w:eastAsia="Calibri"/>
          <w:b/>
          <w:color w:val="4C4747"/>
          <w:spacing w:val="20"/>
          <w:lang w:eastAsia="en-US"/>
        </w:rPr>
      </w:pPr>
      <w:r w:rsidRPr="00C62BB6">
        <w:rPr>
          <w:rFonts w:eastAsia="Calibri"/>
          <w:b/>
          <w:color w:val="4C4747"/>
          <w:spacing w:val="20"/>
          <w:lang w:eastAsia="en-US"/>
        </w:rPr>
        <w:t>Acuerdo entre el Instituto Dominicano de las Telecomunicaciones (INDOTEL) y la Oficina Metropolitana de Servicios de Autobuses (OMSA) mediante el cual en el ma</w:t>
      </w:r>
      <w:r w:rsidR="00C250FA" w:rsidRPr="00C62BB6">
        <w:rPr>
          <w:rFonts w:eastAsia="Calibri"/>
          <w:b/>
          <w:color w:val="4C4747"/>
          <w:spacing w:val="20"/>
          <w:lang w:eastAsia="en-US"/>
        </w:rPr>
        <w:t>rco de la iniciativa “DOMINICANA CONECTADA”</w:t>
      </w:r>
      <w:r w:rsidRPr="00C62BB6">
        <w:rPr>
          <w:rFonts w:eastAsia="Calibri"/>
          <w:b/>
          <w:color w:val="4C4747"/>
          <w:spacing w:val="20"/>
          <w:lang w:eastAsia="en-US"/>
        </w:rPr>
        <w:t xml:space="preserve"> se establece la reposición</w:t>
      </w:r>
      <w:r w:rsidR="00C250FA" w:rsidRPr="00C62BB6">
        <w:rPr>
          <w:rFonts w:eastAsia="Calibri"/>
          <w:b/>
          <w:color w:val="4C4747"/>
          <w:spacing w:val="20"/>
          <w:lang w:eastAsia="en-US"/>
        </w:rPr>
        <w:t xml:space="preserve"> y mantenimiento de los puntos Wi-F</w:t>
      </w:r>
      <w:r w:rsidRPr="00C62BB6">
        <w:rPr>
          <w:rFonts w:eastAsia="Calibri"/>
          <w:b/>
          <w:color w:val="4C4747"/>
          <w:spacing w:val="20"/>
          <w:lang w:eastAsia="en-US"/>
        </w:rPr>
        <w:t xml:space="preserve">i, firmado </w:t>
      </w:r>
      <w:r w:rsidR="00C250FA" w:rsidRPr="00C62BB6">
        <w:rPr>
          <w:rFonts w:eastAsia="Calibri"/>
          <w:b/>
          <w:color w:val="4C4747"/>
          <w:spacing w:val="20"/>
          <w:lang w:eastAsia="en-US"/>
        </w:rPr>
        <w:t xml:space="preserve">el </w:t>
      </w:r>
      <w:r w:rsidRPr="00C62BB6">
        <w:rPr>
          <w:rFonts w:eastAsia="Calibri"/>
          <w:b/>
          <w:color w:val="4C4747"/>
          <w:spacing w:val="20"/>
          <w:lang w:eastAsia="en-US"/>
        </w:rPr>
        <w:t>21 de junio 2022</w:t>
      </w:r>
    </w:p>
    <w:p w14:paraId="19C6147D" w14:textId="0D04BB11" w:rsidR="009A738B" w:rsidRPr="00C62BB6" w:rsidRDefault="009A738B" w:rsidP="009A738B">
      <w:pPr>
        <w:pStyle w:val="NormalWeb"/>
        <w:spacing w:line="360" w:lineRule="auto"/>
        <w:jc w:val="both"/>
        <w:rPr>
          <w:rFonts w:eastAsia="Calibri"/>
          <w:color w:val="4C4747"/>
          <w:spacing w:val="20"/>
          <w:lang w:eastAsia="en-US"/>
        </w:rPr>
      </w:pPr>
      <w:r w:rsidRPr="00C62BB6">
        <w:rPr>
          <w:rFonts w:eastAsia="Calibri"/>
          <w:color w:val="4C4747"/>
          <w:spacing w:val="20"/>
          <w:lang w:eastAsia="en-US"/>
        </w:rPr>
        <w:t>Por medio del presente acuerdo las partes acuerdan establecer, poner en funcionamiento y mantener en estado óptimo ciento ci</w:t>
      </w:r>
      <w:r w:rsidR="00C250FA" w:rsidRPr="00C62BB6">
        <w:rPr>
          <w:rFonts w:eastAsia="Calibri"/>
          <w:color w:val="4C4747"/>
          <w:spacing w:val="20"/>
          <w:lang w:eastAsia="en-US"/>
        </w:rPr>
        <w:t>ncuenta (150) puntos de acceso Wi-F</w:t>
      </w:r>
      <w:r w:rsidRPr="00C62BB6">
        <w:rPr>
          <w:rFonts w:eastAsia="Calibri"/>
          <w:color w:val="4C4747"/>
          <w:spacing w:val="20"/>
          <w:lang w:eastAsia="en-US"/>
        </w:rPr>
        <w:t>i ubicados en autobuses del servicio público, principalmente en las rutas priorizadas por la OMSA y que tengan cobertura por las dos empresas proveedoras de la conectividad ALT</w:t>
      </w:r>
      <w:r w:rsidR="00C250FA" w:rsidRPr="00C62BB6">
        <w:rPr>
          <w:rFonts w:eastAsia="Calibri"/>
          <w:color w:val="4C4747"/>
          <w:spacing w:val="20"/>
          <w:lang w:eastAsia="en-US"/>
        </w:rPr>
        <w:t>ICE DOMINICANA y WIND TELECOM, p</w:t>
      </w:r>
      <w:r w:rsidRPr="00C62BB6">
        <w:rPr>
          <w:rFonts w:eastAsia="Calibri"/>
          <w:color w:val="4C4747"/>
          <w:spacing w:val="20"/>
          <w:lang w:eastAsia="en-US"/>
        </w:rPr>
        <w:t>or un periodo de 30 meses de acuerdo con lo pactado por el INDOTEL.</w:t>
      </w:r>
    </w:p>
    <w:p w14:paraId="7F6A38DA" w14:textId="3F138419" w:rsidR="004055E0" w:rsidRPr="00C62BB6" w:rsidRDefault="004055E0" w:rsidP="009A738B">
      <w:pPr>
        <w:pStyle w:val="NormalWeb"/>
        <w:spacing w:line="360" w:lineRule="auto"/>
        <w:jc w:val="both"/>
        <w:rPr>
          <w:rFonts w:eastAsia="Calibri"/>
          <w:b/>
          <w:color w:val="4C4747"/>
          <w:spacing w:val="20"/>
          <w:lang w:eastAsia="en-US"/>
        </w:rPr>
      </w:pPr>
      <w:r w:rsidRPr="00C62BB6">
        <w:rPr>
          <w:rFonts w:eastAsia="Calibri"/>
          <w:b/>
          <w:color w:val="4C4747"/>
          <w:spacing w:val="20"/>
          <w:lang w:eastAsia="en-US"/>
        </w:rPr>
        <w:lastRenderedPageBreak/>
        <w:t>Acuerdo de colaboración</w:t>
      </w:r>
      <w:r w:rsidR="00C250FA" w:rsidRPr="00C62BB6">
        <w:rPr>
          <w:rFonts w:eastAsia="Calibri"/>
          <w:b/>
          <w:color w:val="4C4747"/>
          <w:spacing w:val="20"/>
          <w:lang w:eastAsia="en-US"/>
        </w:rPr>
        <w:t xml:space="preserve"> entre el Instituto Dominicano de las T</w:t>
      </w:r>
      <w:r w:rsidRPr="00C62BB6">
        <w:rPr>
          <w:rFonts w:eastAsia="Calibri"/>
          <w:b/>
          <w:color w:val="4C4747"/>
          <w:spacing w:val="20"/>
          <w:lang w:eastAsia="en-US"/>
        </w:rPr>
        <w:t>elecomunicaciones (INDOTEL) y Nature Power Foundation (NPF) para promover el desarrollo de proyectos y actividades conjuntas, en materia de inclusión digital, sostenibilidad, responsabilidad social y vinculación a la agenda 2030 y sus objetivos de desarrollo sostenible (ODS), firmado el 26 de julio 2022</w:t>
      </w:r>
    </w:p>
    <w:p w14:paraId="24F7D155" w14:textId="2CBF2300" w:rsidR="004055E0" w:rsidRPr="00C62BB6" w:rsidRDefault="004F3A6D" w:rsidP="009A738B">
      <w:pPr>
        <w:pStyle w:val="NormalWeb"/>
        <w:spacing w:line="360" w:lineRule="auto"/>
        <w:jc w:val="both"/>
        <w:rPr>
          <w:rFonts w:eastAsia="Calibri"/>
          <w:color w:val="4C4747"/>
          <w:spacing w:val="20"/>
          <w:lang w:eastAsia="en-US"/>
        </w:rPr>
      </w:pPr>
      <w:r w:rsidRPr="00C62BB6">
        <w:rPr>
          <w:rFonts w:eastAsia="Calibri"/>
          <w:color w:val="4C4747"/>
          <w:spacing w:val="20"/>
          <w:lang w:eastAsia="en-US"/>
        </w:rPr>
        <w:t>Objetivo principal de</w:t>
      </w:r>
      <w:r w:rsidR="004055E0" w:rsidRPr="00C62BB6">
        <w:rPr>
          <w:rFonts w:eastAsia="Calibri"/>
          <w:color w:val="4C4747"/>
          <w:spacing w:val="20"/>
          <w:lang w:eastAsia="en-US"/>
        </w:rPr>
        <w:t xml:space="preserve"> promover el desarrollo de proyectos y actividades conjuntas, en materia de inclusión digital, sostenibilidad, responsabilidad social y vinculación a la agenda 2030 y sus objetivos de desarrollo sostenible (ODS).</w:t>
      </w:r>
    </w:p>
    <w:p w14:paraId="6966E7E9" w14:textId="599F2018" w:rsidR="009A738B" w:rsidRPr="00C62BB6" w:rsidRDefault="004055E0" w:rsidP="00943FA5">
      <w:pPr>
        <w:pStyle w:val="NormalWeb"/>
        <w:spacing w:line="360" w:lineRule="auto"/>
        <w:jc w:val="both"/>
        <w:rPr>
          <w:b/>
          <w:color w:val="4C4747"/>
          <w:spacing w:val="20"/>
        </w:rPr>
      </w:pPr>
      <w:r w:rsidRPr="00C62BB6">
        <w:rPr>
          <w:rFonts w:eastAsia="Calibri"/>
          <w:b/>
          <w:color w:val="4C4747"/>
          <w:spacing w:val="20"/>
          <w:lang w:eastAsia="en-US"/>
        </w:rPr>
        <w:t>Acuerdo interinstitucional de cooperación y coordinación pa</w:t>
      </w:r>
      <w:r w:rsidR="004F3A6D" w:rsidRPr="00C62BB6">
        <w:rPr>
          <w:rFonts w:eastAsia="Calibri"/>
          <w:b/>
          <w:color w:val="4C4747"/>
          <w:spacing w:val="20"/>
          <w:lang w:eastAsia="en-US"/>
        </w:rPr>
        <w:t>ra la cesión en uso de centros INDOTEL,</w:t>
      </w:r>
      <w:r w:rsidRPr="00C62BB6">
        <w:rPr>
          <w:rFonts w:eastAsia="Calibri"/>
          <w:b/>
          <w:color w:val="4C4747"/>
          <w:spacing w:val="20"/>
          <w:lang w:eastAsia="en-US"/>
        </w:rPr>
        <w:t xml:space="preserve"> para ser utilizados por la universidad Autónoma de Santo Domingo (UASD), firmado el 26 de julio 2022</w:t>
      </w:r>
    </w:p>
    <w:p w14:paraId="3471DFF4" w14:textId="7003ECDD" w:rsidR="004055E0" w:rsidRPr="00C62BB6" w:rsidRDefault="004055E0" w:rsidP="00943FA5">
      <w:pPr>
        <w:pStyle w:val="NormalWeb"/>
        <w:spacing w:line="360" w:lineRule="auto"/>
        <w:jc w:val="both"/>
        <w:rPr>
          <w:color w:val="4C4747"/>
          <w:spacing w:val="20"/>
        </w:rPr>
      </w:pPr>
      <w:r w:rsidRPr="00C62BB6">
        <w:rPr>
          <w:rFonts w:eastAsia="Calibri"/>
          <w:color w:val="4C4747"/>
          <w:spacing w:val="20"/>
          <w:lang w:eastAsia="en-US"/>
        </w:rPr>
        <w:t xml:space="preserve">Ceder en calidad de préstamos </w:t>
      </w:r>
      <w:r w:rsidR="004F3A6D" w:rsidRPr="00C62BB6">
        <w:rPr>
          <w:rFonts w:eastAsia="Calibri"/>
          <w:color w:val="4C4747"/>
          <w:spacing w:val="20"/>
          <w:lang w:eastAsia="en-US"/>
        </w:rPr>
        <w:t xml:space="preserve">a la UASD </w:t>
      </w:r>
      <w:r w:rsidRPr="00C62BB6">
        <w:rPr>
          <w:rFonts w:eastAsia="Calibri"/>
          <w:color w:val="4C4747"/>
          <w:spacing w:val="20"/>
          <w:lang w:eastAsia="en-US"/>
        </w:rPr>
        <w:t xml:space="preserve">y por consiguiente su gestión, sostenibilidad, dirección, administración, mantenimiento y supervisión.  </w:t>
      </w:r>
    </w:p>
    <w:p w14:paraId="5A9CC697" w14:textId="26503A2F" w:rsidR="004055E0" w:rsidRPr="00C62BB6" w:rsidRDefault="004055E0" w:rsidP="00943FA5">
      <w:pPr>
        <w:pStyle w:val="NormalWeb"/>
        <w:spacing w:line="360" w:lineRule="auto"/>
        <w:jc w:val="both"/>
        <w:rPr>
          <w:b/>
          <w:color w:val="4C4747"/>
          <w:spacing w:val="20"/>
        </w:rPr>
      </w:pPr>
      <w:r w:rsidRPr="00C62BB6">
        <w:rPr>
          <w:rFonts w:eastAsia="Calibri"/>
          <w:b/>
          <w:color w:val="4C4747"/>
          <w:spacing w:val="20"/>
          <w:lang w:eastAsia="en-US"/>
        </w:rPr>
        <w:t>Acuerdo de donación entre la compañía</w:t>
      </w:r>
      <w:r w:rsidR="004F3A6D" w:rsidRPr="00C62BB6">
        <w:rPr>
          <w:rFonts w:eastAsia="Calibri"/>
          <w:b/>
          <w:color w:val="4C4747"/>
          <w:spacing w:val="20"/>
          <w:lang w:eastAsia="en-US"/>
        </w:rPr>
        <w:t xml:space="preserve"> Huawei Technologies Dominicana </w:t>
      </w:r>
      <w:r w:rsidRPr="00C62BB6">
        <w:rPr>
          <w:rFonts w:eastAsia="Calibri"/>
          <w:b/>
          <w:color w:val="4C4747"/>
          <w:spacing w:val="20"/>
          <w:lang w:eastAsia="en-US"/>
        </w:rPr>
        <w:t>y el Instituto Dominicano de la Telecomunicaciones (INDOTEL), firmado el 01 de agosto 2022</w:t>
      </w:r>
    </w:p>
    <w:p w14:paraId="78371C37" w14:textId="5F02D02B" w:rsidR="004055E0" w:rsidRPr="00C62BB6" w:rsidRDefault="004055E0" w:rsidP="00943FA5">
      <w:pPr>
        <w:pStyle w:val="NormalWeb"/>
        <w:spacing w:line="360" w:lineRule="auto"/>
        <w:jc w:val="both"/>
        <w:rPr>
          <w:rFonts w:eastAsia="Calibri"/>
          <w:color w:val="4C4747"/>
          <w:spacing w:val="20"/>
          <w:lang w:eastAsia="en-US"/>
        </w:rPr>
      </w:pPr>
      <w:r w:rsidRPr="00C62BB6">
        <w:rPr>
          <w:rFonts w:eastAsia="Calibri"/>
          <w:color w:val="4C4747"/>
          <w:spacing w:val="20"/>
          <w:lang w:eastAsia="en-US"/>
        </w:rPr>
        <w:t>Donación de pantallas por parte de HUAWEI al INDOTEL.</w:t>
      </w:r>
    </w:p>
    <w:p w14:paraId="48B0B742" w14:textId="77777777" w:rsidR="004055E0" w:rsidRPr="00C62BB6" w:rsidRDefault="004055E0" w:rsidP="00943FA5">
      <w:pPr>
        <w:pStyle w:val="NormalWeb"/>
        <w:spacing w:line="360" w:lineRule="auto"/>
        <w:jc w:val="both"/>
        <w:rPr>
          <w:b/>
          <w:color w:val="4C4747"/>
          <w:spacing w:val="20"/>
        </w:rPr>
      </w:pPr>
      <w:r w:rsidRPr="00C62BB6">
        <w:rPr>
          <w:rFonts w:eastAsia="Calibri"/>
          <w:b/>
          <w:color w:val="4C4747"/>
          <w:spacing w:val="20"/>
          <w:lang w:eastAsia="en-US"/>
        </w:rPr>
        <w:t xml:space="preserve">Acuerdo Interinstitucional de Cooperación y Coordinación para la cesión en uso de un centro INDOTEL para la implementación del proyecto “Promoviendo Capacidades” de la Fundación Nacional de Trabajadores con Discapacidad de la Provincia </w:t>
      </w:r>
      <w:r w:rsidRPr="00C62BB6">
        <w:rPr>
          <w:rFonts w:eastAsia="Calibri"/>
          <w:b/>
          <w:color w:val="4C4747"/>
          <w:spacing w:val="20"/>
          <w:lang w:eastAsia="en-US"/>
        </w:rPr>
        <w:lastRenderedPageBreak/>
        <w:t>Valverde y la Gobernación Provincial de Valverde, firmado el 22 de agosto 2022</w:t>
      </w:r>
    </w:p>
    <w:p w14:paraId="1BBD30D3" w14:textId="3F146BC2" w:rsidR="004055E0" w:rsidRPr="00C62BB6" w:rsidRDefault="004055E0" w:rsidP="00943FA5">
      <w:pPr>
        <w:pStyle w:val="NormalWeb"/>
        <w:spacing w:line="360" w:lineRule="auto"/>
        <w:jc w:val="both"/>
        <w:rPr>
          <w:color w:val="4C4747"/>
          <w:spacing w:val="20"/>
        </w:rPr>
      </w:pPr>
      <w:r w:rsidRPr="00C62BB6">
        <w:rPr>
          <w:rFonts w:eastAsia="Calibri"/>
          <w:color w:val="4C4747"/>
          <w:spacing w:val="20"/>
          <w:lang w:eastAsia="en-US"/>
        </w:rPr>
        <w:t xml:space="preserve">Ceder en calidad de préstamos a la Gobernación Provincial de Valverde y por consiguiente su gestión, sostenibilidad, dirección, administración, mantenimiento y supervisión. </w:t>
      </w:r>
    </w:p>
    <w:p w14:paraId="0D76BCB5" w14:textId="0AA14B92" w:rsidR="004055E0" w:rsidRPr="00C62BB6" w:rsidRDefault="004055E0" w:rsidP="00943FA5">
      <w:pPr>
        <w:pStyle w:val="NormalWeb"/>
        <w:spacing w:line="360" w:lineRule="auto"/>
        <w:jc w:val="both"/>
        <w:rPr>
          <w:b/>
          <w:color w:val="4C4747"/>
          <w:spacing w:val="20"/>
        </w:rPr>
      </w:pPr>
      <w:r w:rsidRPr="00C62BB6">
        <w:rPr>
          <w:rFonts w:eastAsia="Calibri"/>
          <w:b/>
          <w:color w:val="4C4747"/>
          <w:spacing w:val="20"/>
          <w:lang w:eastAsia="en-US"/>
        </w:rPr>
        <w:t>Acuerdo de Cesión en uso de un centro INDOTEL</w:t>
      </w:r>
      <w:r w:rsidR="004F3A6D" w:rsidRPr="00C62BB6">
        <w:rPr>
          <w:rFonts w:eastAsia="Calibri"/>
          <w:b/>
          <w:color w:val="4C4747"/>
          <w:spacing w:val="20"/>
          <w:lang w:eastAsia="en-US"/>
        </w:rPr>
        <w:t xml:space="preserve"> para la implementación de una “</w:t>
      </w:r>
      <w:r w:rsidRPr="00C62BB6">
        <w:rPr>
          <w:rFonts w:eastAsia="Calibri"/>
          <w:b/>
          <w:color w:val="4C4747"/>
          <w:spacing w:val="20"/>
          <w:lang w:eastAsia="en-US"/>
        </w:rPr>
        <w:t xml:space="preserve">Oficina de control, inspección y vigilancia del Ministerio de Medio Ambiente y Recursos </w:t>
      </w:r>
      <w:r w:rsidR="004F3A6D" w:rsidRPr="00C62BB6">
        <w:rPr>
          <w:rFonts w:eastAsia="Calibri"/>
          <w:b/>
          <w:color w:val="4C4747"/>
          <w:spacing w:val="20"/>
          <w:lang w:eastAsia="en-US"/>
        </w:rPr>
        <w:t>Naturales”</w:t>
      </w:r>
      <w:r w:rsidRPr="00C62BB6">
        <w:rPr>
          <w:rFonts w:eastAsia="Calibri"/>
          <w:b/>
          <w:color w:val="4C4747"/>
          <w:spacing w:val="20"/>
          <w:lang w:eastAsia="en-US"/>
        </w:rPr>
        <w:t xml:space="preserve"> en las Calderas municipio Bani provincia Peravia, firmado el 10 de octubre 2022</w:t>
      </w:r>
    </w:p>
    <w:p w14:paraId="50CCFD6A" w14:textId="1A156BD5" w:rsidR="004055E0" w:rsidRPr="00C62BB6" w:rsidRDefault="004055E0" w:rsidP="00943FA5">
      <w:pPr>
        <w:pStyle w:val="NormalWeb"/>
        <w:spacing w:line="360" w:lineRule="auto"/>
        <w:jc w:val="both"/>
        <w:rPr>
          <w:color w:val="4C4747"/>
          <w:spacing w:val="20"/>
        </w:rPr>
      </w:pPr>
      <w:r w:rsidRPr="00C62BB6">
        <w:rPr>
          <w:rFonts w:eastAsia="Calibri"/>
          <w:color w:val="4C4747"/>
          <w:spacing w:val="20"/>
          <w:lang w:eastAsia="en-US"/>
        </w:rPr>
        <w:t>Ceder en calidad de préstamos en las Calderas municipio Bani provincia Peravia y por consiguiente su gestión, sostenibilidad, dirección, administración, mantenimiento y supervisión.</w:t>
      </w:r>
    </w:p>
    <w:p w14:paraId="7A8BE8FE" w14:textId="1B913FD2" w:rsidR="004055E0" w:rsidRPr="00C62BB6" w:rsidRDefault="004055E0" w:rsidP="00943FA5">
      <w:pPr>
        <w:pStyle w:val="NormalWeb"/>
        <w:spacing w:line="360" w:lineRule="auto"/>
        <w:jc w:val="both"/>
        <w:rPr>
          <w:b/>
          <w:color w:val="4C4747"/>
          <w:spacing w:val="20"/>
        </w:rPr>
      </w:pPr>
      <w:r w:rsidRPr="00C62BB6">
        <w:rPr>
          <w:rFonts w:eastAsia="Calibri"/>
          <w:b/>
          <w:color w:val="4C4747"/>
          <w:spacing w:val="20"/>
          <w:lang w:eastAsia="en-US"/>
        </w:rPr>
        <w:t>Acuerdo interinstitucional de cooperación y  coordinación para la cesión en uso de un centro INDOTEL para la instalación de la Junta Distrital la Ciénaga, provincia San José de Ocoa, firmado el 24 de octubre 2022</w:t>
      </w:r>
    </w:p>
    <w:p w14:paraId="530C57CD" w14:textId="2EA0046C" w:rsidR="004055E0" w:rsidRPr="00C62BB6" w:rsidRDefault="004055E0" w:rsidP="00943FA5">
      <w:pPr>
        <w:pStyle w:val="NormalWeb"/>
        <w:spacing w:line="360" w:lineRule="auto"/>
        <w:jc w:val="both"/>
        <w:rPr>
          <w:color w:val="4C4747"/>
          <w:spacing w:val="20"/>
        </w:rPr>
      </w:pPr>
      <w:r w:rsidRPr="00C62BB6">
        <w:rPr>
          <w:rFonts w:eastAsia="Calibri"/>
          <w:color w:val="4C4747"/>
          <w:spacing w:val="20"/>
          <w:lang w:eastAsia="en-US"/>
        </w:rPr>
        <w:t>Ceder en calidad de préstamos a la gobernación de San José de Ocoa y por consiguiente su gestión, sostenibilidad, dirección, administración, mantenimiento y supervisión del inmueble.</w:t>
      </w:r>
    </w:p>
    <w:p w14:paraId="647655DA" w14:textId="00A9AF44" w:rsidR="004055E0" w:rsidRPr="00C62BB6" w:rsidRDefault="004055E0" w:rsidP="00943FA5">
      <w:pPr>
        <w:pStyle w:val="NormalWeb"/>
        <w:spacing w:line="360" w:lineRule="auto"/>
        <w:jc w:val="both"/>
        <w:rPr>
          <w:b/>
          <w:color w:val="4C4747"/>
          <w:spacing w:val="20"/>
        </w:rPr>
      </w:pPr>
      <w:r w:rsidRPr="00C62BB6">
        <w:rPr>
          <w:rFonts w:eastAsia="Calibri"/>
          <w:b/>
          <w:color w:val="4C4747"/>
          <w:spacing w:val="20"/>
          <w:lang w:eastAsia="en-US"/>
        </w:rPr>
        <w:t>Acuerdo interinstitucional de cooperación y  coordinación para la cesión en uso de  centros INDOTEL  para la ser utilizados por la Defensa Civil, firmado el 31 de octubre 2022</w:t>
      </w:r>
    </w:p>
    <w:p w14:paraId="67779C7D" w14:textId="769B9B2C" w:rsidR="004055E0" w:rsidRPr="00C62BB6" w:rsidRDefault="004055E0" w:rsidP="00943FA5">
      <w:pPr>
        <w:pStyle w:val="NormalWeb"/>
        <w:spacing w:line="360" w:lineRule="auto"/>
        <w:jc w:val="both"/>
        <w:rPr>
          <w:color w:val="4C4747"/>
          <w:spacing w:val="20"/>
        </w:rPr>
      </w:pPr>
      <w:r w:rsidRPr="00C62BB6">
        <w:rPr>
          <w:rFonts w:eastAsia="Calibri"/>
          <w:color w:val="4C4747"/>
          <w:spacing w:val="20"/>
          <w:lang w:eastAsia="en-US"/>
        </w:rPr>
        <w:t>Ceder en calidad de préstamos a la Defensa Civil y por consiguiente su gestión, sostenibilidad, dirección, administración, mantenimiento y supervisión de internet de banda ancha</w:t>
      </w:r>
    </w:p>
    <w:p w14:paraId="2E50C3F0" w14:textId="3B7D2813" w:rsidR="009A738B" w:rsidRPr="00C62BB6" w:rsidRDefault="004055E0" w:rsidP="00A02BDE">
      <w:pPr>
        <w:pStyle w:val="NormalWeb"/>
        <w:numPr>
          <w:ilvl w:val="0"/>
          <w:numId w:val="25"/>
        </w:numPr>
        <w:spacing w:line="360" w:lineRule="auto"/>
        <w:jc w:val="both"/>
        <w:rPr>
          <w:b/>
          <w:color w:val="4C4747"/>
          <w:spacing w:val="20"/>
        </w:rPr>
      </w:pPr>
      <w:r w:rsidRPr="00C62BB6">
        <w:rPr>
          <w:rFonts w:eastAsia="Calibri"/>
          <w:b/>
          <w:color w:val="4C4747"/>
          <w:spacing w:val="20"/>
          <w:lang w:eastAsia="en-US"/>
        </w:rPr>
        <w:lastRenderedPageBreak/>
        <w:t>C</w:t>
      </w:r>
      <w:r w:rsidR="009A738B" w:rsidRPr="00C62BB6">
        <w:rPr>
          <w:rFonts w:eastAsia="Calibri"/>
          <w:b/>
          <w:color w:val="4C4747"/>
          <w:spacing w:val="20"/>
          <w:lang w:eastAsia="en-US"/>
        </w:rPr>
        <w:t>artas compromisos</w:t>
      </w:r>
    </w:p>
    <w:p w14:paraId="49566D1D" w14:textId="56AA58DF" w:rsidR="00AE6CC8" w:rsidRPr="00C62BB6" w:rsidRDefault="00AE6CC8" w:rsidP="00943FA5">
      <w:pPr>
        <w:pStyle w:val="NormalWeb"/>
        <w:spacing w:line="360" w:lineRule="auto"/>
        <w:jc w:val="both"/>
        <w:rPr>
          <w:b/>
          <w:color w:val="4C4747"/>
          <w:spacing w:val="20"/>
        </w:rPr>
      </w:pPr>
      <w:r w:rsidRPr="00C62BB6">
        <w:rPr>
          <w:rFonts w:eastAsia="Calibri"/>
          <w:b/>
          <w:color w:val="4C4747"/>
          <w:spacing w:val="20"/>
          <w:lang w:eastAsia="en-US"/>
        </w:rPr>
        <w:t xml:space="preserve">Carta compromiso para acceso y uso de puntos </w:t>
      </w:r>
      <w:r w:rsidR="004F3A6D" w:rsidRPr="00C62BB6">
        <w:rPr>
          <w:rFonts w:eastAsia="Calibri"/>
          <w:b/>
          <w:color w:val="4C4747"/>
          <w:spacing w:val="20"/>
          <w:lang w:eastAsia="en-US"/>
        </w:rPr>
        <w:t>Wi-Fi</w:t>
      </w:r>
      <w:r w:rsidRPr="00C62BB6">
        <w:rPr>
          <w:rFonts w:eastAsia="Calibri"/>
          <w:b/>
          <w:color w:val="4C4747"/>
          <w:spacing w:val="20"/>
          <w:lang w:eastAsia="en-US"/>
        </w:rPr>
        <w:t xml:space="preserve"> en el marco de la iniciativa "Dominicana Conectada" entre el Instituto Dominicano de las Telecomunicaciones (INDOTEL) y la escuela primaria Savio Fe y Alegría, firmado </w:t>
      </w:r>
      <w:r w:rsidR="004F3A6D" w:rsidRPr="00C62BB6">
        <w:rPr>
          <w:rFonts w:eastAsia="Calibri"/>
          <w:b/>
          <w:color w:val="4C4747"/>
          <w:spacing w:val="20"/>
          <w:lang w:eastAsia="en-US"/>
        </w:rPr>
        <w:t xml:space="preserve">el </w:t>
      </w:r>
      <w:r w:rsidRPr="00C62BB6">
        <w:rPr>
          <w:rFonts w:eastAsia="Calibri"/>
          <w:b/>
          <w:color w:val="4C4747"/>
          <w:spacing w:val="20"/>
          <w:lang w:eastAsia="en-US"/>
        </w:rPr>
        <w:t>1 de julio 2022</w:t>
      </w:r>
    </w:p>
    <w:p w14:paraId="3804C97E" w14:textId="1FC8C3B2" w:rsidR="00AE6CC8" w:rsidRPr="00C62BB6" w:rsidRDefault="00AE6CC8" w:rsidP="00943FA5">
      <w:pPr>
        <w:pStyle w:val="NormalWeb"/>
        <w:spacing w:line="360" w:lineRule="auto"/>
        <w:jc w:val="both"/>
        <w:rPr>
          <w:color w:val="4C4747"/>
          <w:spacing w:val="20"/>
        </w:rPr>
      </w:pPr>
      <w:r w:rsidRPr="00C62BB6">
        <w:rPr>
          <w:rFonts w:eastAsia="Calibri"/>
          <w:color w:val="4C4747"/>
          <w:spacing w:val="20"/>
          <w:lang w:eastAsia="en-US"/>
        </w:rPr>
        <w:t>Proveer cobertura inalámbrica para acceder al servicio de internet banda ancha.</w:t>
      </w:r>
    </w:p>
    <w:p w14:paraId="13A4D21F" w14:textId="30B74799" w:rsidR="00AE6CC8" w:rsidRPr="00C62BB6" w:rsidRDefault="00AE6CC8" w:rsidP="00943FA5">
      <w:pPr>
        <w:pStyle w:val="NormalWeb"/>
        <w:spacing w:line="360" w:lineRule="auto"/>
        <w:jc w:val="both"/>
        <w:rPr>
          <w:b/>
          <w:color w:val="4C4747"/>
          <w:spacing w:val="20"/>
        </w:rPr>
      </w:pPr>
      <w:r w:rsidRPr="00C62BB6">
        <w:rPr>
          <w:rFonts w:eastAsia="Calibri"/>
          <w:b/>
          <w:color w:val="4C4747"/>
          <w:spacing w:val="20"/>
          <w:lang w:eastAsia="en-US"/>
        </w:rPr>
        <w:t xml:space="preserve">Carta compromiso para acceso y uso de puntos </w:t>
      </w:r>
      <w:r w:rsidR="004F3A6D" w:rsidRPr="00C62BB6">
        <w:rPr>
          <w:rFonts w:eastAsia="Calibri"/>
          <w:b/>
          <w:color w:val="4C4747"/>
          <w:spacing w:val="20"/>
          <w:lang w:eastAsia="en-US"/>
        </w:rPr>
        <w:t>Wi-Fi en el marco de la iniciativa "Dominicana C</w:t>
      </w:r>
      <w:r w:rsidRPr="00C62BB6">
        <w:rPr>
          <w:rFonts w:eastAsia="Calibri"/>
          <w:b/>
          <w:color w:val="4C4747"/>
          <w:spacing w:val="20"/>
          <w:lang w:eastAsia="en-US"/>
        </w:rPr>
        <w:t xml:space="preserve">onectada" entre el Instituto Dominicano de las Telecomunicaciones (INDOTEL) y el Hogar Escuela Pituca Flores, firmado </w:t>
      </w:r>
      <w:r w:rsidR="004F3A6D" w:rsidRPr="00C62BB6">
        <w:rPr>
          <w:rFonts w:eastAsia="Calibri"/>
          <w:b/>
          <w:color w:val="4C4747"/>
          <w:spacing w:val="20"/>
          <w:lang w:eastAsia="en-US"/>
        </w:rPr>
        <w:t xml:space="preserve">el </w:t>
      </w:r>
      <w:r w:rsidRPr="00C62BB6">
        <w:rPr>
          <w:rFonts w:eastAsia="Calibri"/>
          <w:b/>
          <w:color w:val="4C4747"/>
          <w:spacing w:val="20"/>
          <w:lang w:eastAsia="en-US"/>
        </w:rPr>
        <w:t>01 de julio 2022</w:t>
      </w:r>
    </w:p>
    <w:p w14:paraId="37CAAD93" w14:textId="3C28926B" w:rsidR="00AE6CC8" w:rsidRPr="00C62BB6" w:rsidRDefault="00AE6CC8" w:rsidP="00943FA5">
      <w:pPr>
        <w:pStyle w:val="NormalWeb"/>
        <w:spacing w:line="360" w:lineRule="auto"/>
        <w:jc w:val="both"/>
        <w:rPr>
          <w:color w:val="4C4747"/>
          <w:spacing w:val="20"/>
        </w:rPr>
      </w:pPr>
      <w:r w:rsidRPr="00C62BB6">
        <w:rPr>
          <w:rFonts w:eastAsia="Calibri"/>
          <w:color w:val="4C4747"/>
          <w:spacing w:val="20"/>
          <w:lang w:eastAsia="en-US"/>
        </w:rPr>
        <w:t>Proveer cobertura inalámbrica para acceder al servicio de internet banda ancha.</w:t>
      </w:r>
    </w:p>
    <w:p w14:paraId="18870E0D" w14:textId="5FF0C569" w:rsidR="009D69C6" w:rsidRPr="00C62BB6" w:rsidRDefault="009A738B" w:rsidP="00943FA5">
      <w:pPr>
        <w:pStyle w:val="NormalWeb"/>
        <w:spacing w:line="360" w:lineRule="auto"/>
        <w:jc w:val="both"/>
        <w:rPr>
          <w:b/>
          <w:color w:val="4C4747"/>
          <w:spacing w:val="20"/>
        </w:rPr>
      </w:pPr>
      <w:r w:rsidRPr="00C62BB6">
        <w:rPr>
          <w:rFonts w:eastAsia="Calibri"/>
          <w:b/>
          <w:color w:val="4C4747"/>
          <w:spacing w:val="20"/>
          <w:lang w:eastAsia="en-US"/>
        </w:rPr>
        <w:t xml:space="preserve">Carta compromiso para acceso y uso de puntos </w:t>
      </w:r>
      <w:r w:rsidR="004F3A6D" w:rsidRPr="00C62BB6">
        <w:rPr>
          <w:rFonts w:eastAsia="Calibri"/>
          <w:b/>
          <w:color w:val="4C4747"/>
          <w:spacing w:val="20"/>
          <w:lang w:eastAsia="en-US"/>
        </w:rPr>
        <w:t>Wi-Fi</w:t>
      </w:r>
      <w:r w:rsidRPr="00C62BB6">
        <w:rPr>
          <w:rFonts w:eastAsia="Calibri"/>
          <w:b/>
          <w:color w:val="4C4747"/>
          <w:spacing w:val="20"/>
          <w:lang w:eastAsia="en-US"/>
        </w:rPr>
        <w:t xml:space="preserve"> en el ma</w:t>
      </w:r>
      <w:r w:rsidR="004F3A6D" w:rsidRPr="00C62BB6">
        <w:rPr>
          <w:rFonts w:eastAsia="Calibri"/>
          <w:b/>
          <w:color w:val="4C4747"/>
          <w:spacing w:val="20"/>
          <w:lang w:eastAsia="en-US"/>
        </w:rPr>
        <w:t>rco de la iniciativa "Dominicana C</w:t>
      </w:r>
      <w:r w:rsidRPr="00C62BB6">
        <w:rPr>
          <w:rFonts w:eastAsia="Calibri"/>
          <w:b/>
          <w:color w:val="4C4747"/>
          <w:spacing w:val="20"/>
          <w:lang w:eastAsia="en-US"/>
        </w:rPr>
        <w:t>onectada" entre el Instituto Dominicano de las Telecomunicaciones (INDOTEL) y el Cuerpo de Bomberos Santo Domingo, firmado el 01 de julio 2022</w:t>
      </w:r>
    </w:p>
    <w:p w14:paraId="0A647B11" w14:textId="0F4A517D" w:rsidR="009A738B" w:rsidRPr="00C62BB6" w:rsidRDefault="009A738B" w:rsidP="00943FA5">
      <w:pPr>
        <w:pStyle w:val="NormalWeb"/>
        <w:spacing w:line="360" w:lineRule="auto"/>
        <w:jc w:val="both"/>
        <w:rPr>
          <w:color w:val="4C4747"/>
          <w:spacing w:val="20"/>
        </w:rPr>
      </w:pPr>
      <w:r w:rsidRPr="00C62BB6">
        <w:rPr>
          <w:rFonts w:eastAsia="Calibri"/>
          <w:color w:val="4C4747"/>
          <w:spacing w:val="20"/>
          <w:lang w:eastAsia="en-US"/>
        </w:rPr>
        <w:t>Proveer cobertura inalámbrica para acceder al servicio de internet banda ancha.</w:t>
      </w:r>
    </w:p>
    <w:p w14:paraId="4753A0FB" w14:textId="2484B30E" w:rsidR="009A738B" w:rsidRPr="00C62BB6" w:rsidRDefault="009A738B" w:rsidP="00943FA5">
      <w:pPr>
        <w:pStyle w:val="NormalWeb"/>
        <w:spacing w:line="360" w:lineRule="auto"/>
        <w:jc w:val="both"/>
        <w:rPr>
          <w:b/>
          <w:color w:val="4C4747"/>
          <w:spacing w:val="20"/>
        </w:rPr>
      </w:pPr>
      <w:r w:rsidRPr="00C62BB6">
        <w:rPr>
          <w:rFonts w:eastAsia="Calibri"/>
          <w:b/>
          <w:color w:val="4C4747"/>
          <w:spacing w:val="20"/>
          <w:lang w:eastAsia="en-US"/>
        </w:rPr>
        <w:t xml:space="preserve">Carta compromiso para acceso y uso de puntos </w:t>
      </w:r>
      <w:r w:rsidR="004F3A6D" w:rsidRPr="00C62BB6">
        <w:rPr>
          <w:rFonts w:eastAsia="Calibri"/>
          <w:b/>
          <w:color w:val="4C4747"/>
          <w:spacing w:val="20"/>
          <w:lang w:eastAsia="en-US"/>
        </w:rPr>
        <w:t xml:space="preserve">Wi-Fi </w:t>
      </w:r>
      <w:r w:rsidRPr="00C62BB6">
        <w:rPr>
          <w:rFonts w:eastAsia="Calibri"/>
          <w:b/>
          <w:color w:val="4C4747"/>
          <w:spacing w:val="20"/>
          <w:lang w:eastAsia="en-US"/>
        </w:rPr>
        <w:t xml:space="preserve">en el marco de la iniciativa "Dominicana Conectada" entre </w:t>
      </w:r>
      <w:r w:rsidR="004F3A6D" w:rsidRPr="00C62BB6">
        <w:rPr>
          <w:rFonts w:eastAsia="Calibri"/>
          <w:b/>
          <w:color w:val="4C4747"/>
          <w:spacing w:val="20"/>
          <w:lang w:eastAsia="en-US"/>
        </w:rPr>
        <w:t>el Instituto Dominicano de las T</w:t>
      </w:r>
      <w:r w:rsidRPr="00C62BB6">
        <w:rPr>
          <w:rFonts w:eastAsia="Calibri"/>
          <w:b/>
          <w:color w:val="4C4747"/>
          <w:spacing w:val="20"/>
          <w:lang w:eastAsia="en-US"/>
        </w:rPr>
        <w:t>elecomunicaciones (INDOTEL) y el Hogar de Ancianos Diurno, firmado el 01 de julio 2022</w:t>
      </w:r>
    </w:p>
    <w:p w14:paraId="315187C9" w14:textId="373F240E" w:rsidR="009A738B" w:rsidRPr="00C62BB6" w:rsidRDefault="009A738B" w:rsidP="00943FA5">
      <w:pPr>
        <w:pStyle w:val="NormalWeb"/>
        <w:spacing w:line="360" w:lineRule="auto"/>
        <w:jc w:val="both"/>
        <w:rPr>
          <w:color w:val="4C4747"/>
          <w:spacing w:val="20"/>
        </w:rPr>
      </w:pPr>
      <w:r w:rsidRPr="00C62BB6">
        <w:rPr>
          <w:rFonts w:eastAsia="Calibri"/>
          <w:color w:val="4C4747"/>
          <w:spacing w:val="20"/>
          <w:lang w:eastAsia="en-US"/>
        </w:rPr>
        <w:t>Proveer cobertura inalámbrica para acceder al servicio de internet banda ancha.</w:t>
      </w:r>
    </w:p>
    <w:p w14:paraId="6E53A029" w14:textId="000D32E6" w:rsidR="009A738B" w:rsidRPr="00A4233F" w:rsidRDefault="009A738B" w:rsidP="00943FA5">
      <w:pPr>
        <w:pStyle w:val="NormalWeb"/>
        <w:spacing w:line="360" w:lineRule="auto"/>
        <w:jc w:val="both"/>
        <w:rPr>
          <w:b/>
          <w:color w:val="4C4747"/>
          <w:spacing w:val="20"/>
        </w:rPr>
      </w:pPr>
      <w:r w:rsidRPr="00A4233F">
        <w:rPr>
          <w:rFonts w:eastAsia="Calibri"/>
          <w:b/>
          <w:color w:val="4C4747"/>
          <w:spacing w:val="20"/>
          <w:lang w:eastAsia="en-US"/>
        </w:rPr>
        <w:lastRenderedPageBreak/>
        <w:t xml:space="preserve">Carta compromiso para acceso y uso de puntos </w:t>
      </w:r>
      <w:r w:rsidR="004F3A6D" w:rsidRPr="00A4233F">
        <w:rPr>
          <w:rFonts w:eastAsia="Calibri"/>
          <w:b/>
          <w:color w:val="4C4747"/>
          <w:spacing w:val="20"/>
          <w:lang w:eastAsia="en-US"/>
        </w:rPr>
        <w:t>Wi-Fi en el marco de la iniciativa "Dominicana C</w:t>
      </w:r>
      <w:r w:rsidRPr="00A4233F">
        <w:rPr>
          <w:rFonts w:eastAsia="Calibri"/>
          <w:b/>
          <w:color w:val="4C4747"/>
          <w:spacing w:val="20"/>
          <w:lang w:eastAsia="en-US"/>
        </w:rPr>
        <w:t>onectada" entre el Instituto Dominicano de las Telecomunicaciones (INDOTEL) y la Escuela Solidaridad entre Herma</w:t>
      </w:r>
      <w:r w:rsidR="004F3A6D" w:rsidRPr="00A4233F">
        <w:rPr>
          <w:rFonts w:eastAsia="Calibri"/>
          <w:b/>
          <w:color w:val="4C4747"/>
          <w:spacing w:val="20"/>
          <w:lang w:eastAsia="en-US"/>
        </w:rPr>
        <w:t>nos- Solher</w:t>
      </w:r>
      <w:r w:rsidRPr="00A4233F">
        <w:rPr>
          <w:rFonts w:eastAsia="Calibri"/>
          <w:b/>
          <w:color w:val="4C4747"/>
          <w:spacing w:val="20"/>
          <w:lang w:eastAsia="en-US"/>
        </w:rPr>
        <w:t>, firmado el 01 de julio 2022</w:t>
      </w:r>
    </w:p>
    <w:p w14:paraId="50A36D70"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665AE059" w14:textId="14290AF1" w:rsidR="009A738B" w:rsidRPr="00A4233F" w:rsidRDefault="009A738B" w:rsidP="00943FA5">
      <w:pPr>
        <w:pStyle w:val="NormalWeb"/>
        <w:spacing w:line="360" w:lineRule="auto"/>
        <w:jc w:val="both"/>
        <w:rPr>
          <w:b/>
          <w:color w:val="4C4747"/>
          <w:spacing w:val="20"/>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el Parque Duarte de San Pedro Quisqueya, firmado el 01 de julio 2022</w:t>
      </w:r>
    </w:p>
    <w:p w14:paraId="6E280EA3"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391BC879" w14:textId="52A78EF5" w:rsidR="009A738B" w:rsidRPr="00A4233F" w:rsidRDefault="009A738B" w:rsidP="00943FA5">
      <w:pPr>
        <w:pStyle w:val="NormalWeb"/>
        <w:spacing w:line="360" w:lineRule="auto"/>
        <w:jc w:val="both"/>
        <w:rPr>
          <w:b/>
          <w:color w:val="4C4747"/>
          <w:spacing w:val="20"/>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el Hospital Dr. Rodolfo de la Cruz Lora, firmado el 01 de julio 2022</w:t>
      </w:r>
    </w:p>
    <w:p w14:paraId="1C5E535F"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6E49B18E" w14:textId="62587D12" w:rsidR="009A738B" w:rsidRPr="00A4233F" w:rsidRDefault="009A738B" w:rsidP="00943FA5">
      <w:pPr>
        <w:pStyle w:val="NormalWeb"/>
        <w:spacing w:line="360" w:lineRule="auto"/>
        <w:jc w:val="both"/>
        <w:rPr>
          <w:b/>
          <w:color w:val="4C4747"/>
          <w:spacing w:val="20"/>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el Parque Monción, firmado el 01 de julio 2022</w:t>
      </w:r>
    </w:p>
    <w:p w14:paraId="55975987" w14:textId="77777777" w:rsidR="009A738B"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621DBD8B" w14:textId="77777777" w:rsidR="001332BD" w:rsidRPr="00A4233F" w:rsidRDefault="001332BD" w:rsidP="009A738B">
      <w:pPr>
        <w:pStyle w:val="NormalWeb"/>
        <w:spacing w:line="360" w:lineRule="auto"/>
        <w:jc w:val="both"/>
        <w:rPr>
          <w:rFonts w:eastAsia="Calibri"/>
          <w:color w:val="4C4747"/>
          <w:spacing w:val="20"/>
          <w:lang w:eastAsia="en-US"/>
        </w:rPr>
      </w:pPr>
    </w:p>
    <w:p w14:paraId="1ECAEAEE" w14:textId="6A24D1EC" w:rsidR="009A738B" w:rsidRPr="00A4233F" w:rsidRDefault="004F3A6D" w:rsidP="00943FA5">
      <w:pPr>
        <w:pStyle w:val="NormalWeb"/>
        <w:spacing w:line="360" w:lineRule="auto"/>
        <w:jc w:val="both"/>
        <w:rPr>
          <w:b/>
          <w:color w:val="4C4747"/>
          <w:spacing w:val="20"/>
        </w:rPr>
      </w:pPr>
      <w:r w:rsidRPr="00A4233F">
        <w:rPr>
          <w:rFonts w:eastAsia="Calibri"/>
          <w:b/>
          <w:color w:val="4C4747"/>
          <w:spacing w:val="20"/>
          <w:lang w:eastAsia="en-US"/>
        </w:rPr>
        <w:lastRenderedPageBreak/>
        <w:t xml:space="preserve">Carta compromiso para acceso y uso de puntos Wi-Fi en el marco de la </w:t>
      </w:r>
      <w:r w:rsidR="009A738B" w:rsidRPr="00A4233F">
        <w:rPr>
          <w:rFonts w:eastAsia="Calibri"/>
          <w:b/>
          <w:color w:val="4C4747"/>
          <w:spacing w:val="20"/>
          <w:lang w:eastAsia="en-US"/>
        </w:rPr>
        <w:t>iniciativa "Dominicana Conectada" entre el Instituto Dominicano de las Telecomunicaciones (INDOTEL) y el Comité Nacional de Desarrollo Integral y Comunitario-Condic, firmado el 01 de julio 2022</w:t>
      </w:r>
    </w:p>
    <w:p w14:paraId="5A29583B"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57C8D907" w14:textId="4BD38196" w:rsidR="009A738B" w:rsidRPr="00A4233F" w:rsidRDefault="009A738B" w:rsidP="00943FA5">
      <w:pPr>
        <w:pStyle w:val="NormalWeb"/>
        <w:spacing w:line="360" w:lineRule="auto"/>
        <w:jc w:val="both"/>
        <w:rPr>
          <w:b/>
          <w:color w:val="4C4747"/>
          <w:spacing w:val="20"/>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 xml:space="preserve">Wi-Fi </w:t>
      </w:r>
      <w:r w:rsidRPr="00A4233F">
        <w:rPr>
          <w:rFonts w:eastAsia="Calibri"/>
          <w:b/>
          <w:color w:val="4C4747"/>
          <w:spacing w:val="20"/>
          <w:lang w:eastAsia="en-US"/>
        </w:rPr>
        <w:t>en el marco de la iniciativa "Dominicana Conectada" entre el Instituto Dominicano de las Telecomunicaciones (INDOTEL) y el Centro Hub de Desarrollo Social, firmado el 01 de julio 2022</w:t>
      </w:r>
    </w:p>
    <w:p w14:paraId="77BC5BF5"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1020CA1B" w14:textId="24AB906E" w:rsidR="009A738B" w:rsidRPr="00A4233F" w:rsidRDefault="009A738B"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el Politécnico Savio Fe y Alegría, firmado el 01 de julio 2022</w:t>
      </w:r>
    </w:p>
    <w:p w14:paraId="58D30D48"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51A270A6" w14:textId="32058BB3" w:rsidR="009A738B" w:rsidRPr="00A4233F" w:rsidRDefault="009A738B"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el Centro Sanitario Dr. Francisco Hardy, firmado el 01 de julio 2022</w:t>
      </w:r>
    </w:p>
    <w:p w14:paraId="3AD86BC2" w14:textId="77777777" w:rsidR="009A738B"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07BC693B" w14:textId="77777777" w:rsidR="001332BD" w:rsidRPr="00A4233F" w:rsidRDefault="001332BD" w:rsidP="009A738B">
      <w:pPr>
        <w:pStyle w:val="NormalWeb"/>
        <w:spacing w:line="360" w:lineRule="auto"/>
        <w:jc w:val="both"/>
        <w:rPr>
          <w:rFonts w:eastAsia="Calibri"/>
          <w:color w:val="4C4747"/>
          <w:spacing w:val="20"/>
          <w:lang w:eastAsia="en-US"/>
        </w:rPr>
      </w:pPr>
    </w:p>
    <w:p w14:paraId="1BAAC21A" w14:textId="6D9786A6" w:rsidR="009A738B" w:rsidRPr="00A4233F" w:rsidRDefault="009A738B"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lastRenderedPageBreak/>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el Destacamento Policial Batey Bienvenido, firmado el 01 de julio 2022</w:t>
      </w:r>
    </w:p>
    <w:p w14:paraId="0FC1A0C0" w14:textId="77777777" w:rsidR="009A738B" w:rsidRPr="00A4233F" w:rsidRDefault="009A738B"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73B044A5" w14:textId="777C8BD6" w:rsidR="009A738B" w:rsidRPr="00A4233F" w:rsidRDefault="004055E0"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 xml:space="preserve">Carta compromiso para acceso y uso de puntos </w:t>
      </w:r>
      <w:r w:rsidR="004F3A6D" w:rsidRPr="00A4233F">
        <w:rPr>
          <w:rFonts w:eastAsia="Calibri"/>
          <w:b/>
          <w:color w:val="4C4747"/>
          <w:spacing w:val="20"/>
          <w:lang w:eastAsia="en-US"/>
        </w:rPr>
        <w:t>Wi-Fi</w:t>
      </w:r>
      <w:r w:rsidRPr="00A4233F">
        <w:rPr>
          <w:rFonts w:eastAsia="Calibri"/>
          <w:b/>
          <w:color w:val="4C4747"/>
          <w:spacing w:val="20"/>
          <w:lang w:eastAsia="en-US"/>
        </w:rPr>
        <w:t xml:space="preserve"> en el marco de la iniciativa "Dominicana Conectada" entre el Instituto Dominicano de las Telecomunicaciones (INDOTEL) y la Escuela Filomena Fe y Alegría, firmado el 01 de julio 2022 </w:t>
      </w:r>
    </w:p>
    <w:p w14:paraId="38258A84" w14:textId="0F1FE982" w:rsidR="00F05703" w:rsidRPr="00A4233F" w:rsidRDefault="004055E0" w:rsidP="009A738B">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w:t>
      </w:r>
      <w:r w:rsidR="00916E17" w:rsidRPr="00A4233F">
        <w:rPr>
          <w:rFonts w:eastAsia="Calibri"/>
          <w:color w:val="4C4747"/>
          <w:spacing w:val="20"/>
          <w:lang w:eastAsia="en-US"/>
        </w:rPr>
        <w:t>ervicio de internet banda ancha.</w:t>
      </w:r>
    </w:p>
    <w:p w14:paraId="6A8D406B" w14:textId="34F145B1" w:rsidR="004055E0" w:rsidRPr="00A4233F" w:rsidRDefault="004055E0" w:rsidP="009A738B">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 xml:space="preserve">Carta compromiso para la instalación de un punto </w:t>
      </w:r>
      <w:r w:rsidR="004F3A6D" w:rsidRPr="00A4233F">
        <w:rPr>
          <w:rFonts w:eastAsia="Calibri"/>
          <w:b/>
          <w:color w:val="4C4747"/>
          <w:spacing w:val="20"/>
          <w:lang w:eastAsia="en-US"/>
        </w:rPr>
        <w:t>Wi-Fi en el marco de la iniciativa “Dominicana Conectada”</w:t>
      </w:r>
      <w:r w:rsidRPr="00A4233F">
        <w:rPr>
          <w:rFonts w:eastAsia="Calibri"/>
          <w:b/>
          <w:color w:val="4C4747"/>
          <w:spacing w:val="20"/>
          <w:lang w:eastAsia="en-US"/>
        </w:rPr>
        <w:t xml:space="preserve"> entre el Instituto Dominicano de las Telecomunicaciones (INDOTEL), y el Consejo Nacional para la Niñez y la Adolescencia para ser utilizado en el Centro de Acogida Padre Luis Rosario, San Antonio Guerra, firmado el 06 de julio 2022</w:t>
      </w:r>
    </w:p>
    <w:p w14:paraId="67DDF131" w14:textId="77777777" w:rsidR="004055E0" w:rsidRPr="00A4233F" w:rsidRDefault="004055E0" w:rsidP="004055E0">
      <w:pPr>
        <w:pStyle w:val="NormalWeb"/>
        <w:spacing w:line="360" w:lineRule="auto"/>
        <w:jc w:val="both"/>
        <w:rPr>
          <w:rFonts w:eastAsia="Calibri"/>
          <w:color w:val="4C4747"/>
          <w:spacing w:val="20"/>
          <w:lang w:eastAsia="en-US"/>
        </w:rPr>
      </w:pPr>
      <w:r w:rsidRPr="00A4233F">
        <w:rPr>
          <w:rFonts w:eastAsia="Calibri"/>
          <w:color w:val="4C4747"/>
          <w:spacing w:val="20"/>
          <w:lang w:eastAsia="en-US"/>
        </w:rPr>
        <w:t>Proveer cobertura inalámbrica para acceder al servicio de internet banda ancha.</w:t>
      </w:r>
    </w:p>
    <w:p w14:paraId="41928984" w14:textId="69049110" w:rsidR="009A738B" w:rsidRPr="00A4233F" w:rsidRDefault="00643D96" w:rsidP="00A02BDE">
      <w:pPr>
        <w:pStyle w:val="NormalWeb"/>
        <w:numPr>
          <w:ilvl w:val="0"/>
          <w:numId w:val="25"/>
        </w:numPr>
        <w:spacing w:line="360" w:lineRule="auto"/>
        <w:jc w:val="both"/>
        <w:rPr>
          <w:rFonts w:eastAsia="Calibri"/>
          <w:color w:val="4C4747"/>
          <w:spacing w:val="20"/>
          <w:lang w:eastAsia="en-US"/>
        </w:rPr>
      </w:pPr>
      <w:r w:rsidRPr="00A4233F">
        <w:rPr>
          <w:rFonts w:eastAsia="Calibri"/>
          <w:b/>
          <w:color w:val="4C4747"/>
          <w:spacing w:val="20"/>
          <w:lang w:eastAsia="en-US"/>
        </w:rPr>
        <w:t>Memorándum, alianzas y actas</w:t>
      </w:r>
    </w:p>
    <w:p w14:paraId="307500AB" w14:textId="77777777" w:rsidR="00643D96" w:rsidRPr="00A4233F" w:rsidRDefault="00643D96" w:rsidP="00943FA5">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Alianza Interinstitucional para Implementar la Estrategia de Desarrollo en la Zona Fronteriza (EDZF) y las iniciativas que reduzcan la Brecha de Conectividad Digital, firmado el 15 de marzo 2022</w:t>
      </w:r>
    </w:p>
    <w:p w14:paraId="47EB572F" w14:textId="77777777" w:rsidR="001332BD" w:rsidRDefault="001332BD" w:rsidP="00943FA5">
      <w:pPr>
        <w:pStyle w:val="NormalWeb"/>
        <w:spacing w:line="360" w:lineRule="auto"/>
        <w:jc w:val="both"/>
        <w:rPr>
          <w:rFonts w:eastAsia="Calibri"/>
          <w:color w:val="4C4747"/>
          <w:spacing w:val="20"/>
          <w:lang w:eastAsia="en-US"/>
        </w:rPr>
      </w:pPr>
    </w:p>
    <w:p w14:paraId="13A77F0F" w14:textId="2A7C9066" w:rsidR="00643D96" w:rsidRPr="00A4233F" w:rsidRDefault="009852C6" w:rsidP="00943FA5">
      <w:pPr>
        <w:pStyle w:val="NormalWeb"/>
        <w:spacing w:line="360" w:lineRule="auto"/>
        <w:jc w:val="both"/>
        <w:rPr>
          <w:rFonts w:eastAsia="Calibri"/>
          <w:color w:val="4C4747"/>
          <w:spacing w:val="20"/>
          <w:lang w:eastAsia="en-US"/>
        </w:rPr>
      </w:pPr>
      <w:r w:rsidRPr="00A4233F">
        <w:rPr>
          <w:rFonts w:eastAsia="Calibri"/>
          <w:color w:val="4C4747"/>
          <w:spacing w:val="20"/>
          <w:lang w:eastAsia="en-US"/>
        </w:rPr>
        <w:t xml:space="preserve">Esta alianza entre el Ministerio de Economía, Planificación y Desarrollo (MEPyD)  y el INDOTEL tiene como objetivo impulsar el desarrollo integral de la Zona Fronteriza compuesta por las provincias de Monte Cristi, Dajabón, Santiago Rodríguez, Elías Piña, Baoruco, Independencia y Pedernales, provincias que  pertenecen a la Zona Especial de Desarrollo Integral Fronterizo. </w:t>
      </w:r>
    </w:p>
    <w:p w14:paraId="1BC21B3F" w14:textId="5948E909" w:rsidR="00643D96" w:rsidRPr="00A4233F" w:rsidRDefault="00643D96" w:rsidP="00943FA5">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 xml:space="preserve">Memorándum de colaboración </w:t>
      </w:r>
      <w:r w:rsidR="00115ABC" w:rsidRPr="00A4233F">
        <w:rPr>
          <w:rFonts w:eastAsia="Calibri"/>
          <w:b/>
          <w:color w:val="4C4747"/>
          <w:spacing w:val="20"/>
          <w:lang w:eastAsia="en-US"/>
        </w:rPr>
        <w:t>i</w:t>
      </w:r>
      <w:r w:rsidRPr="00A4233F">
        <w:rPr>
          <w:rFonts w:eastAsia="Calibri"/>
          <w:b/>
          <w:color w:val="4C4747"/>
          <w:spacing w:val="20"/>
          <w:lang w:eastAsia="en-US"/>
        </w:rPr>
        <w:t>nterinstitucional entre el Sistema Único de Beneficiarios (SIUBEN) y el Instituto Dominicano de las Telecomunicaciones (INDOTEL), firmado</w:t>
      </w:r>
      <w:r w:rsidR="00115ABC" w:rsidRPr="00A4233F">
        <w:rPr>
          <w:rFonts w:eastAsia="Calibri"/>
          <w:b/>
          <w:color w:val="4C4747"/>
          <w:spacing w:val="20"/>
          <w:lang w:eastAsia="en-US"/>
        </w:rPr>
        <w:t xml:space="preserve"> el</w:t>
      </w:r>
      <w:r w:rsidRPr="00A4233F">
        <w:rPr>
          <w:rFonts w:eastAsia="Calibri"/>
          <w:b/>
          <w:color w:val="4C4747"/>
          <w:spacing w:val="20"/>
          <w:lang w:eastAsia="en-US"/>
        </w:rPr>
        <w:t xml:space="preserve"> 19 de mayo 2022</w:t>
      </w:r>
    </w:p>
    <w:p w14:paraId="009C0D97" w14:textId="77777777" w:rsidR="00643D96" w:rsidRPr="00A4233F" w:rsidRDefault="00643D96" w:rsidP="00943FA5">
      <w:pPr>
        <w:pStyle w:val="NormalWeb"/>
        <w:spacing w:line="360" w:lineRule="auto"/>
        <w:jc w:val="both"/>
        <w:rPr>
          <w:rFonts w:eastAsia="Calibri"/>
          <w:color w:val="4C4747"/>
          <w:spacing w:val="20"/>
          <w:lang w:eastAsia="en-US"/>
        </w:rPr>
      </w:pPr>
      <w:r w:rsidRPr="00A4233F">
        <w:rPr>
          <w:rFonts w:eastAsia="Calibri"/>
          <w:color w:val="4C4747"/>
          <w:spacing w:val="20"/>
          <w:lang w:eastAsia="en-US"/>
        </w:rPr>
        <w:t>SIUBEN e INDOTEL aunaran esfuerzos con el objetivo de lograr un intercambio de datos de carácter público para lograr la interoperabilidad de las entidades suscribientes para futuros cruces de información requerido por cualquiera de las partes.</w:t>
      </w:r>
    </w:p>
    <w:p w14:paraId="3D25A851" w14:textId="6220CEB4" w:rsidR="00643D96" w:rsidRPr="00A4233F" w:rsidRDefault="00643D96" w:rsidP="00643D96">
      <w:pPr>
        <w:pStyle w:val="NormalWeb"/>
        <w:spacing w:line="360" w:lineRule="auto"/>
        <w:jc w:val="both"/>
        <w:rPr>
          <w:rFonts w:eastAsia="Calibri"/>
          <w:b/>
          <w:color w:val="4C4747"/>
          <w:spacing w:val="20"/>
          <w:lang w:eastAsia="en-US"/>
        </w:rPr>
      </w:pPr>
      <w:r w:rsidRPr="00A4233F">
        <w:rPr>
          <w:rFonts w:eastAsia="Calibri"/>
          <w:b/>
          <w:color w:val="4C4747"/>
          <w:spacing w:val="20"/>
          <w:lang w:eastAsia="en-US"/>
        </w:rPr>
        <w:t xml:space="preserve">Acta de donación de equipos entre la compañía </w:t>
      </w:r>
      <w:r w:rsidR="00115ABC" w:rsidRPr="00A4233F">
        <w:rPr>
          <w:rFonts w:eastAsia="Calibri"/>
          <w:b/>
          <w:color w:val="4C4747"/>
          <w:spacing w:val="20"/>
          <w:lang w:eastAsia="en-US"/>
        </w:rPr>
        <w:t xml:space="preserve">Huawei Technologies Dominicana, </w:t>
      </w:r>
      <w:r w:rsidRPr="00A4233F">
        <w:rPr>
          <w:rFonts w:eastAsia="Calibri"/>
          <w:b/>
          <w:color w:val="4C4747"/>
          <w:spacing w:val="20"/>
          <w:lang w:eastAsia="en-US"/>
        </w:rPr>
        <w:t>el Instituto Dominicano de las Telecomunicaciones (INDOTEL), y el Consejo Nacional para la Niñez y la Adolescencia (CONANI), firmado el 06 de julio 2022</w:t>
      </w:r>
    </w:p>
    <w:p w14:paraId="35720547" w14:textId="77777777" w:rsidR="00E353DD" w:rsidRPr="00A4233F" w:rsidRDefault="00643D96" w:rsidP="00E353DD">
      <w:pPr>
        <w:pStyle w:val="NormalWeb"/>
        <w:spacing w:line="360" w:lineRule="auto"/>
        <w:jc w:val="both"/>
        <w:rPr>
          <w:color w:val="4C4747"/>
          <w:spacing w:val="20"/>
        </w:rPr>
      </w:pPr>
      <w:r w:rsidRPr="00A4233F">
        <w:rPr>
          <w:rFonts w:eastAsia="Calibri"/>
          <w:color w:val="4C4747"/>
          <w:spacing w:val="20"/>
          <w:lang w:eastAsia="en-US"/>
        </w:rPr>
        <w:t>Donación de tabletas por parte de HUAWEI al INDOTEL para ser utilizados y licenciados de forma gratuita al CONANI.</w:t>
      </w:r>
    </w:p>
    <w:p w14:paraId="4CA68337" w14:textId="77777777" w:rsidR="00E353DD" w:rsidRPr="00C62BB6" w:rsidRDefault="00E353DD" w:rsidP="00E353DD">
      <w:pPr>
        <w:pStyle w:val="NormalWeb"/>
        <w:spacing w:line="360" w:lineRule="auto"/>
        <w:jc w:val="both"/>
        <w:rPr>
          <w:color w:val="4C4747"/>
          <w:spacing w:val="20"/>
        </w:rPr>
      </w:pPr>
    </w:p>
    <w:p w14:paraId="01C77F35" w14:textId="77777777" w:rsidR="005D0D8A" w:rsidRPr="00C62BB6" w:rsidRDefault="005D0D8A" w:rsidP="00E353DD">
      <w:pPr>
        <w:pStyle w:val="NormalWeb"/>
        <w:spacing w:line="360" w:lineRule="auto"/>
        <w:jc w:val="both"/>
        <w:rPr>
          <w:color w:val="4C4747"/>
          <w:spacing w:val="20"/>
        </w:rPr>
      </w:pPr>
    </w:p>
    <w:p w14:paraId="5D67D4FE" w14:textId="77777777" w:rsidR="005D0D8A" w:rsidRPr="00C62BB6" w:rsidRDefault="005D0D8A" w:rsidP="00E353DD">
      <w:pPr>
        <w:pStyle w:val="NormalWeb"/>
        <w:spacing w:line="360" w:lineRule="auto"/>
        <w:jc w:val="both"/>
        <w:rPr>
          <w:color w:val="4C4747"/>
          <w:spacing w:val="20"/>
        </w:rPr>
      </w:pPr>
    </w:p>
    <w:p w14:paraId="7362EBB7" w14:textId="77777777" w:rsidR="005D0D8A" w:rsidRPr="00C62BB6" w:rsidRDefault="005D0D8A" w:rsidP="00E353DD">
      <w:pPr>
        <w:pStyle w:val="NormalWeb"/>
        <w:spacing w:line="360" w:lineRule="auto"/>
        <w:jc w:val="both"/>
        <w:rPr>
          <w:color w:val="4C4747"/>
          <w:spacing w:val="20"/>
        </w:rPr>
      </w:pPr>
    </w:p>
    <w:p w14:paraId="32C0B638" w14:textId="014D9887" w:rsidR="009C3427" w:rsidRPr="00C62BB6" w:rsidRDefault="009C3427" w:rsidP="009C3427">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34" w:name="_Toc122425250"/>
      <w:r w:rsidRPr="00C62BB6">
        <w:rPr>
          <w:rFonts w:ascii="Times New Roman" w:eastAsia="Times New Roman" w:hAnsi="Times New Roman" w:cs="Times New Roman"/>
          <w:b/>
          <w:bCs/>
          <w:color w:val="4C4747"/>
          <w:sz w:val="24"/>
          <w:szCs w:val="28"/>
          <w:lang w:val="es-DO" w:eastAsia="es-DO"/>
        </w:rPr>
        <w:lastRenderedPageBreak/>
        <w:t xml:space="preserve">4.8 </w:t>
      </w:r>
      <w:r w:rsidR="00E353DD" w:rsidRPr="00C62BB6">
        <w:rPr>
          <w:rFonts w:ascii="Times New Roman" w:eastAsia="Times New Roman" w:hAnsi="Times New Roman" w:cs="Times New Roman"/>
          <w:b/>
          <w:bCs/>
          <w:color w:val="4C4747"/>
          <w:sz w:val="24"/>
          <w:szCs w:val="28"/>
          <w:lang w:val="es-DO" w:eastAsia="es-DO"/>
        </w:rPr>
        <w:t>Relaciones Internacionales</w:t>
      </w:r>
      <w:bookmarkEnd w:id="34"/>
    </w:p>
    <w:p w14:paraId="0A26927F"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INDOTEL representa al Estado Dominicano ante los organismos internacionales de telecomunicaciones de los que forme parte la República Dominicana, participa en diferentes foros y eventos internacionales, manteniendo relaciones activas de trabajo y cooperación. A estos fines, el INDOTEL se relaciona a nivel internacional con instituciones intergubernamentales, multilaterales y de la sociedad civil en el ámbito de la competencia de las telecomunicaciones/TIC. Las acciones más relevantes realizadas internacionalmente durante el año del 2022 fueron las siguientes: </w:t>
      </w:r>
    </w:p>
    <w:p w14:paraId="0AB3D2E5"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Unión Internacional de Telecomunicaciones (UIT)</w:t>
      </w:r>
    </w:p>
    <w:p w14:paraId="2FAE3FE8" w14:textId="016A51DB" w:rsidR="00E353DD" w:rsidRPr="00A4233F" w:rsidRDefault="002662BB" w:rsidP="00E353DD">
      <w:pPr>
        <w:pStyle w:val="NormalWeb"/>
        <w:spacing w:line="360" w:lineRule="auto"/>
        <w:jc w:val="both"/>
        <w:rPr>
          <w:color w:val="4C4747"/>
          <w:spacing w:val="20"/>
        </w:rPr>
      </w:pPr>
      <w:r w:rsidRPr="00A4233F">
        <w:rPr>
          <w:color w:val="4C4747"/>
          <w:spacing w:val="20"/>
        </w:rPr>
        <w:t>P</w:t>
      </w:r>
      <w:r w:rsidR="00E353DD" w:rsidRPr="00A4233F">
        <w:rPr>
          <w:color w:val="4C4747"/>
          <w:spacing w:val="20"/>
        </w:rPr>
        <w:t>articipació</w:t>
      </w:r>
      <w:r w:rsidRPr="00A4233F">
        <w:rPr>
          <w:color w:val="4C4747"/>
          <w:spacing w:val="20"/>
        </w:rPr>
        <w:t>n en</w:t>
      </w:r>
      <w:r w:rsidR="00E353DD" w:rsidRPr="00A4233F">
        <w:rPr>
          <w:color w:val="4C4747"/>
          <w:spacing w:val="20"/>
        </w:rPr>
        <w:t xml:space="preserve"> la “Conferencia Mundial de Desarrollo de las Telecomunicaciones (CMDT-22)” en Kigali, Rwanda, del 6 al 16 de junio de 2022, con el lema: “Conectar a quienes carecen de conexión para lograr el desarrollo sostenible”. Durante la CM</w:t>
      </w:r>
      <w:r w:rsidR="00FA5426" w:rsidRPr="00A4233F">
        <w:rPr>
          <w:color w:val="4C4747"/>
          <w:spacing w:val="20"/>
        </w:rPr>
        <w:t>DT se desarroll</w:t>
      </w:r>
      <w:r w:rsidR="00E353DD" w:rsidRPr="00A4233F">
        <w:rPr>
          <w:color w:val="4C4747"/>
          <w:spacing w:val="20"/>
        </w:rPr>
        <w:t>ó una Mesa Redonda sobre el Desarrollo Digital Parner2Connect, la cual fue precedida por la Cumbre Mundial de la Juventud Generation Connect. El objetivo de esta conferencia fue definir las estrategias y los objetivos en materia de desarrollo de las telecomunicaciones /TIC, que establecen la orientación y el rumbo futuro del sector de Desarrollo de las Telecomunicaciones de la UIT (UIT-D).</w:t>
      </w:r>
    </w:p>
    <w:p w14:paraId="1A58FB76" w14:textId="77777777" w:rsidR="001332BD" w:rsidRDefault="00E353DD" w:rsidP="00E353DD">
      <w:pPr>
        <w:pStyle w:val="NormalWeb"/>
        <w:spacing w:line="360" w:lineRule="auto"/>
        <w:jc w:val="both"/>
        <w:rPr>
          <w:color w:val="4C4747"/>
          <w:spacing w:val="20"/>
        </w:rPr>
      </w:pPr>
      <w:r w:rsidRPr="00A4233F">
        <w:rPr>
          <w:color w:val="4C4747"/>
          <w:spacing w:val="20"/>
        </w:rPr>
        <w:t xml:space="preserve">“Coloquio sobre Nuevas Tecnologías y Coloquio de Internet (ITEC)”.  Este evento se llevó a cabo del 22 al 26 de junio en México, bajo la organización de la UIT, el objetivo principal fue proveer un foro para análisis y discusión para la adopción de nuevas tecnologías amigables con el medio ambiente y su impacto hacia un futuro limpio y sostenible, identificar soluciones innovadoras, para reducir la brecha digital e incentivar una implementación sostenible y responsable de </w:t>
      </w:r>
    </w:p>
    <w:p w14:paraId="4AD68145" w14:textId="62B39324"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tecnologías nnovadoras. Paralelamente se llevó a cabo el ''Congreso TIC para Latino América'' organizado por Huawei.‎ El tema tratado fue “¿Qué tan preparados están los gobiernos para adoptar tecnologías nuevas y sostenibles‎ que apoyen la resiliencia para la salud?‎”.</w:t>
      </w:r>
    </w:p>
    <w:p w14:paraId="222A13AD" w14:textId="77777777" w:rsidR="00E353DD" w:rsidRPr="00A4233F" w:rsidRDefault="00E353DD" w:rsidP="00E353DD">
      <w:pPr>
        <w:pStyle w:val="NormalWeb"/>
        <w:spacing w:line="360" w:lineRule="auto"/>
        <w:jc w:val="both"/>
        <w:rPr>
          <w:color w:val="4C4747"/>
          <w:spacing w:val="20"/>
        </w:rPr>
      </w:pPr>
      <w:r w:rsidRPr="00A4233F">
        <w:rPr>
          <w:color w:val="4C4747"/>
          <w:spacing w:val="20"/>
        </w:rPr>
        <w:t>Participación en la “Reunión del Grupo Asesor de Desarrollo de las Telecomunicaciones (GADT-20)”, organizado por la UIT, donde se examinaron las prioridades, estrategias, operaciones y cuestiones financieras del Sector de Desarrollo de las Telecomunicaciones de la UIT (UIT-D).</w:t>
      </w:r>
    </w:p>
    <w:p w14:paraId="4341A4FF" w14:textId="633F2ECF" w:rsidR="00E353DD" w:rsidRPr="00A4233F" w:rsidRDefault="00E353DD" w:rsidP="00E353DD">
      <w:pPr>
        <w:pStyle w:val="NormalWeb"/>
        <w:spacing w:line="360" w:lineRule="auto"/>
        <w:jc w:val="both"/>
        <w:rPr>
          <w:color w:val="4C4747"/>
          <w:spacing w:val="20"/>
        </w:rPr>
      </w:pPr>
      <w:r w:rsidRPr="00A4233F">
        <w:rPr>
          <w:color w:val="4C4747"/>
          <w:spacing w:val="20"/>
        </w:rPr>
        <w:t xml:space="preserve">El INDOTEL participó en el cuarto Simposio Mundial de Normalización en el cual se trataron las normas que pueden permitir la transformación digital para lograr los Objetivos de Desarrollo Sostenible. Participo en la “Asamblea Mundial de Normalización de las Telecomunicaciones (AMNT)” durante la AMNT, las administraciones y el sector de la industria elaboran y revisan las normas internacionales conocidas </w:t>
      </w:r>
      <w:r w:rsidR="005D0D8A" w:rsidRPr="00A4233F">
        <w:rPr>
          <w:color w:val="4C4747"/>
          <w:spacing w:val="20"/>
        </w:rPr>
        <w:t>como “Recomendaciones de la UIT”</w:t>
      </w:r>
      <w:r w:rsidRPr="00A4233F">
        <w:rPr>
          <w:color w:val="4C4747"/>
          <w:spacing w:val="20"/>
        </w:rPr>
        <w:t xml:space="preserve"> y las definiciones de la nomenclatura mundial de infraestructuras de las Tecnologías de la Información y la Comunicación (TIC). </w:t>
      </w:r>
    </w:p>
    <w:p w14:paraId="4863999C" w14:textId="781E7DAF" w:rsidR="00E353DD" w:rsidRPr="00A4233F" w:rsidRDefault="00E353DD" w:rsidP="00E353DD">
      <w:pPr>
        <w:pStyle w:val="NormalWeb"/>
        <w:spacing w:line="360" w:lineRule="auto"/>
        <w:jc w:val="both"/>
        <w:rPr>
          <w:color w:val="4C4747"/>
          <w:spacing w:val="20"/>
        </w:rPr>
      </w:pPr>
      <w:r w:rsidRPr="00A4233F">
        <w:rPr>
          <w:color w:val="4C4747"/>
          <w:spacing w:val="20"/>
        </w:rPr>
        <w:t>Se participó en la Conferencia de Plenipotenciarios, es el órgano político supremo de la Unión Internacional de Telecomunicaciones 2022 (PP-22), foro donde los Est</w:t>
      </w:r>
      <w:r w:rsidR="006B3B91" w:rsidRPr="00A4233F">
        <w:rPr>
          <w:color w:val="4C4747"/>
          <w:spacing w:val="20"/>
        </w:rPr>
        <w:t>ados Miembros de la UIT, decidieron</w:t>
      </w:r>
      <w:r w:rsidRPr="00A4233F">
        <w:rPr>
          <w:color w:val="4C4747"/>
          <w:spacing w:val="20"/>
        </w:rPr>
        <w:t xml:space="preserve"> mediante votaciones, cuál será el papel de la organización en el futuro, determinando así su capacidad para influir e intervenir en el desarrollo de las tecnologías de la información y la comunicación (TIC) a nivel mundial. Se adoptó el plan estratégico y financiero  para los próximos cuatro años.</w:t>
      </w:r>
    </w:p>
    <w:p w14:paraId="3008E0BF" w14:textId="77777777"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En el marco de la Conferencia de Plenipotenciarios 2022, en nombre del Gobierno Dominicano, como Estado Miembro, el INDOTEL presentó una declaratoria, en la cual se estableció la posición que asumiría la República Dominicana ante las actas finales de la Conferencia de Plenipotenciarios.</w:t>
      </w:r>
    </w:p>
    <w:p w14:paraId="5FA2C884"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otro pronunciamiento expresado como declaratoria fue “Reservar asimismo para el gobierno de la República Dominicana el derecho a formular cuantas reservas adicionales sean necesarias con respecto a las actas finales aprobadas por la Conferencia de Plenipotenciarios de la Unión Internacional de Telecomunicaciones 2022 (PP-22) hasta que se deposite el instrumento de ratificación pertinente.  </w:t>
      </w:r>
    </w:p>
    <w:p w14:paraId="02F35496" w14:textId="77777777" w:rsidR="00E353DD" w:rsidRPr="00A4233F" w:rsidRDefault="00E353DD" w:rsidP="00E353DD">
      <w:pPr>
        <w:pStyle w:val="NormalWeb"/>
        <w:spacing w:line="360" w:lineRule="auto"/>
        <w:jc w:val="both"/>
        <w:rPr>
          <w:color w:val="4C4747"/>
          <w:spacing w:val="20"/>
        </w:rPr>
      </w:pPr>
      <w:r w:rsidRPr="00A4233F">
        <w:rPr>
          <w:color w:val="4C4747"/>
          <w:spacing w:val="20"/>
        </w:rPr>
        <w:t>Asimismo de cara a los trabajos coordinados por la UIT, el INDOTEL se encuentra impulsando el Partner2Connect (P2C), que es una coalición creada para impulsar la transformación digital de las comunidades más difíciles de conectar, siendo las tecnologías de la información y la comunicación (TIC), la columna vertebral de la economía digital para acelerar el progreso de los Objetivos del Desarrollo Sostenible (ODS). Actualmente la República Dominicana fue  escogida como modelo a seguir en la región y se espera avanzar en alcanzar los Objetivos del Desarrollo Sostenible 2030.</w:t>
      </w:r>
    </w:p>
    <w:p w14:paraId="4C00AFCB" w14:textId="77777777" w:rsidR="00E353DD" w:rsidRPr="00A4233F" w:rsidRDefault="00E353DD" w:rsidP="00E353DD">
      <w:pPr>
        <w:pStyle w:val="NormalWeb"/>
        <w:spacing w:line="360" w:lineRule="auto"/>
        <w:jc w:val="both"/>
        <w:rPr>
          <w:color w:val="4C4747"/>
          <w:spacing w:val="20"/>
        </w:rPr>
      </w:pPr>
      <w:r w:rsidRPr="00A4233F">
        <w:rPr>
          <w:color w:val="4C4747"/>
          <w:spacing w:val="20"/>
        </w:rPr>
        <w:t>Dentro de los compromisos asumidos por República Dominicana se destacan:</w:t>
      </w:r>
    </w:p>
    <w:p w14:paraId="5164EC85"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Mejora de la conectividad para la transformación digital en la República Dominicana, compromiso que cuenta con dos componentes; 1) aumentar la conectividad de banda ancha asequible y de calidad a través del despliegue de infraestructura digital en zonas vulnerables; 2) Ayudar a desarrollar las habilidades digitales </w:t>
      </w:r>
      <w:r w:rsidRPr="00A4233F">
        <w:rPr>
          <w:color w:val="4C4747"/>
          <w:spacing w:val="20"/>
        </w:rPr>
        <w:lastRenderedPageBreak/>
        <w:t xml:space="preserve">de unas 50,000 personas de estos municipios marginados, para que puedan incluirse en el mundo tecnológico. </w:t>
      </w:r>
    </w:p>
    <w:p w14:paraId="27D278C5"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Dentro de los resultados de este avance, será la generación de empleos directos en técnicos en telecomunicaciones e ingenieros civiles. A su vez beneficiará a 26 municipios en su mayoría de la región Sur y zona fronteriza, que no cuentan con redes alámbricas. </w:t>
      </w:r>
    </w:p>
    <w:p w14:paraId="506FD7DC" w14:textId="77777777" w:rsidR="00E353DD" w:rsidRPr="00A4233F" w:rsidRDefault="00E353DD" w:rsidP="00E353DD">
      <w:pPr>
        <w:pStyle w:val="NormalWeb"/>
        <w:spacing w:line="360" w:lineRule="auto"/>
        <w:jc w:val="both"/>
        <w:rPr>
          <w:color w:val="4C4747"/>
          <w:spacing w:val="20"/>
        </w:rPr>
      </w:pPr>
      <w:r w:rsidRPr="00A4233F">
        <w:rPr>
          <w:color w:val="4C4747"/>
          <w:spacing w:val="20"/>
        </w:rPr>
        <w:t>La implementación de la red 5G en la República Dominicana, el despliegue de esta red dará paso a una nueva era digital en el país, que permitirá materializar la Agenda Digital 2030 del gobierno dominicano con la capacidad de conectar varios equipos en un mismo tiempo y facilitando el internet de las cosas. En el proceso de licitación internacional se adjudicaron dos empresas con 70MHz cada una de estas concesionarias.</w:t>
      </w:r>
    </w:p>
    <w:p w14:paraId="6DB8F8E6"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Sandbox regulatorio proyecto en formato campo exploratorio que busca impulsar la innovación e identificar las mejores prácticas que permitan dinamizar el sector de las telecomunicaciones, con este proyecto se trata de facilitar la existencia de nuevos e innovadores modelos de negocios y permitan alcanzar el cierre de la brecha digital. </w:t>
      </w:r>
    </w:p>
    <w:p w14:paraId="6C31718F"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proyecto Canasta Digital Social que tiene por objetivo contribuir a la autonomía e independencia de las mujeres encargadas de sus hogares con condiciones de vulnerabilidad, mediante el uso de internet y tecnologías digitales. </w:t>
      </w:r>
    </w:p>
    <w:p w14:paraId="3FDE6B44"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 xml:space="preserve">Comisión Técnica Regional de Telecomunicaciones (COMTELCA) </w:t>
      </w:r>
    </w:p>
    <w:p w14:paraId="09F3AB5F" w14:textId="77777777" w:rsidR="005D0D8A" w:rsidRPr="00A4233F" w:rsidRDefault="00E353DD" w:rsidP="00E353DD">
      <w:pPr>
        <w:pStyle w:val="NormalWeb"/>
        <w:spacing w:line="360" w:lineRule="auto"/>
        <w:jc w:val="both"/>
        <w:rPr>
          <w:color w:val="4C4747"/>
          <w:spacing w:val="20"/>
        </w:rPr>
      </w:pPr>
      <w:r w:rsidRPr="00A4233F">
        <w:rPr>
          <w:color w:val="4C4747"/>
          <w:spacing w:val="20"/>
        </w:rPr>
        <w:t xml:space="preserve">El INDOTEL participó con la Presidencia de la Comisión Técnica Regional de Telecomunicaciones (COMTELCA) en las reuniones </w:t>
      </w:r>
    </w:p>
    <w:p w14:paraId="52C5F455" w14:textId="64020BC3"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ordinarias de la Junta Directiva para los temas de índole administrativo y financiero de esa institución. Se destacan los diferentes grupos de trabajo de los Comités Jurídicos, de Radiocomunicación, de Normalización y Desarrollo, donde se abordan los temas legales, estatutos, contratos, y acuerdos pertinentes al ámbito de COMTELCA; para este año se ha abordado el tema de las Ciudades Inteligentes.</w:t>
      </w:r>
    </w:p>
    <w:p w14:paraId="0F3B388C"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Durante el año 2022 el INDOTEL como miembro de pleno derecho de la Comisión Técnica Regional de Telecomunicaciones (COMTELCA), entidad especializada del Sistema de Integración Centroamericano (SICA), asumió la Presidencia  Pro Témpore del SICA, para seguir avanzando en el fortalecimiento de los lineamientos regionales establecidos en este organismo, a los fines de continuar el camino hacia el desarrollo de los países miembros de manera sostenible. </w:t>
      </w:r>
    </w:p>
    <w:p w14:paraId="6EFD8083" w14:textId="7A725137" w:rsidR="00E353DD" w:rsidRPr="00A4233F" w:rsidRDefault="00E353DD" w:rsidP="00E353DD">
      <w:pPr>
        <w:pStyle w:val="NormalWeb"/>
        <w:spacing w:line="360" w:lineRule="auto"/>
        <w:jc w:val="both"/>
        <w:rPr>
          <w:color w:val="4C4747"/>
          <w:spacing w:val="20"/>
        </w:rPr>
      </w:pPr>
      <w:r w:rsidRPr="00A4233F">
        <w:rPr>
          <w:color w:val="4C4747"/>
          <w:spacing w:val="20"/>
        </w:rPr>
        <w:t>A través del comité de asuntos jurídicos y aprobado por la junta directiva de COMTELCA, se logró la elaboración del Reglamento de Firma Digital que traerá grandes beneficios como la agilidad e inmediatez, efectividad, reducción de almacenamiento físico de documentos así como disminución de los costos de impresión y facilidades</w:t>
      </w:r>
      <w:r w:rsidR="005D0D8A" w:rsidRPr="00A4233F">
        <w:rPr>
          <w:color w:val="4C4747"/>
          <w:spacing w:val="20"/>
        </w:rPr>
        <w:t xml:space="preserve"> en la aprobación de documentos</w:t>
      </w:r>
    </w:p>
    <w:p w14:paraId="0E380B51" w14:textId="77777777" w:rsidR="00E353DD" w:rsidRPr="00A4233F" w:rsidRDefault="00E353DD" w:rsidP="00E353DD">
      <w:pPr>
        <w:pStyle w:val="NormalWeb"/>
        <w:spacing w:line="360" w:lineRule="auto"/>
        <w:jc w:val="both"/>
        <w:rPr>
          <w:color w:val="4C4747"/>
          <w:spacing w:val="20"/>
        </w:rPr>
      </w:pPr>
      <w:r w:rsidRPr="00A4233F">
        <w:rPr>
          <w:color w:val="4C4747"/>
          <w:spacing w:val="20"/>
        </w:rPr>
        <w:t>Asimismo la República Dominicana fue el anfitrión de la “155 Reunión Ordinaria de la Junta Directiva de COMTELCA”.</w:t>
      </w:r>
    </w:p>
    <w:p w14:paraId="1716E14B"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Comisión Interamericana de Telecomunicaciones (CITEL)</w:t>
      </w:r>
    </w:p>
    <w:p w14:paraId="360643C9" w14:textId="77777777" w:rsidR="00565AD0" w:rsidRPr="00A4233F" w:rsidRDefault="00E353DD" w:rsidP="00E353DD">
      <w:pPr>
        <w:pStyle w:val="NormalWeb"/>
        <w:spacing w:line="360" w:lineRule="auto"/>
        <w:jc w:val="both"/>
        <w:rPr>
          <w:color w:val="4C4747"/>
          <w:spacing w:val="20"/>
        </w:rPr>
      </w:pPr>
      <w:r w:rsidRPr="00A4233F">
        <w:rPr>
          <w:color w:val="4C4747"/>
          <w:spacing w:val="20"/>
        </w:rPr>
        <w:t>El INDOTEL participó en la “VIII Asamblea Ordinaria de la CITEL y en la 39 reunión del Comité Directivo de la CITEL (COM/CITEL)”, celebrada en Washington del 16 al 18 de febrero. El objetivo de esta</w:t>
      </w:r>
    </w:p>
    <w:p w14:paraId="63CDBCEE" w14:textId="60E4A923"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Asamblea fue la elección de los miembros que presidirán los Comités Consultivos Permanente I y II y el Comité Directivo Permanente (COM/CITEL).</w:t>
      </w:r>
    </w:p>
    <w:p w14:paraId="71E8C15F" w14:textId="03A9525B" w:rsidR="00E353DD" w:rsidRPr="00A4233F" w:rsidRDefault="00E353DD" w:rsidP="00E353DD">
      <w:pPr>
        <w:pStyle w:val="NormalWeb"/>
        <w:spacing w:line="360" w:lineRule="auto"/>
        <w:jc w:val="both"/>
        <w:rPr>
          <w:color w:val="4C4747"/>
          <w:spacing w:val="20"/>
        </w:rPr>
      </w:pPr>
      <w:r w:rsidRPr="00A4233F">
        <w:rPr>
          <w:color w:val="4C4747"/>
          <w:spacing w:val="20"/>
        </w:rPr>
        <w:t>La Comisión Interamericana de Telecomunicaciones (CITEL) conjuntamente con el INDOTEL suscribió un M</w:t>
      </w:r>
      <w:r w:rsidR="00556352" w:rsidRPr="00A4233F">
        <w:rPr>
          <w:color w:val="4C4747"/>
          <w:spacing w:val="20"/>
        </w:rPr>
        <w:t xml:space="preserve">emorando de Entendimiento para </w:t>
      </w:r>
      <w:r w:rsidRPr="00A4233F">
        <w:rPr>
          <w:color w:val="4C4747"/>
          <w:spacing w:val="20"/>
        </w:rPr>
        <w:t>acompañamiento técnico, con el objetivo de establecer un marco de cooperación entre las partes en materia de telecomunicaciones y TIC, de acuerdo con las reglas aplicables a las mismas y a los tratados internacionales en los que sean parte, sobre una base de equidad, reciprocidad y beneficio mutuo.</w:t>
      </w:r>
    </w:p>
    <w:p w14:paraId="442EB36E" w14:textId="1DEB473B" w:rsidR="00E353DD" w:rsidRPr="00A4233F" w:rsidRDefault="00E353DD" w:rsidP="00E353DD">
      <w:pPr>
        <w:pStyle w:val="NormalWeb"/>
        <w:spacing w:line="360" w:lineRule="auto"/>
        <w:jc w:val="both"/>
        <w:rPr>
          <w:color w:val="4C4747"/>
          <w:spacing w:val="20"/>
        </w:rPr>
      </w:pPr>
      <w:r w:rsidRPr="00A4233F">
        <w:rPr>
          <w:color w:val="4C4747"/>
          <w:spacing w:val="20"/>
        </w:rPr>
        <w:t>Siendo el fin principal de ayudar a implementar en la República Dominicana las recomendaciones aprobadas por el Comité Directivo de la CITEL, que contiene las iniciativas para la expansión de las telecomunicaciones TIC en áreas rurales y en áreas desatendidas para conectar los no conectados con miras a fortalecer e implementa</w:t>
      </w:r>
      <w:r w:rsidR="00565AD0" w:rsidRPr="00A4233F">
        <w:rPr>
          <w:color w:val="4C4747"/>
          <w:spacing w:val="20"/>
        </w:rPr>
        <w:t>r la agenda digital en el país.</w:t>
      </w:r>
    </w:p>
    <w:p w14:paraId="4EA66E68"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Comité Consultivo Permanente I de la CITEL (CCP.I)</w:t>
      </w:r>
    </w:p>
    <w:p w14:paraId="61E677C0"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A su vez, el INDOTEL ha tenido varias participaciones en el CCPI de manera virtual y presencial. Dentro de los diferentes grupos de trabajo del Comité Consultivo Permanente I (CCPI). República Dominicana se beneficiará de estas acciones, debido a que fue declarado mediante el Decreto Presidencial 539-20 el acceso a un internet de banda ancha como derecho fundamental. </w:t>
      </w:r>
    </w:p>
    <w:p w14:paraId="618CF723" w14:textId="49375DDD" w:rsidR="00E353DD" w:rsidRPr="00A4233F" w:rsidRDefault="00E353DD" w:rsidP="00E353DD">
      <w:pPr>
        <w:pStyle w:val="NormalWeb"/>
        <w:spacing w:line="360" w:lineRule="auto"/>
        <w:jc w:val="both"/>
        <w:rPr>
          <w:color w:val="4C4747"/>
          <w:spacing w:val="20"/>
        </w:rPr>
      </w:pPr>
      <w:r w:rsidRPr="00A4233F">
        <w:rPr>
          <w:color w:val="4C4747"/>
          <w:spacing w:val="20"/>
        </w:rPr>
        <w:t xml:space="preserve">Los temas abordados durante el año </w:t>
      </w:r>
      <w:r w:rsidR="006B3B91" w:rsidRPr="00A4233F">
        <w:rPr>
          <w:color w:val="4C4747"/>
          <w:spacing w:val="20"/>
        </w:rPr>
        <w:t>fueron</w:t>
      </w:r>
      <w:r w:rsidRPr="00A4233F">
        <w:rPr>
          <w:color w:val="4C4747"/>
          <w:spacing w:val="20"/>
        </w:rPr>
        <w:t>:</w:t>
      </w:r>
    </w:p>
    <w:p w14:paraId="77F1D340" w14:textId="07C509B0"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 xml:space="preserve">Protección de los derechos de usuarios y calidad de los servicios de telecomunicaciones  </w:t>
      </w:r>
    </w:p>
    <w:p w14:paraId="134240C7" w14:textId="2D116288"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lastRenderedPageBreak/>
        <w:t xml:space="preserve">Aspectos económicos de telecomunicaciones  </w:t>
      </w:r>
    </w:p>
    <w:p w14:paraId="6FBBD5F3" w14:textId="0EFDBAB9"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 xml:space="preserve">Banda ancha, acceso universal, inclusión digital y equidad de género. </w:t>
      </w:r>
    </w:p>
    <w:p w14:paraId="140BCC4F" w14:textId="36F11157"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 xml:space="preserve">Conformidad, control de fraude, y dispositivos móviles ilegales o irregulares  </w:t>
      </w:r>
    </w:p>
    <w:p w14:paraId="23A99E16" w14:textId="5933110B"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 xml:space="preserve">Ciberseguridad, privacidad y protección de datos, evaluación de la vulnerabilidad y construcción de confianza  </w:t>
      </w:r>
    </w:p>
    <w:p w14:paraId="3D226BFD" w14:textId="1721B60E"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 xml:space="preserve">Prevención, respuesta y mitigación de catástrofes. TIC y cambio climático, protección del medio ambiente y economía circular </w:t>
      </w:r>
    </w:p>
    <w:p w14:paraId="6C959303" w14:textId="0351EF83"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 xml:space="preserve">Interoperabilidad, infraestructura, conectividad, numeración, servicios y aplicaciones, incluyendo la internet y la conectividad </w:t>
      </w:r>
    </w:p>
    <w:p w14:paraId="4135CC95" w14:textId="795E1F72" w:rsidR="00E353DD" w:rsidRPr="00A4233F" w:rsidRDefault="00E353DD" w:rsidP="00A02BDE">
      <w:pPr>
        <w:pStyle w:val="NormalWeb"/>
        <w:numPr>
          <w:ilvl w:val="0"/>
          <w:numId w:val="32"/>
        </w:numPr>
        <w:spacing w:line="360" w:lineRule="auto"/>
        <w:jc w:val="both"/>
        <w:rPr>
          <w:color w:val="4C4747"/>
          <w:spacing w:val="20"/>
        </w:rPr>
      </w:pPr>
      <w:r w:rsidRPr="00A4233F">
        <w:rPr>
          <w:color w:val="4C4747"/>
          <w:spacing w:val="20"/>
        </w:rPr>
        <w:t>Innovación tecnológica, economía digital, internet de las cosas, comunidades y ciudades inteligentes</w:t>
      </w:r>
    </w:p>
    <w:p w14:paraId="4BE59EC5" w14:textId="51BB19C0" w:rsidR="00E353DD" w:rsidRPr="00A4233F" w:rsidRDefault="00E353DD" w:rsidP="00E353DD">
      <w:pPr>
        <w:pStyle w:val="NormalWeb"/>
        <w:spacing w:line="360" w:lineRule="auto"/>
        <w:jc w:val="both"/>
        <w:rPr>
          <w:color w:val="4C4747"/>
          <w:spacing w:val="20"/>
        </w:rPr>
      </w:pPr>
      <w:r w:rsidRPr="00A4233F">
        <w:rPr>
          <w:color w:val="4C4747"/>
          <w:spacing w:val="20"/>
        </w:rPr>
        <w:t>Esta acción va a encaminar al país a cerrar la brecha digital, y más adelante podrá adjuntar todas las demás iniciativas una vez haya un mayor alcance a las tecnologías, como es el caso de la protección de los derechos de usuario</w:t>
      </w:r>
      <w:r w:rsidR="00565AD0" w:rsidRPr="00A4233F">
        <w:rPr>
          <w:color w:val="4C4747"/>
          <w:spacing w:val="20"/>
        </w:rPr>
        <w:t>s, ciberseguridad, entre otros.</w:t>
      </w:r>
    </w:p>
    <w:p w14:paraId="71664C8F"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Comité Consultivo Permanente II</w:t>
      </w:r>
    </w:p>
    <w:p w14:paraId="7C93ED4D" w14:textId="77777777" w:rsidR="00E353DD" w:rsidRPr="00A4233F" w:rsidRDefault="00E353DD" w:rsidP="00E353DD">
      <w:pPr>
        <w:pStyle w:val="NormalWeb"/>
        <w:spacing w:line="360" w:lineRule="auto"/>
        <w:jc w:val="both"/>
        <w:rPr>
          <w:color w:val="4C4747"/>
          <w:spacing w:val="20"/>
        </w:rPr>
      </w:pPr>
      <w:r w:rsidRPr="00A4233F">
        <w:rPr>
          <w:color w:val="4C4747"/>
          <w:spacing w:val="20"/>
        </w:rPr>
        <w:t>Con relación a la participación del INDOTEL en el grupo de trabajo del Comité Consultivo Permanente II (CCPII), indicamos los principales temas en beneficio del país y la región:</w:t>
      </w:r>
    </w:p>
    <w:p w14:paraId="52039DC8" w14:textId="1E7EBCEA" w:rsidR="00E353DD" w:rsidRPr="00A4233F" w:rsidRDefault="00E353DD" w:rsidP="00A02BDE">
      <w:pPr>
        <w:pStyle w:val="NormalWeb"/>
        <w:numPr>
          <w:ilvl w:val="0"/>
          <w:numId w:val="34"/>
        </w:numPr>
        <w:spacing w:line="360" w:lineRule="auto"/>
        <w:jc w:val="both"/>
        <w:rPr>
          <w:color w:val="4C4747"/>
          <w:spacing w:val="20"/>
        </w:rPr>
      </w:pPr>
      <w:r w:rsidRPr="00A4233F">
        <w:rPr>
          <w:color w:val="4C4747"/>
          <w:spacing w:val="20"/>
        </w:rPr>
        <w:t xml:space="preserve">Armonización de la banda de los 6 Ghz para telecomunicaciones móviles (Servicios inalámbricos de última generación, más conectividad y banda ancha)  </w:t>
      </w:r>
    </w:p>
    <w:p w14:paraId="6FC8D067" w14:textId="6C10E625" w:rsidR="00E353DD" w:rsidRPr="00A4233F" w:rsidRDefault="00E353DD" w:rsidP="00A02BDE">
      <w:pPr>
        <w:pStyle w:val="NormalWeb"/>
        <w:numPr>
          <w:ilvl w:val="0"/>
          <w:numId w:val="33"/>
        </w:numPr>
        <w:spacing w:line="360" w:lineRule="auto"/>
        <w:jc w:val="both"/>
        <w:rPr>
          <w:color w:val="4C4747"/>
          <w:spacing w:val="20"/>
        </w:rPr>
      </w:pPr>
      <w:r w:rsidRPr="00A4233F">
        <w:rPr>
          <w:color w:val="4C4747"/>
          <w:spacing w:val="20"/>
        </w:rPr>
        <w:lastRenderedPageBreak/>
        <w:t>Preparatoria de los temas para la próxima conferencia mundial de radiocomunicaciones CMR-23</w:t>
      </w:r>
    </w:p>
    <w:p w14:paraId="05EFFBF4" w14:textId="5F5A185E" w:rsidR="00E353DD" w:rsidRPr="00A4233F" w:rsidRDefault="00E353DD" w:rsidP="00A02BDE">
      <w:pPr>
        <w:pStyle w:val="NormalWeb"/>
        <w:numPr>
          <w:ilvl w:val="0"/>
          <w:numId w:val="33"/>
        </w:numPr>
        <w:spacing w:line="360" w:lineRule="auto"/>
        <w:jc w:val="both"/>
        <w:rPr>
          <w:color w:val="4C4747"/>
          <w:spacing w:val="20"/>
        </w:rPr>
      </w:pPr>
      <w:r w:rsidRPr="00A4233F">
        <w:rPr>
          <w:color w:val="4C4747"/>
          <w:spacing w:val="20"/>
        </w:rPr>
        <w:t>Innovación tecnológica, economía digital, internet de las cosas, comunidades y ciudades inteligentes.</w:t>
      </w:r>
    </w:p>
    <w:p w14:paraId="62A16EEB" w14:textId="1E65C2F7" w:rsidR="00E353DD" w:rsidRPr="00A4233F" w:rsidRDefault="00E353DD" w:rsidP="00A02BDE">
      <w:pPr>
        <w:pStyle w:val="NormalWeb"/>
        <w:numPr>
          <w:ilvl w:val="0"/>
          <w:numId w:val="33"/>
        </w:numPr>
        <w:spacing w:line="360" w:lineRule="auto"/>
        <w:jc w:val="both"/>
        <w:rPr>
          <w:color w:val="4C4747"/>
          <w:spacing w:val="20"/>
        </w:rPr>
      </w:pPr>
      <w:r w:rsidRPr="00A4233F">
        <w:rPr>
          <w:color w:val="4C4747"/>
          <w:spacing w:val="20"/>
        </w:rPr>
        <w:t>Documento de COMTELCA compilatorio del proceso de actualización de los Cuadros, Tablas, Planes Nacionales de Atribución de Bandas de Frecuencias, para la región de Centro América y en Caribe en armonización con la región II.</w:t>
      </w:r>
    </w:p>
    <w:p w14:paraId="528FEB8D"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Sistemas 5G y Salud Humana y la oportunidad económica de 5G NB-IoT NTN</w:t>
      </w:r>
    </w:p>
    <w:p w14:paraId="764C5FD4" w14:textId="77777777" w:rsidR="00E353DD" w:rsidRPr="00A4233F" w:rsidRDefault="00E353DD" w:rsidP="00E353DD">
      <w:pPr>
        <w:pStyle w:val="NormalWeb"/>
        <w:spacing w:line="360" w:lineRule="auto"/>
        <w:jc w:val="both"/>
        <w:rPr>
          <w:color w:val="4C4747"/>
          <w:spacing w:val="20"/>
        </w:rPr>
      </w:pPr>
      <w:r w:rsidRPr="00A4233F">
        <w:rPr>
          <w:color w:val="4C4747"/>
          <w:spacing w:val="20"/>
        </w:rPr>
        <w:t>Tendencia regional a mediano y largo plazo respecto del uso de la banda de frecuencias 5925-7125 MHz (6 GHz) en los países de COMTELCA.</w:t>
      </w:r>
    </w:p>
    <w:p w14:paraId="6B053F86" w14:textId="77777777" w:rsidR="00E353DD" w:rsidRPr="00A4233F" w:rsidRDefault="00E353DD" w:rsidP="00E353DD">
      <w:pPr>
        <w:pStyle w:val="NormalWeb"/>
        <w:spacing w:line="360" w:lineRule="auto"/>
        <w:jc w:val="both"/>
        <w:rPr>
          <w:color w:val="4C4747"/>
          <w:spacing w:val="20"/>
        </w:rPr>
      </w:pPr>
      <w:r w:rsidRPr="00A4233F">
        <w:rPr>
          <w:color w:val="4C4747"/>
          <w:spacing w:val="20"/>
        </w:rPr>
        <w:t>Proyecto de decisión sobre la respuesta a la declaración de coordinación para las actualizaciones de la armonización regional del uso del espectro por RSTT.</w:t>
      </w:r>
    </w:p>
    <w:p w14:paraId="7363EFB4"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Cooperación Internacional y Relaciones Bilaterales</w:t>
      </w:r>
    </w:p>
    <w:p w14:paraId="5BEFC746" w14:textId="77777777" w:rsidR="00E353DD" w:rsidRPr="00A4233F" w:rsidRDefault="00E353DD" w:rsidP="00E353DD">
      <w:pPr>
        <w:pStyle w:val="NormalWeb"/>
        <w:spacing w:line="360" w:lineRule="auto"/>
        <w:jc w:val="both"/>
        <w:rPr>
          <w:color w:val="4C4747"/>
          <w:spacing w:val="20"/>
        </w:rPr>
      </w:pPr>
      <w:r w:rsidRPr="00A4233F">
        <w:rPr>
          <w:color w:val="4C4747"/>
          <w:spacing w:val="20"/>
        </w:rPr>
        <w:t>Resaltamos el Proyecto Reglamento para la gestión integral de los Residuos de Aparatos Eléctricos y Electrónicos (RAEE). En donde la Unión Internacional de Telecomunicaciones (UIT), actualmente está ofreciendo apoyo al INDOTEL y al Ministerio de Medio Ambiente y Recursos Naturales (MIMARENA), instituciones del Gobierno dominicano, en el desarrollo de un reglamento dedicado a la gestión y disposición final de desechos electrónicos.</w:t>
      </w:r>
    </w:p>
    <w:p w14:paraId="5D524ED7" w14:textId="639A5C8B" w:rsidR="00565AD0" w:rsidRPr="00A4233F" w:rsidRDefault="00E353DD" w:rsidP="00E353DD">
      <w:pPr>
        <w:pStyle w:val="NormalWeb"/>
        <w:spacing w:line="360" w:lineRule="auto"/>
        <w:jc w:val="both"/>
        <w:rPr>
          <w:color w:val="4C4747"/>
          <w:spacing w:val="20"/>
        </w:rPr>
      </w:pPr>
      <w:r w:rsidRPr="00A4233F">
        <w:rPr>
          <w:color w:val="4C4747"/>
          <w:spacing w:val="20"/>
        </w:rPr>
        <w:t xml:space="preserve">El impacto directo que tendría la realización de este proyecto es reducir y optimizar el consumo de recursos naturales, sobre todo agua y energía. </w:t>
      </w:r>
    </w:p>
    <w:p w14:paraId="72CFC397"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lastRenderedPageBreak/>
        <w:t xml:space="preserve">Centro INDOTEL </w:t>
      </w:r>
    </w:p>
    <w:p w14:paraId="44B03833"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Centro INDOTEL Cultura Digital es un lugar donde se difunde y fomenta la cultura digital y la innovación así como también se expone la historia de las telecomunicaciones a través de los protagonistas que fueron esculpiendo la historia de la radio, la televisión y el internet en nuestro país. </w:t>
      </w:r>
    </w:p>
    <w:p w14:paraId="3768C835"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Centro INDOTEL, es un punto de encuentro y espacio abierto para promover el uso de las herramientas de las tecnologías de la información y la comunicación, implementar proyectos, generar experiencias y formar personas que sean agentes de cambio y de la transformación digital, a través de una amplia oferta de actividades educativas que incluyen talleres y cursos especializados en tecnologías digitales y charlas educativas. </w:t>
      </w:r>
    </w:p>
    <w:p w14:paraId="198E1559" w14:textId="58048BBA" w:rsidR="00E353DD" w:rsidRPr="00A4233F" w:rsidRDefault="00E353DD" w:rsidP="00E353DD">
      <w:pPr>
        <w:pStyle w:val="NormalWeb"/>
        <w:spacing w:line="360" w:lineRule="auto"/>
        <w:jc w:val="both"/>
        <w:rPr>
          <w:color w:val="4C4747"/>
          <w:spacing w:val="20"/>
        </w:rPr>
      </w:pPr>
      <w:r w:rsidRPr="00A4233F">
        <w:rPr>
          <w:color w:val="4C4747"/>
          <w:spacing w:val="20"/>
        </w:rPr>
        <w:t>En el año 2022 las visitas se incrementaron en más de un 100%, considerando que se recibieron más de 45,000 visitantes incluyendo dos eventos importantes como fueron la Feria del Li</w:t>
      </w:r>
      <w:r w:rsidR="00565AD0" w:rsidRPr="00A4233F">
        <w:rPr>
          <w:color w:val="4C4747"/>
          <w:spacing w:val="20"/>
        </w:rPr>
        <w:t>bro y la Noche Larga de Museos.</w:t>
      </w:r>
    </w:p>
    <w:p w14:paraId="7AD5A51C"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 xml:space="preserve">Exhibiciones Educativas y Paneles </w:t>
      </w:r>
    </w:p>
    <w:p w14:paraId="7EF37015" w14:textId="4D3EAA39" w:rsidR="00565AD0" w:rsidRPr="00A4233F" w:rsidRDefault="00E353DD" w:rsidP="00E353DD">
      <w:pPr>
        <w:pStyle w:val="NormalWeb"/>
        <w:spacing w:line="360" w:lineRule="auto"/>
        <w:jc w:val="both"/>
        <w:rPr>
          <w:color w:val="4C4747"/>
          <w:spacing w:val="20"/>
        </w:rPr>
      </w:pPr>
      <w:r w:rsidRPr="00A4233F">
        <w:rPr>
          <w:color w:val="4C4747"/>
          <w:spacing w:val="20"/>
        </w:rPr>
        <w:t>Exhibici</w:t>
      </w:r>
      <w:r w:rsidR="00565AD0" w:rsidRPr="00A4233F">
        <w:rPr>
          <w:color w:val="4C4747"/>
          <w:spacing w:val="20"/>
        </w:rPr>
        <w:t>ón de las mujeres en la ciencia</w:t>
      </w:r>
    </w:p>
    <w:p w14:paraId="453C0CDC" w14:textId="5C1FDFA5" w:rsidR="00E353DD" w:rsidRPr="00A4233F" w:rsidRDefault="00E353DD" w:rsidP="00E353DD">
      <w:pPr>
        <w:pStyle w:val="NormalWeb"/>
        <w:spacing w:line="360" w:lineRule="auto"/>
        <w:jc w:val="both"/>
        <w:rPr>
          <w:color w:val="4C4747"/>
          <w:spacing w:val="20"/>
        </w:rPr>
      </w:pPr>
      <w:r w:rsidRPr="00A4233F">
        <w:rPr>
          <w:color w:val="4C4747"/>
          <w:spacing w:val="20"/>
        </w:rPr>
        <w:t xml:space="preserve">La “Exposición de las Mujeres en la Ciencia”, abarcó los aportes de mujeres destacadas en la tecnología y la ciencia, la misma se encontraba de manera física y virtual. Fueron invitados colegios de todo el país con la finalidad de involucrar a las niñas, niños y jóvenes en la ciencia, tecnología, ingeniería, matemáticas y en el ámbito del apoyo de la mujer en la ciencia. </w:t>
      </w:r>
    </w:p>
    <w:p w14:paraId="2BC63A0D" w14:textId="78151CE1" w:rsidR="00E353DD" w:rsidRPr="005A11A8" w:rsidRDefault="00E353DD" w:rsidP="00E353DD">
      <w:pPr>
        <w:pStyle w:val="NormalWeb"/>
        <w:spacing w:line="360" w:lineRule="auto"/>
        <w:jc w:val="both"/>
        <w:rPr>
          <w:color w:val="4C4747"/>
          <w:spacing w:val="20"/>
        </w:rPr>
      </w:pPr>
      <w:r w:rsidRPr="005A11A8">
        <w:rPr>
          <w:color w:val="4C4747"/>
          <w:spacing w:val="20"/>
        </w:rPr>
        <w:lastRenderedPageBreak/>
        <w:t xml:space="preserve">Exposición Televisión Terrestre Digital “El Camino a la Transmisión Digital” </w:t>
      </w:r>
    </w:p>
    <w:p w14:paraId="7D68D9BC" w14:textId="4CAAA188" w:rsidR="00E353DD" w:rsidRPr="00A4233F" w:rsidRDefault="00E353DD" w:rsidP="00E353DD">
      <w:pPr>
        <w:pStyle w:val="NormalWeb"/>
        <w:spacing w:line="360" w:lineRule="auto"/>
        <w:jc w:val="both"/>
        <w:rPr>
          <w:color w:val="4C4747"/>
          <w:spacing w:val="20"/>
        </w:rPr>
      </w:pPr>
      <w:r w:rsidRPr="00A4233F">
        <w:rPr>
          <w:color w:val="4C4747"/>
          <w:spacing w:val="20"/>
        </w:rPr>
        <w:t>En el marco de la semana de las Telecomunicaciones y de la Sociedad de la Información, se realizó la exposición “El camino a la Transmisión Digital” la cual fue presentada junto a la televisora Color Visión, la primera transmisión de la televisión digital e</w:t>
      </w:r>
      <w:r w:rsidR="00565AD0" w:rsidRPr="00A4233F">
        <w:rPr>
          <w:color w:val="4C4747"/>
          <w:spacing w:val="20"/>
        </w:rPr>
        <w:t xml:space="preserve">n el país. </w:t>
      </w:r>
    </w:p>
    <w:p w14:paraId="3A75F849" w14:textId="5D01CB36" w:rsidR="00E353DD" w:rsidRPr="00A4233F" w:rsidRDefault="00E353DD" w:rsidP="00E353DD">
      <w:pPr>
        <w:pStyle w:val="NormalWeb"/>
        <w:spacing w:line="360" w:lineRule="auto"/>
        <w:jc w:val="both"/>
        <w:rPr>
          <w:color w:val="4C4747"/>
          <w:spacing w:val="20"/>
        </w:rPr>
      </w:pPr>
      <w:r w:rsidRPr="00A4233F">
        <w:rPr>
          <w:color w:val="4C4747"/>
          <w:spacing w:val="20"/>
        </w:rPr>
        <w:t>Panel “Nuevas tendencias y tecnologías para la industria de la radio”</w:t>
      </w:r>
    </w:p>
    <w:p w14:paraId="5AC2CD14" w14:textId="77777777" w:rsidR="00E353DD" w:rsidRPr="00A4233F" w:rsidRDefault="00E353DD" w:rsidP="00E353DD">
      <w:pPr>
        <w:pStyle w:val="NormalWeb"/>
        <w:spacing w:line="360" w:lineRule="auto"/>
        <w:jc w:val="both"/>
        <w:rPr>
          <w:color w:val="4C4747"/>
          <w:spacing w:val="20"/>
        </w:rPr>
      </w:pPr>
      <w:r w:rsidRPr="00A4233F">
        <w:rPr>
          <w:color w:val="4C4747"/>
          <w:spacing w:val="20"/>
        </w:rPr>
        <w:t>El evento sirvió para conocer la evolución en los hábitos de consumo de los radioescuchas, el impacto de las plataformas digitales, los nuevos canales de consumo; así como también los retos que tienen el sector por delante y la importancia de la radio y la contribución social que desempeña en las sociedades.</w:t>
      </w:r>
    </w:p>
    <w:p w14:paraId="7E4259D2" w14:textId="28DDD0FA" w:rsidR="00E353DD" w:rsidRPr="00A4233F" w:rsidRDefault="00E353DD" w:rsidP="00E353DD">
      <w:pPr>
        <w:pStyle w:val="NormalWeb"/>
        <w:spacing w:line="360" w:lineRule="auto"/>
        <w:jc w:val="both"/>
        <w:rPr>
          <w:color w:val="4C4747"/>
          <w:spacing w:val="20"/>
        </w:rPr>
      </w:pPr>
      <w:r w:rsidRPr="00A4233F">
        <w:rPr>
          <w:color w:val="4C4747"/>
          <w:spacing w:val="20"/>
        </w:rPr>
        <w:t xml:space="preserve">Panel “Ciberbullying, Prevención y Manejo” </w:t>
      </w:r>
    </w:p>
    <w:p w14:paraId="15FE8DE4" w14:textId="2D616A56" w:rsidR="00E353DD" w:rsidRPr="00A4233F" w:rsidRDefault="00E353DD" w:rsidP="00E353DD">
      <w:pPr>
        <w:pStyle w:val="NormalWeb"/>
        <w:spacing w:line="360" w:lineRule="auto"/>
        <w:jc w:val="both"/>
        <w:rPr>
          <w:color w:val="4C4747"/>
          <w:spacing w:val="20"/>
        </w:rPr>
      </w:pPr>
      <w:r w:rsidRPr="00A4233F">
        <w:rPr>
          <w:color w:val="4C4747"/>
          <w:spacing w:val="20"/>
        </w:rPr>
        <w:t xml:space="preserve">El evento se llevó a cabo junto a la Fundación MAFRE durante el mismo se explicaron las consecuencias legales de un mal uso de las redes sociales así como la importancia del uso seguro del internet en </w:t>
      </w:r>
      <w:r w:rsidR="00565AD0" w:rsidRPr="00A4233F">
        <w:rPr>
          <w:color w:val="4C4747"/>
          <w:spacing w:val="20"/>
        </w:rPr>
        <w:t xml:space="preserve">niños, niñas y adolescentes.   </w:t>
      </w:r>
    </w:p>
    <w:p w14:paraId="619612E2"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Eventos Conmemorativos y homenajes</w:t>
      </w:r>
    </w:p>
    <w:p w14:paraId="555F44A3" w14:textId="60A6D20C" w:rsidR="00E353DD" w:rsidRPr="00A4233F" w:rsidRDefault="00E353DD" w:rsidP="00E353DD">
      <w:pPr>
        <w:pStyle w:val="NormalWeb"/>
        <w:spacing w:line="360" w:lineRule="auto"/>
        <w:jc w:val="both"/>
        <w:rPr>
          <w:color w:val="4C4747"/>
          <w:spacing w:val="20"/>
        </w:rPr>
      </w:pPr>
      <w:r w:rsidRPr="00A4233F">
        <w:rPr>
          <w:color w:val="4C4747"/>
          <w:spacing w:val="20"/>
        </w:rPr>
        <w:t xml:space="preserve">Conmemoración del Día de la Mujer y homenaje a Anita Ontiveros </w:t>
      </w:r>
    </w:p>
    <w:p w14:paraId="42D90791"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Se rindió un homenaje a Anita Ontiveros. En este se desveló un mural en honor a la productora, editora, camarógrafa y directora de televisión, con una larga trayectoria en el mundo televisivo. </w:t>
      </w:r>
    </w:p>
    <w:p w14:paraId="582C0DE3" w14:textId="77777777" w:rsidR="00BB4D02" w:rsidRDefault="00BB4D02" w:rsidP="00E353DD">
      <w:pPr>
        <w:pStyle w:val="NormalWeb"/>
        <w:spacing w:line="360" w:lineRule="auto"/>
        <w:jc w:val="both"/>
        <w:rPr>
          <w:color w:val="4C4747"/>
          <w:spacing w:val="20"/>
        </w:rPr>
      </w:pPr>
    </w:p>
    <w:p w14:paraId="1B04242A" w14:textId="7AD4FE48"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Celebración del Día Mundial de la Radio</w:t>
      </w:r>
    </w:p>
    <w:p w14:paraId="63DF64BC" w14:textId="3969C4AF" w:rsidR="00E353DD" w:rsidRPr="00A4233F" w:rsidRDefault="00E353DD" w:rsidP="00E353DD">
      <w:pPr>
        <w:pStyle w:val="NormalWeb"/>
        <w:spacing w:line="360" w:lineRule="auto"/>
        <w:jc w:val="both"/>
        <w:rPr>
          <w:color w:val="4C4747"/>
          <w:spacing w:val="20"/>
        </w:rPr>
      </w:pPr>
      <w:r w:rsidRPr="00A4233F">
        <w:rPr>
          <w:color w:val="4C4747"/>
          <w:spacing w:val="20"/>
        </w:rPr>
        <w:t>Desde el Centro INDOTEL fue celebrado el Día Mundial de la Radio. En el mismo se reunieron diferentes actores que inciden dentro de la radiofonía nacional para hacer un balance sobre la realidad del sector en la actualidad y crear consensos necesarios para enfrentar los reto</w:t>
      </w:r>
      <w:r w:rsidR="00565AD0" w:rsidRPr="00A4233F">
        <w:rPr>
          <w:color w:val="4C4747"/>
          <w:spacing w:val="20"/>
        </w:rPr>
        <w:t xml:space="preserve">s de la radio hacia el futuro. </w:t>
      </w:r>
    </w:p>
    <w:p w14:paraId="0C2865C1"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 xml:space="preserve">Eventos educativos </w:t>
      </w:r>
    </w:p>
    <w:p w14:paraId="04D44E58" w14:textId="2D1D8F83" w:rsidR="00E353DD" w:rsidRPr="00A4233F" w:rsidRDefault="00E353DD" w:rsidP="00E353DD">
      <w:pPr>
        <w:pStyle w:val="NormalWeb"/>
        <w:spacing w:line="360" w:lineRule="auto"/>
        <w:jc w:val="both"/>
        <w:rPr>
          <w:color w:val="4C4747"/>
          <w:spacing w:val="20"/>
        </w:rPr>
      </w:pPr>
      <w:r w:rsidRPr="00A4233F">
        <w:rPr>
          <w:color w:val="4C4747"/>
          <w:spacing w:val="20"/>
        </w:rPr>
        <w:t>CLUB CTIM</w:t>
      </w:r>
    </w:p>
    <w:p w14:paraId="5FCE4668"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El 18 de febrero se dio inicio al CLUB CTIM dirigido a niñas del colegio Divina Pastora de la comunidad de Santa Bárbara, en los grados 4to, 5to y 6to. Este club es una serie de talleres tecnológicos que se imparten todos los viernes de 2:00 pm a 3:30 pm. </w:t>
      </w:r>
    </w:p>
    <w:p w14:paraId="076FE5B7" w14:textId="77777777" w:rsidR="00E353DD" w:rsidRPr="00A4233F" w:rsidRDefault="00E353DD" w:rsidP="00E353DD">
      <w:pPr>
        <w:pStyle w:val="NormalWeb"/>
        <w:spacing w:line="360" w:lineRule="auto"/>
        <w:jc w:val="both"/>
        <w:rPr>
          <w:color w:val="4C4747"/>
          <w:spacing w:val="20"/>
        </w:rPr>
      </w:pPr>
      <w:r w:rsidRPr="00A4233F">
        <w:rPr>
          <w:color w:val="4C4747"/>
          <w:spacing w:val="20"/>
        </w:rPr>
        <w:t>El objetivo general de este club es desarrollar la vocación en materia de ciencia, tecnología, ingeniería y matemáticas, disminuyendo la brecha de género y digital, fomentando en las jóvenes el pensamiento crítico y el sentimiento haca la tecnología y la innovación, impulsando el uso de las TIC.</w:t>
      </w:r>
    </w:p>
    <w:p w14:paraId="6ACC6077" w14:textId="62176A75" w:rsidR="00E353DD" w:rsidRPr="00A4233F" w:rsidRDefault="00E353DD" w:rsidP="00E353DD">
      <w:pPr>
        <w:pStyle w:val="NormalWeb"/>
        <w:spacing w:line="360" w:lineRule="auto"/>
        <w:jc w:val="both"/>
        <w:rPr>
          <w:color w:val="4C4747"/>
          <w:spacing w:val="20"/>
        </w:rPr>
      </w:pPr>
      <w:r w:rsidRPr="00A4233F">
        <w:rPr>
          <w:color w:val="4C4747"/>
          <w:spacing w:val="20"/>
        </w:rPr>
        <w:t xml:space="preserve">Feria del Libro </w:t>
      </w:r>
    </w:p>
    <w:p w14:paraId="3D9D9DE8"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Este año participamos en la XXIV Feria Internacional del Libro realizada en la zona colonial, siendo cede del pabellón de negocios de la misma. En el Centro se realizaron diversas actividades en el marco de la feria como son charlas, conferencias, proyecciones cinematográficas, conversatorios, talleres, entre otros. </w:t>
      </w:r>
    </w:p>
    <w:p w14:paraId="29AB458B" w14:textId="77777777" w:rsidR="00565AD0" w:rsidRPr="00A4233F" w:rsidRDefault="00E353DD" w:rsidP="00E353DD">
      <w:pPr>
        <w:pStyle w:val="NormalWeb"/>
        <w:spacing w:line="360" w:lineRule="auto"/>
        <w:jc w:val="both"/>
        <w:rPr>
          <w:color w:val="4C4747"/>
          <w:spacing w:val="20"/>
        </w:rPr>
      </w:pPr>
      <w:r w:rsidRPr="00A4233F">
        <w:rPr>
          <w:color w:val="4C4747"/>
          <w:spacing w:val="20"/>
        </w:rPr>
        <w:t>De igual forma fuimos cede de la transmisión de Radio Francia para todo el mundo. En nuestro museo recibimos más de 13,000 personas</w:t>
      </w:r>
    </w:p>
    <w:p w14:paraId="62BF9DAD" w14:textId="6BC6525E"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que se dieron cita para disfrutar del recorrido y conocer la historia de las telecomunicaciones.</w:t>
      </w:r>
    </w:p>
    <w:p w14:paraId="6C10F23A" w14:textId="375BEA7D" w:rsidR="00E353DD" w:rsidRPr="00A4233F" w:rsidRDefault="00E353DD" w:rsidP="00E353DD">
      <w:pPr>
        <w:pStyle w:val="NormalWeb"/>
        <w:spacing w:line="360" w:lineRule="auto"/>
        <w:jc w:val="both"/>
        <w:rPr>
          <w:color w:val="4C4747"/>
          <w:spacing w:val="20"/>
        </w:rPr>
      </w:pPr>
      <w:r w:rsidRPr="00A4233F">
        <w:rPr>
          <w:color w:val="4C4747"/>
          <w:spacing w:val="20"/>
        </w:rPr>
        <w:t>Noche larga de Museo</w:t>
      </w:r>
    </w:p>
    <w:p w14:paraId="612988FD" w14:textId="77777777" w:rsidR="00E353DD" w:rsidRPr="00A4233F" w:rsidRDefault="00E353DD" w:rsidP="00E353DD">
      <w:pPr>
        <w:pStyle w:val="NormalWeb"/>
        <w:spacing w:line="360" w:lineRule="auto"/>
        <w:jc w:val="both"/>
        <w:rPr>
          <w:color w:val="4C4747"/>
          <w:spacing w:val="20"/>
        </w:rPr>
      </w:pPr>
      <w:r w:rsidRPr="00A4233F">
        <w:rPr>
          <w:color w:val="4C4747"/>
          <w:spacing w:val="20"/>
        </w:rPr>
        <w:t>Fiesta interinstitucional cultural llena de emociones y actividades para la familia en coordinación con el Ministerio de Cultura, con diferentes y atractivas actividades enfocadas en el conocimiento y entretenimiento, entre ellas taller de manualidades donde los niños fueron los protagonistas, música en vivo, películas, entrevistas y obra de teatro de calle.</w:t>
      </w:r>
    </w:p>
    <w:p w14:paraId="11793DBC"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Eventos</w:t>
      </w:r>
      <w:r w:rsidRPr="00A4233F">
        <w:rPr>
          <w:b/>
          <w:color w:val="4C4747"/>
          <w:spacing w:val="20"/>
        </w:rPr>
        <w:tab/>
      </w:r>
    </w:p>
    <w:p w14:paraId="4987EC62" w14:textId="783A9B99" w:rsidR="00E353DD" w:rsidRPr="00A4233F" w:rsidRDefault="00E353DD" w:rsidP="00E353DD">
      <w:pPr>
        <w:pStyle w:val="NormalWeb"/>
        <w:spacing w:line="360" w:lineRule="auto"/>
        <w:jc w:val="both"/>
        <w:rPr>
          <w:color w:val="4C4747"/>
          <w:spacing w:val="20"/>
        </w:rPr>
      </w:pPr>
      <w:r w:rsidRPr="00A4233F">
        <w:rPr>
          <w:color w:val="4C4747"/>
          <w:spacing w:val="20"/>
        </w:rPr>
        <w:t>Sede y soporte para que además del INDOTEL, otras entidades y/o empresas puedan desarrollar sus eventos en los espacios del Centro INDOTEL, promoviendo así la co</w:t>
      </w:r>
      <w:r w:rsidR="00565AD0" w:rsidRPr="00A4233F">
        <w:rPr>
          <w:color w:val="4C4747"/>
          <w:spacing w:val="20"/>
        </w:rPr>
        <w:t xml:space="preserve">laboración interinstitucional. </w:t>
      </w:r>
    </w:p>
    <w:p w14:paraId="7E844716" w14:textId="77777777" w:rsidR="00E353DD" w:rsidRPr="00A4233F" w:rsidRDefault="00E353DD" w:rsidP="00E353DD">
      <w:pPr>
        <w:pStyle w:val="NormalWeb"/>
        <w:spacing w:line="360" w:lineRule="auto"/>
        <w:jc w:val="both"/>
        <w:rPr>
          <w:b/>
          <w:color w:val="4C4747"/>
          <w:spacing w:val="20"/>
        </w:rPr>
      </w:pPr>
      <w:r w:rsidRPr="00A4233F">
        <w:rPr>
          <w:b/>
          <w:color w:val="4C4747"/>
          <w:spacing w:val="20"/>
        </w:rPr>
        <w:t>Proyectos que Promueven la Cultura Digital</w:t>
      </w:r>
    </w:p>
    <w:p w14:paraId="33A80EE1" w14:textId="5C3F8B09" w:rsidR="00E353DD" w:rsidRPr="00A4233F" w:rsidRDefault="00E353DD" w:rsidP="00E353DD">
      <w:pPr>
        <w:pStyle w:val="NormalWeb"/>
        <w:spacing w:line="360" w:lineRule="auto"/>
        <w:jc w:val="both"/>
        <w:rPr>
          <w:color w:val="4C4747"/>
          <w:spacing w:val="20"/>
        </w:rPr>
      </w:pPr>
      <w:r w:rsidRPr="00A4233F">
        <w:rPr>
          <w:color w:val="4C4747"/>
          <w:spacing w:val="20"/>
        </w:rPr>
        <w:t>Talentos TIC</w:t>
      </w:r>
    </w:p>
    <w:p w14:paraId="75B4C344" w14:textId="570E8FAD" w:rsidR="00E353DD" w:rsidRPr="00A4233F" w:rsidRDefault="00E353DD" w:rsidP="00E353DD">
      <w:pPr>
        <w:pStyle w:val="NormalWeb"/>
        <w:spacing w:line="360" w:lineRule="auto"/>
        <w:jc w:val="both"/>
        <w:rPr>
          <w:color w:val="4C4747"/>
          <w:spacing w:val="20"/>
        </w:rPr>
      </w:pPr>
      <w:r w:rsidRPr="00A4233F">
        <w:rPr>
          <w:color w:val="4C4747"/>
          <w:spacing w:val="20"/>
        </w:rPr>
        <w:t>Se tuvo la participación de 30 talentos donde presentaron su testimonio sobre sus logros personales y como estas carreras TIC le abrieron puerta en el desarrollo personal. Este proyecto tiene como objetivo promocionar las carreras TIC</w:t>
      </w:r>
      <w:r w:rsidR="00565AD0" w:rsidRPr="00A4233F">
        <w:rPr>
          <w:color w:val="4C4747"/>
          <w:spacing w:val="20"/>
        </w:rPr>
        <w:t xml:space="preserve"> entre los jóvenes dominicanos.</w:t>
      </w:r>
    </w:p>
    <w:p w14:paraId="32B3F912" w14:textId="185721F3" w:rsidR="00E353DD" w:rsidRPr="00A4233F" w:rsidRDefault="00E353DD" w:rsidP="00E353DD">
      <w:pPr>
        <w:pStyle w:val="NormalWeb"/>
        <w:spacing w:line="360" w:lineRule="auto"/>
        <w:jc w:val="both"/>
        <w:rPr>
          <w:color w:val="4C4747"/>
          <w:spacing w:val="20"/>
        </w:rPr>
      </w:pPr>
      <w:r w:rsidRPr="00A4233F">
        <w:rPr>
          <w:color w:val="4C4747"/>
          <w:spacing w:val="20"/>
        </w:rPr>
        <w:t>Centro INDOTEL en tu Comunidad</w:t>
      </w:r>
    </w:p>
    <w:p w14:paraId="3D66FAA3" w14:textId="77777777" w:rsidR="00E353DD" w:rsidRPr="00A4233F" w:rsidRDefault="00E353DD" w:rsidP="00E353DD">
      <w:pPr>
        <w:pStyle w:val="NormalWeb"/>
        <w:spacing w:line="360" w:lineRule="auto"/>
        <w:jc w:val="both"/>
        <w:rPr>
          <w:color w:val="4C4747"/>
          <w:spacing w:val="20"/>
        </w:rPr>
      </w:pPr>
      <w:r w:rsidRPr="00A4233F">
        <w:rPr>
          <w:color w:val="4C4747"/>
          <w:spacing w:val="20"/>
        </w:rPr>
        <w:t>Fue creada la visita guiada de manera virtual al museo ubicado en el Centro INDOTEL, esto con la finalidad de motivar a directores y maestros a visitar el museo promoviendo la cultura digital.</w:t>
      </w:r>
    </w:p>
    <w:p w14:paraId="32AA038D" w14:textId="77777777" w:rsidR="00E353DD" w:rsidRPr="005A11A8" w:rsidRDefault="00E353DD" w:rsidP="00E353DD">
      <w:pPr>
        <w:pStyle w:val="NormalWeb"/>
        <w:spacing w:line="360" w:lineRule="auto"/>
        <w:jc w:val="both"/>
        <w:rPr>
          <w:color w:val="4C4747"/>
          <w:spacing w:val="20"/>
        </w:rPr>
      </w:pPr>
    </w:p>
    <w:p w14:paraId="3F5704E0" w14:textId="61BE1ECC" w:rsidR="00E353DD" w:rsidRPr="00A4233F" w:rsidRDefault="00E353DD" w:rsidP="00E353DD">
      <w:pPr>
        <w:pStyle w:val="NormalWeb"/>
        <w:spacing w:line="360" w:lineRule="auto"/>
        <w:jc w:val="both"/>
        <w:rPr>
          <w:color w:val="4C4747"/>
          <w:spacing w:val="20"/>
        </w:rPr>
      </w:pPr>
      <w:r w:rsidRPr="00A4233F">
        <w:rPr>
          <w:color w:val="4C4747"/>
          <w:spacing w:val="20"/>
        </w:rPr>
        <w:lastRenderedPageBreak/>
        <w:t xml:space="preserve">Proyecto testimonio </w:t>
      </w:r>
    </w:p>
    <w:p w14:paraId="0862D840" w14:textId="77777777" w:rsidR="00E353DD" w:rsidRPr="00A4233F" w:rsidRDefault="00E353DD" w:rsidP="00E353DD">
      <w:pPr>
        <w:pStyle w:val="NormalWeb"/>
        <w:spacing w:line="360" w:lineRule="auto"/>
        <w:jc w:val="both"/>
        <w:rPr>
          <w:color w:val="4C4747"/>
          <w:spacing w:val="20"/>
        </w:rPr>
      </w:pPr>
      <w:r w:rsidRPr="00A4233F">
        <w:rPr>
          <w:color w:val="4C4747"/>
          <w:spacing w:val="20"/>
        </w:rPr>
        <w:t xml:space="preserve">Se tuvo la participación de 12 testimonios que persigue recoger las voces de los protagonistas de la radiodifusión, la televisión y el internet en República Dominicana. El proyecto testimonio trabaja en la grabación audiovisual y levantamiento de los recuerdos, vivencias, documentos e informaciones de quienes fueron las figuras relevantes en los diferentes períodos de la historia y desarrollo de los medios tecnológicos de información y comunicación en nuestro país, en especial, de la radio, la televisión y el internet. </w:t>
      </w:r>
    </w:p>
    <w:p w14:paraId="1A1A6CD2" w14:textId="0451EA3C" w:rsidR="00E353DD" w:rsidRPr="00A4233F" w:rsidRDefault="00E353DD" w:rsidP="00E353DD">
      <w:pPr>
        <w:pStyle w:val="NormalWeb"/>
        <w:spacing w:line="360" w:lineRule="auto"/>
        <w:jc w:val="both"/>
        <w:rPr>
          <w:color w:val="4C4747"/>
          <w:spacing w:val="20"/>
        </w:rPr>
      </w:pPr>
      <w:r w:rsidRPr="00A4233F">
        <w:rPr>
          <w:color w:val="4C4747"/>
          <w:spacing w:val="20"/>
        </w:rPr>
        <w:t>El proyecto será parte del acervo cultural de la nación y se le enviará copia al Archivo General de la Nación para que pueda ser consultado por investigadores e historiadores del área de los medios de comunicación y estudiantes en g</w:t>
      </w:r>
      <w:r w:rsidR="00565AD0" w:rsidRPr="00A4233F">
        <w:rPr>
          <w:color w:val="4C4747"/>
          <w:spacing w:val="20"/>
        </w:rPr>
        <w:t xml:space="preserve">eneral interesados en el tema. </w:t>
      </w:r>
    </w:p>
    <w:p w14:paraId="5593B31F" w14:textId="77777777" w:rsidR="00565AD0" w:rsidRPr="00A4233F" w:rsidRDefault="00565AD0" w:rsidP="00E353DD">
      <w:pPr>
        <w:pStyle w:val="NormalWeb"/>
        <w:spacing w:line="360" w:lineRule="auto"/>
        <w:jc w:val="both"/>
        <w:rPr>
          <w:color w:val="4C4747"/>
          <w:spacing w:val="20"/>
        </w:rPr>
      </w:pPr>
    </w:p>
    <w:p w14:paraId="1E4B965D" w14:textId="77777777" w:rsidR="00565AD0" w:rsidRPr="00A4233F" w:rsidRDefault="00565AD0" w:rsidP="00E353DD">
      <w:pPr>
        <w:pStyle w:val="NormalWeb"/>
        <w:spacing w:line="360" w:lineRule="auto"/>
        <w:jc w:val="both"/>
        <w:rPr>
          <w:color w:val="4C4747"/>
          <w:spacing w:val="20"/>
        </w:rPr>
      </w:pPr>
    </w:p>
    <w:p w14:paraId="54D4290D" w14:textId="77777777" w:rsidR="00565AD0" w:rsidRPr="00A4233F" w:rsidRDefault="00565AD0" w:rsidP="00E353DD">
      <w:pPr>
        <w:pStyle w:val="NormalWeb"/>
        <w:spacing w:line="360" w:lineRule="auto"/>
        <w:jc w:val="both"/>
        <w:rPr>
          <w:color w:val="4C4747"/>
          <w:spacing w:val="20"/>
        </w:rPr>
      </w:pPr>
    </w:p>
    <w:p w14:paraId="6A37CB8F" w14:textId="77777777" w:rsidR="00565AD0" w:rsidRPr="00A4233F" w:rsidRDefault="00565AD0" w:rsidP="00E353DD">
      <w:pPr>
        <w:pStyle w:val="NormalWeb"/>
        <w:spacing w:line="360" w:lineRule="auto"/>
        <w:jc w:val="both"/>
        <w:rPr>
          <w:color w:val="4C4747"/>
          <w:spacing w:val="20"/>
        </w:rPr>
      </w:pPr>
    </w:p>
    <w:p w14:paraId="7989261B" w14:textId="77777777" w:rsidR="00565AD0" w:rsidRPr="00A4233F" w:rsidRDefault="00565AD0" w:rsidP="00E353DD">
      <w:pPr>
        <w:pStyle w:val="NormalWeb"/>
        <w:spacing w:line="360" w:lineRule="auto"/>
        <w:jc w:val="both"/>
        <w:rPr>
          <w:color w:val="4C4747"/>
          <w:spacing w:val="20"/>
        </w:rPr>
      </w:pPr>
    </w:p>
    <w:p w14:paraId="1D87CF00" w14:textId="77777777" w:rsidR="00565AD0" w:rsidRPr="00A4233F" w:rsidRDefault="00565AD0" w:rsidP="00E353DD">
      <w:pPr>
        <w:pStyle w:val="NormalWeb"/>
        <w:spacing w:line="360" w:lineRule="auto"/>
        <w:jc w:val="both"/>
        <w:rPr>
          <w:color w:val="4C4747"/>
          <w:spacing w:val="20"/>
        </w:rPr>
      </w:pPr>
    </w:p>
    <w:p w14:paraId="7E1CE9C5" w14:textId="77777777" w:rsidR="00565AD0" w:rsidRPr="005A11A8" w:rsidRDefault="00565AD0" w:rsidP="00E353DD">
      <w:pPr>
        <w:pStyle w:val="NormalWeb"/>
        <w:spacing w:line="360" w:lineRule="auto"/>
        <w:jc w:val="both"/>
        <w:rPr>
          <w:color w:val="4C4747"/>
          <w:spacing w:val="20"/>
        </w:rPr>
      </w:pPr>
    </w:p>
    <w:p w14:paraId="3641224E" w14:textId="77777777" w:rsidR="00565AD0" w:rsidRPr="005A11A8" w:rsidRDefault="00565AD0" w:rsidP="00E353DD">
      <w:pPr>
        <w:pStyle w:val="NormalWeb"/>
        <w:spacing w:line="360" w:lineRule="auto"/>
        <w:jc w:val="both"/>
        <w:rPr>
          <w:color w:val="4C4747"/>
          <w:spacing w:val="20"/>
        </w:rPr>
      </w:pPr>
    </w:p>
    <w:p w14:paraId="7BCDC800" w14:textId="77777777" w:rsidR="00565AD0" w:rsidRPr="005A11A8" w:rsidRDefault="00565AD0" w:rsidP="00E353DD">
      <w:pPr>
        <w:pStyle w:val="NormalWeb"/>
        <w:spacing w:line="360" w:lineRule="auto"/>
        <w:jc w:val="both"/>
        <w:rPr>
          <w:color w:val="4C4747"/>
          <w:spacing w:val="20"/>
        </w:rPr>
      </w:pPr>
    </w:p>
    <w:p w14:paraId="207E94A6" w14:textId="77777777" w:rsidR="00565AD0" w:rsidRPr="005A11A8" w:rsidRDefault="00565AD0" w:rsidP="00E353DD">
      <w:pPr>
        <w:pStyle w:val="NormalWeb"/>
        <w:spacing w:line="360" w:lineRule="auto"/>
        <w:jc w:val="both"/>
        <w:rPr>
          <w:color w:val="4C4747"/>
          <w:spacing w:val="20"/>
        </w:rPr>
      </w:pPr>
    </w:p>
    <w:p w14:paraId="627BA791" w14:textId="77777777" w:rsidR="00E353DD" w:rsidRPr="005A11A8" w:rsidRDefault="00E353DD" w:rsidP="00E353DD">
      <w:pPr>
        <w:pStyle w:val="NormalWeb"/>
        <w:spacing w:line="360" w:lineRule="auto"/>
        <w:jc w:val="both"/>
        <w:rPr>
          <w:b/>
          <w:color w:val="4C4747"/>
          <w:spacing w:val="20"/>
        </w:rPr>
      </w:pPr>
      <w:r w:rsidRPr="005A11A8">
        <w:rPr>
          <w:b/>
          <w:color w:val="4C4747"/>
          <w:spacing w:val="20"/>
        </w:rPr>
        <w:lastRenderedPageBreak/>
        <w:t>Comisión de Integridad Gubernamental y Complimiento Normativo (CIGCN)</w:t>
      </w:r>
    </w:p>
    <w:p w14:paraId="50768C33" w14:textId="4A145B69" w:rsidR="00E353DD" w:rsidRPr="005A11A8" w:rsidRDefault="00E353DD" w:rsidP="00E353DD">
      <w:pPr>
        <w:pStyle w:val="NormalWeb"/>
        <w:spacing w:line="360" w:lineRule="auto"/>
        <w:jc w:val="both"/>
        <w:rPr>
          <w:color w:val="4C4747"/>
          <w:spacing w:val="20"/>
        </w:rPr>
      </w:pPr>
      <w:r w:rsidRPr="005A11A8">
        <w:rPr>
          <w:color w:val="4C4747"/>
          <w:spacing w:val="20"/>
        </w:rPr>
        <w:t>Dando cumplimiento a lo establecido en el Decreto Presidencial número 791-2 el viernes 27 de mayo 2022, se llevó a cabo en el INDOTEL la votación de manera digital para elegir los miembros de la Comisión de Integridad Gubernamental y Cumplimiento Normativo (CIGCN), los colaboradores que resultaron seleccionados fueron dado a conocer a todo el personal el día 03 de junio de 2022.</w:t>
      </w:r>
    </w:p>
    <w:p w14:paraId="6EED67A0" w14:textId="4BA32946" w:rsidR="00E353DD" w:rsidRPr="005A11A8" w:rsidRDefault="00E353DD" w:rsidP="00E353DD">
      <w:pPr>
        <w:pStyle w:val="NormalWeb"/>
        <w:spacing w:line="360" w:lineRule="auto"/>
        <w:jc w:val="both"/>
        <w:rPr>
          <w:color w:val="4C4747"/>
          <w:spacing w:val="20"/>
        </w:rPr>
      </w:pPr>
      <w:r w:rsidRPr="005A11A8">
        <w:rPr>
          <w:color w:val="4C4747"/>
          <w:spacing w:val="20"/>
        </w:rPr>
        <w:t xml:space="preserve">En cumplimento con lo establecido por la DIGEIG, CIGCN, se realizaron capacitaciones para los miembros elegidos, requisito obligatorio como parte del proceso de formación para la habilitación y posterior juramentación </w:t>
      </w:r>
      <w:r w:rsidR="006B3B91" w:rsidRPr="005A11A8">
        <w:rPr>
          <w:color w:val="4C4747"/>
          <w:spacing w:val="20"/>
        </w:rPr>
        <w:t>de los miembros de la CIGCN</w:t>
      </w:r>
      <w:r w:rsidRPr="005A11A8">
        <w:rPr>
          <w:color w:val="4C4747"/>
          <w:spacing w:val="20"/>
        </w:rPr>
        <w:t>.</w:t>
      </w:r>
    </w:p>
    <w:p w14:paraId="24AD62EE" w14:textId="44C1CD26" w:rsidR="00E353DD" w:rsidRPr="005A11A8" w:rsidRDefault="00E353DD" w:rsidP="00E353DD">
      <w:pPr>
        <w:pStyle w:val="NormalWeb"/>
        <w:spacing w:line="360" w:lineRule="auto"/>
        <w:jc w:val="both"/>
        <w:rPr>
          <w:color w:val="4C4747"/>
          <w:spacing w:val="20"/>
        </w:rPr>
      </w:pPr>
      <w:r w:rsidRPr="005A11A8">
        <w:rPr>
          <w:color w:val="4C4747"/>
          <w:spacing w:val="20"/>
        </w:rPr>
        <w:t>Agotado el proceso de formación citado,</w:t>
      </w:r>
      <w:r w:rsidR="006B3B91" w:rsidRPr="005A11A8">
        <w:rPr>
          <w:color w:val="4C4747"/>
          <w:spacing w:val="20"/>
        </w:rPr>
        <w:t xml:space="preserve"> la CIGCN fue convocada para </w:t>
      </w:r>
      <w:r w:rsidRPr="005A11A8">
        <w:rPr>
          <w:color w:val="4C4747"/>
          <w:spacing w:val="20"/>
        </w:rPr>
        <w:t>l</w:t>
      </w:r>
      <w:r w:rsidR="006B3B91" w:rsidRPr="005A11A8">
        <w:rPr>
          <w:color w:val="4C4747"/>
          <w:spacing w:val="20"/>
        </w:rPr>
        <w:t xml:space="preserve">a habilitación y juramentación </w:t>
      </w:r>
      <w:r w:rsidRPr="005A11A8">
        <w:rPr>
          <w:color w:val="4C4747"/>
          <w:spacing w:val="20"/>
        </w:rPr>
        <w:t>el 18 al 20 de octubre de 2022 de manera conjunta con otras comisiones de diferentes instituciones.</w:t>
      </w:r>
    </w:p>
    <w:p w14:paraId="2AB91D67" w14:textId="77777777" w:rsidR="00E353DD" w:rsidRPr="005A11A8" w:rsidRDefault="00E353DD" w:rsidP="00E353DD">
      <w:pPr>
        <w:pStyle w:val="NormalWeb"/>
        <w:spacing w:line="360" w:lineRule="auto"/>
        <w:jc w:val="both"/>
        <w:rPr>
          <w:color w:val="4C4747"/>
          <w:spacing w:val="20"/>
        </w:rPr>
      </w:pPr>
      <w:r w:rsidRPr="005A11A8">
        <w:rPr>
          <w:color w:val="4C4747"/>
          <w:spacing w:val="20"/>
        </w:rPr>
        <w:t>A requerimiento de la DIGEIG se está trabajando en el proceso de revisión y actualización del Código de Integridad y en la elaboración del borrador, para ser publicado el viernes 09 de diciembre de 2022.</w:t>
      </w:r>
    </w:p>
    <w:p w14:paraId="1AA9C333" w14:textId="77777777" w:rsidR="00E353DD" w:rsidRPr="005A11A8" w:rsidRDefault="00E353DD" w:rsidP="00E353DD">
      <w:pPr>
        <w:pStyle w:val="NormalWeb"/>
        <w:spacing w:line="360" w:lineRule="auto"/>
        <w:jc w:val="both"/>
        <w:rPr>
          <w:color w:val="4C4747"/>
          <w:spacing w:val="20"/>
        </w:rPr>
      </w:pPr>
    </w:p>
    <w:p w14:paraId="33196678" w14:textId="77777777" w:rsidR="00565AD0" w:rsidRPr="005A11A8" w:rsidRDefault="00565AD0" w:rsidP="00E353DD">
      <w:pPr>
        <w:pStyle w:val="NormalWeb"/>
        <w:spacing w:line="360" w:lineRule="auto"/>
        <w:jc w:val="both"/>
        <w:rPr>
          <w:color w:val="4C4747"/>
          <w:spacing w:val="20"/>
        </w:rPr>
      </w:pPr>
    </w:p>
    <w:p w14:paraId="707CCBFA" w14:textId="77777777" w:rsidR="00565AD0" w:rsidRPr="005A11A8" w:rsidRDefault="00565AD0" w:rsidP="00E353DD">
      <w:pPr>
        <w:pStyle w:val="NormalWeb"/>
        <w:spacing w:line="360" w:lineRule="auto"/>
        <w:jc w:val="both"/>
        <w:rPr>
          <w:color w:val="4C4747"/>
          <w:spacing w:val="20"/>
        </w:rPr>
      </w:pPr>
    </w:p>
    <w:p w14:paraId="7EAA3379" w14:textId="77777777" w:rsidR="00565AD0" w:rsidRPr="005A11A8" w:rsidRDefault="00565AD0" w:rsidP="00E353DD">
      <w:pPr>
        <w:pStyle w:val="NormalWeb"/>
        <w:spacing w:line="360" w:lineRule="auto"/>
        <w:jc w:val="both"/>
        <w:rPr>
          <w:color w:val="4C4747"/>
          <w:spacing w:val="20"/>
        </w:rPr>
      </w:pPr>
    </w:p>
    <w:p w14:paraId="62859A52" w14:textId="77777777" w:rsidR="00565AD0" w:rsidRPr="005A11A8" w:rsidRDefault="00565AD0" w:rsidP="00E353DD">
      <w:pPr>
        <w:pStyle w:val="NormalWeb"/>
        <w:spacing w:line="360" w:lineRule="auto"/>
        <w:jc w:val="both"/>
        <w:rPr>
          <w:color w:val="4C4747"/>
          <w:spacing w:val="20"/>
        </w:rPr>
      </w:pPr>
    </w:p>
    <w:p w14:paraId="368DC44E" w14:textId="77777777" w:rsidR="00565AD0" w:rsidRPr="005A11A8" w:rsidRDefault="00565AD0" w:rsidP="00E353DD">
      <w:pPr>
        <w:pStyle w:val="NormalWeb"/>
        <w:spacing w:line="360" w:lineRule="auto"/>
        <w:jc w:val="both"/>
        <w:rPr>
          <w:color w:val="4C4747"/>
          <w:spacing w:val="20"/>
        </w:rPr>
      </w:pPr>
    </w:p>
    <w:p w14:paraId="16CD9C96" w14:textId="46B2055D" w:rsidR="00565AD0" w:rsidRPr="005A11A8" w:rsidRDefault="00565AD0" w:rsidP="00E353DD">
      <w:pPr>
        <w:pStyle w:val="NormalWeb"/>
        <w:spacing w:line="360" w:lineRule="auto"/>
        <w:jc w:val="both"/>
        <w:rPr>
          <w:b/>
          <w:color w:val="4C4747"/>
          <w:spacing w:val="20"/>
        </w:rPr>
      </w:pPr>
      <w:r w:rsidRPr="005A11A8">
        <w:rPr>
          <w:b/>
          <w:color w:val="4C4747"/>
          <w:spacing w:val="20"/>
        </w:rPr>
        <w:lastRenderedPageBreak/>
        <w:t xml:space="preserve">Consejo Directivo </w:t>
      </w:r>
    </w:p>
    <w:p w14:paraId="644BB029" w14:textId="43E6396B" w:rsidR="00565AD0" w:rsidRPr="005A11A8" w:rsidRDefault="00513ACC" w:rsidP="00E353DD">
      <w:pPr>
        <w:pStyle w:val="NormalWeb"/>
        <w:spacing w:line="360" w:lineRule="auto"/>
        <w:jc w:val="both"/>
        <w:rPr>
          <w:color w:val="4C4747"/>
          <w:spacing w:val="20"/>
        </w:rPr>
      </w:pPr>
      <w:r>
        <w:rPr>
          <w:color w:val="4C4747"/>
          <w:spacing w:val="20"/>
        </w:rPr>
        <w:t xml:space="preserve">Resoluciones emitidas </w:t>
      </w:r>
      <w:r w:rsidR="00565AD0" w:rsidRPr="005A11A8">
        <w:rPr>
          <w:color w:val="4C4747"/>
          <w:spacing w:val="20"/>
        </w:rPr>
        <w:t xml:space="preserve">el </w:t>
      </w:r>
      <w:r>
        <w:rPr>
          <w:color w:val="4C4747"/>
          <w:spacing w:val="20"/>
        </w:rPr>
        <w:t xml:space="preserve">Consejo Directivo del INDOTEL durante el año 2022:  </w:t>
      </w:r>
    </w:p>
    <w:tbl>
      <w:tblPr>
        <w:tblStyle w:val="Tablaconcuadrcula"/>
        <w:tblW w:w="7920" w:type="dxa"/>
        <w:tblInd w:w="-5" w:type="dxa"/>
        <w:tblLook w:val="04A0" w:firstRow="1" w:lastRow="0" w:firstColumn="1" w:lastColumn="0" w:noHBand="0" w:noVBand="1"/>
      </w:tblPr>
      <w:tblGrid>
        <w:gridCol w:w="5220"/>
        <w:gridCol w:w="2700"/>
      </w:tblGrid>
      <w:tr w:rsidR="00565AD0" w:rsidRPr="002713B0" w14:paraId="4C93498B" w14:textId="77777777" w:rsidTr="00565AD0">
        <w:trPr>
          <w:trHeight w:val="440"/>
          <w:tblHeader/>
        </w:trPr>
        <w:tc>
          <w:tcPr>
            <w:tcW w:w="5220" w:type="dxa"/>
            <w:shd w:val="clear" w:color="auto" w:fill="002060"/>
          </w:tcPr>
          <w:p w14:paraId="39D55A3E" w14:textId="77777777" w:rsidR="00565AD0" w:rsidRPr="00565AD0" w:rsidRDefault="00565AD0" w:rsidP="00513ACC">
            <w:pPr>
              <w:jc w:val="center"/>
              <w:rPr>
                <w:rFonts w:ascii="Times New Roman" w:eastAsia="Times New Roman" w:hAnsi="Times New Roman" w:cs="Times New Roman"/>
                <w:b/>
                <w:color w:val="FFFFFF" w:themeColor="background1"/>
                <w:spacing w:val="20"/>
                <w:sz w:val="24"/>
                <w:szCs w:val="24"/>
                <w:lang w:val="es-DO" w:eastAsia="es-DO"/>
              </w:rPr>
            </w:pPr>
            <w:r w:rsidRPr="00565AD0">
              <w:rPr>
                <w:rFonts w:ascii="Times New Roman" w:eastAsia="Times New Roman" w:hAnsi="Times New Roman" w:cs="Times New Roman"/>
                <w:b/>
                <w:color w:val="FFFFFF" w:themeColor="background1"/>
                <w:spacing w:val="20"/>
                <w:sz w:val="24"/>
                <w:szCs w:val="24"/>
                <w:lang w:val="es-DO" w:eastAsia="es-DO"/>
              </w:rPr>
              <w:t>Nombre Resolución</w:t>
            </w:r>
          </w:p>
        </w:tc>
        <w:tc>
          <w:tcPr>
            <w:tcW w:w="2700" w:type="dxa"/>
            <w:shd w:val="clear" w:color="auto" w:fill="002060"/>
          </w:tcPr>
          <w:p w14:paraId="48F3D085" w14:textId="77777777" w:rsidR="00565AD0" w:rsidRPr="00565AD0" w:rsidRDefault="00565AD0" w:rsidP="00513ACC">
            <w:pPr>
              <w:jc w:val="center"/>
              <w:rPr>
                <w:rFonts w:ascii="Times New Roman" w:eastAsia="Times New Roman" w:hAnsi="Times New Roman" w:cs="Times New Roman"/>
                <w:b/>
                <w:color w:val="FFFFFF" w:themeColor="background1"/>
                <w:spacing w:val="20"/>
                <w:sz w:val="24"/>
                <w:szCs w:val="24"/>
                <w:lang w:val="es-DO" w:eastAsia="es-DO"/>
              </w:rPr>
            </w:pPr>
            <w:r w:rsidRPr="00565AD0">
              <w:rPr>
                <w:rFonts w:ascii="Times New Roman" w:eastAsia="Times New Roman" w:hAnsi="Times New Roman" w:cs="Times New Roman"/>
                <w:b/>
                <w:color w:val="FFFFFF" w:themeColor="background1"/>
                <w:spacing w:val="20"/>
                <w:sz w:val="24"/>
                <w:szCs w:val="24"/>
                <w:lang w:val="es-DO" w:eastAsia="es-DO"/>
              </w:rPr>
              <w:t>Número de la Resolución</w:t>
            </w:r>
          </w:p>
        </w:tc>
      </w:tr>
      <w:tr w:rsidR="00565AD0" w:rsidRPr="00790E59" w14:paraId="77C41CD7" w14:textId="77777777" w:rsidTr="00565AD0">
        <w:trPr>
          <w:trHeight w:val="731"/>
        </w:trPr>
        <w:tc>
          <w:tcPr>
            <w:tcW w:w="5220" w:type="dxa"/>
          </w:tcPr>
          <w:p w14:paraId="4979416C"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migración de la frecuencia 99.5 MHZ. a la frecuencia 99.9 MHZ en la provincia San Pedro de Macorís</w:t>
            </w:r>
          </w:p>
        </w:tc>
        <w:tc>
          <w:tcPr>
            <w:tcW w:w="2700" w:type="dxa"/>
          </w:tcPr>
          <w:p w14:paraId="789B82E0" w14:textId="637E8052"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BCFA39A" w14:textId="00F8CA88"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108-2022</w:t>
            </w:r>
          </w:p>
        </w:tc>
      </w:tr>
      <w:tr w:rsidR="00565AD0" w:rsidRPr="00790E59" w14:paraId="49D0C608" w14:textId="77777777" w:rsidTr="00565AD0">
        <w:trPr>
          <w:trHeight w:val="731"/>
        </w:trPr>
        <w:tc>
          <w:tcPr>
            <w:tcW w:w="5220" w:type="dxa"/>
          </w:tcPr>
          <w:p w14:paraId="39935267"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la extinción de los derechos y efectos jurídicos derivados de las autorización expedida por el Instituto Dominicano De Las Telecomunicaciones (INDOTEL), a favor de la Sociedad Teleantillas,</w:t>
            </w:r>
          </w:p>
        </w:tc>
        <w:tc>
          <w:tcPr>
            <w:tcW w:w="2700" w:type="dxa"/>
          </w:tcPr>
          <w:p w14:paraId="0CC21C99" w14:textId="070DBD7C"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3CCFB47" w14:textId="0DCFD142"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107-2022</w:t>
            </w:r>
          </w:p>
        </w:tc>
      </w:tr>
      <w:tr w:rsidR="00565AD0" w:rsidRPr="00790E59" w14:paraId="0DB35F81" w14:textId="77777777" w:rsidTr="00565AD0">
        <w:trPr>
          <w:trHeight w:val="731"/>
        </w:trPr>
        <w:tc>
          <w:tcPr>
            <w:tcW w:w="5220" w:type="dxa"/>
          </w:tcPr>
          <w:p w14:paraId="694A08AE"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cuatrocientos sesenta y cinco (465) pares de frecuencias para operar enlaces radioeléctricos a favor de la Sociedad Compañía Dominicana De Teléfonos</w:t>
            </w:r>
          </w:p>
        </w:tc>
        <w:tc>
          <w:tcPr>
            <w:tcW w:w="2700" w:type="dxa"/>
          </w:tcPr>
          <w:p w14:paraId="3184266C" w14:textId="352AE802"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83BEB01" w14:textId="35C2C9B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104-2022</w:t>
            </w:r>
          </w:p>
        </w:tc>
      </w:tr>
      <w:tr w:rsidR="00565AD0" w:rsidRPr="00790E59" w14:paraId="321BF86E" w14:textId="77777777" w:rsidTr="00565AD0">
        <w:trPr>
          <w:trHeight w:val="731"/>
        </w:trPr>
        <w:tc>
          <w:tcPr>
            <w:tcW w:w="5220" w:type="dxa"/>
          </w:tcPr>
          <w:p w14:paraId="35639F0C"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sobre la solicitud de concesión para prestar los servicios públicos de telecomunicaciones de difusión por cable y acceso a internet en el Distrito Nacional y en los municipios Santo Domingo Este, Santo Domingo Oeste y Santo Domingo Norte de la provincia Santo Domingo</w:t>
            </w:r>
          </w:p>
        </w:tc>
        <w:tc>
          <w:tcPr>
            <w:tcW w:w="2700" w:type="dxa"/>
          </w:tcPr>
          <w:p w14:paraId="5A6F6016" w14:textId="4A1363C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9D95844" w14:textId="7DC60A4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105-2022</w:t>
            </w:r>
          </w:p>
        </w:tc>
      </w:tr>
      <w:tr w:rsidR="00565AD0" w:rsidRPr="00790E59" w14:paraId="12089518" w14:textId="77777777" w:rsidTr="00565AD0">
        <w:trPr>
          <w:trHeight w:val="731"/>
        </w:trPr>
        <w:tc>
          <w:tcPr>
            <w:tcW w:w="5220" w:type="dxa"/>
          </w:tcPr>
          <w:p w14:paraId="761651A0"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aprueba el “reglamento para la prestación del servicio de difusión televisiva por suscripción”.</w:t>
            </w:r>
          </w:p>
        </w:tc>
        <w:tc>
          <w:tcPr>
            <w:tcW w:w="2700" w:type="dxa"/>
          </w:tcPr>
          <w:p w14:paraId="7243FB7E" w14:textId="64E794F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14653C5" w14:textId="3513FA2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101-2022</w:t>
            </w:r>
          </w:p>
        </w:tc>
      </w:tr>
      <w:tr w:rsidR="00565AD0" w:rsidRPr="00790E59" w14:paraId="077E8374" w14:textId="77777777" w:rsidTr="00565AD0">
        <w:trPr>
          <w:trHeight w:val="731"/>
        </w:trPr>
        <w:tc>
          <w:tcPr>
            <w:tcW w:w="5220" w:type="dxa"/>
          </w:tcPr>
          <w:p w14:paraId="6E4C7C1A"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decide sobre el recurso de reconsideración interpuesto por las prestadoras de servicios publicos de telecomunicaciones Compañía Dominicana De Telefonos, S. A (Claro), Altice Dominicana, S. A y Trilogy Dominicana (Viva) contra la resolución del Consejo Directivo No. 082- 2022,</w:t>
            </w:r>
          </w:p>
        </w:tc>
        <w:tc>
          <w:tcPr>
            <w:tcW w:w="2700" w:type="dxa"/>
          </w:tcPr>
          <w:p w14:paraId="6F231801" w14:textId="234AD97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741EF1B" w14:textId="305CC6D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102-2022</w:t>
            </w:r>
          </w:p>
        </w:tc>
      </w:tr>
      <w:tr w:rsidR="00565AD0" w:rsidRPr="00790E59" w14:paraId="4F1416E1" w14:textId="77777777" w:rsidTr="00565AD0">
        <w:trPr>
          <w:trHeight w:val="731"/>
        </w:trPr>
        <w:tc>
          <w:tcPr>
            <w:tcW w:w="5220" w:type="dxa"/>
          </w:tcPr>
          <w:p w14:paraId="1B85A5CD" w14:textId="77777777" w:rsidR="00565AD0" w:rsidRPr="009714C2" w:rsidRDefault="00565AD0" w:rsidP="005A11A8">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migración de la frecuencia 99.1 MHZ. a la frecuencia 95.9 MHZ en la provincia de Azua y la frecuencia 99.3 MHZ a la 99.9 MHZ en la provincia Pedernales</w:t>
            </w:r>
          </w:p>
        </w:tc>
        <w:tc>
          <w:tcPr>
            <w:tcW w:w="2700" w:type="dxa"/>
          </w:tcPr>
          <w:p w14:paraId="6159089A" w14:textId="09858F3D"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13666D6" w14:textId="2FABDBFC"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096-2022</w:t>
            </w:r>
          </w:p>
        </w:tc>
      </w:tr>
      <w:tr w:rsidR="00565AD0" w:rsidRPr="00790E59" w14:paraId="1477D694" w14:textId="77777777" w:rsidTr="00565AD0">
        <w:trPr>
          <w:trHeight w:val="731"/>
        </w:trPr>
        <w:tc>
          <w:tcPr>
            <w:tcW w:w="5220" w:type="dxa"/>
          </w:tcPr>
          <w:p w14:paraId="50BE8862"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la extinción de los derechos y efectos jurídicos derivados de las autorizaciones expedidas por la Dirección General De Telecomunicaciones (DGT), a favor de la Sociedad Comunicaciones Dominicana, S.R.L. (COMDOSA), para el uso de las frecuencias 148.15 MHZ, 408.050 MHZ, 408.100 MHZ, 413.050 MHZ, y 413.100 MHZ.</w:t>
            </w:r>
          </w:p>
        </w:tc>
        <w:tc>
          <w:tcPr>
            <w:tcW w:w="2700" w:type="dxa"/>
          </w:tcPr>
          <w:p w14:paraId="040D0266" w14:textId="63D4C4F1"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882FEDB" w14:textId="0221AF9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095-2022</w:t>
            </w:r>
          </w:p>
        </w:tc>
      </w:tr>
      <w:tr w:rsidR="00565AD0" w:rsidRPr="00790E59" w14:paraId="13767A01" w14:textId="77777777" w:rsidTr="00565AD0">
        <w:trPr>
          <w:trHeight w:val="731"/>
        </w:trPr>
        <w:tc>
          <w:tcPr>
            <w:tcW w:w="5220" w:type="dxa"/>
          </w:tcPr>
          <w:p w14:paraId="546F960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solicitud de autorización de aumento y asignación de frecuencia de enlace para la frecuencia 97.1 MHZ, en la prestación del servicio público de telecomunicaciones de radiodifusión sonora interpuesta por la concesionaria Inversiones Matos, S.R.L.</w:t>
            </w:r>
          </w:p>
        </w:tc>
        <w:tc>
          <w:tcPr>
            <w:tcW w:w="2700" w:type="dxa"/>
          </w:tcPr>
          <w:p w14:paraId="7C7A7990" w14:textId="74942AB6"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7DB4F1A" w14:textId="019674D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094-2022</w:t>
            </w:r>
          </w:p>
        </w:tc>
      </w:tr>
      <w:tr w:rsidR="00565AD0" w:rsidRPr="002D3D4A" w14:paraId="32A5C3E9" w14:textId="77777777" w:rsidTr="00565AD0">
        <w:trPr>
          <w:trHeight w:val="731"/>
        </w:trPr>
        <w:tc>
          <w:tcPr>
            <w:tcW w:w="5220" w:type="dxa"/>
          </w:tcPr>
          <w:p w14:paraId="43333ED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conoce la solicitud de autorización de los servicios electrónicos de confianza a ser prestados por la Sociedad Thomas Signe Copel, S.A.S., de conformidad a lo establecido en la ley núm. 126-02 de comercio electrónico, documentos y firmas digitales.</w:t>
            </w:r>
          </w:p>
        </w:tc>
        <w:tc>
          <w:tcPr>
            <w:tcW w:w="2700" w:type="dxa"/>
          </w:tcPr>
          <w:p w14:paraId="548C2EC6" w14:textId="73378E29"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1FFFC7EE" w14:textId="20EB431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099-2022</w:t>
            </w:r>
          </w:p>
        </w:tc>
      </w:tr>
      <w:tr w:rsidR="00565AD0" w:rsidRPr="002D3D4A" w14:paraId="6085D148" w14:textId="77777777" w:rsidTr="00565AD0">
        <w:trPr>
          <w:trHeight w:val="731"/>
        </w:trPr>
        <w:tc>
          <w:tcPr>
            <w:tcW w:w="5220" w:type="dxa"/>
          </w:tcPr>
          <w:p w14:paraId="1C59A24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sobre la solicitud de ampliación de concesión y expansión del área geográfica presentada por la sociedad Telecable Sabaneta, S.R.L. para, en adición al servicio público de telecomunicaciones de difusión por cable en el municipio San Ignacio de Sabaneta,</w:t>
            </w:r>
          </w:p>
        </w:tc>
        <w:tc>
          <w:tcPr>
            <w:tcW w:w="2700" w:type="dxa"/>
          </w:tcPr>
          <w:p w14:paraId="03CA5B91" w14:textId="3555B973"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5B449F3" w14:textId="05276CF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093-2022</w:t>
            </w:r>
          </w:p>
        </w:tc>
      </w:tr>
      <w:tr w:rsidR="00565AD0" w:rsidRPr="002D3D4A" w14:paraId="5121BF49" w14:textId="77777777" w:rsidTr="00565AD0">
        <w:trPr>
          <w:trHeight w:val="731"/>
        </w:trPr>
        <w:tc>
          <w:tcPr>
            <w:tcW w:w="5220" w:type="dxa"/>
          </w:tcPr>
          <w:p w14:paraId="08BAA77A"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sobre la solicitud de transferencia de control social presentada ante el Indotel por la concesionaria Sistema Radial del Este, S.R.L, a favor de los señores Juan Carlos Harrigan Martínez y Diana Margarita Hernández Jiménez por parte del señor Yderbrando Valerio Bonet.</w:t>
            </w:r>
          </w:p>
        </w:tc>
        <w:tc>
          <w:tcPr>
            <w:tcW w:w="2700" w:type="dxa"/>
          </w:tcPr>
          <w:p w14:paraId="397CAE8D" w14:textId="34B842AD"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BB7B182" w14:textId="7F41363A"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092-2022</w:t>
            </w:r>
          </w:p>
        </w:tc>
      </w:tr>
      <w:tr w:rsidR="00565AD0" w:rsidRPr="002D3D4A" w14:paraId="06FE46E8" w14:textId="77777777" w:rsidTr="00565AD0">
        <w:trPr>
          <w:trHeight w:val="731"/>
        </w:trPr>
        <w:tc>
          <w:tcPr>
            <w:tcW w:w="5220" w:type="dxa"/>
          </w:tcPr>
          <w:p w14:paraId="16B4457D"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la extinción de los derechos y efectos jurídicos derivados de las autorizaciones expedidas por el Instituto Dominicano de las Telecomunicaciones (Indotel), a favor de la Sociedad Telesistema Dominicano, S.A.S., para el uso de las frecuencias 10.442 Ghz, 7,025.00 Mhz y 7,180.00 Mhz.</w:t>
            </w:r>
          </w:p>
        </w:tc>
        <w:tc>
          <w:tcPr>
            <w:tcW w:w="2700" w:type="dxa"/>
          </w:tcPr>
          <w:p w14:paraId="57312E39" w14:textId="1BE2AEC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1CDA8A74" w14:textId="14C7365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091-2022</w:t>
            </w:r>
          </w:p>
        </w:tc>
      </w:tr>
      <w:tr w:rsidR="00565AD0" w:rsidRPr="002D3D4A" w14:paraId="74A1AB0C" w14:textId="77777777" w:rsidTr="00565AD0">
        <w:trPr>
          <w:trHeight w:val="731"/>
        </w:trPr>
        <w:tc>
          <w:tcPr>
            <w:tcW w:w="5220" w:type="dxa"/>
          </w:tcPr>
          <w:p w14:paraId="63F2DFB0"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dispone la extensión del plazo de la suspensión provisional para la expedición de las autorizaciones requeridas para el uso de frecuencias radioeléctricas en la prestación de servicios públicos de radiodifusión sonora.</w:t>
            </w:r>
          </w:p>
        </w:tc>
        <w:tc>
          <w:tcPr>
            <w:tcW w:w="2700" w:type="dxa"/>
          </w:tcPr>
          <w:p w14:paraId="71C91622" w14:textId="6257F084"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77C3F9F" w14:textId="4A631BE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090-2022</w:t>
            </w:r>
          </w:p>
        </w:tc>
      </w:tr>
      <w:tr w:rsidR="00565AD0" w:rsidRPr="002D3D4A" w14:paraId="4978D621" w14:textId="77777777" w:rsidTr="00565AD0">
        <w:trPr>
          <w:trHeight w:val="731"/>
        </w:trPr>
        <w:tc>
          <w:tcPr>
            <w:tcW w:w="5220" w:type="dxa"/>
          </w:tcPr>
          <w:p w14:paraId="792BE7F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solicitud de licencias vinculadas a una inscripción en registro especial presentada por La Sociedad Consorcio Energético Punta Cana – Macao (CEPM), S.A. para el uso de las frecuencias 457.5000- 457.5625 MHZ, 462.5000-462.5625 MHZ, 5,955 MHZ y 6,195 MHZ, a fin de operar el servicio privado de radiocomunicación de telemetría, en los municipios Higüey y San Rafael del Yuma, provincia la Altagracia, municipio la Romana, provincia la Romana y municipio Miches, provincia el Seibo.</w:t>
            </w:r>
          </w:p>
        </w:tc>
        <w:tc>
          <w:tcPr>
            <w:tcW w:w="2700" w:type="dxa"/>
          </w:tcPr>
          <w:p w14:paraId="6C7BA52E" w14:textId="62B2EB31"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46ECB45" w14:textId="5E7CB8C4"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089-2022</w:t>
            </w:r>
          </w:p>
        </w:tc>
      </w:tr>
      <w:tr w:rsidR="00565AD0" w:rsidRPr="002D3D4A" w14:paraId="6EA36561" w14:textId="77777777" w:rsidTr="00565AD0">
        <w:trPr>
          <w:trHeight w:val="731"/>
        </w:trPr>
        <w:tc>
          <w:tcPr>
            <w:tcW w:w="5220" w:type="dxa"/>
          </w:tcPr>
          <w:p w14:paraId="3BBB9571"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extiende el plazo de consulta pública para establecer las condiciones de aplicación del mecanismo para innovaciones y pruebas regulatorias (sandbox regulatorio) dispuesto en la resolución del Consejo Directivo No. 081-2022.</w:t>
            </w:r>
          </w:p>
        </w:tc>
        <w:tc>
          <w:tcPr>
            <w:tcW w:w="2700" w:type="dxa"/>
          </w:tcPr>
          <w:p w14:paraId="556A0343" w14:textId="04F59E95"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660E7A5" w14:textId="5F0C0DD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088-2022</w:t>
            </w:r>
          </w:p>
        </w:tc>
      </w:tr>
      <w:tr w:rsidR="00565AD0" w:rsidRPr="002D3D4A" w14:paraId="3B37A0A4" w14:textId="77777777" w:rsidTr="00565AD0">
        <w:trPr>
          <w:trHeight w:val="731"/>
        </w:trPr>
        <w:tc>
          <w:tcPr>
            <w:tcW w:w="5220" w:type="dxa"/>
          </w:tcPr>
          <w:p w14:paraId="0D751C2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asigna el segmento de frecuencias definitivo y el número de canal virtual a favor de Teleunión, S.R.L., para la </w:t>
            </w:r>
            <w:r w:rsidRPr="009714C2">
              <w:rPr>
                <w:rFonts w:ascii="Times New Roman" w:eastAsia="Times New Roman" w:hAnsi="Times New Roman" w:cs="Times New Roman"/>
                <w:color w:val="4C4747"/>
                <w:spacing w:val="20"/>
                <w:sz w:val="24"/>
                <w:szCs w:val="24"/>
                <w:lang w:val="es-DO" w:eastAsia="es-DO"/>
              </w:rPr>
              <w:lastRenderedPageBreak/>
              <w:t>prestación del servicio de televisión terrestre digital.</w:t>
            </w:r>
          </w:p>
        </w:tc>
        <w:tc>
          <w:tcPr>
            <w:tcW w:w="2700" w:type="dxa"/>
          </w:tcPr>
          <w:p w14:paraId="0EF17763" w14:textId="5DD15D32"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60C6870B" w14:textId="607DCE8E"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087-2022</w:t>
            </w:r>
          </w:p>
        </w:tc>
      </w:tr>
      <w:tr w:rsidR="00565AD0" w:rsidRPr="009714C2" w14:paraId="18DB4CCA" w14:textId="77777777" w:rsidTr="00565AD0">
        <w:trPr>
          <w:trHeight w:val="731"/>
        </w:trPr>
        <w:tc>
          <w:tcPr>
            <w:tcW w:w="5220" w:type="dxa"/>
          </w:tcPr>
          <w:p w14:paraId="601A7FC7"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aprueba las condiciones para autorizar la ampliación de la concesión a las concesionarias del servicio de difusión por cable para ofrecer el servicio de acceso a internet.</w:t>
            </w:r>
          </w:p>
        </w:tc>
        <w:tc>
          <w:tcPr>
            <w:tcW w:w="2700" w:type="dxa"/>
          </w:tcPr>
          <w:p w14:paraId="26D4EF63" w14:textId="43F1214E"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3A4EB14" w14:textId="51F068CE"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086-2022</w:t>
            </w:r>
          </w:p>
        </w:tc>
      </w:tr>
      <w:tr w:rsidR="00565AD0" w:rsidRPr="009714C2" w14:paraId="15184DFC" w14:textId="77777777" w:rsidTr="00565AD0">
        <w:trPr>
          <w:trHeight w:val="731"/>
        </w:trPr>
        <w:tc>
          <w:tcPr>
            <w:tcW w:w="5220" w:type="dxa"/>
          </w:tcPr>
          <w:p w14:paraId="301D91DD"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dispone el inicio del proceso de consulta pública para dictar el “establecimiento de límites máximos a la tenencia de espectro radioeléctrico en bandas identificadas para servicios moviles (IMT) por el PNAF”</w:t>
            </w:r>
          </w:p>
        </w:tc>
        <w:tc>
          <w:tcPr>
            <w:tcW w:w="2700" w:type="dxa"/>
          </w:tcPr>
          <w:p w14:paraId="2FA33B3E" w14:textId="14977485"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97192C3" w14:textId="24247CD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085-2022</w:t>
            </w:r>
          </w:p>
        </w:tc>
      </w:tr>
      <w:tr w:rsidR="00565AD0" w:rsidRPr="009714C2" w14:paraId="49E44A4F" w14:textId="77777777" w:rsidTr="00565AD0">
        <w:trPr>
          <w:trHeight w:val="731"/>
        </w:trPr>
        <w:tc>
          <w:tcPr>
            <w:tcW w:w="5220" w:type="dxa"/>
          </w:tcPr>
          <w:p w14:paraId="60747BD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actualiza el plan de transición a la televisión Terrestre Digital y las resoluciones de asignación de frecuencia definitiva que se derivan de este, conforme al decreto presidencial No. 437-22.</w:t>
            </w:r>
          </w:p>
        </w:tc>
        <w:tc>
          <w:tcPr>
            <w:tcW w:w="2700" w:type="dxa"/>
          </w:tcPr>
          <w:p w14:paraId="5A3464FF" w14:textId="115DDB3A"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FC0936A" w14:textId="27136F58"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083-2022</w:t>
            </w:r>
          </w:p>
        </w:tc>
      </w:tr>
      <w:tr w:rsidR="00565AD0" w:rsidRPr="009714C2" w14:paraId="72E3C7AA" w14:textId="77777777" w:rsidTr="00565AD0">
        <w:trPr>
          <w:trHeight w:val="731"/>
        </w:trPr>
        <w:tc>
          <w:tcPr>
            <w:tcW w:w="5220" w:type="dxa"/>
          </w:tcPr>
          <w:p w14:paraId="56039BD4"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establece las condiciones para operar en la banda 5925-7125 MHZ de equipos de baja y muy baja potencia mediante el esquema de licencias genéricas.</w:t>
            </w:r>
          </w:p>
        </w:tc>
        <w:tc>
          <w:tcPr>
            <w:tcW w:w="2700" w:type="dxa"/>
          </w:tcPr>
          <w:p w14:paraId="0D598137" w14:textId="58AFE96E"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37DF9C4" w14:textId="3DBEC26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082-2022</w:t>
            </w:r>
          </w:p>
        </w:tc>
      </w:tr>
      <w:tr w:rsidR="00565AD0" w:rsidRPr="009714C2" w14:paraId="539C5F29" w14:textId="77777777" w:rsidTr="00565AD0">
        <w:trPr>
          <w:trHeight w:val="731"/>
        </w:trPr>
        <w:tc>
          <w:tcPr>
            <w:tcW w:w="5220" w:type="dxa"/>
          </w:tcPr>
          <w:p w14:paraId="276FC171"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solicitud de renovación de las licencias vinculadas a la renovación de la concesión otorgada a la Sociedad Onemax, S.A. mediante resolución del Consejo Directivo No. 127-2021.</w:t>
            </w:r>
          </w:p>
        </w:tc>
        <w:tc>
          <w:tcPr>
            <w:tcW w:w="2700" w:type="dxa"/>
          </w:tcPr>
          <w:p w14:paraId="677D73E0" w14:textId="6F9B04FD"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55CC91F" w14:textId="52D3406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084-2022</w:t>
            </w:r>
          </w:p>
        </w:tc>
      </w:tr>
      <w:tr w:rsidR="00565AD0" w:rsidRPr="009714C2" w14:paraId="7EE7AC24" w14:textId="77777777" w:rsidTr="00565AD0">
        <w:trPr>
          <w:trHeight w:val="731"/>
        </w:trPr>
        <w:tc>
          <w:tcPr>
            <w:tcW w:w="5220" w:type="dxa"/>
          </w:tcPr>
          <w:p w14:paraId="30FB8AE0"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ordena el inicio del proceso de consulta pública para establecer las </w:t>
            </w:r>
            <w:r w:rsidRPr="009714C2">
              <w:rPr>
                <w:rFonts w:ascii="Times New Roman" w:eastAsia="Times New Roman" w:hAnsi="Times New Roman" w:cs="Times New Roman"/>
                <w:color w:val="4C4747"/>
                <w:spacing w:val="20"/>
                <w:sz w:val="24"/>
                <w:szCs w:val="24"/>
                <w:lang w:val="es-DO" w:eastAsia="es-DO"/>
              </w:rPr>
              <w:lastRenderedPageBreak/>
              <w:t>condiciones de aplicación del mecanismo para innovaciones y pruebas regulatorias (Sandbox Regulatorio).</w:t>
            </w:r>
          </w:p>
        </w:tc>
        <w:tc>
          <w:tcPr>
            <w:tcW w:w="2700" w:type="dxa"/>
          </w:tcPr>
          <w:p w14:paraId="62DFDA26" w14:textId="291B4A8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3D0B8B31" w14:textId="40C0E0C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081-2022</w:t>
            </w:r>
          </w:p>
        </w:tc>
      </w:tr>
      <w:tr w:rsidR="00565AD0" w:rsidRPr="009714C2" w14:paraId="5402C261" w14:textId="77777777" w:rsidTr="00565AD0">
        <w:trPr>
          <w:trHeight w:val="731"/>
        </w:trPr>
        <w:tc>
          <w:tcPr>
            <w:tcW w:w="5220" w:type="dxa"/>
          </w:tcPr>
          <w:p w14:paraId="18C3DD03"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conoce el recurso de reconsideración interpuesto por la Corporación de Televisión y Microondas Rafa, S.A., contra la resolución del Consejo Directivo No. 050-2022 que decide sobre la solicitud de la corporación de televisión y Microondas Rafa, S.A. sobre el reconocimiento del derecho de uso y explotación del canal 3 VHF.</w:t>
            </w:r>
          </w:p>
        </w:tc>
        <w:tc>
          <w:tcPr>
            <w:tcW w:w="2700" w:type="dxa"/>
          </w:tcPr>
          <w:p w14:paraId="4B58DE49" w14:textId="1708121D"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D02805A" w14:textId="2B547A2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080-2022</w:t>
            </w:r>
          </w:p>
        </w:tc>
      </w:tr>
      <w:tr w:rsidR="00565AD0" w:rsidRPr="009714C2" w14:paraId="79912DBB" w14:textId="77777777" w:rsidTr="00565AD0">
        <w:trPr>
          <w:trHeight w:val="731"/>
        </w:trPr>
        <w:tc>
          <w:tcPr>
            <w:tcW w:w="5220" w:type="dxa"/>
          </w:tcPr>
          <w:p w14:paraId="08E7DA3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sobre la solicitud de concesión para prestar los servicios públicos de telecomunicaciones de difusión por cable y acceso a internet en los sectores Villa Mella, los Guaricanos y Sabana Perdida del municipio Santo Domingo Norte; los sectores el Tamarindo, San José de Mendoza, Hainamosa, Brisa Oriental, el Almirante, los Frailes, Ciudad Satélite, Brisas del Este y la Ureña del municipio Santo Domingo Este; los municipios Santo Domingo Oeste, los Alcarrizos, Pedro Brand y Boca Chica de la provincia Santo Domingo, presentada por la Sociedad Consorcio Flexus, S.R.L.-</w:t>
            </w:r>
          </w:p>
        </w:tc>
        <w:tc>
          <w:tcPr>
            <w:tcW w:w="2700" w:type="dxa"/>
          </w:tcPr>
          <w:p w14:paraId="297950B9" w14:textId="2BABA4EC"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1ABDEDA" w14:textId="2E1A8B2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079-2022</w:t>
            </w:r>
          </w:p>
        </w:tc>
      </w:tr>
      <w:tr w:rsidR="00565AD0" w:rsidRPr="009714C2" w14:paraId="7ACE21D0" w14:textId="77777777" w:rsidTr="00565AD0">
        <w:trPr>
          <w:trHeight w:val="731"/>
        </w:trPr>
        <w:tc>
          <w:tcPr>
            <w:tcW w:w="5220" w:type="dxa"/>
          </w:tcPr>
          <w:p w14:paraId="51944549"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decide sobre la solicitud de concesión presentada por la Sociedad Dominican </w:t>
            </w:r>
            <w:r w:rsidRPr="009714C2">
              <w:rPr>
                <w:rFonts w:ascii="Times New Roman" w:eastAsia="Times New Roman" w:hAnsi="Times New Roman" w:cs="Times New Roman"/>
                <w:color w:val="4C4747"/>
                <w:spacing w:val="20"/>
                <w:sz w:val="24"/>
                <w:szCs w:val="24"/>
                <w:lang w:val="es-DO" w:eastAsia="es-DO"/>
              </w:rPr>
              <w:lastRenderedPageBreak/>
              <w:t>Cable Group, S.R.L., para la prestación del servicio público de telecomunicaciones servicios portadores de telecomunicaciones en todo el Territorio Nacional.</w:t>
            </w:r>
          </w:p>
        </w:tc>
        <w:tc>
          <w:tcPr>
            <w:tcW w:w="2700" w:type="dxa"/>
          </w:tcPr>
          <w:p w14:paraId="041CD1F9"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4032E027" w14:textId="5AA93C4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078-2022</w:t>
            </w:r>
          </w:p>
        </w:tc>
      </w:tr>
      <w:tr w:rsidR="00565AD0" w:rsidRPr="009714C2" w14:paraId="61D4204B" w14:textId="77777777" w:rsidTr="00565AD0">
        <w:trPr>
          <w:trHeight w:val="731"/>
        </w:trPr>
        <w:tc>
          <w:tcPr>
            <w:tcW w:w="5220" w:type="dxa"/>
          </w:tcPr>
          <w:p w14:paraId="50F42D1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decide el procedimiento sancionador administrativo seguido contra el señor Freddy Antonio Dorville González y la razón social Dorville Comunicaciones, por la comisión de la conducta tipificada como falta administrativa muy grave, conforme las disposiciones contenidas en el literal d) del artículo 105 de la Ley General De Telecomunicaciones, No. 153-98.</w:t>
            </w:r>
          </w:p>
        </w:tc>
        <w:tc>
          <w:tcPr>
            <w:tcW w:w="2700" w:type="dxa"/>
          </w:tcPr>
          <w:p w14:paraId="22AD5F73" w14:textId="72E2C906"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2737173" w14:textId="7033890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076-2022</w:t>
            </w:r>
          </w:p>
        </w:tc>
      </w:tr>
      <w:tr w:rsidR="00565AD0" w:rsidRPr="009714C2" w14:paraId="0459A267" w14:textId="77777777" w:rsidTr="00565AD0">
        <w:trPr>
          <w:trHeight w:val="731"/>
        </w:trPr>
        <w:tc>
          <w:tcPr>
            <w:tcW w:w="5220" w:type="dxa"/>
          </w:tcPr>
          <w:p w14:paraId="21E7BD15"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dicta la enmienda número 03 al pliego de condiciones de la licitación pública internacional Indotel-BID-LPI-001-2022, para la “Adquisición y Entrega de Cajas Convertidoras de Señal de Televisión Digital a los Hogares Seleccionados”.</w:t>
            </w:r>
          </w:p>
        </w:tc>
        <w:tc>
          <w:tcPr>
            <w:tcW w:w="2700" w:type="dxa"/>
          </w:tcPr>
          <w:p w14:paraId="4FECC200" w14:textId="0146DC7A"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24D8E51" w14:textId="48DB5DE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075-2022</w:t>
            </w:r>
          </w:p>
        </w:tc>
      </w:tr>
      <w:tr w:rsidR="00565AD0" w:rsidRPr="009714C2" w14:paraId="123D84F7" w14:textId="77777777" w:rsidTr="00565AD0">
        <w:trPr>
          <w:trHeight w:val="731"/>
        </w:trPr>
        <w:tc>
          <w:tcPr>
            <w:tcW w:w="5220" w:type="dxa"/>
          </w:tcPr>
          <w:p w14:paraId="7DB80F3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solicitud de concesión y licencia para prestar el servicio público de telecomunicaciones de acceso a internet en todo el territorio nacional presentada por la Sociedad Starlink Dominican Republic, S.R.L.</w:t>
            </w:r>
          </w:p>
        </w:tc>
        <w:tc>
          <w:tcPr>
            <w:tcW w:w="2700" w:type="dxa"/>
          </w:tcPr>
          <w:p w14:paraId="540D4E9A" w14:textId="1684DA03"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192DEF2E" w14:textId="1D8D471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072-2022</w:t>
            </w:r>
          </w:p>
        </w:tc>
      </w:tr>
      <w:tr w:rsidR="00565AD0" w:rsidRPr="009714C2" w14:paraId="3439994A" w14:textId="77777777" w:rsidTr="00565AD0">
        <w:trPr>
          <w:trHeight w:val="731"/>
        </w:trPr>
        <w:tc>
          <w:tcPr>
            <w:tcW w:w="5220" w:type="dxa"/>
          </w:tcPr>
          <w:p w14:paraId="5D22B59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decide el procedimiento sancionador administrativo seguido contra el señor José Aníbal Martínez Bido, por la comisión de </w:t>
            </w:r>
            <w:r w:rsidRPr="009714C2">
              <w:rPr>
                <w:rFonts w:ascii="Times New Roman" w:eastAsia="Times New Roman" w:hAnsi="Times New Roman" w:cs="Times New Roman"/>
                <w:color w:val="4C4747"/>
                <w:spacing w:val="20"/>
                <w:sz w:val="24"/>
                <w:szCs w:val="24"/>
                <w:lang w:val="es-DO" w:eastAsia="es-DO"/>
              </w:rPr>
              <w:lastRenderedPageBreak/>
              <w:t>las conductas tipificadas como faltas administrativas muy graves y graves conforme las disposiciones contenidas en el literal d) del artículo 105 y en el literal b) del artículo 106 de la Ley General De Telecomunicaciones, No. 153-98.</w:t>
            </w:r>
          </w:p>
        </w:tc>
        <w:tc>
          <w:tcPr>
            <w:tcW w:w="2700" w:type="dxa"/>
          </w:tcPr>
          <w:p w14:paraId="33B1FFD3" w14:textId="01AC6695"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179E6FF4" w14:textId="4EB01473"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074-2022</w:t>
            </w:r>
          </w:p>
        </w:tc>
      </w:tr>
      <w:tr w:rsidR="00565AD0" w:rsidRPr="009714C2" w14:paraId="2EBBB511" w14:textId="77777777" w:rsidTr="00565AD0">
        <w:trPr>
          <w:trHeight w:val="731"/>
        </w:trPr>
        <w:tc>
          <w:tcPr>
            <w:tcW w:w="5220" w:type="dxa"/>
          </w:tcPr>
          <w:p w14:paraId="20BA87D2" w14:textId="61C00B42"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 xml:space="preserve">Que conoce la solicitud de </w:t>
            </w:r>
            <w:r w:rsidR="00513ACC" w:rsidRPr="009714C2">
              <w:rPr>
                <w:rFonts w:ascii="Times New Roman" w:eastAsia="Times New Roman" w:hAnsi="Times New Roman" w:cs="Times New Roman"/>
                <w:color w:val="4C4747"/>
                <w:spacing w:val="20"/>
                <w:sz w:val="24"/>
                <w:szCs w:val="24"/>
                <w:lang w:val="es-DO" w:eastAsia="es-DO"/>
              </w:rPr>
              <w:t>renovación</w:t>
            </w:r>
            <w:r w:rsidRPr="009714C2">
              <w:rPr>
                <w:rFonts w:ascii="Times New Roman" w:eastAsia="Times New Roman" w:hAnsi="Times New Roman" w:cs="Times New Roman"/>
                <w:color w:val="4C4747"/>
                <w:spacing w:val="20"/>
                <w:sz w:val="24"/>
                <w:szCs w:val="24"/>
                <w:lang w:val="es-DO" w:eastAsia="es-DO"/>
              </w:rPr>
              <w:t xml:space="preserve"> de autorización para operar como entidad de certificación presentada por la Sociedad Avansi S.R.L., de conformidad a lo establecido en la ley No. 126-02 de comercio electrónico, documentos y firmas digitales y </w:t>
            </w:r>
            <w:r w:rsidR="00513ACC" w:rsidRPr="009714C2">
              <w:rPr>
                <w:rFonts w:ascii="Times New Roman" w:eastAsia="Times New Roman" w:hAnsi="Times New Roman" w:cs="Times New Roman"/>
                <w:color w:val="4C4747"/>
                <w:spacing w:val="20"/>
                <w:sz w:val="24"/>
                <w:szCs w:val="24"/>
                <w:lang w:val="es-DO" w:eastAsia="es-DO"/>
              </w:rPr>
              <w:t>demás</w:t>
            </w:r>
            <w:r w:rsidRPr="009714C2">
              <w:rPr>
                <w:rFonts w:ascii="Times New Roman" w:eastAsia="Times New Roman" w:hAnsi="Times New Roman" w:cs="Times New Roman"/>
                <w:color w:val="4C4747"/>
                <w:spacing w:val="20"/>
                <w:sz w:val="24"/>
                <w:szCs w:val="24"/>
                <w:lang w:val="es-DO" w:eastAsia="es-DO"/>
              </w:rPr>
              <w:t xml:space="preserve"> normas complementarias y reglamentos.</w:t>
            </w:r>
          </w:p>
        </w:tc>
        <w:tc>
          <w:tcPr>
            <w:tcW w:w="2700" w:type="dxa"/>
          </w:tcPr>
          <w:p w14:paraId="650A0E07" w14:textId="4DE817AA"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EF95842" w14:textId="4DC9042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070-2022</w:t>
            </w:r>
          </w:p>
        </w:tc>
      </w:tr>
      <w:tr w:rsidR="00565AD0" w:rsidRPr="009714C2" w14:paraId="6C2AEEBA" w14:textId="77777777" w:rsidTr="00565AD0">
        <w:trPr>
          <w:trHeight w:val="731"/>
        </w:trPr>
        <w:tc>
          <w:tcPr>
            <w:tcW w:w="5220" w:type="dxa"/>
          </w:tcPr>
          <w:p w14:paraId="721E25E3"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la extinción de los derechos y efectos jurídicos derivados de las autorizaciones expedidas por la Dirección General De Telecomunicaciones (DGT), a favor de Electrocompu, C. por A., para el uso de diversas frecuencias en distintas localidades del territorio nacional para la prestación del servicio de radiocomunicación privada.</w:t>
            </w:r>
          </w:p>
        </w:tc>
        <w:tc>
          <w:tcPr>
            <w:tcW w:w="2700" w:type="dxa"/>
          </w:tcPr>
          <w:p w14:paraId="0036F813" w14:textId="5BE0B96D"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9A07812" w14:textId="57D7A36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071-2022</w:t>
            </w:r>
          </w:p>
        </w:tc>
      </w:tr>
      <w:tr w:rsidR="00565AD0" w:rsidRPr="009714C2" w14:paraId="75F9280D" w14:textId="77777777" w:rsidTr="00565AD0">
        <w:trPr>
          <w:trHeight w:val="731"/>
        </w:trPr>
        <w:tc>
          <w:tcPr>
            <w:tcW w:w="5220" w:type="dxa"/>
          </w:tcPr>
          <w:p w14:paraId="46154B82"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corrige errores materiales consignados en la resolución No. 046- 2022 emitida por el Consejo Directivo en fecha diecinueve (19) del mes de mayo del dos mil veintidós (2022), “que ordena la migración de la frecuencia 92.3 MHz. a la frecuencia 91.5 </w:t>
            </w:r>
            <w:r w:rsidRPr="009714C2">
              <w:rPr>
                <w:rFonts w:ascii="Times New Roman" w:eastAsia="Times New Roman" w:hAnsi="Times New Roman" w:cs="Times New Roman"/>
                <w:color w:val="4C4747"/>
                <w:spacing w:val="20"/>
                <w:sz w:val="24"/>
                <w:szCs w:val="24"/>
                <w:lang w:val="es-DO" w:eastAsia="es-DO"/>
              </w:rPr>
              <w:lastRenderedPageBreak/>
              <w:t>MHZ, asignada a favor de la Sociedad Natura F.M. 92.3, S.R.L., para el servicio público de telecomunicaciones de radiodifusión sonora en la provincia La Vega”</w:t>
            </w:r>
          </w:p>
        </w:tc>
        <w:tc>
          <w:tcPr>
            <w:tcW w:w="2700" w:type="dxa"/>
          </w:tcPr>
          <w:p w14:paraId="0BA33A38" w14:textId="5736698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39FE9078" w14:textId="724BE7D7" w:rsidR="00565AD0" w:rsidRPr="009714C2" w:rsidRDefault="00513ACC"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w:t>
            </w:r>
            <w:r w:rsidR="00565AD0" w:rsidRPr="009714C2">
              <w:rPr>
                <w:rFonts w:ascii="Times New Roman" w:eastAsia="Times New Roman" w:hAnsi="Times New Roman" w:cs="Times New Roman"/>
                <w:color w:val="4C4747"/>
                <w:spacing w:val="20"/>
                <w:sz w:val="24"/>
                <w:szCs w:val="24"/>
                <w:lang w:val="es-DO" w:eastAsia="es-DO"/>
              </w:rPr>
              <w:t>. 067-2022</w:t>
            </w:r>
          </w:p>
        </w:tc>
      </w:tr>
      <w:tr w:rsidR="00565AD0" w:rsidRPr="009714C2" w14:paraId="4B3885CF" w14:textId="77777777" w:rsidTr="00565AD0">
        <w:trPr>
          <w:trHeight w:val="731"/>
        </w:trPr>
        <w:tc>
          <w:tcPr>
            <w:tcW w:w="5220" w:type="dxa"/>
          </w:tcPr>
          <w:p w14:paraId="72828078" w14:textId="77777777" w:rsidR="00565AD0" w:rsidRPr="00A4233F"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lastRenderedPageBreak/>
              <w:t>Que dispone el inicio del proceso de consulta pública para modificar el “Plan Nacional De Atribución De Frecuencias (PNAF)”.</w:t>
            </w:r>
          </w:p>
        </w:tc>
        <w:tc>
          <w:tcPr>
            <w:tcW w:w="2700" w:type="dxa"/>
          </w:tcPr>
          <w:p w14:paraId="536D9775" w14:textId="5D7B6590"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13875E47" w14:textId="2E5846DC"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069-2022</w:t>
            </w:r>
          </w:p>
        </w:tc>
      </w:tr>
      <w:tr w:rsidR="00565AD0" w:rsidRPr="009714C2" w14:paraId="64004D10" w14:textId="77777777" w:rsidTr="00565AD0">
        <w:trPr>
          <w:trHeight w:val="731"/>
        </w:trPr>
        <w:tc>
          <w:tcPr>
            <w:tcW w:w="5220" w:type="dxa"/>
          </w:tcPr>
          <w:p w14:paraId="527242FF" w14:textId="77777777" w:rsidR="00565AD0" w:rsidRPr="00A4233F"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Que ordena el inicio del proceso de consulta pública para dictar el “reglamento para la prestación del servicio de difusión televisiva por suscripción”.</w:t>
            </w:r>
          </w:p>
        </w:tc>
        <w:tc>
          <w:tcPr>
            <w:tcW w:w="2700" w:type="dxa"/>
          </w:tcPr>
          <w:p w14:paraId="36E330AC" w14:textId="61F43960"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04810097" w14:textId="44CEFA85"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068-2022</w:t>
            </w:r>
          </w:p>
        </w:tc>
      </w:tr>
      <w:tr w:rsidR="00565AD0" w:rsidRPr="009714C2" w14:paraId="4A35E597" w14:textId="77777777" w:rsidTr="00565AD0">
        <w:trPr>
          <w:trHeight w:val="731"/>
        </w:trPr>
        <w:tc>
          <w:tcPr>
            <w:tcW w:w="5220" w:type="dxa"/>
          </w:tcPr>
          <w:p w14:paraId="7A993F18" w14:textId="48A9347A" w:rsidR="00565AD0" w:rsidRPr="00A4233F"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 xml:space="preserve">Que declara adecuada a las disposiciones de la Ley General De Telecomunicaciones No. 153-98, LA autorización expedida por la Dirección General De Telecomunicaciones (DGT), que ampara el derecho de uso de la frecuencia 98.1 MHZ en el municipio de Nagua, provincia María Trinidad Sánchez a favor de Abraham A. Victoria Gelabert y a la vez autoriza la operación de transferencia de </w:t>
            </w:r>
            <w:r w:rsidR="00790E59" w:rsidRPr="00A4233F">
              <w:rPr>
                <w:rFonts w:ascii="Times New Roman" w:eastAsia="Times New Roman" w:hAnsi="Times New Roman" w:cs="Times New Roman"/>
                <w:color w:val="4C4747"/>
                <w:spacing w:val="20"/>
                <w:sz w:val="24"/>
                <w:szCs w:val="24"/>
                <w:lang w:val="es-DO" w:eastAsia="es-DO"/>
              </w:rPr>
              <w:t>está</w:t>
            </w:r>
            <w:r w:rsidRPr="00A4233F">
              <w:rPr>
                <w:rFonts w:ascii="Times New Roman" w:eastAsia="Times New Roman" w:hAnsi="Times New Roman" w:cs="Times New Roman"/>
                <w:color w:val="4C4747"/>
                <w:spacing w:val="20"/>
                <w:sz w:val="24"/>
                <w:szCs w:val="24"/>
                <w:lang w:val="es-DO" w:eastAsia="es-DO"/>
              </w:rPr>
              <w:t xml:space="preserve"> a favor de la Sociedad Viccom, S.R.L.</w:t>
            </w:r>
          </w:p>
        </w:tc>
        <w:tc>
          <w:tcPr>
            <w:tcW w:w="2700" w:type="dxa"/>
          </w:tcPr>
          <w:p w14:paraId="7D9663AC" w14:textId="7149FF93"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64166537" w14:textId="0D7AB0F4"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066-2022</w:t>
            </w:r>
          </w:p>
        </w:tc>
      </w:tr>
      <w:tr w:rsidR="00565AD0" w:rsidRPr="009714C2" w14:paraId="1DAC8591" w14:textId="77777777" w:rsidTr="00565AD0">
        <w:trPr>
          <w:trHeight w:val="731"/>
        </w:trPr>
        <w:tc>
          <w:tcPr>
            <w:tcW w:w="5220" w:type="dxa"/>
          </w:tcPr>
          <w:p w14:paraId="10B5C04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dispone la extensión del plazo de la suspensión provisional para la expedición de las autorizaciones requeridas para el uso de frecuencias radioeléctricas en la </w:t>
            </w:r>
            <w:r w:rsidRPr="009714C2">
              <w:rPr>
                <w:rFonts w:ascii="Times New Roman" w:eastAsia="Times New Roman" w:hAnsi="Times New Roman" w:cs="Times New Roman"/>
                <w:color w:val="4C4747"/>
                <w:spacing w:val="20"/>
                <w:sz w:val="24"/>
                <w:szCs w:val="24"/>
                <w:lang w:val="es-DO" w:eastAsia="es-DO"/>
              </w:rPr>
              <w:lastRenderedPageBreak/>
              <w:t>prestación de servicios públicos de radiodifusión sonora.</w:t>
            </w:r>
          </w:p>
        </w:tc>
        <w:tc>
          <w:tcPr>
            <w:tcW w:w="2700" w:type="dxa"/>
          </w:tcPr>
          <w:p w14:paraId="3AA038F7" w14:textId="3EDE933A"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279F19C6" w14:textId="2FB63ED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065-2022</w:t>
            </w:r>
          </w:p>
        </w:tc>
      </w:tr>
      <w:tr w:rsidR="00565AD0" w:rsidRPr="009714C2" w14:paraId="6A788036" w14:textId="77777777" w:rsidTr="00565AD0">
        <w:trPr>
          <w:trHeight w:val="731"/>
        </w:trPr>
        <w:tc>
          <w:tcPr>
            <w:tcW w:w="5220" w:type="dxa"/>
          </w:tcPr>
          <w:p w14:paraId="7E8CCDD5"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instruye a la Directora Ejecutiva a continuar el Procedimiento para la Fijación de los cargos de Interconexión dispuesto en la Resolución Núm. 104-2021 y presentar un nuevo estudio de costos.</w:t>
            </w:r>
          </w:p>
        </w:tc>
        <w:tc>
          <w:tcPr>
            <w:tcW w:w="2700" w:type="dxa"/>
          </w:tcPr>
          <w:p w14:paraId="56BEB6BA" w14:textId="7BC2F66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AC1737D" w14:textId="6D74F32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064-2022</w:t>
            </w:r>
          </w:p>
        </w:tc>
      </w:tr>
      <w:tr w:rsidR="00565AD0" w:rsidRPr="009714C2" w14:paraId="18B5D412" w14:textId="77777777" w:rsidTr="00565AD0">
        <w:trPr>
          <w:trHeight w:val="731"/>
        </w:trPr>
        <w:tc>
          <w:tcPr>
            <w:tcW w:w="5220" w:type="dxa"/>
          </w:tcPr>
          <w:p w14:paraId="2BDB96E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dictamina las adendas a los Contratos de Interconexión suscritos entre las concesionarias: (i) Compañía Dominicana de Teléfonos, s. a. (Claro) y Altice Dominicana, S. A. (Altice), con fecha 1-0 de mayo de 2022; (ii) Altice Dominicana, S. A. (Altice) y Trilogy Dominicana, S. A. (Viva), con fecha 11 de mayo de 2022; (iii) Compañía Dominicana de Teléfonos, S. A. (Claro) y Onemax, S. A., con fecha 12 de Mayo de 2022; (iv) Compañía Dominicana de Teléfonos, S. A. (Claro) y Trilogy Dominicana, S. A. (Viva), con fecha 13 de Mayo de 2022; (v) Onemax, s. a. y Trilogy Dominicana, . a. (viva), con fecha 11 de mayo de 2022; (vi) Altice Dominicana, S. A. (Altice) y Onemax, S. A., con fecha 12 de mayo de 2022.</w:t>
            </w:r>
          </w:p>
        </w:tc>
        <w:tc>
          <w:tcPr>
            <w:tcW w:w="2700" w:type="dxa"/>
          </w:tcPr>
          <w:p w14:paraId="078FDB85" w14:textId="0173C190"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239A684" w14:textId="34E52B6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063-2022</w:t>
            </w:r>
          </w:p>
        </w:tc>
      </w:tr>
      <w:tr w:rsidR="00565AD0" w:rsidRPr="009714C2" w14:paraId="5916978A" w14:textId="77777777" w:rsidTr="00565AD0">
        <w:trPr>
          <w:trHeight w:val="731"/>
        </w:trPr>
        <w:tc>
          <w:tcPr>
            <w:tcW w:w="5220" w:type="dxa"/>
          </w:tcPr>
          <w:p w14:paraId="1295804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dicta la enmienda número 02 al pliego de condiciones de la Licitación Pública Internacional Indotel-BID-LPI-001-2022, para la “adquisición y entrega de cajas </w:t>
            </w:r>
            <w:r w:rsidRPr="009714C2">
              <w:rPr>
                <w:rFonts w:ascii="Times New Roman" w:eastAsia="Times New Roman" w:hAnsi="Times New Roman" w:cs="Times New Roman"/>
                <w:color w:val="4C4747"/>
                <w:spacing w:val="20"/>
                <w:sz w:val="24"/>
                <w:szCs w:val="24"/>
                <w:lang w:val="es-DO" w:eastAsia="es-DO"/>
              </w:rPr>
              <w:lastRenderedPageBreak/>
              <w:t>convertidoras de señal de televisión digital a los hogares seleccionados”.</w:t>
            </w:r>
          </w:p>
        </w:tc>
        <w:tc>
          <w:tcPr>
            <w:tcW w:w="2700" w:type="dxa"/>
          </w:tcPr>
          <w:p w14:paraId="7692AB62" w14:textId="50D5536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0C66A6B8" w14:textId="73C5D52C"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062-2022</w:t>
            </w:r>
          </w:p>
        </w:tc>
      </w:tr>
      <w:tr w:rsidR="00565AD0" w:rsidRPr="009714C2" w14:paraId="5CE5A9EB" w14:textId="77777777" w:rsidTr="00565AD0">
        <w:trPr>
          <w:trHeight w:val="731"/>
        </w:trPr>
        <w:tc>
          <w:tcPr>
            <w:tcW w:w="5220" w:type="dxa"/>
          </w:tcPr>
          <w:p w14:paraId="52C079E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declara adecuada a las disposiciones de la Ley General De Telecomunicaciones No. 153-98, la autorización expedida por la Dirección General De Telecomunicaciones (DGT), que ampara el derecho de uso del canal 65 UHF a nivel nacional de la entidad canal del Sol, S.R.L.; autoriza la operación de transferencia del control social de la misma y finalmente, asigna el segmento de frecuencias 542-548 MHZ (canal 26) como su canal radioeléctrico televisivo (canal fisico) y el canal 65 como su canal virtual.</w:t>
            </w:r>
          </w:p>
        </w:tc>
        <w:tc>
          <w:tcPr>
            <w:tcW w:w="2700" w:type="dxa"/>
          </w:tcPr>
          <w:p w14:paraId="099FCEC4" w14:textId="22ED8910"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D11548E" w14:textId="52CBFC1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056-2022</w:t>
            </w:r>
          </w:p>
        </w:tc>
      </w:tr>
      <w:tr w:rsidR="00565AD0" w:rsidRPr="009714C2" w14:paraId="4AA06AF8" w14:textId="77777777" w:rsidTr="00565AD0">
        <w:trPr>
          <w:trHeight w:val="731"/>
        </w:trPr>
        <w:tc>
          <w:tcPr>
            <w:tcW w:w="5220" w:type="dxa"/>
          </w:tcPr>
          <w:p w14:paraId="71B49082"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dicta la enmienda No. 01 al pliego de condiciones de la Licitación Pública Internacional INDOTEL-BID-LPI-001-2022, para la “adquisición y entrega de cajas convertidoras de señal de televisión digital a los hogares seleccionados”.</w:t>
            </w:r>
          </w:p>
        </w:tc>
        <w:tc>
          <w:tcPr>
            <w:tcW w:w="2700" w:type="dxa"/>
          </w:tcPr>
          <w:p w14:paraId="72DC2D80" w14:textId="0DAFE64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718B9E6" w14:textId="03CA796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061-2022</w:t>
            </w:r>
          </w:p>
        </w:tc>
      </w:tr>
      <w:tr w:rsidR="00565AD0" w:rsidRPr="009714C2" w14:paraId="7E73195B" w14:textId="77777777" w:rsidTr="00565AD0">
        <w:trPr>
          <w:trHeight w:val="731"/>
        </w:trPr>
        <w:tc>
          <w:tcPr>
            <w:tcW w:w="5220" w:type="dxa"/>
          </w:tcPr>
          <w:p w14:paraId="073491B3"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el procedimiento sancionador administrativo seguido contra el señor Andrés Paz, por la comisión de las conductas tipificadas como faltas administrativas muy graves conforme las disposiciones contenidas en el literal d) del artículo 105 de la Ley General De Telecomunicaciones, No. 153-98.</w:t>
            </w:r>
          </w:p>
        </w:tc>
        <w:tc>
          <w:tcPr>
            <w:tcW w:w="2700" w:type="dxa"/>
          </w:tcPr>
          <w:p w14:paraId="4A097378" w14:textId="302320B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6C63F32" w14:textId="679FA72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060-2022</w:t>
            </w:r>
          </w:p>
        </w:tc>
      </w:tr>
      <w:tr w:rsidR="00565AD0" w:rsidRPr="009714C2" w14:paraId="39835F73" w14:textId="77777777" w:rsidTr="00565AD0">
        <w:trPr>
          <w:trHeight w:val="731"/>
        </w:trPr>
        <w:tc>
          <w:tcPr>
            <w:tcW w:w="5220" w:type="dxa"/>
          </w:tcPr>
          <w:p w14:paraId="20A0C11B"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decide el procedimiento sancionador administrativo seguido contra el señor Adolfo Antonio Lora Vásquez, por la comisión de las conductas tipificadas como falta administrativa muy grave conforme las disposiciones contenidas en el literal d) del artículo 105 de La Ley General De Telecomunicaciones, No. 153-98.</w:t>
            </w:r>
          </w:p>
        </w:tc>
        <w:tc>
          <w:tcPr>
            <w:tcW w:w="2700" w:type="dxa"/>
          </w:tcPr>
          <w:p w14:paraId="28E7C97B" w14:textId="4EAAF94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21CE4D3" w14:textId="5F292F53"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057-2022</w:t>
            </w:r>
          </w:p>
        </w:tc>
      </w:tr>
      <w:tr w:rsidR="00565AD0" w:rsidRPr="009714C2" w14:paraId="3FC56D83" w14:textId="77777777" w:rsidTr="00565AD0">
        <w:trPr>
          <w:trHeight w:val="731"/>
        </w:trPr>
        <w:tc>
          <w:tcPr>
            <w:tcW w:w="5220" w:type="dxa"/>
          </w:tcPr>
          <w:p w14:paraId="7FF18EB9"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el procedimiento sancionador administrativo seguido contra el señor Juan Rafael Pineda Sánchez, por la comisión de las conductas tipificadas como falta administrativa muy grave conforme la disposiciones contenidas en el literal d) del artículo 105 de la Ley General De Telecomunicaciones, No. 153-98.</w:t>
            </w:r>
          </w:p>
        </w:tc>
        <w:tc>
          <w:tcPr>
            <w:tcW w:w="2700" w:type="dxa"/>
          </w:tcPr>
          <w:p w14:paraId="04437EB9" w14:textId="1029E8B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0FD4823" w14:textId="2C61398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058-2022</w:t>
            </w:r>
          </w:p>
        </w:tc>
      </w:tr>
      <w:tr w:rsidR="00565AD0" w:rsidRPr="009714C2" w14:paraId="35A2D1ED" w14:textId="77777777" w:rsidTr="00565AD0">
        <w:trPr>
          <w:trHeight w:val="731"/>
        </w:trPr>
        <w:tc>
          <w:tcPr>
            <w:tcW w:w="5220" w:type="dxa"/>
          </w:tcPr>
          <w:p w14:paraId="14070BBD"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modifica el nombre del Comité Administrador de los Medios Web (CAM WEB) del indotel, por Comité de Implementación y Gestión de Estándares TIC (CIGETIC), confirma los miembros que lo integran y actualiza sus atribuciones y funciones.</w:t>
            </w:r>
          </w:p>
        </w:tc>
        <w:tc>
          <w:tcPr>
            <w:tcW w:w="2700" w:type="dxa"/>
          </w:tcPr>
          <w:p w14:paraId="20FD5EB6" w14:textId="32D2939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D5A20A2" w14:textId="3327430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052-2022</w:t>
            </w:r>
          </w:p>
        </w:tc>
      </w:tr>
      <w:tr w:rsidR="00565AD0" w:rsidRPr="009714C2" w14:paraId="0B9EBF96" w14:textId="77777777" w:rsidTr="00565AD0">
        <w:trPr>
          <w:trHeight w:val="731"/>
        </w:trPr>
        <w:tc>
          <w:tcPr>
            <w:tcW w:w="5220" w:type="dxa"/>
          </w:tcPr>
          <w:p w14:paraId="425C3A4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la frecuencia definitiva y el número de canal virtual a Teleamericas, S.R.L., para la prestación del servicio de televisión terrestre digital.</w:t>
            </w:r>
          </w:p>
        </w:tc>
        <w:tc>
          <w:tcPr>
            <w:tcW w:w="2700" w:type="dxa"/>
          </w:tcPr>
          <w:p w14:paraId="5E948FB9" w14:textId="53750E80"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7358791" w14:textId="045A8DC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055-2022</w:t>
            </w:r>
          </w:p>
        </w:tc>
      </w:tr>
      <w:tr w:rsidR="00565AD0" w:rsidRPr="009714C2" w14:paraId="2A478FF7" w14:textId="77777777" w:rsidTr="00565AD0">
        <w:trPr>
          <w:trHeight w:val="731"/>
        </w:trPr>
        <w:tc>
          <w:tcPr>
            <w:tcW w:w="5220" w:type="dxa"/>
          </w:tcPr>
          <w:p w14:paraId="6428A546" w14:textId="77777777" w:rsidR="00565AD0" w:rsidRPr="00A4233F"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lastRenderedPageBreak/>
              <w:t>Que decide la migración de la frecuencia 99.1 MHZ. a la frecuencia 97.1 MHZ, asignada a favor de la entidad fundación Frank &amp; Haydee Rainieri, INC., para el servicio público de telecomunicaciones de radiodifusión sonora en la localidad de Punta Cana, provincia La Altagracia.</w:t>
            </w:r>
          </w:p>
        </w:tc>
        <w:tc>
          <w:tcPr>
            <w:tcW w:w="2700" w:type="dxa"/>
          </w:tcPr>
          <w:p w14:paraId="6C6C13DB" w14:textId="4CBA2E00"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065948B9" w14:textId="0942B132"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053-2022</w:t>
            </w:r>
          </w:p>
        </w:tc>
      </w:tr>
      <w:tr w:rsidR="00565AD0" w:rsidRPr="009714C2" w14:paraId="06311E3F" w14:textId="77777777" w:rsidTr="00565AD0">
        <w:trPr>
          <w:trHeight w:val="731"/>
        </w:trPr>
        <w:tc>
          <w:tcPr>
            <w:tcW w:w="5220" w:type="dxa"/>
          </w:tcPr>
          <w:p w14:paraId="166AB765" w14:textId="77777777" w:rsidR="00565AD0" w:rsidRPr="00A4233F"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Que asigna el segmento de frecuencias definitivo y el número de canal virtual a favor de Turivisión del Este, S.R.L., para la prestación del servicio de televisión terrestre digital.</w:t>
            </w:r>
          </w:p>
        </w:tc>
        <w:tc>
          <w:tcPr>
            <w:tcW w:w="2700" w:type="dxa"/>
          </w:tcPr>
          <w:p w14:paraId="1CA6F40D" w14:textId="1D838640"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170A6E2B" w14:textId="4BED5F41"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054-2022</w:t>
            </w:r>
          </w:p>
        </w:tc>
      </w:tr>
      <w:tr w:rsidR="00565AD0" w:rsidRPr="009714C2" w14:paraId="5E6E739A" w14:textId="77777777" w:rsidTr="00565AD0">
        <w:trPr>
          <w:trHeight w:val="731"/>
        </w:trPr>
        <w:tc>
          <w:tcPr>
            <w:tcW w:w="5220" w:type="dxa"/>
          </w:tcPr>
          <w:p w14:paraId="25621A53" w14:textId="03E7F8CA" w:rsidR="00565AD0" w:rsidRPr="00A4233F" w:rsidRDefault="00513ACC"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Que declara adecuada a las disposiciones de la ley general de telecomunicaciones no. 153-98, la autorización que fue otorgada por la antigua dirección general de telecomunicaciones (DGT), a favor de la concesionaria sultana FM, C. Por A, para la prestación de servicios públicos de telecomunicaciones utilizando frecuencias atribuidas al servicio de radiodifusión sonora.</w:t>
            </w:r>
          </w:p>
        </w:tc>
        <w:tc>
          <w:tcPr>
            <w:tcW w:w="2700" w:type="dxa"/>
          </w:tcPr>
          <w:p w14:paraId="2894412B" w14:textId="59C20D54"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3F98A7E9" w14:textId="5A94E1CA"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098-08</w:t>
            </w:r>
          </w:p>
        </w:tc>
      </w:tr>
      <w:tr w:rsidR="00565AD0" w:rsidRPr="009714C2" w14:paraId="5E07842C" w14:textId="77777777" w:rsidTr="00565AD0">
        <w:trPr>
          <w:trHeight w:val="731"/>
        </w:trPr>
        <w:tc>
          <w:tcPr>
            <w:tcW w:w="5220" w:type="dxa"/>
          </w:tcPr>
          <w:p w14:paraId="4E55D29B" w14:textId="77777777" w:rsidR="00565AD0" w:rsidRPr="00A4233F"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Que decide sobre la solicitud de concesión presentada por la Sociedad VIU Comunicaciones, S.R.L., para prestar el servicio público de telecomunicaciones de difusión por cable y acceso a internet en la provincia Hermanas Mirabal.</w:t>
            </w:r>
          </w:p>
        </w:tc>
        <w:tc>
          <w:tcPr>
            <w:tcW w:w="2700" w:type="dxa"/>
          </w:tcPr>
          <w:p w14:paraId="3D19D3EF" w14:textId="048645AE" w:rsidR="00513ACC"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Resolución</w:t>
            </w:r>
          </w:p>
          <w:p w14:paraId="4D7D6138" w14:textId="22E43A10" w:rsidR="00565AD0" w:rsidRPr="00A4233F"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A4233F">
              <w:rPr>
                <w:rFonts w:ascii="Times New Roman" w:eastAsia="Times New Roman" w:hAnsi="Times New Roman" w:cs="Times New Roman"/>
                <w:color w:val="4C4747"/>
                <w:spacing w:val="20"/>
                <w:sz w:val="24"/>
                <w:szCs w:val="24"/>
                <w:lang w:val="es-DO" w:eastAsia="es-DO"/>
              </w:rPr>
              <w:t>No. 051-2022</w:t>
            </w:r>
          </w:p>
        </w:tc>
      </w:tr>
      <w:tr w:rsidR="00565AD0" w:rsidRPr="009714C2" w14:paraId="4C11F3DA" w14:textId="77777777" w:rsidTr="00565AD0">
        <w:trPr>
          <w:trHeight w:val="731"/>
        </w:trPr>
        <w:tc>
          <w:tcPr>
            <w:tcW w:w="5220" w:type="dxa"/>
          </w:tcPr>
          <w:p w14:paraId="61667C3A"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decide sobre la solicitud de la Corporación de Televisión y Microondas Rafa, S.A., sobre el reconocimiento del derecho de uso y explotación del Canal 3 VHF.</w:t>
            </w:r>
          </w:p>
        </w:tc>
        <w:tc>
          <w:tcPr>
            <w:tcW w:w="2700" w:type="dxa"/>
          </w:tcPr>
          <w:p w14:paraId="4404F464" w14:textId="3368A4D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3B89AA8" w14:textId="0D2083B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050-2022</w:t>
            </w:r>
          </w:p>
        </w:tc>
      </w:tr>
      <w:tr w:rsidR="00565AD0" w:rsidRPr="009714C2" w14:paraId="13C95260" w14:textId="77777777" w:rsidTr="00565AD0">
        <w:trPr>
          <w:trHeight w:val="731"/>
        </w:trPr>
        <w:tc>
          <w:tcPr>
            <w:tcW w:w="5220" w:type="dxa"/>
          </w:tcPr>
          <w:p w14:paraId="67C4BD59"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definitivo y el número de canal virtual a favor de circuito de televisión Tele-Duarte (CTT), S.R.L., para la prestación del servicio de televisión terrestre digital.</w:t>
            </w:r>
          </w:p>
        </w:tc>
        <w:tc>
          <w:tcPr>
            <w:tcW w:w="2700" w:type="dxa"/>
          </w:tcPr>
          <w:p w14:paraId="6B0C8FC4" w14:textId="5089BFC0"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1A0E04B" w14:textId="5BF43E4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049-2022</w:t>
            </w:r>
          </w:p>
        </w:tc>
      </w:tr>
      <w:tr w:rsidR="00565AD0" w:rsidRPr="009714C2" w14:paraId="7EEF77D2" w14:textId="77777777" w:rsidTr="00565AD0">
        <w:trPr>
          <w:trHeight w:val="731"/>
        </w:trPr>
        <w:tc>
          <w:tcPr>
            <w:tcW w:w="5220" w:type="dxa"/>
          </w:tcPr>
          <w:p w14:paraId="2D69D809"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corrige el error material, consignado en la resolución No. 122-2021 del Consejo Directivo del Indotel, en su anexo (a), para rectificar la zona de servicio de la Sociedad Circuito de Televisión Tele-Duarte, S.R.L. para la prestación del servicio público de televisión terrestre digital.</w:t>
            </w:r>
          </w:p>
        </w:tc>
        <w:tc>
          <w:tcPr>
            <w:tcW w:w="2700" w:type="dxa"/>
          </w:tcPr>
          <w:p w14:paraId="78E78AA6" w14:textId="4F8E0031"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091A839" w14:textId="65BEFD6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048-2022</w:t>
            </w:r>
          </w:p>
        </w:tc>
      </w:tr>
      <w:tr w:rsidR="00565AD0" w:rsidRPr="009714C2" w14:paraId="5E4B6BA5" w14:textId="77777777" w:rsidTr="00565AD0">
        <w:trPr>
          <w:trHeight w:val="731"/>
        </w:trPr>
        <w:tc>
          <w:tcPr>
            <w:tcW w:w="5220" w:type="dxa"/>
          </w:tcPr>
          <w:p w14:paraId="43D4A508"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sobre la solicitud de ampliación de concesión presentada por la Sociedad Redes Televisivas Satelital, S. R. L. (RETEVISA), para en adición al servicio público de telecomunicaciones de difusión por cable, prestar el servicio público de telecomunicaciones de acceso a internet en el Distrito Nacional y la provincia Santo Domingo.</w:t>
            </w:r>
          </w:p>
        </w:tc>
        <w:tc>
          <w:tcPr>
            <w:tcW w:w="2700" w:type="dxa"/>
          </w:tcPr>
          <w:p w14:paraId="78410AE8" w14:textId="15AA30AB"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FCBF38E" w14:textId="724C6C6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047-2022</w:t>
            </w:r>
          </w:p>
        </w:tc>
      </w:tr>
      <w:tr w:rsidR="00565AD0" w:rsidRPr="009714C2" w14:paraId="52E3E672" w14:textId="77777777" w:rsidTr="00565AD0">
        <w:trPr>
          <w:trHeight w:val="731"/>
        </w:trPr>
        <w:tc>
          <w:tcPr>
            <w:tcW w:w="5220" w:type="dxa"/>
          </w:tcPr>
          <w:p w14:paraId="0E6D89B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ordena la migración de la frecuencia 92.3 MHZ. a la frecuencia 91.5 MHZ, </w:t>
            </w:r>
            <w:r w:rsidRPr="009714C2">
              <w:rPr>
                <w:rFonts w:ascii="Times New Roman" w:eastAsia="Times New Roman" w:hAnsi="Times New Roman" w:cs="Times New Roman"/>
                <w:color w:val="4C4747"/>
                <w:spacing w:val="20"/>
                <w:sz w:val="24"/>
                <w:szCs w:val="24"/>
                <w:lang w:val="es-DO" w:eastAsia="es-DO"/>
              </w:rPr>
              <w:lastRenderedPageBreak/>
              <w:t>asignada a favor de la Sociedad Natura F.M. 92.3, S.R.L., para el servicio público de telecomunicaciones de radiodifusión sonora en la provincia La Vega.</w:t>
            </w:r>
          </w:p>
        </w:tc>
        <w:tc>
          <w:tcPr>
            <w:tcW w:w="2700" w:type="dxa"/>
          </w:tcPr>
          <w:p w14:paraId="09EDDA4B" w14:textId="0B04D234"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1B48CCC2" w14:textId="04DC1B02"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046-2022</w:t>
            </w:r>
          </w:p>
        </w:tc>
      </w:tr>
      <w:tr w:rsidR="00565AD0" w:rsidRPr="009714C2" w14:paraId="6F261187" w14:textId="77777777" w:rsidTr="00565AD0">
        <w:trPr>
          <w:trHeight w:val="731"/>
        </w:trPr>
        <w:tc>
          <w:tcPr>
            <w:tcW w:w="5220" w:type="dxa"/>
          </w:tcPr>
          <w:p w14:paraId="0C0C978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ordena el inicio del proceso de consulta pública para establecer las condiciones para autorizar a las concesionarias del servicio de difusión televisiva por cable para ofrecer el servicio de acceso a internet.</w:t>
            </w:r>
          </w:p>
        </w:tc>
        <w:tc>
          <w:tcPr>
            <w:tcW w:w="2700" w:type="dxa"/>
          </w:tcPr>
          <w:p w14:paraId="2A500B1F" w14:textId="5300CA63"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A1EEAE4" w14:textId="5BC75AA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045-2022</w:t>
            </w:r>
          </w:p>
        </w:tc>
      </w:tr>
      <w:tr w:rsidR="00565AD0" w:rsidRPr="009714C2" w14:paraId="184E4237" w14:textId="77777777" w:rsidTr="00565AD0">
        <w:trPr>
          <w:trHeight w:val="731"/>
        </w:trPr>
        <w:tc>
          <w:tcPr>
            <w:tcW w:w="5220" w:type="dxa"/>
          </w:tcPr>
          <w:p w14:paraId="227B6D0B"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ordena el inicio del proceso de consulta pública para establecer las “condiciones de operación en la banda 5925-7125 MHZ, de equipos de baja potencia para uso exclusivamente en espacios interiores, que quedan autorizados bajo el esquema de licencias genéricas”.</w:t>
            </w:r>
          </w:p>
        </w:tc>
        <w:tc>
          <w:tcPr>
            <w:tcW w:w="2700" w:type="dxa"/>
          </w:tcPr>
          <w:p w14:paraId="467D06E8" w14:textId="60612C54"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413025B" w14:textId="457EBE1C"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044-2022</w:t>
            </w:r>
          </w:p>
        </w:tc>
      </w:tr>
      <w:tr w:rsidR="00565AD0" w:rsidRPr="009714C2" w14:paraId="40BA207E" w14:textId="77777777" w:rsidTr="00565AD0">
        <w:trPr>
          <w:trHeight w:val="731"/>
        </w:trPr>
        <w:tc>
          <w:tcPr>
            <w:tcW w:w="5220" w:type="dxa"/>
          </w:tcPr>
          <w:p w14:paraId="0D4EF3DA"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definitivo y el número de canal virtual a favor de Telemedios Dominicana, S. A., para la prestación del servicio de televisión terrestre digital.</w:t>
            </w:r>
          </w:p>
        </w:tc>
        <w:tc>
          <w:tcPr>
            <w:tcW w:w="2700" w:type="dxa"/>
          </w:tcPr>
          <w:p w14:paraId="207F5F01" w14:textId="0AEE6FBB"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8EDAAB1" w14:textId="516C6574"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043-2022</w:t>
            </w:r>
          </w:p>
        </w:tc>
      </w:tr>
      <w:tr w:rsidR="00565AD0" w:rsidRPr="009714C2" w14:paraId="0F9921D8" w14:textId="77777777" w:rsidTr="00565AD0">
        <w:trPr>
          <w:trHeight w:val="731"/>
        </w:trPr>
        <w:tc>
          <w:tcPr>
            <w:tcW w:w="5220" w:type="dxa"/>
          </w:tcPr>
          <w:p w14:paraId="3F7D5398"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aprueba el pliego de condiciones, designa el comité evaluador y convoca a la Licitación Pública Internacional Indotel-BID-LPI-001- 2022, para la “adquisición y entrega de cajas convertidoras de señal de </w:t>
            </w:r>
            <w:r w:rsidRPr="009714C2">
              <w:rPr>
                <w:rFonts w:ascii="Times New Roman" w:eastAsia="Times New Roman" w:hAnsi="Times New Roman" w:cs="Times New Roman"/>
                <w:color w:val="4C4747"/>
                <w:spacing w:val="20"/>
                <w:sz w:val="24"/>
                <w:szCs w:val="24"/>
                <w:lang w:val="es-DO" w:eastAsia="es-DO"/>
              </w:rPr>
              <w:lastRenderedPageBreak/>
              <w:t>televisión digital a los hogares seleccionados”.</w:t>
            </w:r>
          </w:p>
        </w:tc>
        <w:tc>
          <w:tcPr>
            <w:tcW w:w="2700" w:type="dxa"/>
          </w:tcPr>
          <w:p w14:paraId="34B203D4" w14:textId="7CB5B354" w:rsidR="00513ACC" w:rsidRPr="009714C2" w:rsidRDefault="00565AD0" w:rsidP="00A23B48">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45FCD58B" w14:textId="2C49A659" w:rsidR="00565AD0" w:rsidRPr="009714C2" w:rsidRDefault="00565AD0" w:rsidP="00A23B48">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042-2022</w:t>
            </w:r>
          </w:p>
        </w:tc>
      </w:tr>
      <w:tr w:rsidR="00565AD0" w:rsidRPr="009714C2" w14:paraId="7C65458C" w14:textId="77777777" w:rsidTr="00565AD0">
        <w:trPr>
          <w:trHeight w:val="731"/>
        </w:trPr>
        <w:tc>
          <w:tcPr>
            <w:tcW w:w="5220" w:type="dxa"/>
          </w:tcPr>
          <w:p w14:paraId="00B427FA"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aprueba el pliego de condiciones, designa el comité evaluador y convoca a la Licitación Pública Internacional Indotel-BID-LPI-001- 2022, para la “adquisición y entrega de cajas convertidoras de señal de televisión digital a los hogares seleccionados”.</w:t>
            </w:r>
          </w:p>
        </w:tc>
        <w:tc>
          <w:tcPr>
            <w:tcW w:w="2700" w:type="dxa"/>
          </w:tcPr>
          <w:p w14:paraId="2D9649B9" w14:textId="2FAE4DA5"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1A6E4065" w14:textId="194FC65E" w:rsidR="00565AD0" w:rsidRPr="009714C2" w:rsidRDefault="00A23B48"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042-2022 Anexo</w:t>
            </w:r>
          </w:p>
          <w:p w14:paraId="12A91A5E" w14:textId="7777777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p>
        </w:tc>
      </w:tr>
      <w:tr w:rsidR="00565AD0" w:rsidRPr="009714C2" w14:paraId="74A03865" w14:textId="77777777" w:rsidTr="00565AD0">
        <w:trPr>
          <w:trHeight w:val="731"/>
        </w:trPr>
        <w:tc>
          <w:tcPr>
            <w:tcW w:w="5220" w:type="dxa"/>
          </w:tcPr>
          <w:p w14:paraId="542A19A9"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dispone la extensión del plazo de la suspensión provisional para la expedición de las autorizaciones requeridas para el uso de frecuencias radioeléctricas en la prestación de servicios públicos de radiodifusión sonora.</w:t>
            </w:r>
          </w:p>
        </w:tc>
        <w:tc>
          <w:tcPr>
            <w:tcW w:w="2700" w:type="dxa"/>
          </w:tcPr>
          <w:p w14:paraId="3EC3588E" w14:textId="4CE56D4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E274C1F" w14:textId="672911A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041-2022</w:t>
            </w:r>
          </w:p>
        </w:tc>
      </w:tr>
      <w:tr w:rsidR="00565AD0" w:rsidRPr="009714C2" w14:paraId="2706460B" w14:textId="77777777" w:rsidTr="00565AD0">
        <w:trPr>
          <w:trHeight w:val="731"/>
        </w:trPr>
        <w:tc>
          <w:tcPr>
            <w:tcW w:w="5220" w:type="dxa"/>
          </w:tcPr>
          <w:p w14:paraId="41A073B3"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adecuada a las disposiciones de la Ley General de Telecomunicaciones No. 153-98, las autorizaciones expedidas por la Dirección General de Telecomunicaciones (DGT) a favor de la Sociedad Hibi Radio, AM y FM (h-102), S.R.L., para la operación de las frecuencias 1070 KHZ, atribuida al servicio de radiodifusión sonora en Amplitud Modulada (AM) en San Francisco de Macorís y 102.3 MHZ, atribuida al servicio de radiofusión sonora en la banda de Frecuencia Modulada (FM), en la loma el Mogote.</w:t>
            </w:r>
          </w:p>
        </w:tc>
        <w:tc>
          <w:tcPr>
            <w:tcW w:w="2700" w:type="dxa"/>
          </w:tcPr>
          <w:p w14:paraId="71C04E55" w14:textId="189F5CA6"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383815B" w14:textId="798A03DE"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040-2022</w:t>
            </w:r>
          </w:p>
        </w:tc>
      </w:tr>
      <w:tr w:rsidR="00565AD0" w:rsidRPr="009714C2" w14:paraId="061BA75D" w14:textId="77777777" w:rsidTr="00565AD0">
        <w:trPr>
          <w:trHeight w:val="731"/>
        </w:trPr>
        <w:tc>
          <w:tcPr>
            <w:tcW w:w="5220" w:type="dxa"/>
          </w:tcPr>
          <w:p w14:paraId="36B9E080"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decide sobre la solicitud de transferencia de control social presentada ante el Indotel por la concesionaria Gold Data Dominicana, S.A.S., a favor de la Sociedad Gold Data Usa, INC.</w:t>
            </w:r>
          </w:p>
        </w:tc>
        <w:tc>
          <w:tcPr>
            <w:tcW w:w="2700" w:type="dxa"/>
          </w:tcPr>
          <w:p w14:paraId="7C1A8179" w14:textId="5618B29A"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13E65370" w14:textId="1FE60348"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039-2022</w:t>
            </w:r>
          </w:p>
        </w:tc>
      </w:tr>
      <w:tr w:rsidR="00565AD0" w:rsidRPr="009714C2" w14:paraId="387FC6DA" w14:textId="77777777" w:rsidTr="00565AD0">
        <w:trPr>
          <w:trHeight w:val="731"/>
        </w:trPr>
        <w:tc>
          <w:tcPr>
            <w:tcW w:w="5220" w:type="dxa"/>
          </w:tcPr>
          <w:p w14:paraId="6DF04CA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conoce la solicitud de autorización para la ampliación de los servicios electrónicos de confianza prestados por la Sociedad Lleidanet Dominicana S.R.L., de conformidad a lo establecido en la ley No. 126-02 de comercio electrónico, documentos y firmas digitales.</w:t>
            </w:r>
          </w:p>
        </w:tc>
        <w:tc>
          <w:tcPr>
            <w:tcW w:w="2700" w:type="dxa"/>
          </w:tcPr>
          <w:p w14:paraId="4F69AB47"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6BAD4BA" w14:textId="61EA7F1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038-2022</w:t>
            </w:r>
          </w:p>
        </w:tc>
      </w:tr>
      <w:tr w:rsidR="00565AD0" w:rsidRPr="009714C2" w14:paraId="65C07033" w14:textId="77777777" w:rsidTr="00565AD0">
        <w:trPr>
          <w:trHeight w:val="731"/>
        </w:trPr>
        <w:tc>
          <w:tcPr>
            <w:tcW w:w="5220" w:type="dxa"/>
          </w:tcPr>
          <w:p w14:paraId="18FC668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sobre los recursos de reconsideración interpuestos por Compañía Dominicana de Teléfonos, S. A. (Claro), Altice Dominicana S. A. (Altice), Trilogy Dominicana, S. A. (Viva) y la Asociación de Empresas de Comunicación y Tecnología, INC. (COMTEC), contra la resolución del Consejo Directivo No. 102-2020, que aprueba las “modificaciones del reglamento general de servicio telefónico, la norma de calidad del servicio de telefonía y acceso a internet y el reglamento sobre los derechos y obligaciones de los usuarios y prestadoras de servicios públicos de telecomunicaciones”.</w:t>
            </w:r>
          </w:p>
        </w:tc>
        <w:tc>
          <w:tcPr>
            <w:tcW w:w="2700" w:type="dxa"/>
          </w:tcPr>
          <w:p w14:paraId="5B942EAB" w14:textId="0C88A8CC"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5F5E78A" w14:textId="5ECF3D25"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036-2022</w:t>
            </w:r>
          </w:p>
        </w:tc>
      </w:tr>
      <w:tr w:rsidR="00565AD0" w:rsidRPr="009714C2" w14:paraId="21F56AF7" w14:textId="77777777" w:rsidTr="00565AD0">
        <w:trPr>
          <w:trHeight w:val="731"/>
        </w:trPr>
        <w:tc>
          <w:tcPr>
            <w:tcW w:w="5220" w:type="dxa"/>
          </w:tcPr>
          <w:p w14:paraId="229D30EB"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actualiza el reordenamiento y servicios autorizados de la banda de 3300 a 3600 mhz en apego a los lineamientos establecidos en las resoluciones del Consejo Directivo números 115-2021, 116-2021, 119- 2021 y 010-2022.</w:t>
            </w:r>
          </w:p>
        </w:tc>
        <w:tc>
          <w:tcPr>
            <w:tcW w:w="2700" w:type="dxa"/>
          </w:tcPr>
          <w:p w14:paraId="31FF3237" w14:textId="07716A8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36A596D" w14:textId="26362D3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035-2022</w:t>
            </w:r>
          </w:p>
        </w:tc>
      </w:tr>
      <w:tr w:rsidR="00565AD0" w:rsidRPr="009714C2" w14:paraId="5665CCD9" w14:textId="77777777" w:rsidTr="00565AD0">
        <w:trPr>
          <w:trHeight w:val="731"/>
        </w:trPr>
        <w:tc>
          <w:tcPr>
            <w:tcW w:w="5220" w:type="dxa"/>
          </w:tcPr>
          <w:p w14:paraId="5F153A54"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el procedimiento sancionador administrativo seguido contra el Señor Robert Porfirio Matos Nina, por la comisión de las conductas tipificadas como faltas administrativas muy graves y graves conforme las disposiciones contenidas en el literal “d” del artículo 105 y en el literal “b” del artículo 106 de la Ley General de Telecomunicaciones, núm. 153-98.</w:t>
            </w:r>
          </w:p>
        </w:tc>
        <w:tc>
          <w:tcPr>
            <w:tcW w:w="2700" w:type="dxa"/>
          </w:tcPr>
          <w:p w14:paraId="5DC00AB2" w14:textId="251084D4"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C6B95FC" w14:textId="2B6738EA"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034-2022</w:t>
            </w:r>
          </w:p>
        </w:tc>
      </w:tr>
      <w:tr w:rsidR="00565AD0" w:rsidRPr="009714C2" w14:paraId="0F08C2AC" w14:textId="77777777" w:rsidTr="00565AD0">
        <w:trPr>
          <w:trHeight w:val="731"/>
        </w:trPr>
        <w:tc>
          <w:tcPr>
            <w:tcW w:w="5220" w:type="dxa"/>
          </w:tcPr>
          <w:p w14:paraId="1A7074A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decide el recurso de reconsideración interpuesto en fecha 3 de septiembre de 2021, por el Señor Odalis Nicudemus Páez, contra la resolución núm. 074-2021 dictada en fecha 22 de julio de 2021, la cual decidió un proceso sancionador administrativo (PSA) en su contra por la comisión de las conductas tipificadas como faltas administrativas muy graves y graves, conforme las disposiciones contenidas en el literal “d” del artículo 105 y literal “b” del artículo 106 de la Ley </w:t>
            </w:r>
            <w:r w:rsidRPr="009714C2">
              <w:rPr>
                <w:rFonts w:ascii="Times New Roman" w:eastAsia="Times New Roman" w:hAnsi="Times New Roman" w:cs="Times New Roman"/>
                <w:color w:val="4C4747"/>
                <w:spacing w:val="20"/>
                <w:sz w:val="24"/>
                <w:szCs w:val="24"/>
                <w:lang w:val="es-DO" w:eastAsia="es-DO"/>
              </w:rPr>
              <w:lastRenderedPageBreak/>
              <w:t>General de Telecomunicaciones, núm. 153-98.</w:t>
            </w:r>
          </w:p>
        </w:tc>
        <w:tc>
          <w:tcPr>
            <w:tcW w:w="2700" w:type="dxa"/>
          </w:tcPr>
          <w:p w14:paraId="7D10BAFD" w14:textId="05C46CF2"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6738F480" w14:textId="05E282C9"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033-2022</w:t>
            </w:r>
          </w:p>
        </w:tc>
      </w:tr>
      <w:tr w:rsidR="00565AD0" w:rsidRPr="009714C2" w14:paraId="5E86EDB9" w14:textId="77777777" w:rsidTr="00565AD0">
        <w:trPr>
          <w:trHeight w:val="731"/>
        </w:trPr>
        <w:tc>
          <w:tcPr>
            <w:tcW w:w="5220" w:type="dxa"/>
          </w:tcPr>
          <w:p w14:paraId="5E20F0BD"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decide el procedimiento sancionador administrativo seguido contra el Señor Florentino Gómez Díaz, por la comisión de las conductas tipificadas como faltas administrativas muy graves y graves conforme las disposiciones contenidas en el literal d) del artículo 105 y en el literal b) del artículo 106 de la Ley General de Telecomunicaciones, núm. 153-98.</w:t>
            </w:r>
          </w:p>
        </w:tc>
        <w:tc>
          <w:tcPr>
            <w:tcW w:w="2700" w:type="dxa"/>
          </w:tcPr>
          <w:p w14:paraId="630346CE" w14:textId="5CC3280C"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0C05B9A" w14:textId="0FC03BCF"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032-2022</w:t>
            </w:r>
          </w:p>
        </w:tc>
      </w:tr>
      <w:tr w:rsidR="00565AD0" w:rsidRPr="009714C2" w14:paraId="530D3AC5" w14:textId="77777777" w:rsidTr="00565AD0">
        <w:trPr>
          <w:trHeight w:val="731"/>
        </w:trPr>
        <w:tc>
          <w:tcPr>
            <w:tcW w:w="5220" w:type="dxa"/>
          </w:tcPr>
          <w:p w14:paraId="795AB6A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el procedimiento sancionador administrativo seguido contra el Señor Isael Salvador, por la comisión de las conductas tipificadas como faltas administrativas muy graves y graves conforme las disposiciones contenidas en el literal d) del artículo 105 y en el literal b) del artículo 106 de la Ley General de Telecomunicaciones, núm. 153-98.</w:t>
            </w:r>
          </w:p>
        </w:tc>
        <w:tc>
          <w:tcPr>
            <w:tcW w:w="2700" w:type="dxa"/>
          </w:tcPr>
          <w:p w14:paraId="5499C453" w14:textId="45E448D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81F47AB" w14:textId="2A0D8064"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031-2022</w:t>
            </w:r>
          </w:p>
        </w:tc>
      </w:tr>
      <w:tr w:rsidR="00565AD0" w:rsidRPr="009714C2" w14:paraId="718728D3" w14:textId="77777777" w:rsidTr="00565AD0">
        <w:trPr>
          <w:trHeight w:val="731"/>
        </w:trPr>
        <w:tc>
          <w:tcPr>
            <w:tcW w:w="5220" w:type="dxa"/>
          </w:tcPr>
          <w:p w14:paraId="3D9474A1"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decide el procedimiento sancionador administrativo seguido contra el Señor Nicober Hilartides Moreno Carvajal, por la comisión de las conductas tipificadas como faltas administrativas muy graves y graves conforme las disposiciones contenidas en el literal d) del artículo 105 y en el literal b) del artículo 106 de la Ley </w:t>
            </w:r>
            <w:r w:rsidRPr="009714C2">
              <w:rPr>
                <w:rFonts w:ascii="Times New Roman" w:eastAsia="Times New Roman" w:hAnsi="Times New Roman" w:cs="Times New Roman"/>
                <w:color w:val="4C4747"/>
                <w:spacing w:val="20"/>
                <w:sz w:val="24"/>
                <w:szCs w:val="24"/>
                <w:lang w:val="es-DO" w:eastAsia="es-DO"/>
              </w:rPr>
              <w:lastRenderedPageBreak/>
              <w:t>General de Telecomunicaciones, núm. 153-98.</w:t>
            </w:r>
          </w:p>
        </w:tc>
        <w:tc>
          <w:tcPr>
            <w:tcW w:w="2700" w:type="dxa"/>
          </w:tcPr>
          <w:p w14:paraId="666FA022" w14:textId="61CC7E2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034B0EE5" w14:textId="635F284C"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030-2022</w:t>
            </w:r>
          </w:p>
        </w:tc>
      </w:tr>
      <w:tr w:rsidR="00565AD0" w:rsidRPr="009714C2" w14:paraId="0C610790" w14:textId="77777777" w:rsidTr="00565AD0">
        <w:trPr>
          <w:trHeight w:val="731"/>
        </w:trPr>
        <w:tc>
          <w:tcPr>
            <w:tcW w:w="5220" w:type="dxa"/>
          </w:tcPr>
          <w:p w14:paraId="69362B5A"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declara adecuada a las disposiciones de la Ley General de Telecomunicaciones No. 153-98, la autorización otorgada por la Dirección General de Telecomunicaciones (DGT), a favor de la Sociedad Sistema Televisivo del Sur, S.R.L. (SISTESUR), para la prestación del servicio de radiodifusión televisiva a través del canal 49 UHF, en la zona 1 y migra el segmento de frecuencias 680-686 mhz correspondiente al canal 49 UHF, al segmento de frecuencias 626-632 mhz correspondiente al canal 40 UHF, una vez entre vigencia la televisión terrestre digital.</w:t>
            </w:r>
          </w:p>
        </w:tc>
        <w:tc>
          <w:tcPr>
            <w:tcW w:w="2700" w:type="dxa"/>
          </w:tcPr>
          <w:p w14:paraId="643ED15C" w14:textId="70BF9C0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E2A0079" w14:textId="58F2AC0F"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029-2022</w:t>
            </w:r>
          </w:p>
        </w:tc>
      </w:tr>
      <w:tr w:rsidR="00565AD0" w:rsidRPr="009714C2" w14:paraId="77BAB66B" w14:textId="77777777" w:rsidTr="00565AD0">
        <w:trPr>
          <w:trHeight w:val="731"/>
        </w:trPr>
        <w:tc>
          <w:tcPr>
            <w:tcW w:w="5220" w:type="dxa"/>
          </w:tcPr>
          <w:p w14:paraId="016BDE7B"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adecuada a las disposiciones de la Ley General de Telecomunicaciones No. 153-98, la autorización otorgada por la Dirección General de Telecomunicaciones (DGT), a favor de la Sociedad Trendy S.A.S., para la prestación del servicio de radiodifusión televisiva a través del canal 21 UHF, en el Territorio Nacional y asigna el segmento de frecuencia definitivo y el canal virtual para la prestación del servicio de radiodifusión terrestre digital.</w:t>
            </w:r>
          </w:p>
        </w:tc>
        <w:tc>
          <w:tcPr>
            <w:tcW w:w="2700" w:type="dxa"/>
          </w:tcPr>
          <w:p w14:paraId="762D75AD" w14:textId="01D1BDEB"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2242CCE2" w14:textId="4908735F"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027-2022</w:t>
            </w:r>
          </w:p>
        </w:tc>
      </w:tr>
      <w:tr w:rsidR="00565AD0" w:rsidRPr="009714C2" w14:paraId="29D12592" w14:textId="77777777" w:rsidTr="00565AD0">
        <w:trPr>
          <w:trHeight w:val="731"/>
        </w:trPr>
        <w:tc>
          <w:tcPr>
            <w:tcW w:w="5220" w:type="dxa"/>
          </w:tcPr>
          <w:p w14:paraId="50F514A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aprueba el presupuesto de ingresos, gastos e inversión del Instituto Dominicano de las Telecomunicaciones (Indotel) y del Fondo de Desarrollo de las Telecomunicaciones (FDT), correspondiente al ejercicio fiscal del año 2022.</w:t>
            </w:r>
          </w:p>
        </w:tc>
        <w:tc>
          <w:tcPr>
            <w:tcW w:w="2700" w:type="dxa"/>
          </w:tcPr>
          <w:p w14:paraId="78BFCD29" w14:textId="23A51712"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527255C" w14:textId="712E98B4"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026-2022</w:t>
            </w:r>
          </w:p>
        </w:tc>
      </w:tr>
      <w:tr w:rsidR="00565AD0" w:rsidRPr="009714C2" w14:paraId="502C57BF" w14:textId="77777777" w:rsidTr="00565AD0">
        <w:trPr>
          <w:trHeight w:val="731"/>
        </w:trPr>
        <w:tc>
          <w:tcPr>
            <w:tcW w:w="5220" w:type="dxa"/>
          </w:tcPr>
          <w:p w14:paraId="579B2223"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decide la solicitud de renovación de la licencia otorgada a la Sociedad Pueblo Viejo Dominicana Jersey 2 Limited, que ampara el derecho de uso de la Frecuencia 5180 mhz, para la operación de Servicios Privados de Radiocomunicaciones.</w:t>
            </w:r>
          </w:p>
        </w:tc>
        <w:tc>
          <w:tcPr>
            <w:tcW w:w="2700" w:type="dxa"/>
          </w:tcPr>
          <w:p w14:paraId="5640784F" w14:textId="0F72D3C0"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75797938" w14:textId="025457FA"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028-2022</w:t>
            </w:r>
          </w:p>
        </w:tc>
      </w:tr>
      <w:tr w:rsidR="00565AD0" w:rsidRPr="009714C2" w14:paraId="0A83405D" w14:textId="77777777" w:rsidTr="00565AD0">
        <w:trPr>
          <w:trHeight w:val="731"/>
        </w:trPr>
        <w:tc>
          <w:tcPr>
            <w:tcW w:w="5220" w:type="dxa"/>
          </w:tcPr>
          <w:p w14:paraId="502F24B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conoce los recursos de reconsideración interpuestos por las prestadoras de servicios públicos de telecomunicaciones Compañía Dominicana de Teléfonos, S. A. (Claro) y Altice Dominicana, S. A. (Altice) contra la resolución del consejo directivo No. 104-2021 que da inicio al procedimiento para la fijación de los cargos de interconexión conforme lo establecido en el reglamento de tarifas y costos de servicios y en cumplimiento a lo dispuesto en la resolución No. 053-2021.</w:t>
            </w:r>
          </w:p>
        </w:tc>
        <w:tc>
          <w:tcPr>
            <w:tcW w:w="2700" w:type="dxa"/>
          </w:tcPr>
          <w:p w14:paraId="46B51732" w14:textId="433227CB"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BA02A4B" w14:textId="2C47B6E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023-2022</w:t>
            </w:r>
          </w:p>
        </w:tc>
      </w:tr>
      <w:tr w:rsidR="00565AD0" w:rsidRPr="009714C2" w14:paraId="5D19C61E" w14:textId="77777777" w:rsidTr="00565AD0">
        <w:trPr>
          <w:trHeight w:val="731"/>
        </w:trPr>
        <w:tc>
          <w:tcPr>
            <w:tcW w:w="5220" w:type="dxa"/>
          </w:tcPr>
          <w:p w14:paraId="6848DD57"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conoce el recurso de reconsideración interpuesto por Compañía Dominicana de Teléfonos, S. A. (Claro) contra la </w:t>
            </w:r>
            <w:r w:rsidRPr="009714C2">
              <w:rPr>
                <w:rFonts w:ascii="Times New Roman" w:eastAsia="Times New Roman" w:hAnsi="Times New Roman" w:cs="Times New Roman"/>
                <w:color w:val="4C4747"/>
                <w:spacing w:val="20"/>
                <w:sz w:val="24"/>
                <w:szCs w:val="24"/>
                <w:lang w:val="es-DO" w:eastAsia="es-DO"/>
              </w:rPr>
              <w:lastRenderedPageBreak/>
              <w:t>resolución del consejo directivo No. 114-2021 de fecha 28 de octubre de 2021.</w:t>
            </w:r>
          </w:p>
        </w:tc>
        <w:tc>
          <w:tcPr>
            <w:tcW w:w="2700" w:type="dxa"/>
          </w:tcPr>
          <w:p w14:paraId="5C785B5C" w14:textId="6248E099" w:rsidR="00513ACC" w:rsidRPr="009714C2" w:rsidRDefault="00565AD0" w:rsidP="00A23B48">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4E603D3A" w14:textId="1055CD63" w:rsidR="00565AD0" w:rsidRPr="009714C2" w:rsidRDefault="00565AD0" w:rsidP="00A23B48">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024-2022</w:t>
            </w:r>
          </w:p>
        </w:tc>
      </w:tr>
      <w:tr w:rsidR="00565AD0" w:rsidRPr="009714C2" w14:paraId="12B6E86D" w14:textId="77777777" w:rsidTr="00565AD0">
        <w:trPr>
          <w:trHeight w:val="731"/>
        </w:trPr>
        <w:tc>
          <w:tcPr>
            <w:tcW w:w="5220" w:type="dxa"/>
          </w:tcPr>
          <w:p w14:paraId="40D243E4"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dispone el procedimiento para el levantamiento de los servicios de telecomunicaciones utilizados desde los centros penitenciarios en la República Dominicana.</w:t>
            </w:r>
          </w:p>
        </w:tc>
        <w:tc>
          <w:tcPr>
            <w:tcW w:w="2700" w:type="dxa"/>
          </w:tcPr>
          <w:p w14:paraId="32BF01E8" w14:textId="6E981C08"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D83573F" w14:textId="64B8E35E"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025-2022</w:t>
            </w:r>
          </w:p>
        </w:tc>
      </w:tr>
      <w:tr w:rsidR="00565AD0" w:rsidRPr="009714C2" w14:paraId="1E424F89" w14:textId="77777777" w:rsidTr="00565AD0">
        <w:trPr>
          <w:trHeight w:val="731"/>
        </w:trPr>
        <w:tc>
          <w:tcPr>
            <w:tcW w:w="5220" w:type="dxa"/>
          </w:tcPr>
          <w:p w14:paraId="0DFF5D97"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dicta el nuevo reglamento para la celebración de consultas y audiencias públicas para la elaboración de normas y reglamentos del Instituto Dominicano de las Telecomunicaciones (INDOTEL).</w:t>
            </w:r>
          </w:p>
        </w:tc>
        <w:tc>
          <w:tcPr>
            <w:tcW w:w="2700" w:type="dxa"/>
          </w:tcPr>
          <w:p w14:paraId="3A852BF6" w14:textId="23F76EE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18B621FB" w14:textId="21F4431A"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022-2022</w:t>
            </w:r>
          </w:p>
        </w:tc>
      </w:tr>
      <w:tr w:rsidR="00565AD0" w:rsidRPr="009714C2" w14:paraId="7AE39D1E" w14:textId="77777777" w:rsidTr="00565AD0">
        <w:trPr>
          <w:trHeight w:val="731"/>
        </w:trPr>
        <w:tc>
          <w:tcPr>
            <w:tcW w:w="5220" w:type="dxa"/>
          </w:tcPr>
          <w:p w14:paraId="70F1FAD5"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posterga la entrada en vigencia de la resolución del Consejo Directivo núm 102-2020, que aprueba las “modificaciones del Reglamento General de Servicio Telefónico, la norma de calidad del servicio de telefonía y acceso a internet y el reglamento sobre los derechos y obligaciones de los usuarios y prestadoras de servicios públicos de telecomunicaciones”.</w:t>
            </w:r>
          </w:p>
        </w:tc>
        <w:tc>
          <w:tcPr>
            <w:tcW w:w="2700" w:type="dxa"/>
          </w:tcPr>
          <w:p w14:paraId="257C3737" w14:textId="66677BDF"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0E30A2D6" w14:textId="295EF26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021-2022</w:t>
            </w:r>
          </w:p>
        </w:tc>
      </w:tr>
      <w:tr w:rsidR="00565AD0" w:rsidRPr="009714C2" w14:paraId="0FD811C3" w14:textId="77777777" w:rsidTr="00565AD0">
        <w:trPr>
          <w:trHeight w:val="731"/>
        </w:trPr>
        <w:tc>
          <w:tcPr>
            <w:tcW w:w="5220" w:type="dxa"/>
          </w:tcPr>
          <w:p w14:paraId="090F7CA4"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definitvo y el número de canal virtual a favor de Digital Cable TV S.R.L., para la prestación del servicio de Televisión Terrestre Digital.</w:t>
            </w:r>
          </w:p>
        </w:tc>
        <w:tc>
          <w:tcPr>
            <w:tcW w:w="2700" w:type="dxa"/>
          </w:tcPr>
          <w:p w14:paraId="3E43A9F0" w14:textId="2B080AEE" w:rsidR="00513ACC" w:rsidRPr="009714C2" w:rsidRDefault="00513ACC"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22D530E" w14:textId="44DB380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020-2022</w:t>
            </w:r>
          </w:p>
        </w:tc>
      </w:tr>
      <w:tr w:rsidR="00565AD0" w:rsidRPr="009714C2" w14:paraId="0C7FBF22" w14:textId="77777777" w:rsidTr="00565AD0">
        <w:trPr>
          <w:trHeight w:val="731"/>
        </w:trPr>
        <w:tc>
          <w:tcPr>
            <w:tcW w:w="5220" w:type="dxa"/>
          </w:tcPr>
          <w:p w14:paraId="6F2E18DD"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asigna el segmento de frecuencias definitiva y el número de canal virtual a </w:t>
            </w:r>
            <w:r w:rsidRPr="009714C2">
              <w:rPr>
                <w:rFonts w:ascii="Times New Roman" w:eastAsia="Times New Roman" w:hAnsi="Times New Roman" w:cs="Times New Roman"/>
                <w:color w:val="4C4747"/>
                <w:spacing w:val="20"/>
                <w:sz w:val="24"/>
                <w:szCs w:val="24"/>
                <w:lang w:val="es-DO" w:eastAsia="es-DO"/>
              </w:rPr>
              <w:lastRenderedPageBreak/>
              <w:t>Telenorte S.R.L., para la prestación del servicio de Televisión Terrestre Digital.</w:t>
            </w:r>
          </w:p>
        </w:tc>
        <w:tc>
          <w:tcPr>
            <w:tcW w:w="2700" w:type="dxa"/>
          </w:tcPr>
          <w:p w14:paraId="290218BA" w14:textId="6C78685E" w:rsidR="00513ACC" w:rsidRPr="009714C2" w:rsidRDefault="00565AD0" w:rsidP="00A23B48">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567CCADF" w14:textId="507B4E6B" w:rsidR="00565AD0" w:rsidRPr="009714C2" w:rsidRDefault="00565AD0" w:rsidP="00A23B48">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019-2022</w:t>
            </w:r>
          </w:p>
        </w:tc>
      </w:tr>
      <w:tr w:rsidR="00565AD0" w:rsidRPr="009714C2" w14:paraId="39494F8E" w14:textId="77777777" w:rsidTr="00565AD0">
        <w:trPr>
          <w:trHeight w:val="731"/>
        </w:trPr>
        <w:tc>
          <w:tcPr>
            <w:tcW w:w="5220" w:type="dxa"/>
          </w:tcPr>
          <w:p w14:paraId="1BD420F8"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asigna los segmentos de frecuencias definitivos y los números de canales virtuales a Telesistema Dominicano, S.A.S., para la prestación del servicio de Televisión Terrestre Digital.</w:t>
            </w:r>
          </w:p>
        </w:tc>
        <w:tc>
          <w:tcPr>
            <w:tcW w:w="2700" w:type="dxa"/>
          </w:tcPr>
          <w:p w14:paraId="715F185A"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3401849D" w14:textId="6836332C"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018-2022</w:t>
            </w:r>
          </w:p>
        </w:tc>
      </w:tr>
      <w:tr w:rsidR="00565AD0" w:rsidRPr="009714C2" w14:paraId="4960A594" w14:textId="77777777" w:rsidTr="00565AD0">
        <w:trPr>
          <w:trHeight w:val="731"/>
        </w:trPr>
        <w:tc>
          <w:tcPr>
            <w:tcW w:w="5220" w:type="dxa"/>
          </w:tcPr>
          <w:p w14:paraId="4C7DD03B"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definitivas y el número de canal virtual a Canal 27 UHF C. por A., para la prestación del servicio de Televisión Terrestre Digital.</w:t>
            </w:r>
          </w:p>
        </w:tc>
        <w:tc>
          <w:tcPr>
            <w:tcW w:w="2700" w:type="dxa"/>
          </w:tcPr>
          <w:p w14:paraId="02561035"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11AA3284" w14:textId="3AB85FFA"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017-2022</w:t>
            </w:r>
          </w:p>
        </w:tc>
      </w:tr>
      <w:tr w:rsidR="00565AD0" w:rsidRPr="009714C2" w14:paraId="4E910727" w14:textId="77777777" w:rsidTr="00565AD0">
        <w:trPr>
          <w:trHeight w:val="731"/>
        </w:trPr>
        <w:tc>
          <w:tcPr>
            <w:tcW w:w="5220" w:type="dxa"/>
          </w:tcPr>
          <w:p w14:paraId="1BBCFE60"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otorga poderes de firma para la aprobación de desembolsos, pagos y el manejo de las cuentas bancarias e instrumentos financieros del proyecto mejora de la conectividad para la transformación digital en la República Dominicana.</w:t>
            </w:r>
          </w:p>
        </w:tc>
        <w:tc>
          <w:tcPr>
            <w:tcW w:w="2700" w:type="dxa"/>
          </w:tcPr>
          <w:p w14:paraId="4E46BF6E"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3C777A06" w14:textId="0B2AC5FE"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016-2022</w:t>
            </w:r>
          </w:p>
        </w:tc>
      </w:tr>
      <w:tr w:rsidR="00565AD0" w:rsidRPr="009714C2" w14:paraId="6CFC104B" w14:textId="77777777" w:rsidTr="00565AD0">
        <w:trPr>
          <w:trHeight w:val="731"/>
        </w:trPr>
        <w:tc>
          <w:tcPr>
            <w:tcW w:w="5220" w:type="dxa"/>
          </w:tcPr>
          <w:p w14:paraId="2CCC4E3E"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actualiza el valor del cargo por incumplimiento (CI), establecido en el artículo 108 de la Ley General de Telecomunicaciones, No. 153-98, para el año 2022</w:t>
            </w:r>
          </w:p>
        </w:tc>
        <w:tc>
          <w:tcPr>
            <w:tcW w:w="2700" w:type="dxa"/>
          </w:tcPr>
          <w:p w14:paraId="02FA4B63"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34E269A8" w14:textId="572ACB9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015-2022</w:t>
            </w:r>
          </w:p>
        </w:tc>
      </w:tr>
      <w:tr w:rsidR="00565AD0" w:rsidRPr="009714C2" w14:paraId="587FC414" w14:textId="77777777" w:rsidTr="00565AD0">
        <w:trPr>
          <w:trHeight w:val="731"/>
        </w:trPr>
        <w:tc>
          <w:tcPr>
            <w:tcW w:w="5220" w:type="dxa"/>
          </w:tcPr>
          <w:p w14:paraId="1D0A0B47"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aprueba el cierre definitivo y emite acta de aceptación final del proyecto mejora de la conectividad de fibra óptica de la región Sur correspondiente al Plan </w:t>
            </w:r>
            <w:r w:rsidRPr="009714C2">
              <w:rPr>
                <w:rFonts w:ascii="Times New Roman" w:eastAsia="Times New Roman" w:hAnsi="Times New Roman" w:cs="Times New Roman"/>
                <w:color w:val="4C4747"/>
                <w:spacing w:val="20"/>
                <w:sz w:val="24"/>
                <w:szCs w:val="24"/>
                <w:lang w:val="es-DO" w:eastAsia="es-DO"/>
              </w:rPr>
              <w:lastRenderedPageBreak/>
              <w:t>Bianual de Proyectos de Desarrollo 2019-2020.</w:t>
            </w:r>
          </w:p>
        </w:tc>
        <w:tc>
          <w:tcPr>
            <w:tcW w:w="2700" w:type="dxa"/>
          </w:tcPr>
          <w:p w14:paraId="1FD1234C"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 xml:space="preserve">Resolución </w:t>
            </w:r>
          </w:p>
          <w:p w14:paraId="255F6A5A" w14:textId="3543D102"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014-2022</w:t>
            </w:r>
          </w:p>
        </w:tc>
      </w:tr>
      <w:tr w:rsidR="00565AD0" w:rsidRPr="009714C2" w14:paraId="5260F6EB" w14:textId="77777777" w:rsidTr="00565AD0">
        <w:trPr>
          <w:trHeight w:val="731"/>
        </w:trPr>
        <w:tc>
          <w:tcPr>
            <w:tcW w:w="5220" w:type="dxa"/>
          </w:tcPr>
          <w:p w14:paraId="389214C0"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aprueba el cierre definitivo y emite acta de aceptación final de los proyectos “Fondo Indotel para la Excelencia Académica” y “Mujeres en las Tecnologías de Información y Comunicación-Itla” correspondientes al Plan Bianual de Proyectos de Desarrollo 2017-2018</w:t>
            </w:r>
          </w:p>
        </w:tc>
        <w:tc>
          <w:tcPr>
            <w:tcW w:w="2700" w:type="dxa"/>
          </w:tcPr>
          <w:p w14:paraId="4A3130BD" w14:textId="77FEDCE9"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5732C94A" w14:textId="5C27A55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013-2022</w:t>
            </w:r>
          </w:p>
        </w:tc>
      </w:tr>
      <w:tr w:rsidR="00565AD0" w:rsidRPr="009714C2" w14:paraId="1A4A9389" w14:textId="77777777" w:rsidTr="00565AD0">
        <w:trPr>
          <w:trHeight w:val="731"/>
        </w:trPr>
        <w:tc>
          <w:tcPr>
            <w:tcW w:w="5220" w:type="dxa"/>
          </w:tcPr>
          <w:p w14:paraId="6CED89C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otorga a la Sociedad Corporación Puerto Plata de Electricidad, S.A.S. las licencias que amparan el derecho de uso de las frecuencias 463.4125 MHZ, 463.4625 MHZ, 463.5125 MHZ, 463.5625 MHZ y 468.4125 MHZ, 468.4625 MHZ, 468.5125 MHZ, 468.5625 MHZ para la operación de un sistema medición de contadores inalámbricos en los municipios de Sosua, Villa Montellano y Puerto Plato de la provincia Puerto Plata</w:t>
            </w:r>
          </w:p>
        </w:tc>
        <w:tc>
          <w:tcPr>
            <w:tcW w:w="2700" w:type="dxa"/>
          </w:tcPr>
          <w:p w14:paraId="40117D15" w14:textId="076DBC7A"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6FCCAE60" w14:textId="79F86B1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012-2022</w:t>
            </w:r>
          </w:p>
        </w:tc>
      </w:tr>
      <w:tr w:rsidR="00565AD0" w:rsidRPr="009714C2" w14:paraId="36ED13E1" w14:textId="77777777" w:rsidTr="00565AD0">
        <w:trPr>
          <w:trHeight w:val="731"/>
        </w:trPr>
        <w:tc>
          <w:tcPr>
            <w:tcW w:w="5220" w:type="dxa"/>
          </w:tcPr>
          <w:p w14:paraId="3A0AAF95"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las frecuencias definitivas y el número de canal virtual a Megamedios S.R.L., para la prestación del servicio de Televisión Terrestre Digital.</w:t>
            </w:r>
          </w:p>
        </w:tc>
        <w:tc>
          <w:tcPr>
            <w:tcW w:w="2700" w:type="dxa"/>
          </w:tcPr>
          <w:p w14:paraId="168362CE" w14:textId="17E4421B"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46FEC58A" w14:textId="497246C3"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003-2022</w:t>
            </w:r>
          </w:p>
        </w:tc>
      </w:tr>
      <w:tr w:rsidR="00565AD0" w:rsidRPr="009714C2" w14:paraId="0546F2AE" w14:textId="77777777" w:rsidTr="00565AD0">
        <w:trPr>
          <w:trHeight w:val="731"/>
        </w:trPr>
        <w:tc>
          <w:tcPr>
            <w:tcW w:w="5220" w:type="dxa"/>
          </w:tcPr>
          <w:p w14:paraId="402062E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la frecuencia definitiva y el número de canal virtual a favor de Ondas y Medios, S. A., para la prestación del servicio de Televisión Terrestre Digital.</w:t>
            </w:r>
          </w:p>
        </w:tc>
        <w:tc>
          <w:tcPr>
            <w:tcW w:w="2700" w:type="dxa"/>
          </w:tcPr>
          <w:p w14:paraId="774E5EB5" w14:textId="2AC8B89D"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Resolución</w:t>
            </w:r>
          </w:p>
          <w:p w14:paraId="357FDCD0" w14:textId="149440B7"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007-2022</w:t>
            </w:r>
          </w:p>
        </w:tc>
      </w:tr>
      <w:tr w:rsidR="00565AD0" w:rsidRPr="009714C2" w14:paraId="611EBE0F" w14:textId="77777777" w:rsidTr="00565AD0">
        <w:trPr>
          <w:trHeight w:val="731"/>
        </w:trPr>
        <w:tc>
          <w:tcPr>
            <w:tcW w:w="5220" w:type="dxa"/>
          </w:tcPr>
          <w:p w14:paraId="0DD8ABE5"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asigna las frecuencias definitivas y el número de canal virtual a canales Progressio, S.A. para la prestación del servicio de Televisión Terrestre Digital.</w:t>
            </w:r>
          </w:p>
        </w:tc>
        <w:tc>
          <w:tcPr>
            <w:tcW w:w="2700" w:type="dxa"/>
          </w:tcPr>
          <w:p w14:paraId="5A791B05"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4C4729E3" w14:textId="730E6CEC"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004-2022</w:t>
            </w:r>
          </w:p>
        </w:tc>
      </w:tr>
      <w:tr w:rsidR="00565AD0" w:rsidRPr="009714C2" w14:paraId="7EC80E00" w14:textId="77777777" w:rsidTr="00565AD0">
        <w:trPr>
          <w:trHeight w:val="731"/>
        </w:trPr>
        <w:tc>
          <w:tcPr>
            <w:tcW w:w="5220" w:type="dxa"/>
          </w:tcPr>
          <w:p w14:paraId="736E220F"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definitivo y el número de canal virtual a Frecuencias y Medios, S. A., para la prestación del servicio de Televisión Terrestre Digital.</w:t>
            </w:r>
          </w:p>
        </w:tc>
        <w:tc>
          <w:tcPr>
            <w:tcW w:w="2700" w:type="dxa"/>
          </w:tcPr>
          <w:p w14:paraId="0B759F56"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631D86C5" w14:textId="3A6E54A0"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006-2022</w:t>
            </w:r>
          </w:p>
        </w:tc>
      </w:tr>
      <w:tr w:rsidR="00565AD0" w:rsidRPr="009714C2" w14:paraId="21AEFFFF" w14:textId="77777777" w:rsidTr="00565AD0">
        <w:trPr>
          <w:trHeight w:val="731"/>
        </w:trPr>
        <w:tc>
          <w:tcPr>
            <w:tcW w:w="5220" w:type="dxa"/>
          </w:tcPr>
          <w:p w14:paraId="5BCE1F6B"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definitivo y el número de canal virtual a favor de Frecuencias Dominicanas, S. A. S., para la prestación del servicio de Televisión Terrestre Digital.</w:t>
            </w:r>
          </w:p>
        </w:tc>
        <w:tc>
          <w:tcPr>
            <w:tcW w:w="2700" w:type="dxa"/>
          </w:tcPr>
          <w:p w14:paraId="35B14250"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0D982ACF" w14:textId="6C49B5C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002-2022</w:t>
            </w:r>
          </w:p>
        </w:tc>
      </w:tr>
      <w:tr w:rsidR="00565AD0" w:rsidRPr="009714C2" w14:paraId="55308760" w14:textId="77777777" w:rsidTr="00565AD0">
        <w:trPr>
          <w:trHeight w:val="731"/>
        </w:trPr>
        <w:tc>
          <w:tcPr>
            <w:tcW w:w="5220" w:type="dxa"/>
          </w:tcPr>
          <w:p w14:paraId="519FA75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conoce los recursos de reconsideración interpuestos por las prestadoras de servicios públicos de telecomunicaciones Compañía Dominicana de Teléfonos, S. A. (Claro) y Altice Dominicana, S.A. (Altice), contra la Resolución del Consejo Directivo No. 098-2021 que identifica los mercados relevantes del sector de las telecomunicaciones y establece los mercados relevantes sujetos de regulación ex ante del sector de las telecomunicaciones de la República Dominicana.</w:t>
            </w:r>
          </w:p>
        </w:tc>
        <w:tc>
          <w:tcPr>
            <w:tcW w:w="2700" w:type="dxa"/>
          </w:tcPr>
          <w:p w14:paraId="62CF6E67"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74E375F1" w14:textId="4ACB60D3"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011-2022</w:t>
            </w:r>
          </w:p>
        </w:tc>
      </w:tr>
      <w:tr w:rsidR="00565AD0" w:rsidRPr="009714C2" w14:paraId="4A7EC7FF" w14:textId="77777777" w:rsidTr="00565AD0">
        <w:trPr>
          <w:trHeight w:val="731"/>
        </w:trPr>
        <w:tc>
          <w:tcPr>
            <w:tcW w:w="5220" w:type="dxa"/>
          </w:tcPr>
          <w:p w14:paraId="140BEDD5" w14:textId="77777777" w:rsidR="00B94CCD" w:rsidRPr="009714C2" w:rsidRDefault="00B94CCD" w:rsidP="0033627E">
            <w:pPr>
              <w:spacing w:line="360" w:lineRule="auto"/>
              <w:rPr>
                <w:rFonts w:ascii="Times New Roman" w:eastAsia="Times New Roman" w:hAnsi="Times New Roman" w:cs="Times New Roman"/>
                <w:color w:val="4C4747"/>
                <w:spacing w:val="20"/>
                <w:sz w:val="24"/>
                <w:szCs w:val="24"/>
                <w:lang w:val="es-DO" w:eastAsia="es-DO"/>
              </w:rPr>
            </w:pPr>
          </w:p>
          <w:p w14:paraId="41C64C36"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la conformidad de ALTICE DOMINICANA, S. A. con los criterios generales indicados por la resolución núm. 022-2020, para establecer los procedimientos, términos y condiciones especiales para la inclusión de atribución móvil a licencia dentro del segmento de frecuencias 3470-3500 mhz</w:t>
            </w:r>
          </w:p>
        </w:tc>
        <w:tc>
          <w:tcPr>
            <w:tcW w:w="2700" w:type="dxa"/>
          </w:tcPr>
          <w:p w14:paraId="6AF7AE22"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6F668164" w14:textId="3AE04D5B"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010-2022</w:t>
            </w:r>
          </w:p>
        </w:tc>
      </w:tr>
      <w:tr w:rsidR="00565AD0" w:rsidRPr="009714C2" w14:paraId="7A36D5B2" w14:textId="77777777" w:rsidTr="00565AD0">
        <w:trPr>
          <w:trHeight w:val="731"/>
        </w:trPr>
        <w:tc>
          <w:tcPr>
            <w:tcW w:w="5220" w:type="dxa"/>
          </w:tcPr>
          <w:p w14:paraId="7CCB6669"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declara la extinción de los derechos y efectos jurídicos derivados de las autorizaciones expedidas por la Dirección General de Telecomunicaciones (DGT) y el Instituto Dominicano de las Telecomunicaciones (INDOTEL), a favor de la embajada de los Estados Unidos de América (Embassy Of The United States Of America), para el uso de las frecuencias 2.5990 MHZ, 2.6110 MHZ, 3.4900 MHZ, 4,018.300 MHZ, 6,243.830 MHZ, 8,100.000 MHZ, 162.1250 MHZ, 162.3500 MHZ, 162.5250 MHZ, 162.7250 MHZ y 162.7500 MHZ.</w:t>
            </w:r>
          </w:p>
        </w:tc>
        <w:tc>
          <w:tcPr>
            <w:tcW w:w="2700" w:type="dxa"/>
          </w:tcPr>
          <w:p w14:paraId="4A047167"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2224D61D" w14:textId="277F51FD"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009-2022</w:t>
            </w:r>
          </w:p>
        </w:tc>
      </w:tr>
      <w:tr w:rsidR="00565AD0" w:rsidRPr="009714C2" w14:paraId="2E112508" w14:textId="77777777" w:rsidTr="00565AD0">
        <w:trPr>
          <w:trHeight w:val="731"/>
        </w:trPr>
        <w:tc>
          <w:tcPr>
            <w:tcW w:w="5220" w:type="dxa"/>
          </w:tcPr>
          <w:p w14:paraId="24B11297"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Que decide la solicitud de licencias presentada por la Sociedad Pueblo Viejo Dominicana Jersey 2 Limited que amparan el derecho de uso de las frecuencias 451.1125 MHZ, 453.1125 MHZ, 456.1125 MHZ, 457.1125 MHZ, 458.1125 MHZ, </w:t>
            </w:r>
            <w:r w:rsidRPr="009714C2">
              <w:rPr>
                <w:rFonts w:ascii="Times New Roman" w:eastAsia="Times New Roman" w:hAnsi="Times New Roman" w:cs="Times New Roman"/>
                <w:color w:val="4C4747"/>
                <w:spacing w:val="20"/>
                <w:sz w:val="24"/>
                <w:szCs w:val="24"/>
                <w:lang w:val="es-DO" w:eastAsia="es-DO"/>
              </w:rPr>
              <w:lastRenderedPageBreak/>
              <w:t>462.1125 MHZ, 463.1125 MHZ, 464.1125 MHZ, 468.1125 MHZ y 469.1125 MHZ, para operar servicios privados de telecomunicaciones en la provincia Sánchez Ramírez.</w:t>
            </w:r>
          </w:p>
        </w:tc>
        <w:tc>
          <w:tcPr>
            <w:tcW w:w="2700" w:type="dxa"/>
          </w:tcPr>
          <w:p w14:paraId="16B9720E" w14:textId="6FB76DAE"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Resolución</w:t>
            </w:r>
          </w:p>
          <w:p w14:paraId="3822E753" w14:textId="635930F1"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008-2022</w:t>
            </w:r>
          </w:p>
        </w:tc>
      </w:tr>
      <w:tr w:rsidR="00565AD0" w:rsidRPr="009714C2" w14:paraId="04C4F960" w14:textId="77777777" w:rsidTr="00565AD0">
        <w:trPr>
          <w:trHeight w:val="731"/>
        </w:trPr>
        <w:tc>
          <w:tcPr>
            <w:tcW w:w="5220" w:type="dxa"/>
          </w:tcPr>
          <w:p w14:paraId="62C6817D"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lastRenderedPageBreak/>
              <w:t>Que asigna las frecuencias definitivas y los números de canal virtual a Teleantillas, S.A.S. para la prestación del servicio de Televisión Terrestre Digita</w:t>
            </w:r>
          </w:p>
        </w:tc>
        <w:tc>
          <w:tcPr>
            <w:tcW w:w="2700" w:type="dxa"/>
          </w:tcPr>
          <w:p w14:paraId="0CD0F4AC"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74629397" w14:textId="47472A06"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005-2022</w:t>
            </w:r>
          </w:p>
        </w:tc>
      </w:tr>
      <w:tr w:rsidR="00565AD0" w:rsidRPr="009714C2" w14:paraId="1C881E0B" w14:textId="77777777" w:rsidTr="00565AD0">
        <w:trPr>
          <w:trHeight w:val="731"/>
        </w:trPr>
        <w:tc>
          <w:tcPr>
            <w:tcW w:w="5220" w:type="dxa"/>
          </w:tcPr>
          <w:p w14:paraId="139F928C" w14:textId="77777777" w:rsidR="00565AD0" w:rsidRPr="009714C2" w:rsidRDefault="00565AD0" w:rsidP="0033627E">
            <w:pPr>
              <w:spacing w:line="360" w:lineRule="auto"/>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Que asigna el segmento de frecuencias definitivo y el número de canal virtual a favor de Franasyl, S.S.L., para la prestación del servicio de Televisión Terrestre Digital.</w:t>
            </w:r>
          </w:p>
        </w:tc>
        <w:tc>
          <w:tcPr>
            <w:tcW w:w="2700" w:type="dxa"/>
          </w:tcPr>
          <w:p w14:paraId="10240339" w14:textId="77777777" w:rsidR="00513ACC"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 xml:space="preserve">Resolución </w:t>
            </w:r>
          </w:p>
          <w:p w14:paraId="6BC5C0F3" w14:textId="509C496B" w:rsidR="00565AD0" w:rsidRPr="009714C2" w:rsidRDefault="00565AD0" w:rsidP="00513ACC">
            <w:pPr>
              <w:spacing w:line="360" w:lineRule="auto"/>
              <w:jc w:val="center"/>
              <w:rPr>
                <w:rFonts w:ascii="Times New Roman" w:eastAsia="Times New Roman" w:hAnsi="Times New Roman" w:cs="Times New Roman"/>
                <w:color w:val="4C4747"/>
                <w:spacing w:val="20"/>
                <w:sz w:val="24"/>
                <w:szCs w:val="24"/>
                <w:lang w:val="es-DO" w:eastAsia="es-DO"/>
              </w:rPr>
            </w:pPr>
            <w:r w:rsidRPr="009714C2">
              <w:rPr>
                <w:rFonts w:ascii="Times New Roman" w:eastAsia="Times New Roman" w:hAnsi="Times New Roman" w:cs="Times New Roman"/>
                <w:color w:val="4C4747"/>
                <w:spacing w:val="20"/>
                <w:sz w:val="24"/>
                <w:szCs w:val="24"/>
                <w:lang w:val="es-DO" w:eastAsia="es-DO"/>
              </w:rPr>
              <w:t>No 001-2022</w:t>
            </w:r>
          </w:p>
        </w:tc>
      </w:tr>
    </w:tbl>
    <w:p w14:paraId="06539F9B" w14:textId="77777777" w:rsidR="00565AD0" w:rsidRPr="009714C2" w:rsidRDefault="00565AD0" w:rsidP="00E353DD">
      <w:pPr>
        <w:pStyle w:val="NormalWeb"/>
        <w:spacing w:line="360" w:lineRule="auto"/>
        <w:jc w:val="both"/>
        <w:rPr>
          <w:color w:val="4C4747"/>
          <w:spacing w:val="20"/>
        </w:rPr>
      </w:pPr>
    </w:p>
    <w:p w14:paraId="11829C0B" w14:textId="77777777" w:rsidR="00F60454" w:rsidRPr="009714C2" w:rsidRDefault="00F60454" w:rsidP="00E353DD">
      <w:pPr>
        <w:pStyle w:val="NormalWeb"/>
        <w:spacing w:line="360" w:lineRule="auto"/>
        <w:jc w:val="both"/>
        <w:rPr>
          <w:color w:val="4C4747"/>
          <w:spacing w:val="20"/>
        </w:rPr>
      </w:pPr>
    </w:p>
    <w:p w14:paraId="5AA908B1" w14:textId="77777777" w:rsidR="00F60454" w:rsidRPr="009714C2" w:rsidRDefault="00F60454" w:rsidP="00E353DD">
      <w:pPr>
        <w:pStyle w:val="NormalWeb"/>
        <w:spacing w:line="360" w:lineRule="auto"/>
        <w:jc w:val="both"/>
        <w:rPr>
          <w:color w:val="4C4747"/>
          <w:spacing w:val="20"/>
        </w:rPr>
      </w:pPr>
    </w:p>
    <w:p w14:paraId="21BF5F12" w14:textId="77777777" w:rsidR="00F60454" w:rsidRPr="009714C2" w:rsidRDefault="00F60454" w:rsidP="00E353DD">
      <w:pPr>
        <w:pStyle w:val="NormalWeb"/>
        <w:spacing w:line="360" w:lineRule="auto"/>
        <w:jc w:val="both"/>
        <w:rPr>
          <w:color w:val="4C4747"/>
          <w:spacing w:val="20"/>
        </w:rPr>
      </w:pPr>
    </w:p>
    <w:p w14:paraId="45AEF72D" w14:textId="77777777" w:rsidR="00F60454" w:rsidRPr="009714C2" w:rsidRDefault="00F60454" w:rsidP="00E353DD">
      <w:pPr>
        <w:pStyle w:val="NormalWeb"/>
        <w:spacing w:line="360" w:lineRule="auto"/>
        <w:jc w:val="both"/>
        <w:rPr>
          <w:color w:val="4C4747"/>
          <w:spacing w:val="20"/>
        </w:rPr>
      </w:pPr>
    </w:p>
    <w:p w14:paraId="644D57AE" w14:textId="77777777" w:rsidR="00F60454" w:rsidRPr="009714C2" w:rsidRDefault="00F60454" w:rsidP="00E353DD">
      <w:pPr>
        <w:pStyle w:val="NormalWeb"/>
        <w:spacing w:line="360" w:lineRule="auto"/>
        <w:jc w:val="both"/>
        <w:rPr>
          <w:color w:val="4C4747"/>
          <w:spacing w:val="20"/>
        </w:rPr>
      </w:pPr>
    </w:p>
    <w:p w14:paraId="0629A25B" w14:textId="77777777" w:rsidR="00F60454" w:rsidRPr="009714C2" w:rsidRDefault="00F60454" w:rsidP="00E353DD">
      <w:pPr>
        <w:pStyle w:val="NormalWeb"/>
        <w:spacing w:line="360" w:lineRule="auto"/>
        <w:jc w:val="both"/>
        <w:rPr>
          <w:color w:val="4C4747"/>
          <w:spacing w:val="20"/>
        </w:rPr>
      </w:pPr>
    </w:p>
    <w:p w14:paraId="06461F01" w14:textId="77777777" w:rsidR="00F60454" w:rsidRPr="009714C2" w:rsidRDefault="00F60454" w:rsidP="00E353DD">
      <w:pPr>
        <w:pStyle w:val="NormalWeb"/>
        <w:spacing w:line="360" w:lineRule="auto"/>
        <w:jc w:val="both"/>
        <w:rPr>
          <w:color w:val="4C4747"/>
          <w:spacing w:val="20"/>
        </w:rPr>
      </w:pPr>
    </w:p>
    <w:p w14:paraId="4B2027B4" w14:textId="77777777" w:rsidR="00F60454" w:rsidRPr="009714C2" w:rsidRDefault="00F60454" w:rsidP="00E353DD">
      <w:pPr>
        <w:pStyle w:val="NormalWeb"/>
        <w:spacing w:line="360" w:lineRule="auto"/>
        <w:jc w:val="both"/>
        <w:rPr>
          <w:color w:val="4C4747"/>
          <w:spacing w:val="20"/>
        </w:rPr>
      </w:pPr>
    </w:p>
    <w:p w14:paraId="2BA00307" w14:textId="77777777" w:rsidR="00F60454" w:rsidRPr="009714C2" w:rsidRDefault="00F60454" w:rsidP="00E353DD">
      <w:pPr>
        <w:pStyle w:val="NormalWeb"/>
        <w:spacing w:line="360" w:lineRule="auto"/>
        <w:jc w:val="both"/>
        <w:rPr>
          <w:color w:val="4C4747"/>
          <w:spacing w:val="20"/>
        </w:rPr>
      </w:pPr>
    </w:p>
    <w:p w14:paraId="567E4283" w14:textId="0B3430A1" w:rsidR="00FA019C" w:rsidRPr="009714C2" w:rsidRDefault="00FA019C" w:rsidP="00A02BDE">
      <w:pPr>
        <w:pStyle w:val="Ttulo1"/>
        <w:numPr>
          <w:ilvl w:val="0"/>
          <w:numId w:val="27"/>
        </w:numPr>
        <w:jc w:val="center"/>
        <w:rPr>
          <w:b/>
          <w:color w:val="4C4747"/>
          <w:lang w:val="es-DO"/>
        </w:rPr>
      </w:pPr>
      <w:bookmarkStart w:id="35" w:name="_Toc122425251"/>
      <w:r w:rsidRPr="009714C2">
        <w:rPr>
          <w:b/>
          <w:color w:val="4C4747"/>
          <w:lang w:val="es-DO"/>
        </w:rPr>
        <w:t>SERVICIO AL CIUDADANO Y TRANSPARENCIA INSTITUCIONAL</w:t>
      </w:r>
      <w:bookmarkEnd w:id="35"/>
    </w:p>
    <w:p w14:paraId="44CA8BE8" w14:textId="77777777" w:rsidR="00FA019C" w:rsidRPr="009714C2" w:rsidRDefault="00FA019C" w:rsidP="00FA019C">
      <w:pPr>
        <w:jc w:val="both"/>
        <w:rPr>
          <w:rFonts w:ascii="Times New Roman" w:eastAsia="Calibri" w:hAnsi="Times New Roman" w:cs="Times New Roman"/>
          <w:color w:val="4C4747"/>
          <w:sz w:val="18"/>
          <w:lang w:val="es-DO"/>
        </w:rPr>
      </w:pPr>
      <w:r w:rsidRPr="009714C2">
        <w:rPr>
          <w:rFonts w:ascii="Times New Roman" w:eastAsia="Calibri" w:hAnsi="Times New Roman" w:cs="Times New Roman"/>
          <w:noProof/>
          <w:color w:val="4C4747"/>
          <w:sz w:val="18"/>
        </w:rPr>
        <mc:AlternateContent>
          <mc:Choice Requires="wps">
            <w:drawing>
              <wp:anchor distT="0" distB="0" distL="114300" distR="114300" simplePos="0" relativeHeight="251717632" behindDoc="0" locked="0" layoutInCell="1" allowOverlap="1" wp14:anchorId="49790E53" wp14:editId="313F0EB6">
                <wp:simplePos x="0" y="0"/>
                <wp:positionH relativeFrom="margin">
                  <wp:posOffset>2568803</wp:posOffset>
                </wp:positionH>
                <wp:positionV relativeFrom="paragraph">
                  <wp:posOffset>36830</wp:posOffset>
                </wp:positionV>
                <wp:extent cx="463550" cy="0"/>
                <wp:effectExtent l="22860" t="15875" r="18415" b="22225"/>
                <wp:wrapNone/>
                <wp:docPr id="12"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7912263" id="Straight Connector 21" o:spid="_x0000_s1026" style="position:absolute;z-index:2517176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202.25pt,2.9pt" to="238.75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kDLo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" strokecolor="#ee2a24" strokeweight="2.25pt">
                <v:stroke joinstyle="miter"/>
                <w10:wrap anchorx="margin"/>
              </v:line>
            </w:pict>
          </mc:Fallback>
        </mc:AlternateContent>
      </w:r>
    </w:p>
    <w:p w14:paraId="4F130D70" w14:textId="704A515D" w:rsidR="00FA019C" w:rsidRPr="009714C2" w:rsidRDefault="00591C1B" w:rsidP="005342DE">
      <w:pPr>
        <w:jc w:val="center"/>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Memoria Institucional</w:t>
      </w:r>
      <w:r w:rsidR="00FA019C" w:rsidRPr="009714C2">
        <w:rPr>
          <w:rFonts w:ascii="Times New Roman" w:eastAsia="Calibri" w:hAnsi="Times New Roman" w:cs="Times New Roman"/>
          <w:color w:val="4C4747"/>
          <w:spacing w:val="20"/>
          <w:sz w:val="24"/>
          <w:szCs w:val="24"/>
          <w:lang w:val="es-DO"/>
        </w:rPr>
        <w:t xml:space="preserve"> 202</w:t>
      </w:r>
      <w:r w:rsidR="005342DE" w:rsidRPr="009714C2">
        <w:rPr>
          <w:rFonts w:ascii="Times New Roman" w:eastAsia="Calibri" w:hAnsi="Times New Roman" w:cs="Times New Roman"/>
          <w:color w:val="4C4747"/>
          <w:spacing w:val="20"/>
          <w:sz w:val="24"/>
          <w:szCs w:val="24"/>
          <w:lang w:val="es-DO"/>
        </w:rPr>
        <w:t>2</w:t>
      </w:r>
    </w:p>
    <w:p w14:paraId="7E3BD859" w14:textId="77777777" w:rsidR="005342DE" w:rsidRPr="00F60454" w:rsidRDefault="005342DE" w:rsidP="005342DE">
      <w:pPr>
        <w:jc w:val="center"/>
        <w:rPr>
          <w:rFonts w:ascii="Times New Roman" w:eastAsia="Calibri" w:hAnsi="Times New Roman" w:cs="Times New Roman"/>
          <w:color w:val="4C4747"/>
          <w:spacing w:val="20"/>
          <w:sz w:val="24"/>
          <w:szCs w:val="36"/>
          <w:lang w:val="es-DO"/>
        </w:rPr>
      </w:pPr>
    </w:p>
    <w:p w14:paraId="1C0982BC" w14:textId="3452239B" w:rsidR="008C215F" w:rsidRPr="009714C2" w:rsidRDefault="00C12AA8" w:rsidP="00565AD0">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36" w:name="_Toc79678431"/>
      <w:bookmarkStart w:id="37" w:name="_Toc122425252"/>
      <w:r w:rsidRPr="009714C2">
        <w:rPr>
          <w:rFonts w:ascii="Times New Roman" w:eastAsia="Calibri" w:hAnsi="Times New Roman" w:cs="Times New Roman"/>
          <w:b/>
          <w:color w:val="4C4747"/>
          <w:spacing w:val="20"/>
          <w:sz w:val="24"/>
          <w:szCs w:val="24"/>
          <w:lang w:val="es-DO"/>
        </w:rPr>
        <w:t xml:space="preserve">5.1 </w:t>
      </w:r>
      <w:r w:rsidR="00F50004" w:rsidRPr="009714C2">
        <w:rPr>
          <w:rFonts w:ascii="Times New Roman" w:eastAsia="Times New Roman" w:hAnsi="Times New Roman" w:cs="Times New Roman"/>
          <w:b/>
          <w:bCs/>
          <w:color w:val="4C4747"/>
          <w:sz w:val="24"/>
          <w:szCs w:val="28"/>
          <w:lang w:val="es-DO" w:eastAsia="es-DO"/>
        </w:rPr>
        <w:t>Nivel de la Satisfacción con el Servicio</w:t>
      </w:r>
      <w:bookmarkEnd w:id="36"/>
      <w:bookmarkEnd w:id="37"/>
    </w:p>
    <w:p w14:paraId="472DC700" w14:textId="69F85398" w:rsidR="0057321D" w:rsidRPr="009714C2" w:rsidRDefault="006B3B91" w:rsidP="00565AD0">
      <w:pPr>
        <w:spacing w:before="24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En el 2022 se realizó una</w:t>
      </w:r>
      <w:r w:rsidR="008C215F" w:rsidRPr="009714C2">
        <w:rPr>
          <w:rFonts w:ascii="Times New Roman" w:eastAsia="Calibri" w:hAnsi="Times New Roman" w:cs="Times New Roman"/>
          <w:color w:val="4C4747"/>
          <w:spacing w:val="20"/>
          <w:sz w:val="24"/>
          <w:szCs w:val="24"/>
          <w:lang w:val="es-DO"/>
        </w:rPr>
        <w:t xml:space="preserve"> encuesta de satisfacción, la cual contó con una muestra de 382 usuarios de las telecomunicaciones entre ciudadanos y empresas, obteniendo como resultado un índice de satisfacción de 91%. En adición a esto, el 85.04% de los usuarios percibieron que el servicio ofrecido fue mejor o mucho mejor de lo que esperaban. Las dimensiones evaluadas fueron: Elementos tangibles, fiabilidad, capacidad de respuesta, seguridad y empatía.</w:t>
      </w:r>
      <w:bookmarkStart w:id="38" w:name="_Toc79678432"/>
    </w:p>
    <w:p w14:paraId="49C9A21E" w14:textId="4E2CAF80" w:rsidR="00F50004" w:rsidRPr="009714C2" w:rsidRDefault="00C12AA8" w:rsidP="00F50004">
      <w:pPr>
        <w:keepNext/>
        <w:spacing w:before="240" w:after="60"/>
        <w:jc w:val="both"/>
        <w:outlineLvl w:val="2"/>
        <w:rPr>
          <w:rFonts w:ascii="Times New Roman" w:eastAsia="Calibri" w:hAnsi="Times New Roman" w:cs="Times New Roman"/>
          <w:b/>
          <w:color w:val="4C4747"/>
          <w:spacing w:val="20"/>
          <w:sz w:val="24"/>
          <w:szCs w:val="24"/>
          <w:lang w:val="es-DO"/>
        </w:rPr>
      </w:pPr>
      <w:bookmarkStart w:id="39" w:name="_Toc122425253"/>
      <w:r w:rsidRPr="009714C2">
        <w:rPr>
          <w:rFonts w:ascii="Times New Roman" w:eastAsia="Calibri" w:hAnsi="Times New Roman" w:cs="Times New Roman"/>
          <w:b/>
          <w:color w:val="4C4747"/>
          <w:spacing w:val="20"/>
          <w:sz w:val="24"/>
          <w:szCs w:val="24"/>
          <w:lang w:val="es-DO"/>
        </w:rPr>
        <w:t xml:space="preserve">5.2 </w:t>
      </w:r>
      <w:r w:rsidR="00F50004" w:rsidRPr="009714C2">
        <w:rPr>
          <w:rFonts w:ascii="Times New Roman" w:eastAsia="Times New Roman" w:hAnsi="Times New Roman" w:cs="Times New Roman"/>
          <w:b/>
          <w:bCs/>
          <w:color w:val="4C4747"/>
          <w:sz w:val="24"/>
          <w:szCs w:val="28"/>
          <w:lang w:val="es-DO" w:eastAsia="es-DO"/>
        </w:rPr>
        <w:t>Nivel de Cumplimiento Acceso a la Información</w:t>
      </w:r>
      <w:bookmarkEnd w:id="38"/>
      <w:bookmarkEnd w:id="39"/>
    </w:p>
    <w:p w14:paraId="107EFF4D" w14:textId="77777777" w:rsidR="00F50004" w:rsidRPr="009714C2" w:rsidRDefault="00F50004" w:rsidP="00F50004">
      <w:pPr>
        <w:pStyle w:val="Sinespaciado"/>
        <w:rPr>
          <w:color w:val="4C4747"/>
          <w:lang w:val="es-DO"/>
        </w:rPr>
      </w:pPr>
    </w:p>
    <w:p w14:paraId="667BDDCA" w14:textId="1266CCF1" w:rsidR="000D34AA" w:rsidRPr="009714C2" w:rsidRDefault="000D34AA" w:rsidP="000D34AA">
      <w:p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En el período enero - noviembre del 2022 la Oficina de Acceso a la Información (OAI) </w:t>
      </w:r>
      <w:r w:rsidR="006B3B91" w:rsidRPr="009714C2">
        <w:rPr>
          <w:rFonts w:ascii="Times New Roman" w:eastAsia="Calibri" w:hAnsi="Times New Roman" w:cs="Times New Roman"/>
          <w:color w:val="4C4747"/>
          <w:spacing w:val="20"/>
          <w:sz w:val="24"/>
          <w:szCs w:val="24"/>
          <w:lang w:val="es-DO"/>
        </w:rPr>
        <w:t xml:space="preserve">recibió </w:t>
      </w:r>
      <w:r w:rsidRPr="009714C2">
        <w:rPr>
          <w:rFonts w:ascii="Times New Roman" w:eastAsia="Calibri" w:hAnsi="Times New Roman" w:cs="Times New Roman"/>
          <w:color w:val="4C4747"/>
          <w:spacing w:val="20"/>
          <w:sz w:val="24"/>
          <w:szCs w:val="24"/>
          <w:lang w:val="es-DO"/>
        </w:rPr>
        <w:t>un total de 78 so</w:t>
      </w:r>
      <w:r w:rsidR="001D27B0" w:rsidRPr="009714C2">
        <w:rPr>
          <w:rFonts w:ascii="Times New Roman" w:eastAsia="Calibri" w:hAnsi="Times New Roman" w:cs="Times New Roman"/>
          <w:color w:val="4C4747"/>
          <w:spacing w:val="20"/>
          <w:sz w:val="24"/>
          <w:szCs w:val="24"/>
          <w:lang w:val="es-DO"/>
        </w:rPr>
        <w:t>licitudes acogiéndose a la Ley número</w:t>
      </w:r>
      <w:r w:rsidRPr="009714C2">
        <w:rPr>
          <w:rFonts w:ascii="Times New Roman" w:eastAsia="Calibri" w:hAnsi="Times New Roman" w:cs="Times New Roman"/>
          <w:color w:val="4C4747"/>
          <w:spacing w:val="20"/>
          <w:sz w:val="24"/>
          <w:szCs w:val="24"/>
          <w:lang w:val="es-DO"/>
        </w:rPr>
        <w:t xml:space="preserve"> 200-04 de Libre Acceso a la Información Pública, para un promedio de recepción de 7 solicitudes</w:t>
      </w:r>
      <w:r w:rsidR="007C2CE1" w:rsidRPr="009714C2">
        <w:rPr>
          <w:rFonts w:ascii="Times New Roman" w:eastAsia="Calibri" w:hAnsi="Times New Roman" w:cs="Times New Roman"/>
          <w:color w:val="4C4747"/>
          <w:spacing w:val="20"/>
          <w:sz w:val="24"/>
          <w:szCs w:val="24"/>
          <w:lang w:val="es-DO"/>
        </w:rPr>
        <w:t xml:space="preserve"> por mes. La institución dio</w:t>
      </w:r>
      <w:r w:rsidRPr="009714C2">
        <w:rPr>
          <w:rFonts w:ascii="Times New Roman" w:eastAsia="Calibri" w:hAnsi="Times New Roman" w:cs="Times New Roman"/>
          <w:color w:val="4C4747"/>
          <w:spacing w:val="20"/>
          <w:sz w:val="24"/>
          <w:szCs w:val="24"/>
          <w:lang w:val="es-DO"/>
        </w:rPr>
        <w:t xml:space="preserve"> respuesta</w:t>
      </w:r>
      <w:r w:rsidR="007C2CE1" w:rsidRPr="009714C2">
        <w:rPr>
          <w:rFonts w:ascii="Times New Roman" w:eastAsia="Calibri" w:hAnsi="Times New Roman" w:cs="Times New Roman"/>
          <w:color w:val="4C4747"/>
          <w:spacing w:val="20"/>
          <w:sz w:val="24"/>
          <w:szCs w:val="24"/>
          <w:lang w:val="es-DO"/>
        </w:rPr>
        <w:t>s</w:t>
      </w:r>
      <w:r w:rsidRPr="009714C2">
        <w:rPr>
          <w:rFonts w:ascii="Times New Roman" w:eastAsia="Calibri" w:hAnsi="Times New Roman" w:cs="Times New Roman"/>
          <w:color w:val="4C4747"/>
          <w:spacing w:val="20"/>
          <w:sz w:val="24"/>
          <w:szCs w:val="24"/>
          <w:lang w:val="es-DO"/>
        </w:rPr>
        <w:t xml:space="preserve"> a las mismas cumpliendo con los plazos establecidos en el artículo 8 de dicha Ley “Toda solicitud de información requerida en</w:t>
      </w:r>
      <w:r w:rsidR="00513ACC" w:rsidRPr="009714C2">
        <w:rPr>
          <w:rFonts w:ascii="Times New Roman" w:eastAsia="Calibri" w:hAnsi="Times New Roman" w:cs="Times New Roman"/>
          <w:color w:val="4C4747"/>
          <w:spacing w:val="20"/>
          <w:sz w:val="24"/>
          <w:szCs w:val="24"/>
          <w:lang w:val="es-DO"/>
        </w:rPr>
        <w:t xml:space="preserve"> </w:t>
      </w:r>
      <w:r w:rsidRPr="009714C2">
        <w:rPr>
          <w:rFonts w:ascii="Times New Roman" w:eastAsia="Calibri" w:hAnsi="Times New Roman" w:cs="Times New Roman"/>
          <w:color w:val="4C4747"/>
          <w:spacing w:val="20"/>
          <w:sz w:val="24"/>
          <w:szCs w:val="24"/>
          <w:lang w:val="es-DO"/>
        </w:rPr>
        <w:t>los términos de la presente ley deben ser satisfecha en un plazo no mayor de quince (15) días hábiles [...]”. De igual manera, el promedio de días para responder en el período indicado es de 5 días.</w:t>
      </w:r>
    </w:p>
    <w:p w14:paraId="38F8691F" w14:textId="77777777" w:rsidR="000D34AA" w:rsidRPr="009714C2" w:rsidRDefault="000D34AA" w:rsidP="000D34AA">
      <w:p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A continuación, la distribución de la recepción de solicitudes en el período señalado:</w:t>
      </w:r>
    </w:p>
    <w:p w14:paraId="2CE5A2D4" w14:textId="77777777" w:rsidR="000D34AA" w:rsidRPr="009714C2" w:rsidRDefault="000D34AA" w:rsidP="000D34AA">
      <w:pPr>
        <w:spacing w:line="360" w:lineRule="auto"/>
        <w:jc w:val="both"/>
        <w:rPr>
          <w:rFonts w:ascii="Times New Roman" w:eastAsia="Calibri" w:hAnsi="Times New Roman" w:cs="Times New Roman"/>
          <w:color w:val="4C4747"/>
          <w:spacing w:val="20"/>
          <w:sz w:val="24"/>
          <w:szCs w:val="24"/>
          <w:lang w:val="es-DO"/>
        </w:rPr>
      </w:pPr>
    </w:p>
    <w:p w14:paraId="00A46D52" w14:textId="77777777" w:rsidR="000D34AA" w:rsidRPr="009714C2" w:rsidRDefault="000D34AA" w:rsidP="000D34AA">
      <w:pPr>
        <w:spacing w:line="360" w:lineRule="auto"/>
        <w:jc w:val="both"/>
        <w:rPr>
          <w:rFonts w:ascii="Times New Roman" w:eastAsia="Calibri" w:hAnsi="Times New Roman" w:cs="Times New Roman"/>
          <w:noProof/>
          <w:color w:val="4C4747"/>
          <w:spacing w:val="20"/>
          <w:sz w:val="24"/>
          <w:szCs w:val="24"/>
          <w:lang w:val="es-DO"/>
        </w:rPr>
      </w:pPr>
      <w:r w:rsidRPr="009714C2">
        <w:rPr>
          <w:noProof/>
          <w:color w:val="4C4747"/>
        </w:rPr>
        <w:lastRenderedPageBreak/>
        <w:drawing>
          <wp:inline distT="0" distB="0" distL="0" distR="0" wp14:anchorId="603A6CA9" wp14:editId="58EC9572">
            <wp:extent cx="5133975" cy="3590925"/>
            <wp:effectExtent l="0" t="0" r="9525" b="9525"/>
            <wp:docPr id="2067" name="Gráfico 20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7E2EB727" w14:textId="631E553D" w:rsidR="004919AA" w:rsidRPr="009714C2" w:rsidRDefault="000D34AA" w:rsidP="00F50004">
      <w:pPr>
        <w:spacing w:line="360" w:lineRule="auto"/>
        <w:jc w:val="both"/>
        <w:rPr>
          <w:rFonts w:ascii="Times New Roman" w:eastAsia="Calibri" w:hAnsi="Times New Roman" w:cs="Times New Roman"/>
          <w:noProof/>
          <w:color w:val="4C4747"/>
          <w:spacing w:val="20"/>
          <w:sz w:val="18"/>
          <w:szCs w:val="24"/>
          <w:lang w:val="es-DO"/>
        </w:rPr>
      </w:pPr>
      <w:r w:rsidRPr="009714C2">
        <w:rPr>
          <w:rFonts w:ascii="Times New Roman" w:eastAsia="Calibri" w:hAnsi="Times New Roman" w:cs="Times New Roman"/>
          <w:b/>
          <w:noProof/>
          <w:color w:val="4C4747"/>
          <w:spacing w:val="20"/>
          <w:sz w:val="18"/>
          <w:szCs w:val="24"/>
          <w:lang w:val="es-DO"/>
        </w:rPr>
        <w:t>Fuente:</w:t>
      </w:r>
      <w:r w:rsidRPr="009714C2">
        <w:rPr>
          <w:rFonts w:ascii="Times New Roman" w:eastAsia="Calibri" w:hAnsi="Times New Roman" w:cs="Times New Roman"/>
          <w:noProof/>
          <w:color w:val="4C4747"/>
          <w:spacing w:val="20"/>
          <w:sz w:val="18"/>
          <w:szCs w:val="24"/>
          <w:lang w:val="es-DO"/>
        </w:rPr>
        <w:t xml:space="preserve"> Oficina de Acceso a la Información (OAI)</w:t>
      </w:r>
    </w:p>
    <w:p w14:paraId="615016B3" w14:textId="77777777" w:rsidR="00162A8A" w:rsidRPr="009714C2" w:rsidRDefault="00162A8A" w:rsidP="00F50004">
      <w:pPr>
        <w:spacing w:line="360" w:lineRule="auto"/>
        <w:jc w:val="both"/>
        <w:rPr>
          <w:rFonts w:ascii="Times New Roman" w:eastAsia="Calibri" w:hAnsi="Times New Roman" w:cs="Times New Roman"/>
          <w:color w:val="4C4747"/>
          <w:spacing w:val="20"/>
          <w:sz w:val="18"/>
          <w:szCs w:val="24"/>
          <w:lang w:val="es-DO"/>
        </w:rPr>
      </w:pPr>
    </w:p>
    <w:p w14:paraId="1A1B88EE" w14:textId="23559233" w:rsidR="00F50004" w:rsidRPr="009714C2" w:rsidRDefault="00C12AA8" w:rsidP="00F50004">
      <w:pPr>
        <w:keepNext/>
        <w:spacing w:before="240" w:after="60"/>
        <w:jc w:val="both"/>
        <w:outlineLvl w:val="2"/>
        <w:rPr>
          <w:rFonts w:ascii="Times New Roman" w:eastAsia="Calibri" w:hAnsi="Times New Roman" w:cs="Times New Roman"/>
          <w:b/>
          <w:noProof/>
          <w:color w:val="4C4747"/>
          <w:spacing w:val="20"/>
          <w:sz w:val="24"/>
          <w:szCs w:val="24"/>
          <w:lang w:val="es-DO"/>
        </w:rPr>
      </w:pPr>
      <w:bookmarkStart w:id="40" w:name="_Toc79678433"/>
      <w:bookmarkStart w:id="41" w:name="_Toc122425254"/>
      <w:r w:rsidRPr="009714C2">
        <w:rPr>
          <w:rFonts w:ascii="Times New Roman" w:eastAsia="Calibri" w:hAnsi="Times New Roman" w:cs="Times New Roman"/>
          <w:b/>
          <w:noProof/>
          <w:color w:val="4C4747"/>
          <w:spacing w:val="20"/>
          <w:sz w:val="24"/>
          <w:szCs w:val="24"/>
          <w:lang w:val="es-DO"/>
        </w:rPr>
        <w:t xml:space="preserve">5.3 </w:t>
      </w:r>
      <w:r w:rsidR="00F50004" w:rsidRPr="009714C2">
        <w:rPr>
          <w:rFonts w:ascii="Times New Roman" w:eastAsia="Times New Roman" w:hAnsi="Times New Roman" w:cs="Times New Roman"/>
          <w:b/>
          <w:bCs/>
          <w:color w:val="4C4747"/>
          <w:sz w:val="24"/>
          <w:szCs w:val="28"/>
          <w:lang w:val="es-DO" w:eastAsia="es-DO"/>
        </w:rPr>
        <w:t>Resultado Sistema de Quejas, Reclamos y Sugerencias</w:t>
      </w:r>
      <w:bookmarkEnd w:id="40"/>
      <w:bookmarkEnd w:id="41"/>
    </w:p>
    <w:p w14:paraId="7A6DCCA0" w14:textId="77777777" w:rsidR="00162A8A" w:rsidRPr="009714C2" w:rsidRDefault="00162A8A" w:rsidP="00162A8A">
      <w:pPr>
        <w:spacing w:after="0" w:line="360" w:lineRule="auto"/>
        <w:jc w:val="both"/>
        <w:rPr>
          <w:rFonts w:ascii="Times New Roman" w:eastAsia="Calibri" w:hAnsi="Times New Roman" w:cs="Times New Roman"/>
          <w:noProof/>
          <w:color w:val="4C4747"/>
          <w:spacing w:val="20"/>
          <w:sz w:val="24"/>
          <w:szCs w:val="24"/>
          <w:lang w:val="es-DO"/>
        </w:rPr>
      </w:pPr>
    </w:p>
    <w:p w14:paraId="570D370A" w14:textId="79DEBBDB" w:rsidR="00DF71E1" w:rsidRPr="00A4233F" w:rsidRDefault="00DF71E1" w:rsidP="00DF71E1">
      <w:pPr>
        <w:spacing w:line="360" w:lineRule="auto"/>
        <w:jc w:val="both"/>
        <w:rPr>
          <w:rFonts w:ascii="Times New Roman" w:eastAsia="Calibri" w:hAnsi="Times New Roman" w:cs="Times New Roman"/>
          <w:noProof/>
          <w:color w:val="4C4747"/>
          <w:spacing w:val="20"/>
          <w:sz w:val="24"/>
          <w:szCs w:val="24"/>
          <w:lang w:val="es-DO"/>
        </w:rPr>
      </w:pPr>
      <w:r w:rsidRPr="00A4233F">
        <w:rPr>
          <w:rFonts w:ascii="Times New Roman" w:eastAsia="Calibri" w:hAnsi="Times New Roman" w:cs="Times New Roman"/>
          <w:noProof/>
          <w:color w:val="4C4747"/>
          <w:spacing w:val="20"/>
          <w:sz w:val="24"/>
          <w:szCs w:val="24"/>
          <w:lang w:val="es-DO"/>
        </w:rPr>
        <w:t>El Sistema 311 de Atención Ciudadana tiene como finalidad permitirle al ciudadano realizar sus denuncias, quejas, reclamaciones y sugerencias referentes a cualquier entidad o servidor del gobierno de la República Dominicana, para que las mismas puedan ser canalizadas a los organismos correspondientes. En tal sentido, cumplie</w:t>
      </w:r>
      <w:r w:rsidR="001D27B0" w:rsidRPr="00A4233F">
        <w:rPr>
          <w:rFonts w:ascii="Times New Roman" w:eastAsia="Calibri" w:hAnsi="Times New Roman" w:cs="Times New Roman"/>
          <w:noProof/>
          <w:color w:val="4C4747"/>
          <w:spacing w:val="20"/>
          <w:sz w:val="24"/>
          <w:szCs w:val="24"/>
          <w:lang w:val="es-DO"/>
        </w:rPr>
        <w:t>ndo lo dispuesto en el Decreto número</w:t>
      </w:r>
      <w:r w:rsidRPr="00A4233F">
        <w:rPr>
          <w:rFonts w:ascii="Times New Roman" w:eastAsia="Calibri" w:hAnsi="Times New Roman" w:cs="Times New Roman"/>
          <w:noProof/>
          <w:color w:val="4C4747"/>
          <w:spacing w:val="20"/>
          <w:sz w:val="24"/>
          <w:szCs w:val="24"/>
          <w:lang w:val="es-DO"/>
        </w:rPr>
        <w:t xml:space="preserve"> 694-09 de fecha 17 de septiembre de 2009, que establece el referido Sistema mediante el Portal de Transparencia, se reciben las quejas y reclamaciones por parte de la ciudadanía a la Administración Pública y crea la Línea Telefónica 311 y el Portal web www.311.gob.do.</w:t>
      </w:r>
    </w:p>
    <w:p w14:paraId="42856B67" w14:textId="77777777" w:rsidR="00F65C89" w:rsidRDefault="00F65C89" w:rsidP="00DF71E1">
      <w:pPr>
        <w:spacing w:line="360" w:lineRule="auto"/>
        <w:jc w:val="both"/>
        <w:rPr>
          <w:rFonts w:ascii="Times New Roman" w:eastAsia="Calibri" w:hAnsi="Times New Roman" w:cs="Times New Roman"/>
          <w:noProof/>
          <w:color w:val="4C4747"/>
          <w:spacing w:val="20"/>
          <w:sz w:val="24"/>
          <w:szCs w:val="24"/>
          <w:lang w:val="es-DO"/>
        </w:rPr>
      </w:pPr>
    </w:p>
    <w:p w14:paraId="31056A5A" w14:textId="13761EAB" w:rsidR="00DF71E1" w:rsidRPr="00A4233F" w:rsidRDefault="00DF71E1" w:rsidP="00DF71E1">
      <w:pPr>
        <w:spacing w:line="360" w:lineRule="auto"/>
        <w:jc w:val="both"/>
        <w:rPr>
          <w:rFonts w:ascii="Times New Roman" w:eastAsia="Calibri" w:hAnsi="Times New Roman" w:cs="Times New Roman"/>
          <w:noProof/>
          <w:color w:val="4C4747"/>
          <w:spacing w:val="20"/>
          <w:sz w:val="24"/>
          <w:szCs w:val="24"/>
          <w:lang w:val="es-DO"/>
        </w:rPr>
      </w:pPr>
      <w:r w:rsidRPr="00A4233F">
        <w:rPr>
          <w:rFonts w:ascii="Times New Roman" w:eastAsia="Calibri" w:hAnsi="Times New Roman" w:cs="Times New Roman"/>
          <w:noProof/>
          <w:color w:val="4C4747"/>
          <w:spacing w:val="20"/>
          <w:sz w:val="24"/>
          <w:szCs w:val="24"/>
          <w:lang w:val="es-DO"/>
        </w:rPr>
        <w:lastRenderedPageBreak/>
        <w:t xml:space="preserve">A través del referido Sistema de Atención Ciudadana 3-1-1, en el período </w:t>
      </w:r>
      <w:r w:rsidR="001D27B0" w:rsidRPr="00A4233F">
        <w:rPr>
          <w:rFonts w:ascii="Times New Roman" w:eastAsia="Calibri" w:hAnsi="Times New Roman" w:cs="Times New Roman"/>
          <w:noProof/>
          <w:color w:val="4C4747"/>
          <w:spacing w:val="20"/>
          <w:sz w:val="24"/>
          <w:szCs w:val="24"/>
          <w:lang w:val="es-DO"/>
        </w:rPr>
        <w:t>e</w:t>
      </w:r>
      <w:r w:rsidRPr="00A4233F">
        <w:rPr>
          <w:rFonts w:ascii="Times New Roman" w:eastAsia="Calibri" w:hAnsi="Times New Roman" w:cs="Times New Roman"/>
          <w:noProof/>
          <w:color w:val="4C4747"/>
          <w:spacing w:val="20"/>
          <w:sz w:val="24"/>
          <w:szCs w:val="24"/>
          <w:lang w:val="es-DO"/>
        </w:rPr>
        <w:t xml:space="preserve">nero - </w:t>
      </w:r>
      <w:r w:rsidR="001D27B0" w:rsidRPr="00A4233F">
        <w:rPr>
          <w:rFonts w:ascii="Times New Roman" w:eastAsia="Calibri" w:hAnsi="Times New Roman" w:cs="Times New Roman"/>
          <w:noProof/>
          <w:color w:val="4C4747"/>
          <w:spacing w:val="20"/>
          <w:sz w:val="24"/>
          <w:szCs w:val="24"/>
          <w:lang w:val="es-DO"/>
        </w:rPr>
        <w:t>n</w:t>
      </w:r>
      <w:r w:rsidRPr="00A4233F">
        <w:rPr>
          <w:rFonts w:ascii="Times New Roman" w:eastAsia="Calibri" w:hAnsi="Times New Roman" w:cs="Times New Roman"/>
          <w:noProof/>
          <w:color w:val="4C4747"/>
          <w:spacing w:val="20"/>
          <w:sz w:val="24"/>
          <w:szCs w:val="24"/>
          <w:lang w:val="es-DO"/>
        </w:rPr>
        <w:t xml:space="preserve">oviembre de 2022 la OAI ha recibido un total de </w:t>
      </w:r>
      <w:r w:rsidRPr="00A4233F">
        <w:rPr>
          <w:rFonts w:ascii="Times New Roman" w:eastAsia="Calibri" w:hAnsi="Times New Roman" w:cs="Times New Roman"/>
          <w:b/>
          <w:bCs/>
          <w:noProof/>
          <w:color w:val="4C4747"/>
          <w:spacing w:val="20"/>
          <w:sz w:val="24"/>
          <w:szCs w:val="24"/>
          <w:lang w:val="es-DO"/>
        </w:rPr>
        <w:t>8</w:t>
      </w:r>
      <w:r w:rsidRPr="00A4233F">
        <w:rPr>
          <w:rFonts w:ascii="Times New Roman" w:eastAsia="Calibri" w:hAnsi="Times New Roman" w:cs="Times New Roman"/>
          <w:noProof/>
          <w:color w:val="4C4747"/>
          <w:spacing w:val="20"/>
          <w:sz w:val="24"/>
          <w:szCs w:val="24"/>
          <w:lang w:val="es-DO"/>
        </w:rPr>
        <w:t xml:space="preserve"> quejas, </w:t>
      </w:r>
      <w:r w:rsidRPr="00A4233F">
        <w:rPr>
          <w:rFonts w:ascii="Times New Roman" w:eastAsia="Calibri" w:hAnsi="Times New Roman" w:cs="Times New Roman"/>
          <w:b/>
          <w:bCs/>
          <w:noProof/>
          <w:color w:val="4C4747"/>
          <w:spacing w:val="20"/>
          <w:sz w:val="24"/>
          <w:szCs w:val="24"/>
          <w:lang w:val="es-DO"/>
        </w:rPr>
        <w:t>2</w:t>
      </w:r>
      <w:r w:rsidRPr="00A4233F">
        <w:rPr>
          <w:rFonts w:ascii="Times New Roman" w:eastAsia="Calibri" w:hAnsi="Times New Roman" w:cs="Times New Roman"/>
          <w:noProof/>
          <w:color w:val="4C4747"/>
          <w:spacing w:val="20"/>
          <w:sz w:val="24"/>
          <w:szCs w:val="24"/>
          <w:lang w:val="es-DO"/>
        </w:rPr>
        <w:t xml:space="preserve"> reclamacion y </w:t>
      </w:r>
      <w:r w:rsidRPr="00A4233F">
        <w:rPr>
          <w:rFonts w:ascii="Times New Roman" w:eastAsia="Calibri" w:hAnsi="Times New Roman" w:cs="Times New Roman"/>
          <w:b/>
          <w:bCs/>
          <w:noProof/>
          <w:color w:val="4C4747"/>
          <w:spacing w:val="20"/>
          <w:sz w:val="24"/>
          <w:szCs w:val="24"/>
          <w:lang w:val="es-DO"/>
        </w:rPr>
        <w:t>0</w:t>
      </w:r>
      <w:r w:rsidRPr="00A4233F">
        <w:rPr>
          <w:rFonts w:ascii="Times New Roman" w:eastAsia="Calibri" w:hAnsi="Times New Roman" w:cs="Times New Roman"/>
          <w:noProof/>
          <w:color w:val="4C4747"/>
          <w:spacing w:val="20"/>
          <w:sz w:val="24"/>
          <w:szCs w:val="24"/>
          <w:lang w:val="es-DO"/>
        </w:rPr>
        <w:t xml:space="preserve"> sugerencias.</w:t>
      </w:r>
    </w:p>
    <w:p w14:paraId="6DF8FCF3" w14:textId="07A0A8B8" w:rsidR="00DF71E1" w:rsidRPr="009714C2" w:rsidRDefault="00DF71E1" w:rsidP="00DF71E1">
      <w:pPr>
        <w:spacing w:line="360" w:lineRule="auto"/>
        <w:jc w:val="both"/>
        <w:rPr>
          <w:rFonts w:ascii="Times New Roman" w:eastAsia="Calibri" w:hAnsi="Times New Roman" w:cs="Times New Roman"/>
          <w:b/>
          <w:noProof/>
          <w:color w:val="4C4747"/>
          <w:spacing w:val="20"/>
          <w:sz w:val="18"/>
          <w:szCs w:val="24"/>
          <w:lang w:val="es-DO"/>
        </w:rPr>
      </w:pPr>
      <w:r w:rsidRPr="009714C2">
        <w:rPr>
          <w:noProof/>
          <w:color w:val="4C4747"/>
        </w:rPr>
        <w:drawing>
          <wp:inline distT="0" distB="0" distL="0" distR="0" wp14:anchorId="7DC09C3A" wp14:editId="63A1D105">
            <wp:extent cx="5086350" cy="2933700"/>
            <wp:effectExtent l="0" t="0" r="0" b="0"/>
            <wp:docPr id="2068" name="Chart 4">
              <a:extLst xmlns:a="http://schemas.openxmlformats.org/drawingml/2006/main">
                <a:ext uri="{FF2B5EF4-FFF2-40B4-BE49-F238E27FC236}">
                  <a16:creationId xmlns:arto="http://schemas.microsoft.com/office/word/2006/arto"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http://schemas.openxmlformats.org/wordprocessingml/2006/main" xmlns:w10="urn:schemas-microsoft-com:office:word" xmlns:v="urn:schemas-microsoft-com:vml" xmlns:oel="http://schemas.microsoft.com/office/2019/extlst"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00000000-0008-0000-00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040CE52D" w14:textId="77777777" w:rsidR="00DF71E1" w:rsidRPr="009714C2" w:rsidRDefault="00DF71E1" w:rsidP="00DF71E1">
      <w:pPr>
        <w:spacing w:line="360" w:lineRule="auto"/>
        <w:jc w:val="both"/>
        <w:rPr>
          <w:rFonts w:ascii="Times New Roman" w:eastAsia="Calibri" w:hAnsi="Times New Roman" w:cs="Times New Roman"/>
          <w:noProof/>
          <w:color w:val="4C4747"/>
          <w:spacing w:val="20"/>
          <w:sz w:val="18"/>
          <w:szCs w:val="24"/>
          <w:lang w:val="es-DO"/>
        </w:rPr>
      </w:pPr>
      <w:r w:rsidRPr="009714C2">
        <w:rPr>
          <w:rFonts w:ascii="Times New Roman" w:eastAsia="Calibri" w:hAnsi="Times New Roman" w:cs="Times New Roman"/>
          <w:b/>
          <w:noProof/>
          <w:color w:val="4C4747"/>
          <w:spacing w:val="20"/>
          <w:sz w:val="18"/>
          <w:szCs w:val="24"/>
          <w:lang w:val="es-DO"/>
        </w:rPr>
        <w:t>Fuente:</w:t>
      </w:r>
      <w:r w:rsidRPr="009714C2">
        <w:rPr>
          <w:rFonts w:ascii="Times New Roman" w:eastAsia="Calibri" w:hAnsi="Times New Roman" w:cs="Times New Roman"/>
          <w:noProof/>
          <w:color w:val="4C4747"/>
          <w:spacing w:val="20"/>
          <w:sz w:val="18"/>
          <w:szCs w:val="24"/>
          <w:lang w:val="es-DO"/>
        </w:rPr>
        <w:t xml:space="preserve"> Oficina de Acceso a la Información (OAI).</w:t>
      </w:r>
    </w:p>
    <w:p w14:paraId="595F6292" w14:textId="24D67A0F" w:rsidR="00F50004" w:rsidRPr="009714C2" w:rsidRDefault="00C12AA8" w:rsidP="00565AD0">
      <w:pPr>
        <w:keepNext/>
        <w:spacing w:before="240" w:after="60"/>
        <w:jc w:val="both"/>
        <w:outlineLvl w:val="2"/>
        <w:rPr>
          <w:rFonts w:ascii="Times New Roman" w:eastAsia="Times New Roman" w:hAnsi="Times New Roman" w:cs="Times New Roman"/>
          <w:b/>
          <w:bCs/>
          <w:color w:val="4C4747"/>
          <w:sz w:val="24"/>
          <w:szCs w:val="28"/>
          <w:lang w:val="es-DO" w:eastAsia="es-DO"/>
        </w:rPr>
      </w:pPr>
      <w:bookmarkStart w:id="42" w:name="_Toc79678434"/>
      <w:bookmarkStart w:id="43" w:name="_Toc122425255"/>
      <w:r w:rsidRPr="009714C2">
        <w:rPr>
          <w:rFonts w:ascii="Times New Roman" w:eastAsia="Times New Roman" w:hAnsi="Times New Roman" w:cs="Times New Roman"/>
          <w:b/>
          <w:bCs/>
          <w:color w:val="4C4747"/>
          <w:sz w:val="24"/>
          <w:szCs w:val="28"/>
          <w:lang w:val="es-DO" w:eastAsia="es-DO"/>
        </w:rPr>
        <w:t xml:space="preserve">5.4 </w:t>
      </w:r>
      <w:r w:rsidR="00F50004" w:rsidRPr="009714C2">
        <w:rPr>
          <w:rFonts w:ascii="Times New Roman" w:eastAsia="Times New Roman" w:hAnsi="Times New Roman" w:cs="Times New Roman"/>
          <w:b/>
          <w:bCs/>
          <w:color w:val="4C4747"/>
          <w:sz w:val="24"/>
          <w:szCs w:val="28"/>
          <w:lang w:val="es-DO" w:eastAsia="es-DO"/>
        </w:rPr>
        <w:t>Resultado Mediciones del Portal de Transparencia</w:t>
      </w:r>
      <w:bookmarkEnd w:id="42"/>
      <w:bookmarkEnd w:id="43"/>
    </w:p>
    <w:p w14:paraId="3C8C3988" w14:textId="4BCC2282" w:rsidR="00DF71E1" w:rsidRPr="009714C2" w:rsidRDefault="00DF71E1" w:rsidP="00565AD0">
      <w:pPr>
        <w:spacing w:before="240" w:after="0" w:line="360" w:lineRule="auto"/>
        <w:jc w:val="both"/>
        <w:rPr>
          <w:rFonts w:ascii="Times New Roman" w:eastAsia="Calibri" w:hAnsi="Times New Roman" w:cs="Times New Roman"/>
          <w:color w:val="4C4747"/>
          <w:sz w:val="24"/>
          <w:lang w:val="es-DO" w:eastAsia="es-DO"/>
        </w:rPr>
      </w:pPr>
      <w:r w:rsidRPr="009714C2">
        <w:rPr>
          <w:rFonts w:ascii="Times New Roman" w:eastAsia="Calibri" w:hAnsi="Times New Roman" w:cs="Times New Roman"/>
          <w:noProof/>
          <w:color w:val="4C4747"/>
          <w:spacing w:val="20"/>
          <w:sz w:val="24"/>
          <w:szCs w:val="24"/>
          <w:lang w:val="es-DO"/>
        </w:rPr>
        <w:t>En las evaluaciones del Portal de Transparencia realizadas por la Dirección General de Ética e Integridad Gubernamental (DIGEIG)</w:t>
      </w:r>
      <w:r w:rsidR="001D27B0" w:rsidRPr="009714C2">
        <w:rPr>
          <w:rFonts w:ascii="Times New Roman" w:eastAsia="Calibri" w:hAnsi="Times New Roman" w:cs="Times New Roman"/>
          <w:noProof/>
          <w:color w:val="4C4747"/>
          <w:spacing w:val="20"/>
          <w:sz w:val="24"/>
          <w:szCs w:val="24"/>
          <w:lang w:val="es-DO"/>
        </w:rPr>
        <w:t>,</w:t>
      </w:r>
      <w:r w:rsidRPr="009714C2">
        <w:rPr>
          <w:rFonts w:ascii="Times New Roman" w:eastAsia="Calibri" w:hAnsi="Times New Roman" w:cs="Times New Roman"/>
          <w:noProof/>
          <w:color w:val="4C4747"/>
          <w:spacing w:val="20"/>
          <w:sz w:val="24"/>
          <w:szCs w:val="24"/>
          <w:lang w:val="es-DO"/>
        </w:rPr>
        <w:t xml:space="preserve"> desde enero hasta </w:t>
      </w:r>
      <w:r w:rsidR="001D27B0" w:rsidRPr="009714C2">
        <w:rPr>
          <w:rFonts w:ascii="Times New Roman" w:eastAsia="Calibri" w:hAnsi="Times New Roman" w:cs="Times New Roman"/>
          <w:noProof/>
          <w:color w:val="4C4747"/>
          <w:spacing w:val="20"/>
          <w:sz w:val="24"/>
          <w:szCs w:val="24"/>
          <w:lang w:val="es-DO"/>
        </w:rPr>
        <w:t>n</w:t>
      </w:r>
      <w:r w:rsidRPr="009714C2">
        <w:rPr>
          <w:rFonts w:ascii="Times New Roman" w:eastAsia="Calibri" w:hAnsi="Times New Roman" w:cs="Times New Roman"/>
          <w:noProof/>
          <w:color w:val="4C4747"/>
          <w:spacing w:val="20"/>
          <w:sz w:val="24"/>
          <w:szCs w:val="24"/>
          <w:lang w:val="es-DO"/>
        </w:rPr>
        <w:t xml:space="preserve">oviembre del 2022 la institución ha obtenido un promedio de puntuación de </w:t>
      </w:r>
      <w:r w:rsidRPr="009714C2">
        <w:rPr>
          <w:rFonts w:ascii="Times New Roman" w:eastAsia="Calibri" w:hAnsi="Times New Roman" w:cs="Times New Roman"/>
          <w:b/>
          <w:bCs/>
          <w:noProof/>
          <w:color w:val="4C4747"/>
          <w:spacing w:val="20"/>
          <w:sz w:val="24"/>
          <w:szCs w:val="24"/>
          <w:lang w:val="es-DO"/>
        </w:rPr>
        <w:t>96%</w:t>
      </w:r>
      <w:r w:rsidRPr="009714C2">
        <w:rPr>
          <w:rFonts w:ascii="Times New Roman" w:eastAsia="Calibri" w:hAnsi="Times New Roman" w:cs="Times New Roman"/>
          <w:noProof/>
          <w:color w:val="4C4747"/>
          <w:spacing w:val="20"/>
          <w:sz w:val="24"/>
          <w:szCs w:val="24"/>
          <w:lang w:val="es-DO"/>
        </w:rPr>
        <w:t xml:space="preserve">. Actualmente, nos encontramos a la espera de las evaluaciónes correspondientes de los meses de </w:t>
      </w:r>
      <w:r w:rsidR="001D27B0" w:rsidRPr="009714C2">
        <w:rPr>
          <w:rFonts w:ascii="Times New Roman" w:eastAsia="Calibri" w:hAnsi="Times New Roman" w:cs="Times New Roman"/>
          <w:noProof/>
          <w:color w:val="4C4747"/>
          <w:spacing w:val="20"/>
          <w:sz w:val="24"/>
          <w:szCs w:val="24"/>
          <w:lang w:val="es-DO"/>
        </w:rPr>
        <w:t>o</w:t>
      </w:r>
      <w:r w:rsidRPr="009714C2">
        <w:rPr>
          <w:rFonts w:ascii="Times New Roman" w:eastAsia="Calibri" w:hAnsi="Times New Roman" w:cs="Times New Roman"/>
          <w:noProof/>
          <w:color w:val="4C4747"/>
          <w:spacing w:val="20"/>
          <w:sz w:val="24"/>
          <w:szCs w:val="24"/>
          <w:lang w:val="es-DO"/>
        </w:rPr>
        <w:t>ctubre</w:t>
      </w:r>
      <w:r w:rsidR="001D27B0" w:rsidRPr="009714C2">
        <w:rPr>
          <w:rFonts w:ascii="Times New Roman" w:eastAsia="Calibri" w:hAnsi="Times New Roman" w:cs="Times New Roman"/>
          <w:noProof/>
          <w:color w:val="4C4747"/>
          <w:spacing w:val="20"/>
          <w:sz w:val="24"/>
          <w:szCs w:val="24"/>
          <w:lang w:val="es-DO"/>
        </w:rPr>
        <w:t xml:space="preserve"> y n</w:t>
      </w:r>
      <w:r w:rsidRPr="009714C2">
        <w:rPr>
          <w:rFonts w:ascii="Times New Roman" w:eastAsia="Calibri" w:hAnsi="Times New Roman" w:cs="Times New Roman"/>
          <w:noProof/>
          <w:color w:val="4C4747"/>
          <w:spacing w:val="20"/>
          <w:sz w:val="24"/>
          <w:szCs w:val="24"/>
          <w:lang w:val="es-DO"/>
        </w:rPr>
        <w:t>oviembre de 2022.</w:t>
      </w:r>
    </w:p>
    <w:p w14:paraId="79F64B21" w14:textId="3BE03FDF" w:rsidR="00DF71E1" w:rsidRPr="009714C2" w:rsidRDefault="00DF71E1" w:rsidP="00DF71E1">
      <w:pPr>
        <w:spacing w:after="0" w:line="360" w:lineRule="auto"/>
        <w:jc w:val="both"/>
        <w:rPr>
          <w:noProof/>
          <w:color w:val="4C4747"/>
        </w:rPr>
      </w:pPr>
      <w:r w:rsidRPr="009714C2">
        <w:rPr>
          <w:noProof/>
          <w:color w:val="4C4747"/>
        </w:rPr>
        <w:lastRenderedPageBreak/>
        <w:drawing>
          <wp:inline distT="0" distB="0" distL="0" distR="0" wp14:anchorId="150AE380" wp14:editId="4AD7D191">
            <wp:extent cx="4991100" cy="2781300"/>
            <wp:effectExtent l="0" t="0" r="0" b="0"/>
            <wp:docPr id="2069" name="Gráfico 2069">
              <a:extLst xmlns:a="http://schemas.openxmlformats.org/drawingml/2006/main">
                <a:ext uri="{FF2B5EF4-FFF2-40B4-BE49-F238E27FC236}">
                  <a16:creationId xmlns:arto="http://schemas.microsoft.com/office/word/2006/arto" xmlns:lc="http://schemas.openxmlformats.org/drawingml/2006/lockedCanvas" xmlns:a16="http://schemas.microsoft.com/office/drawing/2014/main" xmlns:xdr="http://schemas.openxmlformats.org/drawingml/2006/spreadsheetDrawing" xmlns="" xmlns:w="http://schemas.openxmlformats.org/wordprocessingml/2006/main" xmlns:w10="urn:schemas-microsoft-com:office:word" xmlns:v="urn:schemas-microsoft-com:vml" xmlns:o="urn:schemas-microsoft-com:office:office" id="{00000000-0008-0000-00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78AD1A1C" w14:textId="77777777" w:rsidR="00DF71E1" w:rsidRPr="009714C2" w:rsidRDefault="00DF71E1" w:rsidP="00DF71E1">
      <w:pPr>
        <w:spacing w:line="360" w:lineRule="auto"/>
        <w:jc w:val="both"/>
        <w:rPr>
          <w:rFonts w:ascii="Times New Roman" w:eastAsia="Calibri" w:hAnsi="Times New Roman" w:cs="Times New Roman"/>
          <w:noProof/>
          <w:color w:val="4C4747"/>
          <w:spacing w:val="20"/>
          <w:sz w:val="24"/>
          <w:szCs w:val="24"/>
          <w:lang w:val="es-DO"/>
        </w:rPr>
      </w:pPr>
      <w:r w:rsidRPr="009714C2">
        <w:rPr>
          <w:rFonts w:ascii="Times New Roman" w:eastAsia="Calibri" w:hAnsi="Times New Roman" w:cs="Times New Roman"/>
          <w:b/>
          <w:noProof/>
          <w:color w:val="4C4747"/>
          <w:spacing w:val="20"/>
          <w:sz w:val="18"/>
          <w:szCs w:val="24"/>
          <w:lang w:val="es-DO"/>
        </w:rPr>
        <w:t>Fuente:</w:t>
      </w:r>
      <w:r w:rsidRPr="009714C2">
        <w:rPr>
          <w:rFonts w:ascii="Times New Roman" w:eastAsia="Calibri" w:hAnsi="Times New Roman" w:cs="Times New Roman"/>
          <w:noProof/>
          <w:color w:val="4C4747"/>
          <w:spacing w:val="20"/>
          <w:sz w:val="18"/>
          <w:szCs w:val="24"/>
          <w:lang w:val="es-DO"/>
        </w:rPr>
        <w:t xml:space="preserve"> Oficina de Acceso a la Información (OAI).</w:t>
      </w:r>
    </w:p>
    <w:p w14:paraId="23CF9E62" w14:textId="77777777" w:rsidR="00DF71E1" w:rsidRPr="009714C2" w:rsidRDefault="00DF71E1" w:rsidP="00162A8A">
      <w:pPr>
        <w:spacing w:after="0" w:line="360" w:lineRule="auto"/>
        <w:jc w:val="both"/>
        <w:rPr>
          <w:rFonts w:ascii="Times New Roman" w:eastAsia="Calibri" w:hAnsi="Times New Roman" w:cs="Times New Roman"/>
          <w:noProof/>
          <w:color w:val="4C4747"/>
          <w:spacing w:val="20"/>
          <w:sz w:val="24"/>
          <w:szCs w:val="24"/>
          <w:lang w:val="es-DO"/>
        </w:rPr>
      </w:pPr>
    </w:p>
    <w:p w14:paraId="4DD944DE" w14:textId="16957004" w:rsidR="00DF71E1" w:rsidRPr="00A4233F" w:rsidRDefault="00DF71E1" w:rsidP="00DF71E1">
      <w:pPr>
        <w:spacing w:line="360" w:lineRule="auto"/>
        <w:jc w:val="both"/>
        <w:rPr>
          <w:rFonts w:ascii="Times New Roman" w:eastAsia="Calibri" w:hAnsi="Times New Roman" w:cs="Times New Roman"/>
          <w:noProof/>
          <w:color w:val="4C4747"/>
          <w:spacing w:val="20"/>
          <w:sz w:val="24"/>
          <w:szCs w:val="24"/>
          <w:lang w:val="es-DO"/>
        </w:rPr>
      </w:pPr>
      <w:r w:rsidRPr="00A4233F">
        <w:rPr>
          <w:rFonts w:ascii="Times New Roman" w:eastAsia="Calibri" w:hAnsi="Times New Roman" w:cs="Times New Roman"/>
          <w:noProof/>
          <w:color w:val="4C4747"/>
          <w:spacing w:val="20"/>
          <w:sz w:val="24"/>
          <w:szCs w:val="24"/>
          <w:lang w:val="es-DO"/>
        </w:rPr>
        <w:t xml:space="preserve">El INDOTEL cumple con los estándares </w:t>
      </w:r>
      <w:r w:rsidR="001D27B0" w:rsidRPr="00A4233F">
        <w:rPr>
          <w:rFonts w:ascii="Times New Roman" w:eastAsia="Calibri" w:hAnsi="Times New Roman" w:cs="Times New Roman"/>
          <w:noProof/>
          <w:color w:val="4C4747"/>
          <w:spacing w:val="20"/>
          <w:sz w:val="24"/>
          <w:szCs w:val="24"/>
          <w:lang w:val="es-DO"/>
        </w:rPr>
        <w:t xml:space="preserve">del </w:t>
      </w:r>
      <w:r w:rsidRPr="00A4233F">
        <w:rPr>
          <w:rFonts w:ascii="Times New Roman" w:eastAsia="Calibri" w:hAnsi="Times New Roman" w:cs="Times New Roman"/>
          <w:noProof/>
          <w:color w:val="4C4747"/>
          <w:spacing w:val="20"/>
          <w:sz w:val="24"/>
          <w:szCs w:val="24"/>
          <w:lang w:val="es-DO"/>
        </w:rPr>
        <w:t xml:space="preserve"> Portal de Transparencia Institucional de acuerdo a lo establecido en </w:t>
      </w:r>
      <w:r w:rsidR="001D27B0" w:rsidRPr="00A4233F">
        <w:rPr>
          <w:rFonts w:ascii="Times New Roman" w:eastAsia="Calibri" w:hAnsi="Times New Roman" w:cs="Times New Roman"/>
          <w:noProof/>
          <w:color w:val="4C4747"/>
          <w:spacing w:val="20"/>
          <w:sz w:val="24"/>
          <w:szCs w:val="24"/>
          <w:lang w:val="es-DO"/>
        </w:rPr>
        <w:t xml:space="preserve">la Resolución número </w:t>
      </w:r>
      <w:r w:rsidRPr="00A4233F">
        <w:rPr>
          <w:rFonts w:ascii="Times New Roman" w:eastAsia="Calibri" w:hAnsi="Times New Roman" w:cs="Times New Roman"/>
          <w:noProof/>
          <w:color w:val="4C4747"/>
          <w:spacing w:val="20"/>
          <w:sz w:val="24"/>
          <w:szCs w:val="24"/>
          <w:lang w:val="es-DO"/>
        </w:rPr>
        <w:t>002/2021 de la DIGEIG que crea El Portal Único de Solicitudes de Transparencia el cual</w:t>
      </w:r>
      <w:r w:rsidR="001D27B0" w:rsidRPr="00A4233F">
        <w:rPr>
          <w:rFonts w:ascii="Times New Roman" w:eastAsia="Calibri" w:hAnsi="Times New Roman" w:cs="Times New Roman"/>
          <w:noProof/>
          <w:color w:val="4C4747"/>
          <w:spacing w:val="20"/>
          <w:sz w:val="24"/>
          <w:szCs w:val="24"/>
          <w:lang w:val="es-DO"/>
        </w:rPr>
        <w:t xml:space="preserve"> e</w:t>
      </w:r>
      <w:r w:rsidRPr="00A4233F">
        <w:rPr>
          <w:rFonts w:ascii="Times New Roman" w:eastAsia="Calibri" w:hAnsi="Times New Roman" w:cs="Times New Roman"/>
          <w:noProof/>
          <w:color w:val="4C4747"/>
          <w:spacing w:val="20"/>
          <w:sz w:val="24"/>
          <w:szCs w:val="24"/>
          <w:lang w:val="es-DO"/>
        </w:rPr>
        <w:t>stablece las Políticas de Estandarización.</w:t>
      </w:r>
      <w:r w:rsidR="00565AD0" w:rsidRPr="00A4233F">
        <w:rPr>
          <w:rFonts w:ascii="Times New Roman" w:eastAsia="Calibri" w:hAnsi="Times New Roman" w:cs="Times New Roman"/>
          <w:noProof/>
          <w:color w:val="4C4747"/>
          <w:spacing w:val="20"/>
          <w:sz w:val="24"/>
          <w:szCs w:val="24"/>
          <w:lang w:val="es-DO"/>
        </w:rPr>
        <w:t xml:space="preserve"> </w:t>
      </w:r>
    </w:p>
    <w:p w14:paraId="2333CB4C" w14:textId="77777777" w:rsidR="00DF71E1" w:rsidRPr="009714C2" w:rsidRDefault="00DF71E1" w:rsidP="00DF71E1">
      <w:pPr>
        <w:rPr>
          <w:color w:val="4C4747"/>
          <w:lang w:val="es-DO"/>
        </w:rPr>
      </w:pPr>
    </w:p>
    <w:p w14:paraId="420B57F0" w14:textId="77777777" w:rsidR="004C557A" w:rsidRPr="009714C2" w:rsidRDefault="004C557A" w:rsidP="002B4451">
      <w:pPr>
        <w:spacing w:line="360" w:lineRule="auto"/>
        <w:jc w:val="both"/>
        <w:rPr>
          <w:rFonts w:ascii="Times New Roman" w:eastAsia="Calibri" w:hAnsi="Times New Roman" w:cs="Times New Roman"/>
          <w:color w:val="4C4747"/>
          <w:spacing w:val="20"/>
          <w:sz w:val="24"/>
          <w:szCs w:val="24"/>
          <w:lang w:val="es-DO"/>
        </w:rPr>
      </w:pPr>
    </w:p>
    <w:p w14:paraId="48397C49" w14:textId="77777777" w:rsidR="004C557A" w:rsidRPr="009714C2" w:rsidRDefault="004C557A" w:rsidP="002B4451">
      <w:pPr>
        <w:spacing w:line="360" w:lineRule="auto"/>
        <w:jc w:val="both"/>
        <w:rPr>
          <w:rFonts w:ascii="Times New Roman" w:eastAsia="Calibri" w:hAnsi="Times New Roman" w:cs="Times New Roman"/>
          <w:color w:val="4C4747"/>
          <w:spacing w:val="20"/>
          <w:sz w:val="24"/>
          <w:szCs w:val="24"/>
          <w:lang w:val="es-DO"/>
        </w:rPr>
      </w:pPr>
    </w:p>
    <w:p w14:paraId="6061DE26" w14:textId="77777777" w:rsidR="004C557A" w:rsidRPr="009714C2" w:rsidRDefault="004C557A" w:rsidP="002B4451">
      <w:pPr>
        <w:spacing w:line="360" w:lineRule="auto"/>
        <w:jc w:val="both"/>
        <w:rPr>
          <w:rFonts w:ascii="Times New Roman" w:eastAsia="Calibri" w:hAnsi="Times New Roman" w:cs="Times New Roman"/>
          <w:color w:val="4C4747"/>
          <w:spacing w:val="20"/>
          <w:sz w:val="24"/>
          <w:szCs w:val="24"/>
          <w:lang w:val="es-DO"/>
        </w:rPr>
      </w:pPr>
    </w:p>
    <w:p w14:paraId="25944BA5" w14:textId="77777777" w:rsidR="004C557A" w:rsidRPr="009714C2" w:rsidRDefault="004C557A" w:rsidP="002B4451">
      <w:pPr>
        <w:spacing w:line="360" w:lineRule="auto"/>
        <w:jc w:val="both"/>
        <w:rPr>
          <w:rFonts w:ascii="Times New Roman" w:eastAsia="Calibri" w:hAnsi="Times New Roman" w:cs="Times New Roman"/>
          <w:color w:val="4C4747"/>
          <w:spacing w:val="20"/>
          <w:sz w:val="24"/>
          <w:szCs w:val="24"/>
          <w:lang w:val="es-DO"/>
        </w:rPr>
      </w:pPr>
    </w:p>
    <w:p w14:paraId="4526CBBD" w14:textId="77777777" w:rsidR="004C557A" w:rsidRPr="009714C2" w:rsidRDefault="004C557A" w:rsidP="002B4451">
      <w:pPr>
        <w:spacing w:line="360" w:lineRule="auto"/>
        <w:jc w:val="both"/>
        <w:rPr>
          <w:rFonts w:ascii="Times New Roman" w:eastAsia="Calibri" w:hAnsi="Times New Roman" w:cs="Times New Roman"/>
          <w:color w:val="4C4747"/>
          <w:spacing w:val="20"/>
          <w:sz w:val="24"/>
          <w:szCs w:val="24"/>
          <w:lang w:val="es-DO"/>
        </w:rPr>
      </w:pPr>
    </w:p>
    <w:p w14:paraId="08B84864" w14:textId="77777777" w:rsidR="00CF5F9D" w:rsidRPr="009714C2" w:rsidRDefault="00CF5F9D" w:rsidP="002B4451">
      <w:pPr>
        <w:spacing w:line="360" w:lineRule="auto"/>
        <w:jc w:val="both"/>
        <w:rPr>
          <w:rFonts w:ascii="Times New Roman" w:eastAsia="Calibri" w:hAnsi="Times New Roman" w:cs="Times New Roman"/>
          <w:color w:val="4C4747"/>
          <w:spacing w:val="20"/>
          <w:sz w:val="24"/>
          <w:szCs w:val="24"/>
          <w:lang w:val="es-DO"/>
        </w:rPr>
      </w:pPr>
    </w:p>
    <w:p w14:paraId="20BDD662" w14:textId="77777777" w:rsidR="00CF5F9D" w:rsidRPr="009714C2" w:rsidRDefault="00CF5F9D" w:rsidP="002B4451">
      <w:pPr>
        <w:spacing w:line="360" w:lineRule="auto"/>
        <w:jc w:val="both"/>
        <w:rPr>
          <w:rFonts w:ascii="Times New Roman" w:eastAsia="Calibri" w:hAnsi="Times New Roman" w:cs="Times New Roman"/>
          <w:color w:val="4C4747"/>
          <w:spacing w:val="20"/>
          <w:sz w:val="24"/>
          <w:szCs w:val="24"/>
          <w:lang w:val="es-DO"/>
        </w:rPr>
      </w:pPr>
    </w:p>
    <w:p w14:paraId="2923613E" w14:textId="77777777" w:rsidR="009A6D07" w:rsidRPr="009714C2" w:rsidRDefault="009A6D07" w:rsidP="009A6D07">
      <w:pPr>
        <w:spacing w:line="360" w:lineRule="auto"/>
        <w:jc w:val="both"/>
        <w:rPr>
          <w:rFonts w:ascii="Times New Roman" w:eastAsia="Calibri" w:hAnsi="Times New Roman" w:cs="Times New Roman"/>
          <w:color w:val="4C4747"/>
          <w:spacing w:val="20"/>
          <w:sz w:val="24"/>
          <w:szCs w:val="24"/>
          <w:lang w:val="es-DO"/>
        </w:rPr>
      </w:pPr>
    </w:p>
    <w:p w14:paraId="4D564869" w14:textId="77777777" w:rsidR="009A6D07" w:rsidRPr="009714C2" w:rsidRDefault="009A6D07" w:rsidP="009A6D07">
      <w:pPr>
        <w:spacing w:line="360" w:lineRule="auto"/>
        <w:jc w:val="both"/>
        <w:rPr>
          <w:rFonts w:ascii="Times New Roman" w:eastAsia="Calibri" w:hAnsi="Times New Roman" w:cs="Times New Roman"/>
          <w:color w:val="4C4747"/>
          <w:spacing w:val="20"/>
          <w:sz w:val="24"/>
          <w:szCs w:val="24"/>
          <w:lang w:val="es-DO"/>
        </w:rPr>
      </w:pPr>
    </w:p>
    <w:p w14:paraId="0224C987" w14:textId="675419F1" w:rsidR="009A6D07" w:rsidRPr="009714C2" w:rsidRDefault="009A6D07" w:rsidP="00A02BDE">
      <w:pPr>
        <w:pStyle w:val="Ttulo1"/>
        <w:numPr>
          <w:ilvl w:val="0"/>
          <w:numId w:val="27"/>
        </w:numPr>
        <w:jc w:val="center"/>
        <w:rPr>
          <w:b/>
          <w:color w:val="4C4747"/>
          <w:lang w:val="es-DO"/>
        </w:rPr>
      </w:pPr>
      <w:bookmarkStart w:id="44" w:name="_Toc122425256"/>
      <w:r w:rsidRPr="009714C2">
        <w:rPr>
          <w:b/>
          <w:color w:val="4C4747"/>
          <w:lang w:val="es-DO"/>
        </w:rPr>
        <w:lastRenderedPageBreak/>
        <w:t>PROYECCIONES AL PROXIMO AÑO</w:t>
      </w:r>
      <w:bookmarkEnd w:id="44"/>
    </w:p>
    <w:p w14:paraId="5853EA4D" w14:textId="77777777" w:rsidR="009A6D07" w:rsidRPr="009714C2" w:rsidRDefault="009A6D07" w:rsidP="009A6D07">
      <w:pPr>
        <w:jc w:val="both"/>
        <w:rPr>
          <w:rFonts w:ascii="Times New Roman" w:eastAsia="Calibri" w:hAnsi="Times New Roman" w:cs="Times New Roman"/>
          <w:color w:val="4C4747"/>
          <w:sz w:val="18"/>
          <w:lang w:val="es-DO"/>
        </w:rPr>
      </w:pPr>
      <w:r w:rsidRPr="009714C2">
        <w:rPr>
          <w:rFonts w:ascii="Times New Roman" w:eastAsia="Calibri" w:hAnsi="Times New Roman" w:cs="Times New Roman"/>
          <w:noProof/>
          <w:color w:val="4C4747"/>
          <w:sz w:val="18"/>
        </w:rPr>
        <mc:AlternateContent>
          <mc:Choice Requires="wps">
            <w:drawing>
              <wp:anchor distT="0" distB="0" distL="114300" distR="114300" simplePos="0" relativeHeight="251730944" behindDoc="0" locked="0" layoutInCell="1" allowOverlap="1" wp14:anchorId="77EE27BF" wp14:editId="37F01559">
                <wp:simplePos x="0" y="0"/>
                <wp:positionH relativeFrom="margin">
                  <wp:posOffset>2351100</wp:posOffset>
                </wp:positionH>
                <wp:positionV relativeFrom="paragraph">
                  <wp:posOffset>43815</wp:posOffset>
                </wp:positionV>
                <wp:extent cx="463550" cy="0"/>
                <wp:effectExtent l="0" t="19050" r="31750" b="19050"/>
                <wp:wrapNone/>
                <wp:docPr id="25"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22008A4" id="Straight Connector 21" o:spid="_x0000_s1026" style="position:absolute;z-index:2517309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85.15pt,3.45pt" to="221.65pt,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" strokecolor="#ee2a24" strokeweight="2.25pt">
                <v:stroke joinstyle="miter"/>
                <w10:wrap anchorx="margin"/>
              </v:line>
            </w:pict>
          </mc:Fallback>
        </mc:AlternateContent>
      </w:r>
    </w:p>
    <w:p w14:paraId="265076E6" w14:textId="77777777" w:rsidR="009A6D07" w:rsidRPr="009714C2" w:rsidRDefault="009A6D07" w:rsidP="009A6D07">
      <w:pPr>
        <w:jc w:val="center"/>
        <w:rPr>
          <w:rFonts w:ascii="Times New Roman" w:eastAsia="Calibri" w:hAnsi="Times New Roman" w:cs="Times New Roman"/>
          <w:color w:val="4C4747"/>
          <w:spacing w:val="20"/>
          <w:sz w:val="24"/>
          <w:szCs w:val="36"/>
          <w:lang w:val="es-DO"/>
        </w:rPr>
      </w:pPr>
      <w:r w:rsidRPr="009714C2">
        <w:rPr>
          <w:rFonts w:ascii="Times New Roman" w:eastAsia="Calibri" w:hAnsi="Times New Roman" w:cs="Times New Roman"/>
          <w:color w:val="4C4747"/>
          <w:spacing w:val="20"/>
          <w:sz w:val="24"/>
          <w:szCs w:val="36"/>
          <w:lang w:val="es-DO"/>
        </w:rPr>
        <w:t>Memoria Institucional 2022</w:t>
      </w:r>
    </w:p>
    <w:p w14:paraId="00A21DD9" w14:textId="77777777" w:rsidR="009A6D07" w:rsidRPr="009714C2" w:rsidRDefault="009A6D07" w:rsidP="002B4451">
      <w:pPr>
        <w:spacing w:line="360" w:lineRule="auto"/>
        <w:jc w:val="both"/>
        <w:rPr>
          <w:rFonts w:ascii="Times New Roman" w:eastAsia="Calibri" w:hAnsi="Times New Roman" w:cs="Times New Roman"/>
          <w:color w:val="4C4747"/>
          <w:spacing w:val="20"/>
          <w:sz w:val="24"/>
          <w:szCs w:val="24"/>
          <w:lang w:val="es-DO"/>
        </w:rPr>
      </w:pPr>
    </w:p>
    <w:p w14:paraId="58BF955F" w14:textId="64169C0B" w:rsidR="00E86F9C" w:rsidRPr="009714C2" w:rsidRDefault="003F48A9" w:rsidP="002B4451">
      <w:pPr>
        <w:spacing w:line="360" w:lineRule="auto"/>
        <w:jc w:val="both"/>
        <w:rPr>
          <w:rFonts w:ascii="Times New Roman" w:eastAsia="Calibri" w:hAnsi="Times New Roman" w:cs="Times New Roman"/>
          <w:b/>
          <w:color w:val="4C4747"/>
          <w:spacing w:val="20"/>
          <w:sz w:val="24"/>
          <w:szCs w:val="24"/>
          <w:lang w:val="es-DO"/>
        </w:rPr>
      </w:pPr>
      <w:r w:rsidRPr="009714C2">
        <w:rPr>
          <w:rFonts w:ascii="Times New Roman" w:eastAsia="Calibri" w:hAnsi="Times New Roman" w:cs="Times New Roman"/>
          <w:b/>
          <w:color w:val="4C4747"/>
          <w:spacing w:val="20"/>
          <w:sz w:val="24"/>
          <w:szCs w:val="24"/>
          <w:lang w:val="es-DO"/>
        </w:rPr>
        <w:t>Proyecciones Año 2023</w:t>
      </w:r>
    </w:p>
    <w:p w14:paraId="7D34785A"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9714C2">
        <w:rPr>
          <w:rFonts w:ascii="Times New Roman" w:eastAsia="Calibri" w:hAnsi="Times New Roman" w:cs="Times New Roman"/>
          <w:b/>
          <w:color w:val="4C4747"/>
          <w:spacing w:val="20"/>
          <w:sz w:val="24"/>
          <w:szCs w:val="24"/>
          <w:lang w:val="es-DO"/>
        </w:rPr>
        <w:t>Plan Bianual de Proyectos de Desarrollo para el Período 2021-2022</w:t>
      </w:r>
    </w:p>
    <w:p w14:paraId="760EC124"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9714C2">
        <w:rPr>
          <w:rFonts w:ascii="Times New Roman" w:eastAsia="Calibri" w:hAnsi="Times New Roman" w:cs="Times New Roman"/>
          <w:b/>
          <w:color w:val="4C4747"/>
          <w:spacing w:val="20"/>
          <w:sz w:val="24"/>
          <w:szCs w:val="24"/>
          <w:lang w:val="es-DO"/>
        </w:rPr>
        <w:t>Proyecto: Conectar a los No Conectados</w:t>
      </w:r>
    </w:p>
    <w:p w14:paraId="2F14850E" w14:textId="77777777" w:rsidR="00EF195C" w:rsidRPr="009714C2" w:rsidRDefault="00EF195C" w:rsidP="00EF195C">
      <w:p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Es un proyecto integral que dotará a comunidades rurales no servidas o con bajos niveles de penetración de internet, que viven bajo línea de pobreza, del acceso y conectividad a la banda ancha de calidad, que contribuya a la reducción de la brecha digital de la República Dominicana, bajo las premisas de una conectividad significativa, que se refiere a un uso regular de internet, un dispositivo móvil apropiado,  datos suficientes y una conexión con un ancho de banda mínimo de 10 Mbps, que haga posible que estas tecnologías tengan un impacto positivo en su calidad de vida.</w:t>
      </w:r>
    </w:p>
    <w:p w14:paraId="7D034D5B" w14:textId="77777777" w:rsidR="00EF195C" w:rsidRPr="009714C2" w:rsidRDefault="00EF195C" w:rsidP="00EF195C">
      <w:p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El proyecto está conformado por tres (3) componentes principales:</w:t>
      </w:r>
    </w:p>
    <w:p w14:paraId="02BB9E83" w14:textId="31B92BBE" w:rsidR="00EF195C" w:rsidRPr="009714C2" w:rsidRDefault="00EF195C" w:rsidP="00A02BDE">
      <w:pPr>
        <w:pStyle w:val="Prrafodelista"/>
        <w:numPr>
          <w:ilvl w:val="1"/>
          <w:numId w:val="35"/>
        </w:num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Acceso e Infraestructura;</w:t>
      </w:r>
    </w:p>
    <w:p w14:paraId="72BCC434" w14:textId="3881AB1E" w:rsidR="00EF195C" w:rsidRPr="009714C2" w:rsidRDefault="00EF195C" w:rsidP="00A02BDE">
      <w:pPr>
        <w:pStyle w:val="Prrafodelista"/>
        <w:numPr>
          <w:ilvl w:val="1"/>
          <w:numId w:val="35"/>
        </w:num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Subsidio a la Demanda;</w:t>
      </w:r>
    </w:p>
    <w:p w14:paraId="4EBFFD12" w14:textId="720A9505" w:rsidR="00EF195C" w:rsidRPr="009714C2" w:rsidRDefault="00EF195C" w:rsidP="00A02BDE">
      <w:pPr>
        <w:pStyle w:val="Prrafodelista"/>
        <w:numPr>
          <w:ilvl w:val="1"/>
          <w:numId w:val="35"/>
        </w:num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Apropiación Social y Desarrollo de Habilidades.</w:t>
      </w:r>
    </w:p>
    <w:p w14:paraId="365C87F6"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p>
    <w:p w14:paraId="023ADDDE"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p>
    <w:p w14:paraId="275E2F7B"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p>
    <w:p w14:paraId="635048C1"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p>
    <w:p w14:paraId="1A03FCC1" w14:textId="77777777" w:rsidR="00EF195C" w:rsidRPr="009714C2" w:rsidRDefault="00EF195C" w:rsidP="00EF195C">
      <w:pPr>
        <w:spacing w:line="360" w:lineRule="auto"/>
        <w:jc w:val="both"/>
        <w:rPr>
          <w:rFonts w:ascii="Times New Roman" w:eastAsia="Calibri" w:hAnsi="Times New Roman" w:cs="Times New Roman"/>
          <w:b/>
          <w:color w:val="4C4747"/>
          <w:spacing w:val="20"/>
          <w:sz w:val="24"/>
          <w:szCs w:val="24"/>
          <w:lang w:val="es-DO"/>
        </w:rPr>
      </w:pPr>
    </w:p>
    <w:p w14:paraId="13AAE7EC" w14:textId="106C61C4"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lastRenderedPageBreak/>
        <w:t>Finalización de la Ejecución</w:t>
      </w:r>
      <w:r w:rsidR="00385197" w:rsidRPr="00BB4D02">
        <w:rPr>
          <w:rFonts w:ascii="Times New Roman" w:eastAsia="Calibri" w:hAnsi="Times New Roman" w:cs="Times New Roman"/>
          <w:b/>
          <w:color w:val="4C4747"/>
          <w:spacing w:val="20"/>
          <w:sz w:val="24"/>
          <w:szCs w:val="24"/>
          <w:lang w:val="es-DO"/>
        </w:rPr>
        <w:t xml:space="preserve"> del Plan Bianual de Proyectos </w:t>
      </w:r>
    </w:p>
    <w:p w14:paraId="1E9000C8"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Para el año 2023, estaremos finalizando con la implementación del componente  Acceso e Infraestructura y la Apropiación Social y Desarrollo de Habilidades Digitales.  </w:t>
      </w:r>
    </w:p>
    <w:p w14:paraId="157ACD67" w14:textId="0380093C"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Además se completarán las capacitaciones que propiciarán el desarrollo de habilidades digitales con enfoque de género a las beneficiarias de la Canasta Digital, </w:t>
      </w:r>
    </w:p>
    <w:p w14:paraId="2326AC9B"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Tal como nos instruye nuestra Ley Orgánica Núm. 153-98, Ley General de las Telecomunicaciones y en consonancia con la Política Social de Servicio Universal, estaremos aprobando el Plan Bianual de Proyectos de Desarrollo 2023-2024.</w:t>
      </w:r>
    </w:p>
    <w:p w14:paraId="61EEF260" w14:textId="77777777" w:rsidR="00EF195C" w:rsidRPr="00BB4D02" w:rsidRDefault="00EF195C" w:rsidP="00EF195C">
      <w:pPr>
        <w:spacing w:line="360" w:lineRule="auto"/>
        <w:jc w:val="both"/>
        <w:rPr>
          <w:rFonts w:ascii="Times New Roman" w:eastAsia="Calibri" w:hAnsi="Times New Roman" w:cs="Times New Roman"/>
          <w:b/>
          <w:color w:val="4C4747"/>
          <w:spacing w:val="20"/>
          <w:sz w:val="8"/>
          <w:szCs w:val="8"/>
          <w:lang w:val="es-DO"/>
        </w:rPr>
      </w:pPr>
    </w:p>
    <w:p w14:paraId="486E424B"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Agenda Regulatoria para el año 2023</w:t>
      </w:r>
    </w:p>
    <w:p w14:paraId="48F20C4A"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El listado propuesto para la Agenda Regulatoria para el año 2023 es el siguiente: </w:t>
      </w:r>
    </w:p>
    <w:p w14:paraId="08CE52F2" w14:textId="1BBA91D5" w:rsidR="00EF195C" w:rsidRPr="00BB4D02" w:rsidRDefault="00EF195C"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Modificación al Reglamento para la Reventa de Servicios Públicos de Telecomunicaciones </w:t>
      </w:r>
    </w:p>
    <w:p w14:paraId="6E50BC24" w14:textId="3F979907" w:rsidR="00EF195C" w:rsidRPr="00BB4D02" w:rsidRDefault="00EF195C"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Modificación al Reglamento Procedimiento Sancionador Administrativo </w:t>
      </w:r>
    </w:p>
    <w:p w14:paraId="2A4EB40E" w14:textId="42A3AB72" w:rsidR="00EF195C" w:rsidRPr="00BB4D02" w:rsidRDefault="00EF195C"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Modificación al Reglamento de Autorizaciones para Servicios de Telecomunicaciones </w:t>
      </w:r>
    </w:p>
    <w:p w14:paraId="285E440B" w14:textId="321A4C1F" w:rsidR="00EF195C" w:rsidRPr="00BB4D02" w:rsidRDefault="00EF195C"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Estudio de Mercados Relevantes – 2023 </w:t>
      </w:r>
    </w:p>
    <w:p w14:paraId="4365345C" w14:textId="5655E167" w:rsidR="00EF195C" w:rsidRPr="00BB4D02" w:rsidRDefault="00EF195C" w:rsidP="00A02BDE">
      <w:pPr>
        <w:pStyle w:val="Prrafodelista"/>
        <w:numPr>
          <w:ilvl w:val="0"/>
          <w:numId w:val="29"/>
        </w:num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Reglamento de Aplicación de la nueva Ley de Comercio Electrónico, Documentos y Firmas Digitales</w:t>
      </w:r>
    </w:p>
    <w:p w14:paraId="1C968983"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Actualización y modernización de la Ley General de Telecomunicaciones</w:t>
      </w:r>
    </w:p>
    <w:p w14:paraId="56262322"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El objetivo principal de la actualización y modernización de la Ley General de Telecomunicaciones número 153-98 es para facilitar el </w:t>
      </w:r>
      <w:r w:rsidRPr="00BB4D02">
        <w:rPr>
          <w:rFonts w:ascii="Times New Roman" w:eastAsia="Calibri" w:hAnsi="Times New Roman" w:cs="Times New Roman"/>
          <w:color w:val="4C4747"/>
          <w:spacing w:val="20"/>
          <w:sz w:val="24"/>
          <w:szCs w:val="24"/>
          <w:lang w:val="es-DO"/>
        </w:rPr>
        <w:lastRenderedPageBreak/>
        <w:t xml:space="preserve">despliegue y ampliación de las redes, impulsar condiciones de competencia más efectivas y dar un uso más eficiente del espectro radioeléctrico, que redunden en mejores ofertas para los usuarios, acompañadas de una adecuada protección de los datos de carácter personal y la privacidad de éstos; el fortalecimiento de las capacidades de regulación y control del INDOTEL para ordenar el funcionamiento del mercado e intervenir ante fallas en el mismo, de cara al cumplimiento de los Objetivos de Desarrollo Sostenible (ODS) y la Estrategia Nacional de Desarrollo (END) 2030. </w:t>
      </w:r>
    </w:p>
    <w:p w14:paraId="101EA034"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Asimismo, unificar principios y criterios consignados en diferentes normas asociadas a elementos y componentes relacionados con las TIC y, en consecuencia, evitar dispersión y garantizar la articulación y visión uniforme de las reglas aplicables al sector, de manera simplificada, coherente y armónica, promoviendo la coordinación entre entes y órganos del Estado dada la transversalidad de las TIC.</w:t>
      </w:r>
    </w:p>
    <w:p w14:paraId="01F49DFF"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Se tiene programado para el año 2023 la aprobación por el Congreso Nacional de la modificación a la Ley General de Telecomunicaciones.  </w:t>
      </w:r>
    </w:p>
    <w:p w14:paraId="205DEE78" w14:textId="77777777" w:rsidR="00EF195C" w:rsidRPr="00BB4D02" w:rsidRDefault="00EF195C" w:rsidP="00EF195C">
      <w:pPr>
        <w:spacing w:line="360" w:lineRule="auto"/>
        <w:jc w:val="both"/>
        <w:rPr>
          <w:rFonts w:ascii="Times New Roman" w:eastAsia="Calibri" w:hAnsi="Times New Roman" w:cs="Times New Roman"/>
          <w:b/>
          <w:color w:val="4C4747"/>
          <w:spacing w:val="20"/>
          <w:sz w:val="8"/>
          <w:szCs w:val="8"/>
          <w:lang w:val="es-DO"/>
        </w:rPr>
      </w:pPr>
    </w:p>
    <w:p w14:paraId="4E92393A"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Plan de Transición a la Televisión Terrestre Digital</w:t>
      </w:r>
    </w:p>
    <w:p w14:paraId="5AAA496D"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El Plan de Transición a la Televisión Terrestre Digital (TTD) es el documento que contiene la planificación programada de etapas técnicas que rigen la implementación y migración hacia la Televisión Terrestre Digital (TTD) basadas en el estándar ATSC 1.0 adoptado. Este plan establece el marco normativo para la extinción del cese de las emisiones de televisión analógica y de su plena sustitución por emisiones de televisión digital.</w:t>
      </w:r>
    </w:p>
    <w:p w14:paraId="51CFAEE4"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Tiene por objeto establecer las condiciones y directrices a seguir por parte de las concesionarias del servicio de radiodifusión televisiva y que deberán tomar en consideración para la transición de la televisión </w:t>
      </w:r>
      <w:r w:rsidRPr="00BB4D02">
        <w:rPr>
          <w:rFonts w:ascii="Times New Roman" w:eastAsia="Calibri" w:hAnsi="Times New Roman" w:cs="Times New Roman"/>
          <w:color w:val="4C4747"/>
          <w:spacing w:val="20"/>
          <w:sz w:val="24"/>
          <w:szCs w:val="24"/>
          <w:lang w:val="es-DO"/>
        </w:rPr>
        <w:lastRenderedPageBreak/>
        <w:t>analógica a la digital, así como definir el cronograma de implementación de la Televisión Terrestre Digital a fin de cumplir con los mandatos establecidos por Decreto, la Ley Núm. 153-98 y las reglamentaciones aplicables.</w:t>
      </w:r>
    </w:p>
    <w:p w14:paraId="277547EE"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El 31 de agosto del 2023 es la fecha límite para que las concesionarias del servicio de radiodifusión televisiva procedan a realizar el apagón analógico y el 31 de diciembre del 2023 es la fecha límite del encendido digital.  </w:t>
      </w:r>
    </w:p>
    <w:p w14:paraId="59554CE7"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p>
    <w:p w14:paraId="387412C9"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Programa para Mejorar la Conectividad para la Transformación Digital en la República Dominicana</w:t>
      </w:r>
    </w:p>
    <w:p w14:paraId="58016CD4"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El Gobierno Dominicano se embarcó en un préstamo con el Banco Interamericano de Desarrollo (BID), para la ejecución del “Programa para Mejorar la Conectividad para la Transformación Digital en la República Dominicana” (DR-L1147), su objetivo general es transformar digitalmente a la República Dominicana proveyéndola con un servicio de internet de calidad y asequible con una inversión de US$115 millones de dólares; para dichos fines se creó la Dirección de la Unidad Ejecutora del Proyecto BID, la cual es responsable de la ejecución del préstamo.</w:t>
      </w:r>
    </w:p>
    <w:p w14:paraId="49B8E99E"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Se planificaron tres áreas de ejecución, cada una es abordada por un componente específico. </w:t>
      </w:r>
    </w:p>
    <w:p w14:paraId="55E71BC1"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 Componente 1. Garantizar que la transición de la televisión análoga a digital tenga un carácter socialmente incluyente. En el 2023 se tiene previsto distribuir las 450,000 mil cajas convertidoras junto a SUPERATE en hogares vulnerables.  </w:t>
      </w:r>
    </w:p>
    <w:p w14:paraId="1E208E49"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 Componente 2. Ampliar las redes alámbricas de acceso a internet, expandir la Red Nacional de Fibra Óptica (RNFO) y garantizar la </w:t>
      </w:r>
      <w:r w:rsidRPr="00BB4D02">
        <w:rPr>
          <w:rFonts w:ascii="Times New Roman" w:eastAsia="Calibri" w:hAnsi="Times New Roman" w:cs="Times New Roman"/>
          <w:color w:val="4C4747"/>
          <w:spacing w:val="20"/>
          <w:sz w:val="24"/>
          <w:szCs w:val="24"/>
          <w:lang w:val="es-DO"/>
        </w:rPr>
        <w:lastRenderedPageBreak/>
        <w:t>disponibilidad de conectividad internacional.  En el 2023 se tiene provisto la expansión de redes alámbricas de transporte de datos a internet en dos municipios en el marco del Plan Nacional de Banda Ancha.</w:t>
      </w:r>
    </w:p>
    <w:p w14:paraId="61FF51D2"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Componente 3. Capacitar a la ciudadanía en el uso productivo de las TIC. Se tiene previsto para el 2023 capacitar en habilidades digitales a 5,000 personas.</w:t>
      </w:r>
    </w:p>
    <w:p w14:paraId="1AF2D42F" w14:textId="77777777" w:rsidR="00EF195C" w:rsidRPr="00BB4D02" w:rsidRDefault="00EF195C" w:rsidP="00EF195C">
      <w:pPr>
        <w:spacing w:line="360" w:lineRule="auto"/>
        <w:jc w:val="both"/>
        <w:rPr>
          <w:rFonts w:ascii="Times New Roman" w:eastAsia="Calibri" w:hAnsi="Times New Roman" w:cs="Times New Roman"/>
          <w:b/>
          <w:color w:val="4C4747"/>
          <w:spacing w:val="20"/>
          <w:sz w:val="8"/>
          <w:szCs w:val="8"/>
          <w:lang w:val="es-DO"/>
        </w:rPr>
      </w:pPr>
    </w:p>
    <w:p w14:paraId="70C2E251"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Plataforma Web para el Sello de Confianza de Comercio Electrónico de la República Dominicana</w:t>
      </w:r>
    </w:p>
    <w:p w14:paraId="7F71360F"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El rol del INDOTEL en torno al Comercio Electrónico, prevé dotar a este tipo de comercio de reglas claras sobre el perfeccionamiento de los compromisos asumidos a través de expresiones de la voluntad por la vía electrónica, lo cual brindará un marco de seguridad y confianza para el desarrollo de transacciones electrónicas con plena identificación de sus participantes y certeza respecto de la integridad del contenido de los documentos digitales y mensajes de datos emitidos por estos. </w:t>
      </w:r>
    </w:p>
    <w:p w14:paraId="3533C85F"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Este proyecto tiene como finalidad favorecer crear la normalización, reglamentación técnica y acreditación que garantice el cumplimiento de los requisitos de los mercados globales y un compromiso con la excelencia; según lo establece el EJE 3 (3.5.2) de la Estrategia Nacional de Desarrollo 2030 (END), para lo cual se implementará un portal web para promover mecanismos que generen confianza a los usuarios finales y empresas mediante la presentación de mejores prácticas.</w:t>
      </w:r>
    </w:p>
    <w:p w14:paraId="1E9AC625"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 xml:space="preserve">El proyecto propone la transformación digital mediante la implementación de nuevos servicios de auditorías a las empresas que soliciten ser acreditadas con el Sello de Confianza. Se realizarán </w:t>
      </w:r>
      <w:r w:rsidRPr="00BB4D02">
        <w:rPr>
          <w:rFonts w:ascii="Times New Roman" w:eastAsia="Calibri" w:hAnsi="Times New Roman" w:cs="Times New Roman"/>
          <w:color w:val="4C4747"/>
          <w:spacing w:val="20"/>
          <w:sz w:val="24"/>
          <w:szCs w:val="24"/>
          <w:lang w:val="es-DO"/>
        </w:rPr>
        <w:lastRenderedPageBreak/>
        <w:t xml:space="preserve">proceso de validación de cumplimiento de buenas prácticas en materia de comercio electrónico de estos sitios web usando diverso mecanismos y herramientas. </w:t>
      </w:r>
    </w:p>
    <w:p w14:paraId="32B046EB"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Como parte del plan de trabajo del año 2023 se tiene previsto la implementación del Sello de Confianza de Comercio Electrónico de la República Dominicana.</w:t>
      </w:r>
    </w:p>
    <w:p w14:paraId="0870706D" w14:textId="77777777" w:rsidR="00EF195C" w:rsidRPr="00BB4D02" w:rsidRDefault="00EF195C" w:rsidP="00EF195C">
      <w:pPr>
        <w:spacing w:line="360" w:lineRule="auto"/>
        <w:jc w:val="both"/>
        <w:rPr>
          <w:rFonts w:ascii="Times New Roman" w:eastAsia="Calibri" w:hAnsi="Times New Roman" w:cs="Times New Roman"/>
          <w:b/>
          <w:color w:val="4C4747"/>
          <w:spacing w:val="20"/>
          <w:sz w:val="8"/>
          <w:szCs w:val="8"/>
          <w:lang w:val="es-DO"/>
        </w:rPr>
      </w:pPr>
    </w:p>
    <w:p w14:paraId="4717D872"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Construcción Edificio Sede INDOTEL:</w:t>
      </w:r>
    </w:p>
    <w:p w14:paraId="78D76A8C"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Se planea comenzar la construcción en el año 2023 inmediatamente culmine la licitación de construcción de la nueva Sede del INDOTEL.</w:t>
      </w:r>
    </w:p>
    <w:p w14:paraId="5C321585" w14:textId="77777777" w:rsidR="00EF195C" w:rsidRPr="00BB4D02" w:rsidRDefault="00EF195C" w:rsidP="00EF195C">
      <w:pPr>
        <w:spacing w:line="360" w:lineRule="auto"/>
        <w:jc w:val="both"/>
        <w:rPr>
          <w:rFonts w:ascii="Times New Roman" w:eastAsia="Calibri" w:hAnsi="Times New Roman" w:cs="Times New Roman"/>
          <w:b/>
          <w:color w:val="4C4747"/>
          <w:spacing w:val="20"/>
          <w:sz w:val="8"/>
          <w:szCs w:val="8"/>
          <w:lang w:val="es-DO"/>
        </w:rPr>
      </w:pPr>
    </w:p>
    <w:p w14:paraId="7B1F7497"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Sello Igualando RD para el Sector Publico:</w:t>
      </w:r>
    </w:p>
    <w:p w14:paraId="00C8CF41" w14:textId="77777777" w:rsidR="00EF195C"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Se tiene previsto obtener la certificación del Sello Igualando RD en el mes de abril del 2023.</w:t>
      </w:r>
    </w:p>
    <w:p w14:paraId="4D08C4BC" w14:textId="77777777" w:rsidR="00EF195C" w:rsidRPr="00BB4D02" w:rsidRDefault="00EF195C" w:rsidP="00EF195C">
      <w:pPr>
        <w:spacing w:line="360" w:lineRule="auto"/>
        <w:jc w:val="both"/>
        <w:rPr>
          <w:rFonts w:ascii="Times New Roman" w:eastAsia="Calibri" w:hAnsi="Times New Roman" w:cs="Times New Roman"/>
          <w:b/>
          <w:color w:val="4C4747"/>
          <w:spacing w:val="20"/>
          <w:sz w:val="8"/>
          <w:szCs w:val="8"/>
          <w:lang w:val="es-DO"/>
        </w:rPr>
      </w:pPr>
    </w:p>
    <w:p w14:paraId="32C3909C" w14:textId="77777777" w:rsidR="00EF195C" w:rsidRPr="00BB4D02" w:rsidRDefault="00EF195C" w:rsidP="00EF195C">
      <w:pPr>
        <w:spacing w:line="360" w:lineRule="auto"/>
        <w:jc w:val="both"/>
        <w:rPr>
          <w:rFonts w:ascii="Times New Roman" w:eastAsia="Calibri" w:hAnsi="Times New Roman" w:cs="Times New Roman"/>
          <w:b/>
          <w:color w:val="4C4747"/>
          <w:spacing w:val="20"/>
          <w:sz w:val="24"/>
          <w:szCs w:val="24"/>
          <w:lang w:val="es-DO"/>
        </w:rPr>
      </w:pPr>
      <w:r w:rsidRPr="00BB4D02">
        <w:rPr>
          <w:rFonts w:ascii="Times New Roman" w:eastAsia="Calibri" w:hAnsi="Times New Roman" w:cs="Times New Roman"/>
          <w:b/>
          <w:color w:val="4C4747"/>
          <w:spacing w:val="20"/>
          <w:sz w:val="24"/>
          <w:szCs w:val="24"/>
          <w:lang w:val="es-DO"/>
        </w:rPr>
        <w:t>Programa Burocracia Cero:</w:t>
      </w:r>
    </w:p>
    <w:p w14:paraId="526D4682" w14:textId="138F79A8" w:rsidR="003F48A9" w:rsidRPr="00BB4D02" w:rsidRDefault="00EF195C" w:rsidP="00EF195C">
      <w:pPr>
        <w:spacing w:line="360" w:lineRule="auto"/>
        <w:jc w:val="both"/>
        <w:rPr>
          <w:rFonts w:ascii="Times New Roman" w:eastAsia="Calibri" w:hAnsi="Times New Roman" w:cs="Times New Roman"/>
          <w:color w:val="4C4747"/>
          <w:spacing w:val="20"/>
          <w:sz w:val="24"/>
          <w:szCs w:val="24"/>
          <w:lang w:val="es-DO"/>
        </w:rPr>
      </w:pPr>
      <w:r w:rsidRPr="00BB4D02">
        <w:rPr>
          <w:rFonts w:ascii="Times New Roman" w:eastAsia="Calibri" w:hAnsi="Times New Roman" w:cs="Times New Roman"/>
          <w:color w:val="4C4747"/>
          <w:spacing w:val="20"/>
          <w:sz w:val="24"/>
          <w:szCs w:val="24"/>
          <w:lang w:val="es-DO"/>
        </w:rPr>
        <w:t>Para el año 2023 se tiene previsto la implementación de la segunda fase del programa Burocracia Cero la cual consiste en la automatización de los procesos de los siete servicios que se encuentran disponibles en el portal de Servicios del Gobierno Dominicano.</w:t>
      </w:r>
    </w:p>
    <w:p w14:paraId="4EF37D17" w14:textId="77777777" w:rsidR="00E86F9C" w:rsidRPr="00BB4D02" w:rsidRDefault="00E86F9C" w:rsidP="002B4451">
      <w:pPr>
        <w:spacing w:line="360" w:lineRule="auto"/>
        <w:jc w:val="both"/>
        <w:rPr>
          <w:rFonts w:ascii="Times New Roman" w:eastAsia="Calibri" w:hAnsi="Times New Roman" w:cs="Times New Roman"/>
          <w:color w:val="4C4747"/>
          <w:spacing w:val="20"/>
          <w:sz w:val="24"/>
          <w:szCs w:val="24"/>
          <w:lang w:val="es-DO"/>
        </w:rPr>
      </w:pPr>
    </w:p>
    <w:p w14:paraId="28EF4E68" w14:textId="77777777" w:rsidR="00385197" w:rsidRPr="00BB4D02" w:rsidRDefault="00385197" w:rsidP="002B4451">
      <w:pPr>
        <w:spacing w:line="360" w:lineRule="auto"/>
        <w:jc w:val="both"/>
        <w:rPr>
          <w:rFonts w:ascii="Times New Roman" w:eastAsia="Calibri" w:hAnsi="Times New Roman" w:cs="Times New Roman"/>
          <w:color w:val="4C4747"/>
          <w:spacing w:val="20"/>
          <w:sz w:val="24"/>
          <w:szCs w:val="24"/>
          <w:lang w:val="es-DO"/>
        </w:rPr>
      </w:pPr>
    </w:p>
    <w:p w14:paraId="7F9FBA14" w14:textId="77777777" w:rsidR="00385197" w:rsidRPr="00BB4D02" w:rsidRDefault="00385197" w:rsidP="002B4451">
      <w:pPr>
        <w:spacing w:line="360" w:lineRule="auto"/>
        <w:jc w:val="both"/>
        <w:rPr>
          <w:rFonts w:ascii="Times New Roman" w:eastAsia="Calibri" w:hAnsi="Times New Roman" w:cs="Times New Roman"/>
          <w:color w:val="4C4747"/>
          <w:spacing w:val="20"/>
          <w:sz w:val="24"/>
          <w:szCs w:val="24"/>
          <w:lang w:val="es-DO"/>
        </w:rPr>
      </w:pPr>
    </w:p>
    <w:p w14:paraId="2DB28A5A" w14:textId="77777777" w:rsidR="00385197" w:rsidRPr="00BB4D02" w:rsidRDefault="00385197" w:rsidP="002B4451">
      <w:pPr>
        <w:spacing w:line="360" w:lineRule="auto"/>
        <w:jc w:val="both"/>
        <w:rPr>
          <w:rFonts w:ascii="Times New Roman" w:eastAsia="Calibri" w:hAnsi="Times New Roman" w:cs="Times New Roman"/>
          <w:color w:val="4C4747"/>
          <w:spacing w:val="20"/>
          <w:sz w:val="24"/>
          <w:szCs w:val="24"/>
          <w:lang w:val="es-DO"/>
        </w:rPr>
      </w:pPr>
    </w:p>
    <w:p w14:paraId="3572668D" w14:textId="77777777" w:rsidR="00385197" w:rsidRPr="00BB4D02" w:rsidRDefault="00385197" w:rsidP="002B4451">
      <w:pPr>
        <w:spacing w:line="360" w:lineRule="auto"/>
        <w:jc w:val="both"/>
        <w:rPr>
          <w:rFonts w:ascii="Times New Roman" w:eastAsia="Calibri" w:hAnsi="Times New Roman" w:cs="Times New Roman"/>
          <w:color w:val="4C4747"/>
          <w:spacing w:val="20"/>
          <w:sz w:val="24"/>
          <w:szCs w:val="24"/>
          <w:lang w:val="es-DO"/>
        </w:rPr>
      </w:pPr>
    </w:p>
    <w:p w14:paraId="4CA56211" w14:textId="4D887244" w:rsidR="00FA019C" w:rsidRPr="009714C2" w:rsidRDefault="00163B61" w:rsidP="00A02BDE">
      <w:pPr>
        <w:pStyle w:val="Ttulo1"/>
        <w:numPr>
          <w:ilvl w:val="0"/>
          <w:numId w:val="27"/>
        </w:numPr>
        <w:jc w:val="center"/>
        <w:rPr>
          <w:b/>
          <w:color w:val="4C4747"/>
          <w:lang w:val="es-DO"/>
        </w:rPr>
      </w:pPr>
      <w:bookmarkStart w:id="45" w:name="_Toc122425257"/>
      <w:r w:rsidRPr="009714C2">
        <w:rPr>
          <w:b/>
          <w:color w:val="4C4747"/>
          <w:lang w:val="es-DO"/>
        </w:rPr>
        <w:lastRenderedPageBreak/>
        <w:t>ANEXOS</w:t>
      </w:r>
      <w:bookmarkEnd w:id="45"/>
    </w:p>
    <w:p w14:paraId="7FAFF7B2" w14:textId="77777777" w:rsidR="00FA019C" w:rsidRPr="009714C2" w:rsidRDefault="00FA019C" w:rsidP="00FA019C">
      <w:pPr>
        <w:jc w:val="both"/>
        <w:rPr>
          <w:rFonts w:ascii="Times New Roman" w:eastAsia="Calibri" w:hAnsi="Times New Roman" w:cs="Times New Roman"/>
          <w:color w:val="4C4747"/>
          <w:sz w:val="18"/>
          <w:lang w:val="es-DO"/>
        </w:rPr>
      </w:pPr>
      <w:r w:rsidRPr="009714C2">
        <w:rPr>
          <w:rFonts w:ascii="Times New Roman" w:eastAsia="Calibri" w:hAnsi="Times New Roman" w:cs="Times New Roman"/>
          <w:noProof/>
          <w:color w:val="4C4747"/>
          <w:sz w:val="18"/>
        </w:rPr>
        <mc:AlternateContent>
          <mc:Choice Requires="wps">
            <w:drawing>
              <wp:anchor distT="0" distB="0" distL="114300" distR="114300" simplePos="0" relativeHeight="251719680" behindDoc="0" locked="0" layoutInCell="1" allowOverlap="1" wp14:anchorId="7EBBCEDB" wp14:editId="05FBB241">
                <wp:simplePos x="0" y="0"/>
                <wp:positionH relativeFrom="margin">
                  <wp:posOffset>2254250</wp:posOffset>
                </wp:positionH>
                <wp:positionV relativeFrom="paragraph">
                  <wp:posOffset>36830</wp:posOffset>
                </wp:positionV>
                <wp:extent cx="463550" cy="0"/>
                <wp:effectExtent l="22860" t="15875" r="18415" b="22225"/>
                <wp:wrapNone/>
                <wp:docPr id="13" name="Straight Connector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63550" cy="0"/>
                        </a:xfrm>
                        <a:prstGeom prst="line">
                          <a:avLst/>
                        </a:prstGeom>
                        <a:noFill/>
                        <a:ln w="28575" algn="ctr">
                          <a:solidFill>
                            <a:srgbClr val="EE2A24"/>
                          </a:solidFill>
                          <a:miter lim="800000"/>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42E354F" id="Straight Connector 21" o:spid="_x0000_s1026" style="position:absolute;z-index:251719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from="177.5pt,2.9pt" to="214pt,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" strokecolor="#ee2a24" strokeweight="2.25pt">
                <v:stroke joinstyle="miter"/>
                <w10:wrap anchorx="margin"/>
              </v:line>
            </w:pict>
          </mc:Fallback>
        </mc:AlternateContent>
      </w:r>
    </w:p>
    <w:p w14:paraId="5D4A5C00" w14:textId="0E08FBAD" w:rsidR="00CF5F9D" w:rsidRPr="009714C2" w:rsidRDefault="00A23B48" w:rsidP="00CF5F9D">
      <w:pPr>
        <w:jc w:val="center"/>
        <w:rPr>
          <w:rFonts w:ascii="Times New Roman" w:eastAsia="Calibri" w:hAnsi="Times New Roman" w:cs="Times New Roman"/>
          <w:color w:val="4C4747"/>
          <w:spacing w:val="20"/>
          <w:sz w:val="24"/>
          <w:szCs w:val="36"/>
          <w:lang w:val="es-DO"/>
        </w:rPr>
      </w:pPr>
      <w:r w:rsidRPr="009714C2">
        <w:rPr>
          <w:rFonts w:ascii="Times New Roman" w:eastAsia="Calibri" w:hAnsi="Times New Roman" w:cs="Times New Roman"/>
          <w:color w:val="4C4747"/>
          <w:spacing w:val="20"/>
          <w:sz w:val="24"/>
          <w:szCs w:val="36"/>
          <w:lang w:val="es-DO"/>
        </w:rPr>
        <w:t xml:space="preserve">Memoria Institucional </w:t>
      </w:r>
      <w:r w:rsidR="00FA019C" w:rsidRPr="009714C2">
        <w:rPr>
          <w:rFonts w:ascii="Times New Roman" w:eastAsia="Calibri" w:hAnsi="Times New Roman" w:cs="Times New Roman"/>
          <w:color w:val="4C4747"/>
          <w:spacing w:val="20"/>
          <w:sz w:val="24"/>
          <w:szCs w:val="36"/>
          <w:lang w:val="es-DO"/>
        </w:rPr>
        <w:t>2022</w:t>
      </w:r>
      <w:bookmarkStart w:id="46" w:name="_Toc79678436"/>
    </w:p>
    <w:p w14:paraId="157C11AC" w14:textId="77777777" w:rsidR="00156419" w:rsidRPr="00F60454" w:rsidRDefault="00156419" w:rsidP="00156419">
      <w:pPr>
        <w:rPr>
          <w:rFonts w:ascii="Times New Roman" w:eastAsia="Calibri" w:hAnsi="Times New Roman" w:cs="Times New Roman"/>
          <w:color w:val="4C4747"/>
          <w:spacing w:val="20"/>
          <w:sz w:val="24"/>
          <w:szCs w:val="36"/>
          <w:lang w:val="es-DO"/>
        </w:rPr>
      </w:pPr>
    </w:p>
    <w:p w14:paraId="4AC53141" w14:textId="1A4C10D2" w:rsidR="00A93998" w:rsidRDefault="00A56B68" w:rsidP="008B0DE2">
      <w:pPr>
        <w:pStyle w:val="Prrafodelista"/>
        <w:keepNext/>
        <w:numPr>
          <w:ilvl w:val="0"/>
          <w:numId w:val="36"/>
        </w:numPr>
        <w:spacing w:before="240" w:after="60"/>
        <w:jc w:val="both"/>
        <w:outlineLvl w:val="2"/>
        <w:rPr>
          <w:rFonts w:ascii="Times New Roman" w:eastAsia="Times New Roman" w:hAnsi="Times New Roman" w:cs="Times New Roman"/>
          <w:b/>
          <w:bCs/>
          <w:color w:val="4C4747"/>
          <w:sz w:val="24"/>
          <w:szCs w:val="26"/>
          <w:lang w:val="es-DO" w:eastAsia="es-DO"/>
        </w:rPr>
      </w:pPr>
      <w:bookmarkStart w:id="47" w:name="_Toc122425258"/>
      <w:r w:rsidRPr="000D7F32">
        <w:rPr>
          <w:rFonts w:ascii="Times New Roman" w:eastAsia="Times New Roman" w:hAnsi="Times New Roman" w:cs="Times New Roman"/>
          <w:b/>
          <w:bCs/>
          <w:color w:val="4C4747"/>
          <w:sz w:val="24"/>
          <w:szCs w:val="26"/>
          <w:lang w:val="es-DO" w:eastAsia="es-DO"/>
        </w:rPr>
        <w:t>Matriz de Principales Indicadores de Gestión por Proceso</w:t>
      </w:r>
      <w:bookmarkEnd w:id="46"/>
      <w:bookmarkEnd w:id="47"/>
    </w:p>
    <w:p w14:paraId="732E086D" w14:textId="77777777" w:rsidR="008B0DE2" w:rsidRPr="008B0DE2" w:rsidRDefault="008B0DE2" w:rsidP="008B0DE2">
      <w:pPr>
        <w:pStyle w:val="Sinespaciado"/>
        <w:rPr>
          <w:lang w:val="es-DO" w:eastAsia="es-DO"/>
        </w:rPr>
      </w:pPr>
    </w:p>
    <w:tbl>
      <w:tblPr>
        <w:tblStyle w:val="Tablaconcuadrcula"/>
        <w:tblW w:w="9445" w:type="dxa"/>
        <w:tblLayout w:type="fixed"/>
        <w:tblLook w:val="04A0" w:firstRow="1" w:lastRow="0" w:firstColumn="1" w:lastColumn="0" w:noHBand="0" w:noVBand="1"/>
      </w:tblPr>
      <w:tblGrid>
        <w:gridCol w:w="447"/>
        <w:gridCol w:w="1078"/>
        <w:gridCol w:w="1620"/>
        <w:gridCol w:w="1350"/>
        <w:gridCol w:w="1170"/>
        <w:gridCol w:w="900"/>
        <w:gridCol w:w="900"/>
        <w:gridCol w:w="810"/>
        <w:gridCol w:w="1170"/>
      </w:tblGrid>
      <w:tr w:rsidR="00A93998" w:rsidRPr="00883FD2" w14:paraId="6CFF3C8A" w14:textId="77777777" w:rsidTr="008B0DE2">
        <w:trPr>
          <w:trHeight w:val="975"/>
          <w:tblHeader/>
        </w:trPr>
        <w:tc>
          <w:tcPr>
            <w:tcW w:w="447" w:type="dxa"/>
            <w:shd w:val="clear" w:color="auto" w:fill="002060"/>
            <w:vAlign w:val="center"/>
            <w:hideMark/>
          </w:tcPr>
          <w:p w14:paraId="6F73634C"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NO.</w:t>
            </w:r>
          </w:p>
        </w:tc>
        <w:tc>
          <w:tcPr>
            <w:tcW w:w="1078" w:type="dxa"/>
            <w:shd w:val="clear" w:color="auto" w:fill="002060"/>
            <w:vAlign w:val="center"/>
            <w:hideMark/>
          </w:tcPr>
          <w:p w14:paraId="38B55B69"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ÁREA</w:t>
            </w:r>
          </w:p>
        </w:tc>
        <w:tc>
          <w:tcPr>
            <w:tcW w:w="1620" w:type="dxa"/>
            <w:shd w:val="clear" w:color="auto" w:fill="002060"/>
            <w:vAlign w:val="center"/>
            <w:hideMark/>
          </w:tcPr>
          <w:p w14:paraId="2080AE47"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PROCESO</w:t>
            </w:r>
          </w:p>
        </w:tc>
        <w:tc>
          <w:tcPr>
            <w:tcW w:w="1350" w:type="dxa"/>
            <w:shd w:val="clear" w:color="auto" w:fill="002060"/>
            <w:vAlign w:val="center"/>
            <w:hideMark/>
          </w:tcPr>
          <w:p w14:paraId="03AA9930"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NOMBRE DEL INDICADOR</w:t>
            </w:r>
          </w:p>
        </w:tc>
        <w:tc>
          <w:tcPr>
            <w:tcW w:w="1170" w:type="dxa"/>
            <w:shd w:val="clear" w:color="auto" w:fill="002060"/>
            <w:vAlign w:val="center"/>
            <w:hideMark/>
          </w:tcPr>
          <w:p w14:paraId="42C36D2D"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FRECUENCIA</w:t>
            </w:r>
          </w:p>
        </w:tc>
        <w:tc>
          <w:tcPr>
            <w:tcW w:w="900" w:type="dxa"/>
            <w:shd w:val="clear" w:color="auto" w:fill="002060"/>
            <w:vAlign w:val="center"/>
            <w:hideMark/>
          </w:tcPr>
          <w:p w14:paraId="5E402DAA"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LÍNEA BASE</w:t>
            </w:r>
          </w:p>
        </w:tc>
        <w:tc>
          <w:tcPr>
            <w:tcW w:w="900" w:type="dxa"/>
            <w:shd w:val="clear" w:color="auto" w:fill="002060"/>
            <w:vAlign w:val="center"/>
            <w:hideMark/>
          </w:tcPr>
          <w:p w14:paraId="5F24B630"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META</w:t>
            </w:r>
          </w:p>
        </w:tc>
        <w:tc>
          <w:tcPr>
            <w:tcW w:w="810" w:type="dxa"/>
            <w:shd w:val="clear" w:color="auto" w:fill="002060"/>
            <w:vAlign w:val="center"/>
            <w:hideMark/>
          </w:tcPr>
          <w:p w14:paraId="1E6E2AB4"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RESULTADO</w:t>
            </w:r>
          </w:p>
        </w:tc>
        <w:tc>
          <w:tcPr>
            <w:tcW w:w="1170" w:type="dxa"/>
            <w:shd w:val="clear" w:color="auto" w:fill="002060"/>
            <w:vAlign w:val="center"/>
            <w:hideMark/>
          </w:tcPr>
          <w:p w14:paraId="0368F803" w14:textId="77777777" w:rsidR="004A7120" w:rsidRPr="00C44CE8" w:rsidRDefault="004A7120" w:rsidP="00C62BB6">
            <w:pPr>
              <w:jc w:val="center"/>
              <w:rPr>
                <w:rFonts w:ascii="Times New Roman" w:hAnsi="Times New Roman" w:cs="Times New Roman"/>
                <w:b/>
                <w:bCs/>
                <w:sz w:val="20"/>
                <w:szCs w:val="20"/>
              </w:rPr>
            </w:pPr>
            <w:r w:rsidRPr="00C44CE8">
              <w:rPr>
                <w:rFonts w:ascii="Times New Roman" w:hAnsi="Times New Roman" w:cs="Times New Roman"/>
                <w:b/>
                <w:bCs/>
                <w:sz w:val="20"/>
                <w:szCs w:val="20"/>
              </w:rPr>
              <w:t>PORCENTAJE DE AVANCE</w:t>
            </w:r>
          </w:p>
        </w:tc>
      </w:tr>
      <w:tr w:rsidR="00A93998" w:rsidRPr="009714C2" w14:paraId="201429E3" w14:textId="77777777" w:rsidTr="00A93998">
        <w:trPr>
          <w:trHeight w:val="3195"/>
        </w:trPr>
        <w:tc>
          <w:tcPr>
            <w:tcW w:w="447" w:type="dxa"/>
            <w:noWrap/>
            <w:hideMark/>
          </w:tcPr>
          <w:p w14:paraId="16C275D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w:t>
            </w:r>
          </w:p>
        </w:tc>
        <w:tc>
          <w:tcPr>
            <w:tcW w:w="1078" w:type="dxa"/>
            <w:hideMark/>
          </w:tcPr>
          <w:p w14:paraId="3D2F8EC0" w14:textId="51291C9D" w:rsidR="004A7120" w:rsidRPr="009714C2" w:rsidRDefault="00A93998" w:rsidP="007F18A7">
            <w:pPr>
              <w:spacing w:line="360" w:lineRule="auto"/>
              <w:jc w:val="center"/>
              <w:rPr>
                <w:rFonts w:ascii="Times New Roman" w:hAnsi="Times New Roman" w:cs="Times New Roman"/>
                <w:color w:val="4C4747"/>
                <w:szCs w:val="20"/>
                <w:lang w:val="es-DO"/>
              </w:rPr>
            </w:pPr>
            <w:r>
              <w:rPr>
                <w:rFonts w:ascii="Times New Roman" w:hAnsi="Times New Roman" w:cs="Times New Roman"/>
                <w:color w:val="4C4747"/>
                <w:szCs w:val="20"/>
                <w:lang w:val="es-DO"/>
              </w:rPr>
              <w:t xml:space="preserve"> DAU</w:t>
            </w:r>
          </w:p>
        </w:tc>
        <w:tc>
          <w:tcPr>
            <w:tcW w:w="1620" w:type="dxa"/>
            <w:hideMark/>
          </w:tcPr>
          <w:p w14:paraId="648426D4"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Atención a reclamaciones en torno a los servicios contratados por un usuario ante una prestadora de servicios de telecomunicaciones, Casos de Pre Formalización (CPF)</w:t>
            </w:r>
          </w:p>
        </w:tc>
        <w:tc>
          <w:tcPr>
            <w:tcW w:w="1350" w:type="dxa"/>
            <w:hideMark/>
          </w:tcPr>
          <w:p w14:paraId="3CD26D01"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6FAC9EF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noWrap/>
            <w:hideMark/>
          </w:tcPr>
          <w:p w14:paraId="4C5B879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7 días hábiles</w:t>
            </w:r>
          </w:p>
        </w:tc>
        <w:tc>
          <w:tcPr>
            <w:tcW w:w="900" w:type="dxa"/>
            <w:noWrap/>
            <w:hideMark/>
          </w:tcPr>
          <w:p w14:paraId="6E6E145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7 días hábiles</w:t>
            </w:r>
          </w:p>
        </w:tc>
        <w:tc>
          <w:tcPr>
            <w:tcW w:w="810" w:type="dxa"/>
            <w:noWrap/>
            <w:hideMark/>
          </w:tcPr>
          <w:p w14:paraId="100FD91A"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4B087F9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035C3115" w14:textId="77777777" w:rsidTr="00A93998">
        <w:trPr>
          <w:trHeight w:val="5970"/>
        </w:trPr>
        <w:tc>
          <w:tcPr>
            <w:tcW w:w="447" w:type="dxa"/>
            <w:hideMark/>
          </w:tcPr>
          <w:p w14:paraId="4097B55E"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2</w:t>
            </w:r>
          </w:p>
        </w:tc>
        <w:tc>
          <w:tcPr>
            <w:tcW w:w="1078" w:type="dxa"/>
            <w:hideMark/>
          </w:tcPr>
          <w:p w14:paraId="1715B111" w14:textId="574C96CF" w:rsidR="004A7120" w:rsidRPr="009714C2" w:rsidRDefault="00A93998" w:rsidP="00A93998">
            <w:pPr>
              <w:spacing w:line="360" w:lineRule="auto"/>
              <w:jc w:val="center"/>
              <w:rPr>
                <w:rFonts w:ascii="Times New Roman" w:hAnsi="Times New Roman" w:cs="Times New Roman"/>
                <w:color w:val="4C4747"/>
                <w:szCs w:val="20"/>
                <w:lang w:val="es-DO"/>
              </w:rPr>
            </w:pPr>
            <w:r>
              <w:rPr>
                <w:rFonts w:ascii="Times New Roman" w:hAnsi="Times New Roman" w:cs="Times New Roman"/>
                <w:color w:val="4C4747"/>
                <w:szCs w:val="20"/>
                <w:lang w:val="es-DO"/>
              </w:rPr>
              <w:t xml:space="preserve"> DAU</w:t>
            </w:r>
            <w:r w:rsidR="004A7120" w:rsidRPr="009714C2">
              <w:rPr>
                <w:rFonts w:ascii="Times New Roman" w:hAnsi="Times New Roman" w:cs="Times New Roman"/>
                <w:color w:val="4C4747"/>
                <w:szCs w:val="20"/>
                <w:lang w:val="es-DO"/>
              </w:rPr>
              <w:t xml:space="preserve">, </w:t>
            </w:r>
            <w:r>
              <w:rPr>
                <w:rFonts w:ascii="Times New Roman" w:hAnsi="Times New Roman" w:cs="Times New Roman"/>
                <w:color w:val="4C4747"/>
                <w:szCs w:val="20"/>
                <w:lang w:val="es-DO"/>
              </w:rPr>
              <w:t>DPU</w:t>
            </w:r>
            <w:r w:rsidR="004A7120" w:rsidRPr="009714C2">
              <w:rPr>
                <w:rFonts w:ascii="Times New Roman" w:hAnsi="Times New Roman" w:cs="Times New Roman"/>
                <w:color w:val="4C4747"/>
                <w:szCs w:val="20"/>
                <w:lang w:val="es-DO"/>
              </w:rPr>
              <w:t xml:space="preserve"> y D</w:t>
            </w:r>
            <w:r>
              <w:rPr>
                <w:rFonts w:ascii="Times New Roman" w:hAnsi="Times New Roman" w:cs="Times New Roman"/>
                <w:color w:val="4C4747"/>
                <w:szCs w:val="20"/>
                <w:lang w:val="es-DO"/>
              </w:rPr>
              <w:t>E</w:t>
            </w:r>
          </w:p>
        </w:tc>
        <w:tc>
          <w:tcPr>
            <w:tcW w:w="1620" w:type="dxa"/>
            <w:hideMark/>
          </w:tcPr>
          <w:p w14:paraId="36368B74"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Atención a reclamaciones en torno a los servicios contratados por un usuario ante una prestadora de servicios de telecomunicaciones, Recursos de Quejas (RDQ)</w:t>
            </w:r>
          </w:p>
        </w:tc>
        <w:tc>
          <w:tcPr>
            <w:tcW w:w="1350" w:type="dxa"/>
            <w:hideMark/>
          </w:tcPr>
          <w:p w14:paraId="6590B668"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hideMark/>
          </w:tcPr>
          <w:p w14:paraId="7BB2A8BE"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10006F9F"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 xml:space="preserve">17 días hábiles si la respuesta es favorable para el usuario, 16 días hábiles si la respuesta no es favorable para el usuario y éste no desea continuar con el caso, 22 días hábiles si la respuesta no es </w:t>
            </w:r>
            <w:r w:rsidRPr="009714C2">
              <w:rPr>
                <w:rFonts w:ascii="Times New Roman" w:hAnsi="Times New Roman" w:cs="Times New Roman"/>
                <w:color w:val="4C4747"/>
                <w:szCs w:val="20"/>
                <w:lang w:val="es-DO"/>
              </w:rPr>
              <w:lastRenderedPageBreak/>
              <w:t>favorable para el usuario y éste continúa con el caso y 54 días hábiles si el caso pasa a Cuerpos Colegiados</w:t>
            </w:r>
          </w:p>
        </w:tc>
        <w:tc>
          <w:tcPr>
            <w:tcW w:w="900" w:type="dxa"/>
            <w:hideMark/>
          </w:tcPr>
          <w:p w14:paraId="7BC6DE21"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lastRenderedPageBreak/>
              <w:t xml:space="preserve">17 días hábiles si la respuesta es favorable para el usuario, 16 días hábiles si la respuesta no es favorable para el usuario y éste no desea continuar con el caso, 22 días hábiles si la respuesta no es </w:t>
            </w:r>
            <w:r w:rsidRPr="009714C2">
              <w:rPr>
                <w:rFonts w:ascii="Times New Roman" w:hAnsi="Times New Roman" w:cs="Times New Roman"/>
                <w:color w:val="4C4747"/>
                <w:szCs w:val="20"/>
                <w:lang w:val="es-DO"/>
              </w:rPr>
              <w:lastRenderedPageBreak/>
              <w:t>favorable para el usuario y éste continúa con el caso, 54 días si el caso pasa a Cuerpos Colegiados</w:t>
            </w:r>
          </w:p>
        </w:tc>
        <w:tc>
          <w:tcPr>
            <w:tcW w:w="810" w:type="dxa"/>
            <w:hideMark/>
          </w:tcPr>
          <w:p w14:paraId="1744A11C"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100%</w:t>
            </w:r>
          </w:p>
        </w:tc>
        <w:tc>
          <w:tcPr>
            <w:tcW w:w="1170" w:type="dxa"/>
            <w:hideMark/>
          </w:tcPr>
          <w:p w14:paraId="3EE5723C"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459597A5" w14:textId="77777777" w:rsidTr="00A93998">
        <w:trPr>
          <w:trHeight w:val="3030"/>
        </w:trPr>
        <w:tc>
          <w:tcPr>
            <w:tcW w:w="447" w:type="dxa"/>
            <w:noWrap/>
            <w:hideMark/>
          </w:tcPr>
          <w:p w14:paraId="02D39879"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3</w:t>
            </w:r>
          </w:p>
        </w:tc>
        <w:tc>
          <w:tcPr>
            <w:tcW w:w="1078" w:type="dxa"/>
            <w:hideMark/>
          </w:tcPr>
          <w:p w14:paraId="0A8D0305" w14:textId="019A23E4" w:rsidR="004A7120" w:rsidRPr="009714C2" w:rsidRDefault="00A93998" w:rsidP="00A93998">
            <w:pPr>
              <w:spacing w:line="360" w:lineRule="auto"/>
              <w:jc w:val="center"/>
              <w:rPr>
                <w:rFonts w:ascii="Times New Roman" w:hAnsi="Times New Roman" w:cs="Times New Roman"/>
                <w:color w:val="4C4747"/>
                <w:szCs w:val="20"/>
                <w:lang w:val="es-DO"/>
              </w:rPr>
            </w:pPr>
            <w:r>
              <w:rPr>
                <w:rFonts w:ascii="Times New Roman" w:hAnsi="Times New Roman" w:cs="Times New Roman"/>
                <w:color w:val="4C4747"/>
                <w:szCs w:val="20"/>
                <w:lang w:val="es-DO"/>
              </w:rPr>
              <w:t xml:space="preserve"> DAU </w:t>
            </w:r>
            <w:r w:rsidR="004A7120" w:rsidRPr="009714C2">
              <w:rPr>
                <w:rFonts w:ascii="Times New Roman" w:hAnsi="Times New Roman" w:cs="Times New Roman"/>
                <w:color w:val="4C4747"/>
                <w:szCs w:val="20"/>
                <w:lang w:val="es-DO"/>
              </w:rPr>
              <w:t xml:space="preserve">y </w:t>
            </w:r>
            <w:r>
              <w:rPr>
                <w:rFonts w:ascii="Times New Roman" w:hAnsi="Times New Roman" w:cs="Times New Roman"/>
                <w:color w:val="4C4747"/>
                <w:szCs w:val="20"/>
                <w:lang w:val="es-DO"/>
              </w:rPr>
              <w:t>DPU</w:t>
            </w:r>
          </w:p>
        </w:tc>
        <w:tc>
          <w:tcPr>
            <w:tcW w:w="1620" w:type="dxa"/>
            <w:hideMark/>
          </w:tcPr>
          <w:p w14:paraId="5EB99EF9"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Atención a reclamaciones en torno a los servicios contratados por un usuario ante una prestadora de servicios de telecomunicaciones, Casos de Quejas (CQ)</w:t>
            </w:r>
          </w:p>
        </w:tc>
        <w:tc>
          <w:tcPr>
            <w:tcW w:w="1350" w:type="dxa"/>
            <w:hideMark/>
          </w:tcPr>
          <w:p w14:paraId="1214A439"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hideMark/>
          </w:tcPr>
          <w:p w14:paraId="3CECC6DE"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62961A46"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 días hábiles</w:t>
            </w:r>
          </w:p>
        </w:tc>
        <w:tc>
          <w:tcPr>
            <w:tcW w:w="900" w:type="dxa"/>
            <w:hideMark/>
          </w:tcPr>
          <w:p w14:paraId="337AD14A"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 días hábiles</w:t>
            </w:r>
          </w:p>
        </w:tc>
        <w:tc>
          <w:tcPr>
            <w:tcW w:w="810" w:type="dxa"/>
            <w:hideMark/>
          </w:tcPr>
          <w:p w14:paraId="09BBBFE7"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02BDC75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5969CBF6" w14:textId="77777777" w:rsidTr="00A93998">
        <w:trPr>
          <w:trHeight w:val="4230"/>
        </w:trPr>
        <w:tc>
          <w:tcPr>
            <w:tcW w:w="447" w:type="dxa"/>
            <w:hideMark/>
          </w:tcPr>
          <w:p w14:paraId="16E76784"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4</w:t>
            </w:r>
          </w:p>
        </w:tc>
        <w:tc>
          <w:tcPr>
            <w:tcW w:w="1078" w:type="dxa"/>
            <w:hideMark/>
          </w:tcPr>
          <w:p w14:paraId="467B03E0" w14:textId="69FFC894"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w:t>
            </w:r>
            <w:r w:rsidR="00A93998">
              <w:rPr>
                <w:rFonts w:ascii="Times New Roman" w:hAnsi="Times New Roman" w:cs="Times New Roman"/>
                <w:color w:val="4C4747"/>
                <w:szCs w:val="20"/>
                <w:lang w:val="es-DO"/>
              </w:rPr>
              <w:t xml:space="preserve">ntrol de Documentación, Recaudaciones, </w:t>
            </w:r>
            <w:r w:rsidRPr="009714C2">
              <w:rPr>
                <w:rFonts w:ascii="Times New Roman" w:hAnsi="Times New Roman" w:cs="Times New Roman"/>
                <w:color w:val="4C4747"/>
                <w:szCs w:val="20"/>
                <w:lang w:val="es-DO"/>
              </w:rPr>
              <w:t>Ciberseguridad, Comercio Electronico y F</w:t>
            </w:r>
            <w:r w:rsidR="00A93998">
              <w:rPr>
                <w:rFonts w:ascii="Times New Roman" w:hAnsi="Times New Roman" w:cs="Times New Roman"/>
                <w:color w:val="4C4747"/>
                <w:szCs w:val="20"/>
                <w:lang w:val="es-DO"/>
              </w:rPr>
              <w:t>irma Digital y CD</w:t>
            </w:r>
          </w:p>
        </w:tc>
        <w:tc>
          <w:tcPr>
            <w:tcW w:w="1620" w:type="dxa"/>
            <w:hideMark/>
          </w:tcPr>
          <w:p w14:paraId="785088CE"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Autorización de Entidad de Certificación</w:t>
            </w:r>
          </w:p>
        </w:tc>
        <w:tc>
          <w:tcPr>
            <w:tcW w:w="1350" w:type="dxa"/>
            <w:hideMark/>
          </w:tcPr>
          <w:p w14:paraId="449D3E46"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5F6ACB96"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Semestral</w:t>
            </w:r>
          </w:p>
        </w:tc>
        <w:tc>
          <w:tcPr>
            <w:tcW w:w="900" w:type="dxa"/>
            <w:hideMark/>
          </w:tcPr>
          <w:p w14:paraId="1F11104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90 días canlendario</w:t>
            </w:r>
          </w:p>
        </w:tc>
        <w:tc>
          <w:tcPr>
            <w:tcW w:w="900" w:type="dxa"/>
            <w:hideMark/>
          </w:tcPr>
          <w:p w14:paraId="6CA99ADA"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183 días calendario</w:t>
            </w:r>
          </w:p>
        </w:tc>
        <w:tc>
          <w:tcPr>
            <w:tcW w:w="810" w:type="dxa"/>
            <w:noWrap/>
            <w:hideMark/>
          </w:tcPr>
          <w:p w14:paraId="41A6861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2C732BF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52BC254D" w14:textId="77777777" w:rsidTr="00A93998">
        <w:trPr>
          <w:trHeight w:val="980"/>
        </w:trPr>
        <w:tc>
          <w:tcPr>
            <w:tcW w:w="447" w:type="dxa"/>
            <w:hideMark/>
          </w:tcPr>
          <w:p w14:paraId="4AC28F8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5</w:t>
            </w:r>
          </w:p>
        </w:tc>
        <w:tc>
          <w:tcPr>
            <w:tcW w:w="1078" w:type="dxa"/>
            <w:hideMark/>
          </w:tcPr>
          <w:p w14:paraId="25093537" w14:textId="0EF459A4"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Recaudaciones, Ciberseguridad, Comercio Electroni</w:t>
            </w:r>
            <w:r w:rsidRPr="009714C2">
              <w:rPr>
                <w:rFonts w:ascii="Times New Roman" w:hAnsi="Times New Roman" w:cs="Times New Roman"/>
                <w:color w:val="4C4747"/>
                <w:szCs w:val="20"/>
                <w:lang w:val="es-DO"/>
              </w:rPr>
              <w:lastRenderedPageBreak/>
              <w:t>co y F</w:t>
            </w:r>
            <w:r w:rsidR="00A93998">
              <w:rPr>
                <w:rFonts w:ascii="Times New Roman" w:hAnsi="Times New Roman" w:cs="Times New Roman"/>
                <w:color w:val="4C4747"/>
                <w:szCs w:val="20"/>
                <w:lang w:val="es-DO"/>
              </w:rPr>
              <w:t>irma Digital y CD</w:t>
            </w:r>
          </w:p>
        </w:tc>
        <w:tc>
          <w:tcPr>
            <w:tcW w:w="1620" w:type="dxa"/>
            <w:hideMark/>
          </w:tcPr>
          <w:p w14:paraId="6D4B4C87"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lastRenderedPageBreak/>
              <w:t>Renovación de Entidad de Certificación</w:t>
            </w:r>
          </w:p>
        </w:tc>
        <w:tc>
          <w:tcPr>
            <w:tcW w:w="1350" w:type="dxa"/>
            <w:hideMark/>
          </w:tcPr>
          <w:p w14:paraId="7CC3D72B"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00227DD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Semestral</w:t>
            </w:r>
          </w:p>
        </w:tc>
        <w:tc>
          <w:tcPr>
            <w:tcW w:w="900" w:type="dxa"/>
            <w:hideMark/>
          </w:tcPr>
          <w:p w14:paraId="46426644"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90 días canlendario</w:t>
            </w:r>
          </w:p>
        </w:tc>
        <w:tc>
          <w:tcPr>
            <w:tcW w:w="900" w:type="dxa"/>
            <w:hideMark/>
          </w:tcPr>
          <w:p w14:paraId="7C5A0B47"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183 días calendario</w:t>
            </w:r>
          </w:p>
        </w:tc>
        <w:tc>
          <w:tcPr>
            <w:tcW w:w="810" w:type="dxa"/>
            <w:noWrap/>
            <w:hideMark/>
          </w:tcPr>
          <w:p w14:paraId="256FA372"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46DE219C"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602A8C7A" w14:textId="77777777" w:rsidTr="00A93998">
        <w:trPr>
          <w:trHeight w:val="4320"/>
        </w:trPr>
        <w:tc>
          <w:tcPr>
            <w:tcW w:w="447" w:type="dxa"/>
            <w:noWrap/>
            <w:hideMark/>
          </w:tcPr>
          <w:p w14:paraId="16EFEDB1"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6</w:t>
            </w:r>
          </w:p>
        </w:tc>
        <w:tc>
          <w:tcPr>
            <w:tcW w:w="1078" w:type="dxa"/>
            <w:hideMark/>
          </w:tcPr>
          <w:p w14:paraId="0D7E564D" w14:textId="3E0FDE4E"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Recaudaciones, Ciberseguridad, Comercio Electronico y Firma</w:t>
            </w:r>
            <w:r w:rsidR="00A93998">
              <w:rPr>
                <w:rFonts w:ascii="Times New Roman" w:hAnsi="Times New Roman" w:cs="Times New Roman"/>
                <w:color w:val="4C4747"/>
                <w:szCs w:val="20"/>
                <w:lang w:val="es-DO"/>
              </w:rPr>
              <w:t xml:space="preserve"> Digital y CD</w:t>
            </w:r>
          </w:p>
        </w:tc>
        <w:tc>
          <w:tcPr>
            <w:tcW w:w="1620" w:type="dxa"/>
            <w:hideMark/>
          </w:tcPr>
          <w:p w14:paraId="42C187E3"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Inscripción en Registro Especial de Proveedores de Firmas Electronicas</w:t>
            </w:r>
          </w:p>
        </w:tc>
        <w:tc>
          <w:tcPr>
            <w:tcW w:w="1350" w:type="dxa"/>
            <w:hideMark/>
          </w:tcPr>
          <w:p w14:paraId="1586E6FC"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73580B04"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Semestral</w:t>
            </w:r>
          </w:p>
        </w:tc>
        <w:tc>
          <w:tcPr>
            <w:tcW w:w="900" w:type="dxa"/>
            <w:hideMark/>
          </w:tcPr>
          <w:p w14:paraId="13AB7E82"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90 días canlendario</w:t>
            </w:r>
          </w:p>
        </w:tc>
        <w:tc>
          <w:tcPr>
            <w:tcW w:w="900" w:type="dxa"/>
            <w:hideMark/>
          </w:tcPr>
          <w:p w14:paraId="352103FD"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183 días calendario</w:t>
            </w:r>
          </w:p>
        </w:tc>
        <w:tc>
          <w:tcPr>
            <w:tcW w:w="810" w:type="dxa"/>
            <w:noWrap/>
            <w:hideMark/>
          </w:tcPr>
          <w:p w14:paraId="4EA2D4AE"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57C5F3E5"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113873B9" w14:textId="77777777" w:rsidTr="00A93998">
        <w:trPr>
          <w:trHeight w:val="1610"/>
        </w:trPr>
        <w:tc>
          <w:tcPr>
            <w:tcW w:w="447" w:type="dxa"/>
            <w:hideMark/>
          </w:tcPr>
          <w:p w14:paraId="5B5C20ED"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7</w:t>
            </w:r>
          </w:p>
        </w:tc>
        <w:tc>
          <w:tcPr>
            <w:tcW w:w="1078" w:type="dxa"/>
            <w:hideMark/>
          </w:tcPr>
          <w:p w14:paraId="7868008E" w14:textId="186A6822"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Recaudaciones, Ciberseg</w:t>
            </w:r>
            <w:r w:rsidRPr="009714C2">
              <w:rPr>
                <w:rFonts w:ascii="Times New Roman" w:hAnsi="Times New Roman" w:cs="Times New Roman"/>
                <w:color w:val="4C4747"/>
                <w:szCs w:val="20"/>
                <w:lang w:val="es-DO"/>
              </w:rPr>
              <w:lastRenderedPageBreak/>
              <w:t>uridad, Comercio Electronico y F</w:t>
            </w:r>
            <w:r w:rsidR="00A93998">
              <w:rPr>
                <w:rFonts w:ascii="Times New Roman" w:hAnsi="Times New Roman" w:cs="Times New Roman"/>
                <w:color w:val="4C4747"/>
                <w:szCs w:val="20"/>
                <w:lang w:val="es-DO"/>
              </w:rPr>
              <w:t>irma Digital y CD</w:t>
            </w:r>
          </w:p>
        </w:tc>
        <w:tc>
          <w:tcPr>
            <w:tcW w:w="1620" w:type="dxa"/>
            <w:hideMark/>
          </w:tcPr>
          <w:p w14:paraId="48EA4D55"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lastRenderedPageBreak/>
              <w:t>Renovación de Registro Especial de Proveedores de Firmas Electronicas</w:t>
            </w:r>
          </w:p>
        </w:tc>
        <w:tc>
          <w:tcPr>
            <w:tcW w:w="1350" w:type="dxa"/>
            <w:hideMark/>
          </w:tcPr>
          <w:p w14:paraId="5FA5988F"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6EDA8841"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Semestral</w:t>
            </w:r>
          </w:p>
        </w:tc>
        <w:tc>
          <w:tcPr>
            <w:tcW w:w="900" w:type="dxa"/>
            <w:hideMark/>
          </w:tcPr>
          <w:p w14:paraId="50AA0B71"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90 días canlendario</w:t>
            </w:r>
          </w:p>
        </w:tc>
        <w:tc>
          <w:tcPr>
            <w:tcW w:w="900" w:type="dxa"/>
            <w:hideMark/>
          </w:tcPr>
          <w:p w14:paraId="2685C232"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183 días calendario</w:t>
            </w:r>
          </w:p>
        </w:tc>
        <w:tc>
          <w:tcPr>
            <w:tcW w:w="810" w:type="dxa"/>
            <w:noWrap/>
            <w:hideMark/>
          </w:tcPr>
          <w:p w14:paraId="7477D15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33A6633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0B053EF2" w14:textId="77777777" w:rsidTr="00A93998">
        <w:trPr>
          <w:trHeight w:val="2730"/>
        </w:trPr>
        <w:tc>
          <w:tcPr>
            <w:tcW w:w="447" w:type="dxa"/>
            <w:hideMark/>
          </w:tcPr>
          <w:p w14:paraId="3DBC2BAA"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8</w:t>
            </w:r>
          </w:p>
        </w:tc>
        <w:tc>
          <w:tcPr>
            <w:tcW w:w="1078" w:type="dxa"/>
            <w:hideMark/>
          </w:tcPr>
          <w:p w14:paraId="76E40015" w14:textId="025DC4BF"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Auto</w:t>
            </w:r>
            <w:r w:rsidR="00A93998">
              <w:rPr>
                <w:rFonts w:ascii="Times New Roman" w:hAnsi="Times New Roman" w:cs="Times New Roman"/>
                <w:color w:val="4C4747"/>
                <w:szCs w:val="20"/>
                <w:lang w:val="es-DO"/>
              </w:rPr>
              <w:t>rizaciones y DE</w:t>
            </w:r>
          </w:p>
        </w:tc>
        <w:tc>
          <w:tcPr>
            <w:tcW w:w="1620" w:type="dxa"/>
            <w:hideMark/>
          </w:tcPr>
          <w:p w14:paraId="23E411FA"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Inscripción en Registro Especial de Servicios de Radioaficionados</w:t>
            </w:r>
          </w:p>
        </w:tc>
        <w:tc>
          <w:tcPr>
            <w:tcW w:w="1350" w:type="dxa"/>
            <w:hideMark/>
          </w:tcPr>
          <w:p w14:paraId="7F927078"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2FF1A4D4"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644D2EF5"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30 días calendario</w:t>
            </w:r>
          </w:p>
        </w:tc>
        <w:tc>
          <w:tcPr>
            <w:tcW w:w="900" w:type="dxa"/>
            <w:hideMark/>
          </w:tcPr>
          <w:p w14:paraId="000F53F6"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30 días calendario (a partir de tomar el exámen)</w:t>
            </w:r>
          </w:p>
        </w:tc>
        <w:tc>
          <w:tcPr>
            <w:tcW w:w="810" w:type="dxa"/>
            <w:noWrap/>
            <w:hideMark/>
          </w:tcPr>
          <w:p w14:paraId="6714A782"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86%</w:t>
            </w:r>
          </w:p>
        </w:tc>
        <w:tc>
          <w:tcPr>
            <w:tcW w:w="1170" w:type="dxa"/>
            <w:noWrap/>
            <w:hideMark/>
          </w:tcPr>
          <w:p w14:paraId="1E6B0756"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4150AAF1" w14:textId="77777777" w:rsidTr="00A93998">
        <w:trPr>
          <w:trHeight w:val="2940"/>
        </w:trPr>
        <w:tc>
          <w:tcPr>
            <w:tcW w:w="447" w:type="dxa"/>
            <w:noWrap/>
            <w:hideMark/>
          </w:tcPr>
          <w:p w14:paraId="634C6F14"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w:t>
            </w:r>
          </w:p>
        </w:tc>
        <w:tc>
          <w:tcPr>
            <w:tcW w:w="1078" w:type="dxa"/>
            <w:hideMark/>
          </w:tcPr>
          <w:p w14:paraId="064E2FB4" w14:textId="6C287610"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 xml:space="preserve">Tramitación y Control de Documentación, </w:t>
            </w:r>
            <w:r w:rsidR="00A93998">
              <w:rPr>
                <w:rFonts w:ascii="Times New Roman" w:hAnsi="Times New Roman" w:cs="Times New Roman"/>
                <w:color w:val="4C4747"/>
                <w:szCs w:val="20"/>
                <w:lang w:val="es-DO"/>
              </w:rPr>
              <w:t>Autorizaciones y DE</w:t>
            </w:r>
          </w:p>
        </w:tc>
        <w:tc>
          <w:tcPr>
            <w:tcW w:w="1620" w:type="dxa"/>
            <w:hideMark/>
          </w:tcPr>
          <w:p w14:paraId="0088D347"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Renovación en Registro Especial de Servicios de Radioaficionados</w:t>
            </w:r>
          </w:p>
        </w:tc>
        <w:tc>
          <w:tcPr>
            <w:tcW w:w="1350" w:type="dxa"/>
            <w:hideMark/>
          </w:tcPr>
          <w:p w14:paraId="1C1DF7D4"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44B939DD"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10ED9AF5"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30 días calendario</w:t>
            </w:r>
          </w:p>
        </w:tc>
        <w:tc>
          <w:tcPr>
            <w:tcW w:w="900" w:type="dxa"/>
            <w:hideMark/>
          </w:tcPr>
          <w:p w14:paraId="065E65B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30 días calendario</w:t>
            </w:r>
          </w:p>
        </w:tc>
        <w:tc>
          <w:tcPr>
            <w:tcW w:w="810" w:type="dxa"/>
            <w:noWrap/>
            <w:hideMark/>
          </w:tcPr>
          <w:p w14:paraId="6E703C72"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98%</w:t>
            </w:r>
          </w:p>
        </w:tc>
        <w:tc>
          <w:tcPr>
            <w:tcW w:w="1170" w:type="dxa"/>
            <w:noWrap/>
            <w:hideMark/>
          </w:tcPr>
          <w:p w14:paraId="62CBD8FF"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542CB070" w14:textId="77777777" w:rsidTr="00A93998">
        <w:trPr>
          <w:trHeight w:val="2760"/>
        </w:trPr>
        <w:tc>
          <w:tcPr>
            <w:tcW w:w="447" w:type="dxa"/>
            <w:hideMark/>
          </w:tcPr>
          <w:p w14:paraId="4EBAC68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10</w:t>
            </w:r>
          </w:p>
        </w:tc>
        <w:tc>
          <w:tcPr>
            <w:tcW w:w="1078" w:type="dxa"/>
            <w:hideMark/>
          </w:tcPr>
          <w:p w14:paraId="6E5E0C5E" w14:textId="4EFD25E5"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 xml:space="preserve">Tramitación y Control de Documentación, </w:t>
            </w:r>
            <w:r w:rsidR="00A93998">
              <w:rPr>
                <w:rFonts w:ascii="Times New Roman" w:hAnsi="Times New Roman" w:cs="Times New Roman"/>
                <w:color w:val="4C4747"/>
                <w:szCs w:val="20"/>
                <w:lang w:val="es-DO"/>
              </w:rPr>
              <w:t>Autorizaciones y DE</w:t>
            </w:r>
          </w:p>
        </w:tc>
        <w:tc>
          <w:tcPr>
            <w:tcW w:w="1620" w:type="dxa"/>
            <w:hideMark/>
          </w:tcPr>
          <w:p w14:paraId="290D5342"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Inscripción en Registro Especial de Servicios de Telecomunicaciones</w:t>
            </w:r>
          </w:p>
        </w:tc>
        <w:tc>
          <w:tcPr>
            <w:tcW w:w="1350" w:type="dxa"/>
            <w:hideMark/>
          </w:tcPr>
          <w:p w14:paraId="7F3FCE09"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4DD01EEA"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443EC35C"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60 días calendario</w:t>
            </w:r>
          </w:p>
        </w:tc>
        <w:tc>
          <w:tcPr>
            <w:tcW w:w="900" w:type="dxa"/>
            <w:hideMark/>
          </w:tcPr>
          <w:p w14:paraId="36D97DC9"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60 días calendario</w:t>
            </w:r>
          </w:p>
        </w:tc>
        <w:tc>
          <w:tcPr>
            <w:tcW w:w="810" w:type="dxa"/>
            <w:noWrap/>
            <w:hideMark/>
          </w:tcPr>
          <w:p w14:paraId="50BB47EF"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97%</w:t>
            </w:r>
          </w:p>
        </w:tc>
        <w:tc>
          <w:tcPr>
            <w:tcW w:w="1170" w:type="dxa"/>
            <w:noWrap/>
            <w:hideMark/>
          </w:tcPr>
          <w:p w14:paraId="3BC37357"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6B281512" w14:textId="77777777" w:rsidTr="00A93998">
        <w:trPr>
          <w:trHeight w:val="2775"/>
        </w:trPr>
        <w:tc>
          <w:tcPr>
            <w:tcW w:w="447" w:type="dxa"/>
            <w:hideMark/>
          </w:tcPr>
          <w:p w14:paraId="51799EBD"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11</w:t>
            </w:r>
          </w:p>
        </w:tc>
        <w:tc>
          <w:tcPr>
            <w:tcW w:w="1078" w:type="dxa"/>
            <w:hideMark/>
          </w:tcPr>
          <w:p w14:paraId="41CBA1A3" w14:textId="75D95872"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Auto</w:t>
            </w:r>
            <w:r w:rsidR="00A93998">
              <w:rPr>
                <w:rFonts w:ascii="Times New Roman" w:hAnsi="Times New Roman" w:cs="Times New Roman"/>
                <w:color w:val="4C4747"/>
                <w:szCs w:val="20"/>
                <w:lang w:val="es-DO"/>
              </w:rPr>
              <w:t>rizaciones y DE</w:t>
            </w:r>
          </w:p>
        </w:tc>
        <w:tc>
          <w:tcPr>
            <w:tcW w:w="1620" w:type="dxa"/>
            <w:hideMark/>
          </w:tcPr>
          <w:p w14:paraId="3C04B00C"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Renovación en Registro Especial de Servicios de Telecomunicaciones</w:t>
            </w:r>
          </w:p>
        </w:tc>
        <w:tc>
          <w:tcPr>
            <w:tcW w:w="1350" w:type="dxa"/>
            <w:hideMark/>
          </w:tcPr>
          <w:p w14:paraId="1AE2A14A"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0352611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0A6259BD"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60 días calendario</w:t>
            </w:r>
          </w:p>
        </w:tc>
        <w:tc>
          <w:tcPr>
            <w:tcW w:w="900" w:type="dxa"/>
            <w:hideMark/>
          </w:tcPr>
          <w:p w14:paraId="7A19609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60 días calendario</w:t>
            </w:r>
          </w:p>
        </w:tc>
        <w:tc>
          <w:tcPr>
            <w:tcW w:w="810" w:type="dxa"/>
            <w:noWrap/>
            <w:hideMark/>
          </w:tcPr>
          <w:p w14:paraId="3A9C0CF1"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91%</w:t>
            </w:r>
          </w:p>
        </w:tc>
        <w:tc>
          <w:tcPr>
            <w:tcW w:w="1170" w:type="dxa"/>
            <w:noWrap/>
            <w:hideMark/>
          </w:tcPr>
          <w:p w14:paraId="0FA940D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741FC302" w14:textId="77777777" w:rsidTr="00A93998">
        <w:trPr>
          <w:trHeight w:val="2925"/>
        </w:trPr>
        <w:tc>
          <w:tcPr>
            <w:tcW w:w="447" w:type="dxa"/>
            <w:noWrap/>
            <w:hideMark/>
          </w:tcPr>
          <w:p w14:paraId="7BBD458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12</w:t>
            </w:r>
          </w:p>
        </w:tc>
        <w:tc>
          <w:tcPr>
            <w:tcW w:w="1078" w:type="dxa"/>
            <w:hideMark/>
          </w:tcPr>
          <w:p w14:paraId="27204A58" w14:textId="4CBFF044"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Auto</w:t>
            </w:r>
            <w:r w:rsidR="00A93998">
              <w:rPr>
                <w:rFonts w:ascii="Times New Roman" w:hAnsi="Times New Roman" w:cs="Times New Roman"/>
                <w:color w:val="4C4747"/>
                <w:szCs w:val="20"/>
                <w:lang w:val="es-DO"/>
              </w:rPr>
              <w:t>rizaciones y DE</w:t>
            </w:r>
          </w:p>
        </w:tc>
        <w:tc>
          <w:tcPr>
            <w:tcW w:w="1620" w:type="dxa"/>
            <w:hideMark/>
          </w:tcPr>
          <w:p w14:paraId="1CD0DBC7"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Homologación de Aparatos y Equipos</w:t>
            </w:r>
          </w:p>
        </w:tc>
        <w:tc>
          <w:tcPr>
            <w:tcW w:w="1350" w:type="dxa"/>
            <w:hideMark/>
          </w:tcPr>
          <w:p w14:paraId="138C118D"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7F8A00CC"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Mensual</w:t>
            </w:r>
          </w:p>
        </w:tc>
        <w:tc>
          <w:tcPr>
            <w:tcW w:w="900" w:type="dxa"/>
            <w:hideMark/>
          </w:tcPr>
          <w:p w14:paraId="6C4D834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18 días hábiles</w:t>
            </w:r>
          </w:p>
        </w:tc>
        <w:tc>
          <w:tcPr>
            <w:tcW w:w="900" w:type="dxa"/>
            <w:hideMark/>
          </w:tcPr>
          <w:p w14:paraId="74B112E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18 días hábiles</w:t>
            </w:r>
          </w:p>
        </w:tc>
        <w:tc>
          <w:tcPr>
            <w:tcW w:w="810" w:type="dxa"/>
            <w:noWrap/>
            <w:hideMark/>
          </w:tcPr>
          <w:p w14:paraId="482E197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95%</w:t>
            </w:r>
          </w:p>
        </w:tc>
        <w:tc>
          <w:tcPr>
            <w:tcW w:w="1170" w:type="dxa"/>
            <w:noWrap/>
            <w:hideMark/>
          </w:tcPr>
          <w:p w14:paraId="2B94522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098CCCA4" w14:textId="77777777" w:rsidTr="00A93998">
        <w:trPr>
          <w:trHeight w:val="800"/>
        </w:trPr>
        <w:tc>
          <w:tcPr>
            <w:tcW w:w="447" w:type="dxa"/>
            <w:hideMark/>
          </w:tcPr>
          <w:p w14:paraId="018909B5"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13</w:t>
            </w:r>
          </w:p>
        </w:tc>
        <w:tc>
          <w:tcPr>
            <w:tcW w:w="1078" w:type="dxa"/>
            <w:hideMark/>
          </w:tcPr>
          <w:p w14:paraId="0146207A" w14:textId="35E92A98"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 xml:space="preserve">Tramitación y Control </w:t>
            </w:r>
            <w:r w:rsidRPr="009714C2">
              <w:rPr>
                <w:rFonts w:ascii="Times New Roman" w:hAnsi="Times New Roman" w:cs="Times New Roman"/>
                <w:color w:val="4C4747"/>
                <w:szCs w:val="20"/>
                <w:lang w:val="es-DO"/>
              </w:rPr>
              <w:lastRenderedPageBreak/>
              <w:t>de Documentación y Autorizaciones</w:t>
            </w:r>
          </w:p>
        </w:tc>
        <w:tc>
          <w:tcPr>
            <w:tcW w:w="1620" w:type="dxa"/>
            <w:hideMark/>
          </w:tcPr>
          <w:p w14:paraId="7A5892E1"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lastRenderedPageBreak/>
              <w:t xml:space="preserve">No Objeción de Equipos de </w:t>
            </w:r>
            <w:r w:rsidRPr="009714C2">
              <w:rPr>
                <w:rFonts w:ascii="Times New Roman" w:hAnsi="Times New Roman" w:cs="Times New Roman"/>
                <w:color w:val="4C4747"/>
                <w:szCs w:val="20"/>
                <w:lang w:val="es-DO"/>
              </w:rPr>
              <w:lastRenderedPageBreak/>
              <w:t>Telecomunicaciones</w:t>
            </w:r>
          </w:p>
        </w:tc>
        <w:tc>
          <w:tcPr>
            <w:tcW w:w="1350" w:type="dxa"/>
            <w:hideMark/>
          </w:tcPr>
          <w:p w14:paraId="3307ADAC"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lastRenderedPageBreak/>
              <w:t xml:space="preserve">Porcentaje de solicitudes </w:t>
            </w:r>
            <w:r w:rsidRPr="009714C2">
              <w:rPr>
                <w:rFonts w:ascii="Times New Roman" w:hAnsi="Times New Roman" w:cs="Times New Roman"/>
                <w:color w:val="4C4747"/>
                <w:szCs w:val="20"/>
                <w:lang w:val="es-DO"/>
              </w:rPr>
              <w:lastRenderedPageBreak/>
              <w:t>respondidas en el plazo establecido</w:t>
            </w:r>
          </w:p>
        </w:tc>
        <w:tc>
          <w:tcPr>
            <w:tcW w:w="1170" w:type="dxa"/>
            <w:noWrap/>
            <w:hideMark/>
          </w:tcPr>
          <w:p w14:paraId="489E683D"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Mensual</w:t>
            </w:r>
          </w:p>
        </w:tc>
        <w:tc>
          <w:tcPr>
            <w:tcW w:w="900" w:type="dxa"/>
            <w:hideMark/>
          </w:tcPr>
          <w:p w14:paraId="0011D451"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 día hábil</w:t>
            </w:r>
          </w:p>
        </w:tc>
        <w:tc>
          <w:tcPr>
            <w:tcW w:w="900" w:type="dxa"/>
            <w:hideMark/>
          </w:tcPr>
          <w:p w14:paraId="470AC6F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3 días hábiles</w:t>
            </w:r>
          </w:p>
        </w:tc>
        <w:tc>
          <w:tcPr>
            <w:tcW w:w="810" w:type="dxa"/>
            <w:noWrap/>
            <w:hideMark/>
          </w:tcPr>
          <w:p w14:paraId="038003FF"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6125FDF7"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308CAD6F" w14:textId="77777777" w:rsidTr="00644365">
        <w:trPr>
          <w:trHeight w:val="800"/>
        </w:trPr>
        <w:tc>
          <w:tcPr>
            <w:tcW w:w="447" w:type="dxa"/>
            <w:hideMark/>
          </w:tcPr>
          <w:p w14:paraId="7993763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lastRenderedPageBreak/>
              <w:t>14</w:t>
            </w:r>
          </w:p>
        </w:tc>
        <w:tc>
          <w:tcPr>
            <w:tcW w:w="1078" w:type="dxa"/>
            <w:hideMark/>
          </w:tcPr>
          <w:p w14:paraId="292BC0A7" w14:textId="7FD31746"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 xml:space="preserve">Tramitación y Control de Documentación, </w:t>
            </w:r>
            <w:r w:rsidR="00A93998">
              <w:rPr>
                <w:rFonts w:ascii="Times New Roman" w:hAnsi="Times New Roman" w:cs="Times New Roman"/>
                <w:color w:val="4C4747"/>
                <w:szCs w:val="20"/>
                <w:lang w:val="es-DO"/>
              </w:rPr>
              <w:t xml:space="preserve">Autorizaciones y CD </w:t>
            </w:r>
          </w:p>
        </w:tc>
        <w:tc>
          <w:tcPr>
            <w:tcW w:w="1620" w:type="dxa"/>
            <w:hideMark/>
          </w:tcPr>
          <w:p w14:paraId="0E8A8D07"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Concesiones que no requieren concurso público</w:t>
            </w:r>
          </w:p>
        </w:tc>
        <w:tc>
          <w:tcPr>
            <w:tcW w:w="1350" w:type="dxa"/>
            <w:hideMark/>
          </w:tcPr>
          <w:p w14:paraId="74510E85"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64A7015F"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Semestral</w:t>
            </w:r>
          </w:p>
        </w:tc>
        <w:tc>
          <w:tcPr>
            <w:tcW w:w="900" w:type="dxa"/>
            <w:hideMark/>
          </w:tcPr>
          <w:p w14:paraId="75EC797E"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147 días calendario</w:t>
            </w:r>
          </w:p>
        </w:tc>
        <w:tc>
          <w:tcPr>
            <w:tcW w:w="900" w:type="dxa"/>
            <w:hideMark/>
          </w:tcPr>
          <w:p w14:paraId="0BFDCAC4"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147 días calendario</w:t>
            </w:r>
          </w:p>
        </w:tc>
        <w:tc>
          <w:tcPr>
            <w:tcW w:w="810" w:type="dxa"/>
            <w:noWrap/>
            <w:hideMark/>
          </w:tcPr>
          <w:p w14:paraId="22587B93"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37897CFC"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r w:rsidR="00A93998" w:rsidRPr="009714C2" w14:paraId="67BA83C6" w14:textId="77777777" w:rsidTr="00A93998">
        <w:trPr>
          <w:trHeight w:val="800"/>
        </w:trPr>
        <w:tc>
          <w:tcPr>
            <w:tcW w:w="447" w:type="dxa"/>
            <w:noWrap/>
            <w:hideMark/>
          </w:tcPr>
          <w:p w14:paraId="1FE645A8"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15</w:t>
            </w:r>
          </w:p>
        </w:tc>
        <w:tc>
          <w:tcPr>
            <w:tcW w:w="1078" w:type="dxa"/>
            <w:hideMark/>
          </w:tcPr>
          <w:p w14:paraId="600AF8B3" w14:textId="3F440624" w:rsidR="004A7120" w:rsidRPr="009714C2" w:rsidRDefault="004A7120" w:rsidP="00A93998">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Tramitación y Control de Documentación, Au</w:t>
            </w:r>
            <w:r w:rsidR="00A93998">
              <w:rPr>
                <w:rFonts w:ascii="Times New Roman" w:hAnsi="Times New Roman" w:cs="Times New Roman"/>
                <w:color w:val="4C4747"/>
                <w:szCs w:val="20"/>
                <w:lang w:val="es-DO"/>
              </w:rPr>
              <w:t>torizaciones y CD</w:t>
            </w:r>
          </w:p>
        </w:tc>
        <w:tc>
          <w:tcPr>
            <w:tcW w:w="1620" w:type="dxa"/>
            <w:hideMark/>
          </w:tcPr>
          <w:p w14:paraId="1FF3CD7C"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Renovación de concesiones que no requieren concurso público</w:t>
            </w:r>
          </w:p>
        </w:tc>
        <w:tc>
          <w:tcPr>
            <w:tcW w:w="1350" w:type="dxa"/>
            <w:hideMark/>
          </w:tcPr>
          <w:p w14:paraId="671EDB72" w14:textId="77777777" w:rsidR="004A7120" w:rsidRPr="009714C2" w:rsidRDefault="004A7120" w:rsidP="007F18A7">
            <w:pPr>
              <w:spacing w:line="360" w:lineRule="auto"/>
              <w:jc w:val="center"/>
              <w:rPr>
                <w:rFonts w:ascii="Times New Roman" w:hAnsi="Times New Roman" w:cs="Times New Roman"/>
                <w:color w:val="4C4747"/>
                <w:szCs w:val="20"/>
                <w:lang w:val="es-DO"/>
              </w:rPr>
            </w:pPr>
            <w:r w:rsidRPr="009714C2">
              <w:rPr>
                <w:rFonts w:ascii="Times New Roman" w:hAnsi="Times New Roman" w:cs="Times New Roman"/>
                <w:color w:val="4C4747"/>
                <w:szCs w:val="20"/>
                <w:lang w:val="es-DO"/>
              </w:rPr>
              <w:t>Porcentaje de solicitudes respondidas en el plazo establecido</w:t>
            </w:r>
          </w:p>
        </w:tc>
        <w:tc>
          <w:tcPr>
            <w:tcW w:w="1170" w:type="dxa"/>
            <w:noWrap/>
            <w:hideMark/>
          </w:tcPr>
          <w:p w14:paraId="25D5969B"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Semestral</w:t>
            </w:r>
          </w:p>
        </w:tc>
        <w:tc>
          <w:tcPr>
            <w:tcW w:w="900" w:type="dxa"/>
            <w:hideMark/>
          </w:tcPr>
          <w:p w14:paraId="0DFF8B42"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 meses</w:t>
            </w:r>
          </w:p>
        </w:tc>
        <w:tc>
          <w:tcPr>
            <w:tcW w:w="900" w:type="dxa"/>
            <w:hideMark/>
          </w:tcPr>
          <w:p w14:paraId="1F8E196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6 meses</w:t>
            </w:r>
          </w:p>
        </w:tc>
        <w:tc>
          <w:tcPr>
            <w:tcW w:w="810" w:type="dxa"/>
            <w:noWrap/>
            <w:hideMark/>
          </w:tcPr>
          <w:p w14:paraId="29704CC5"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100%</w:t>
            </w:r>
          </w:p>
        </w:tc>
        <w:tc>
          <w:tcPr>
            <w:tcW w:w="1170" w:type="dxa"/>
            <w:noWrap/>
            <w:hideMark/>
          </w:tcPr>
          <w:p w14:paraId="543DF3B0" w14:textId="77777777" w:rsidR="004A7120" w:rsidRPr="009714C2" w:rsidRDefault="004A7120" w:rsidP="007F18A7">
            <w:pPr>
              <w:spacing w:line="360" w:lineRule="auto"/>
              <w:jc w:val="center"/>
              <w:rPr>
                <w:rFonts w:ascii="Times New Roman" w:hAnsi="Times New Roman" w:cs="Times New Roman"/>
                <w:color w:val="4C4747"/>
                <w:szCs w:val="20"/>
              </w:rPr>
            </w:pPr>
            <w:r w:rsidRPr="009714C2">
              <w:rPr>
                <w:rFonts w:ascii="Times New Roman" w:hAnsi="Times New Roman" w:cs="Times New Roman"/>
                <w:color w:val="4C4747"/>
                <w:szCs w:val="20"/>
              </w:rPr>
              <w:t>Finalizado</w:t>
            </w:r>
          </w:p>
        </w:tc>
      </w:tr>
    </w:tbl>
    <w:p w14:paraId="55F6732E" w14:textId="7B3EAD37" w:rsidR="00BB5E46" w:rsidRPr="009714C2" w:rsidRDefault="00BB5E46" w:rsidP="00A56B68">
      <w:pPr>
        <w:spacing w:line="360" w:lineRule="auto"/>
        <w:jc w:val="both"/>
        <w:rPr>
          <w:noProof/>
          <w:color w:val="4C4747"/>
          <w:lang w:val="es-DO"/>
        </w:rPr>
      </w:pPr>
    </w:p>
    <w:p w14:paraId="3FE42E67" w14:textId="77777777" w:rsidR="00B20486" w:rsidRDefault="00B20486" w:rsidP="00A56B68">
      <w:pPr>
        <w:spacing w:line="360" w:lineRule="auto"/>
        <w:jc w:val="both"/>
        <w:rPr>
          <w:noProof/>
          <w:color w:val="4C4747"/>
          <w:lang w:val="es-DO"/>
        </w:rPr>
      </w:pPr>
    </w:p>
    <w:p w14:paraId="16063E4C" w14:textId="77777777" w:rsidR="00376423" w:rsidRPr="009714C2" w:rsidRDefault="00376423" w:rsidP="00A56B68">
      <w:pPr>
        <w:spacing w:line="360" w:lineRule="auto"/>
        <w:jc w:val="both"/>
        <w:rPr>
          <w:noProof/>
          <w:color w:val="4C4747"/>
          <w:lang w:val="es-DO"/>
        </w:rPr>
      </w:pPr>
    </w:p>
    <w:p w14:paraId="0E6CCE6D" w14:textId="6DD7CA65" w:rsidR="00E346B3" w:rsidRPr="009714C2" w:rsidRDefault="00A56B68" w:rsidP="00A02BDE">
      <w:pPr>
        <w:pStyle w:val="Prrafodelista"/>
        <w:keepNext/>
        <w:numPr>
          <w:ilvl w:val="0"/>
          <w:numId w:val="36"/>
        </w:numPr>
        <w:spacing w:before="240" w:after="60"/>
        <w:jc w:val="both"/>
        <w:outlineLvl w:val="2"/>
        <w:rPr>
          <w:rFonts w:ascii="Times New Roman" w:eastAsia="Times New Roman" w:hAnsi="Times New Roman" w:cs="Times New Roman"/>
          <w:b/>
          <w:bCs/>
          <w:color w:val="4C4747"/>
          <w:sz w:val="24"/>
          <w:szCs w:val="26"/>
          <w:lang w:val="es-DO" w:eastAsia="es-DO"/>
        </w:rPr>
      </w:pPr>
      <w:bookmarkStart w:id="48" w:name="_Toc79678437"/>
      <w:bookmarkStart w:id="49" w:name="_Toc122425259"/>
      <w:r w:rsidRPr="009714C2">
        <w:rPr>
          <w:rFonts w:ascii="Times New Roman" w:eastAsia="Times New Roman" w:hAnsi="Times New Roman" w:cs="Times New Roman"/>
          <w:b/>
          <w:bCs/>
          <w:color w:val="4C4747"/>
          <w:sz w:val="24"/>
          <w:szCs w:val="26"/>
          <w:lang w:val="es-DO" w:eastAsia="es-DO"/>
        </w:rPr>
        <w:lastRenderedPageBreak/>
        <w:t>Matriz Índice de Gestión Presupuestaria Anual (IGP)</w:t>
      </w:r>
      <w:bookmarkEnd w:id="48"/>
      <w:bookmarkEnd w:id="49"/>
    </w:p>
    <w:p w14:paraId="38EB1E39" w14:textId="77777777" w:rsidR="008B4370" w:rsidRPr="009714C2" w:rsidRDefault="008B4370" w:rsidP="008B4370">
      <w:pPr>
        <w:spacing w:before="24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El presupuesto proyectado para el año 2022 fue de Tres mil cuatrocientos setenta y nueve millones cuatrocientos diecisiete mil ochenta y ocho Pesos con 00/100 (RD$3,479,417,088.00), de los cuales al 31 de octubre de 2022 se ha ejecutado un monto ascendente a Mil sesenta y nueve millones ochocientos treinta y tres mil doscientos quince Pesos con 00/100 (RD$1,069,833,215.00), lo cual representa un 37% del monto total del presupuesto estimado. </w:t>
      </w:r>
    </w:p>
    <w:p w14:paraId="67290606" w14:textId="08909A17" w:rsidR="00EF195C" w:rsidRPr="009714C2" w:rsidRDefault="008B4370" w:rsidP="008B4370">
      <w:pPr>
        <w:spacing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Cabe destacar, que el presupuesto en la mayoría de los renglones está ejecutándose atendiendo a las metas programadas en el Plan Operativo Anual (POA). A continuación presentamos un detalle de las principales partidas presupuestarias:</w:t>
      </w:r>
    </w:p>
    <w:p w14:paraId="116AE611" w14:textId="1AC2C8CB" w:rsidR="00EF195C" w:rsidRDefault="00644365" w:rsidP="00644365">
      <w:pPr>
        <w:tabs>
          <w:tab w:val="left" w:pos="1770"/>
        </w:tabs>
        <w:spacing w:line="360" w:lineRule="auto"/>
        <w:jc w:val="both"/>
        <w:rPr>
          <w:rFonts w:ascii="Times New Roman" w:eastAsia="Calibri" w:hAnsi="Times New Roman" w:cs="Times New Roman"/>
          <w:color w:val="4C4747"/>
          <w:spacing w:val="20"/>
          <w:sz w:val="24"/>
          <w:szCs w:val="24"/>
          <w:lang w:val="es-DO"/>
        </w:rPr>
      </w:pPr>
      <w:r>
        <w:rPr>
          <w:rFonts w:ascii="Times New Roman" w:eastAsia="Calibri" w:hAnsi="Times New Roman" w:cs="Times New Roman"/>
          <w:color w:val="4C4747"/>
          <w:spacing w:val="20"/>
          <w:sz w:val="24"/>
          <w:szCs w:val="24"/>
          <w:lang w:val="es-DO"/>
        </w:rPr>
        <w:tab/>
      </w:r>
    </w:p>
    <w:p w14:paraId="2E742BD7"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39C29585"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78EEF4EB"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0236C0E7"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09931631"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6AC71916"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731A562B"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5468A3FC"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4D67D7D5"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23CFE5B1"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79AB6C92" w14:textId="77777777" w:rsidR="00376423"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p w14:paraId="407122DC" w14:textId="77777777" w:rsidR="00376423" w:rsidRPr="008B4370" w:rsidRDefault="00376423" w:rsidP="00644365">
      <w:pPr>
        <w:tabs>
          <w:tab w:val="left" w:pos="1770"/>
        </w:tabs>
        <w:spacing w:line="360" w:lineRule="auto"/>
        <w:jc w:val="both"/>
        <w:rPr>
          <w:rFonts w:ascii="Times New Roman" w:eastAsia="Calibri" w:hAnsi="Times New Roman" w:cs="Times New Roman"/>
          <w:color w:val="4C4747"/>
          <w:spacing w:val="20"/>
          <w:sz w:val="24"/>
          <w:szCs w:val="24"/>
          <w:lang w:val="es-DO"/>
        </w:rPr>
      </w:pPr>
    </w:p>
    <w:tbl>
      <w:tblPr>
        <w:tblpPr w:leftFromText="180" w:rightFromText="180" w:vertAnchor="text" w:horzAnchor="margin" w:tblpY="185"/>
        <w:tblW w:w="7910" w:type="dxa"/>
        <w:tblLook w:val="04A0" w:firstRow="1" w:lastRow="0" w:firstColumn="1" w:lastColumn="0" w:noHBand="0" w:noVBand="1"/>
      </w:tblPr>
      <w:tblGrid>
        <w:gridCol w:w="1641"/>
        <w:gridCol w:w="1902"/>
        <w:gridCol w:w="1548"/>
        <w:gridCol w:w="1271"/>
        <w:gridCol w:w="1548"/>
      </w:tblGrid>
      <w:tr w:rsidR="008B4370" w:rsidRPr="008B4370" w14:paraId="1100FE45" w14:textId="77777777" w:rsidTr="008B4370">
        <w:trPr>
          <w:trHeight w:val="266"/>
        </w:trPr>
        <w:tc>
          <w:tcPr>
            <w:tcW w:w="7910" w:type="dxa"/>
            <w:gridSpan w:val="5"/>
            <w:tcBorders>
              <w:top w:val="single" w:sz="4" w:space="0" w:color="auto"/>
              <w:left w:val="single" w:sz="4" w:space="0" w:color="auto"/>
              <w:bottom w:val="nil"/>
              <w:right w:val="single" w:sz="4" w:space="0" w:color="000000"/>
            </w:tcBorders>
            <w:shd w:val="clear" w:color="000000" w:fill="203764"/>
            <w:noWrap/>
            <w:vAlign w:val="center"/>
            <w:hideMark/>
          </w:tcPr>
          <w:p w14:paraId="2F169939"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lastRenderedPageBreak/>
              <w:t>Ejecución Presupuestaria</w:t>
            </w:r>
          </w:p>
        </w:tc>
      </w:tr>
      <w:tr w:rsidR="008B4370" w:rsidRPr="008B4370" w14:paraId="769CE6E8" w14:textId="77777777" w:rsidTr="008B4370">
        <w:trPr>
          <w:trHeight w:val="439"/>
        </w:trPr>
        <w:tc>
          <w:tcPr>
            <w:tcW w:w="7910" w:type="dxa"/>
            <w:gridSpan w:val="5"/>
            <w:tcBorders>
              <w:top w:val="nil"/>
              <w:left w:val="single" w:sz="4" w:space="0" w:color="auto"/>
              <w:bottom w:val="single" w:sz="4" w:space="0" w:color="auto"/>
              <w:right w:val="single" w:sz="4" w:space="0" w:color="000000"/>
            </w:tcBorders>
            <w:shd w:val="clear" w:color="000000" w:fill="203764"/>
            <w:noWrap/>
            <w:vAlign w:val="center"/>
            <w:hideMark/>
          </w:tcPr>
          <w:p w14:paraId="6E275962"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Al 30 de Noviembre del 2022</w:t>
            </w:r>
          </w:p>
        </w:tc>
      </w:tr>
      <w:tr w:rsidR="008B4370" w:rsidRPr="008B4370" w14:paraId="30AB8A4F" w14:textId="77777777" w:rsidTr="008B4370">
        <w:trPr>
          <w:trHeight w:val="760"/>
        </w:trPr>
        <w:tc>
          <w:tcPr>
            <w:tcW w:w="1435" w:type="dxa"/>
            <w:tcBorders>
              <w:top w:val="nil"/>
              <w:left w:val="single" w:sz="4" w:space="0" w:color="auto"/>
              <w:bottom w:val="single" w:sz="4" w:space="0" w:color="auto"/>
              <w:right w:val="single" w:sz="4" w:space="0" w:color="auto"/>
            </w:tcBorders>
            <w:shd w:val="clear" w:color="000000" w:fill="203764"/>
            <w:noWrap/>
            <w:vAlign w:val="center"/>
            <w:hideMark/>
          </w:tcPr>
          <w:p w14:paraId="7C53381B"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Objeto</w:t>
            </w:r>
          </w:p>
        </w:tc>
        <w:tc>
          <w:tcPr>
            <w:tcW w:w="1966" w:type="dxa"/>
            <w:tcBorders>
              <w:top w:val="nil"/>
              <w:left w:val="nil"/>
              <w:bottom w:val="single" w:sz="4" w:space="0" w:color="auto"/>
              <w:right w:val="single" w:sz="4" w:space="0" w:color="auto"/>
            </w:tcBorders>
            <w:shd w:val="clear" w:color="000000" w:fill="203764"/>
            <w:vAlign w:val="center"/>
            <w:hideMark/>
          </w:tcPr>
          <w:p w14:paraId="1F9C5E52"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Presupuesto Aprobado      (A)</w:t>
            </w:r>
          </w:p>
        </w:tc>
        <w:tc>
          <w:tcPr>
            <w:tcW w:w="1599" w:type="dxa"/>
            <w:tcBorders>
              <w:top w:val="nil"/>
              <w:left w:val="nil"/>
              <w:bottom w:val="single" w:sz="4" w:space="0" w:color="auto"/>
              <w:right w:val="single" w:sz="4" w:space="0" w:color="auto"/>
            </w:tcBorders>
            <w:shd w:val="clear" w:color="000000" w:fill="203764"/>
            <w:vAlign w:val="center"/>
            <w:hideMark/>
          </w:tcPr>
          <w:p w14:paraId="4CDB22AA"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Presupuesto Ejecutado      (B)</w:t>
            </w:r>
          </w:p>
        </w:tc>
        <w:tc>
          <w:tcPr>
            <w:tcW w:w="1311" w:type="dxa"/>
            <w:tcBorders>
              <w:top w:val="nil"/>
              <w:left w:val="nil"/>
              <w:bottom w:val="single" w:sz="4" w:space="0" w:color="auto"/>
              <w:right w:val="single" w:sz="4" w:space="0" w:color="auto"/>
            </w:tcBorders>
            <w:shd w:val="clear" w:color="000000" w:fill="203764"/>
            <w:vAlign w:val="center"/>
            <w:hideMark/>
          </w:tcPr>
          <w:p w14:paraId="0DCDBA6A"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 de Ejecución (C=B/A)</w:t>
            </w:r>
          </w:p>
        </w:tc>
        <w:tc>
          <w:tcPr>
            <w:tcW w:w="1599" w:type="dxa"/>
            <w:tcBorders>
              <w:top w:val="nil"/>
              <w:left w:val="nil"/>
              <w:bottom w:val="single" w:sz="4" w:space="0" w:color="auto"/>
              <w:right w:val="single" w:sz="4" w:space="0" w:color="auto"/>
            </w:tcBorders>
            <w:shd w:val="clear" w:color="000000" w:fill="203764"/>
            <w:vAlign w:val="center"/>
            <w:hideMark/>
          </w:tcPr>
          <w:p w14:paraId="28752224"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Variación        (D=A-B)</w:t>
            </w:r>
          </w:p>
        </w:tc>
      </w:tr>
      <w:tr w:rsidR="008B4370" w:rsidRPr="008B4370" w14:paraId="3C62F2F8" w14:textId="77777777" w:rsidTr="008B4370">
        <w:trPr>
          <w:trHeight w:val="198"/>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3FE5BA43" w14:textId="77777777" w:rsidR="008B4370" w:rsidRPr="008B4370" w:rsidRDefault="008B4370" w:rsidP="008B4370">
            <w:pPr>
              <w:jc w:val="center"/>
              <w:rPr>
                <w:rFonts w:ascii="Times New Roman" w:eastAsia="Calibri" w:hAnsi="Times New Roman" w:cs="Times New Roman"/>
                <w:color w:val="FFFFFF" w:themeColor="background1"/>
                <w:spacing w:val="20"/>
                <w:sz w:val="18"/>
                <w:szCs w:val="18"/>
                <w:lang w:val="es-DO"/>
              </w:rPr>
            </w:pPr>
            <w:r w:rsidRPr="008B4370">
              <w:rPr>
                <w:rFonts w:ascii="Times New Roman" w:eastAsia="Calibri" w:hAnsi="Times New Roman" w:cs="Times New Roman"/>
                <w:color w:val="FFFFFF" w:themeColor="background1"/>
                <w:spacing w:val="20"/>
                <w:sz w:val="18"/>
                <w:szCs w:val="18"/>
                <w:lang w:val="es-DO"/>
              </w:rPr>
              <w:t> </w:t>
            </w:r>
          </w:p>
        </w:tc>
        <w:tc>
          <w:tcPr>
            <w:tcW w:w="1966" w:type="dxa"/>
            <w:tcBorders>
              <w:top w:val="nil"/>
              <w:left w:val="nil"/>
              <w:bottom w:val="single" w:sz="4" w:space="0" w:color="auto"/>
              <w:right w:val="single" w:sz="4" w:space="0" w:color="auto"/>
            </w:tcBorders>
            <w:shd w:val="clear" w:color="auto" w:fill="auto"/>
            <w:vAlign w:val="center"/>
            <w:hideMark/>
          </w:tcPr>
          <w:p w14:paraId="6B2773B4" w14:textId="77777777" w:rsidR="008B4370" w:rsidRPr="008B4370" w:rsidRDefault="008B4370" w:rsidP="008B4370">
            <w:pPr>
              <w:jc w:val="center"/>
              <w:rPr>
                <w:rFonts w:ascii="Times New Roman" w:eastAsia="Calibri" w:hAnsi="Times New Roman" w:cs="Times New Roman"/>
                <w:color w:val="FFFFFF" w:themeColor="background1"/>
                <w:spacing w:val="20"/>
                <w:sz w:val="18"/>
                <w:szCs w:val="18"/>
                <w:lang w:val="es-DO"/>
              </w:rPr>
            </w:pPr>
            <w:r w:rsidRPr="008B4370">
              <w:rPr>
                <w:rFonts w:ascii="Times New Roman" w:eastAsia="Calibri" w:hAnsi="Times New Roman" w:cs="Times New Roman"/>
                <w:color w:val="FFFFFF" w:themeColor="background1"/>
                <w:spacing w:val="20"/>
                <w:sz w:val="18"/>
                <w:szCs w:val="18"/>
                <w:lang w:val="es-DO"/>
              </w:rPr>
              <w:t> </w:t>
            </w:r>
          </w:p>
        </w:tc>
        <w:tc>
          <w:tcPr>
            <w:tcW w:w="1599" w:type="dxa"/>
            <w:tcBorders>
              <w:top w:val="nil"/>
              <w:left w:val="nil"/>
              <w:bottom w:val="single" w:sz="4" w:space="0" w:color="auto"/>
              <w:right w:val="single" w:sz="4" w:space="0" w:color="auto"/>
            </w:tcBorders>
            <w:shd w:val="clear" w:color="auto" w:fill="auto"/>
            <w:vAlign w:val="center"/>
            <w:hideMark/>
          </w:tcPr>
          <w:p w14:paraId="638EB8A6" w14:textId="77777777" w:rsidR="008B4370" w:rsidRPr="008B4370" w:rsidRDefault="008B4370" w:rsidP="008B4370">
            <w:pPr>
              <w:jc w:val="center"/>
              <w:rPr>
                <w:rFonts w:ascii="Times New Roman" w:eastAsia="Calibri" w:hAnsi="Times New Roman" w:cs="Times New Roman"/>
                <w:color w:val="FFFFFF" w:themeColor="background1"/>
                <w:spacing w:val="20"/>
                <w:sz w:val="18"/>
                <w:szCs w:val="18"/>
                <w:lang w:val="es-DO"/>
              </w:rPr>
            </w:pPr>
            <w:r w:rsidRPr="008B4370">
              <w:rPr>
                <w:rFonts w:ascii="Times New Roman" w:eastAsia="Calibri" w:hAnsi="Times New Roman" w:cs="Times New Roman"/>
                <w:color w:val="FFFFFF" w:themeColor="background1"/>
                <w:spacing w:val="20"/>
                <w:sz w:val="18"/>
                <w:szCs w:val="18"/>
                <w:lang w:val="es-DO"/>
              </w:rPr>
              <w:t> </w:t>
            </w:r>
          </w:p>
        </w:tc>
        <w:tc>
          <w:tcPr>
            <w:tcW w:w="1311" w:type="dxa"/>
            <w:tcBorders>
              <w:top w:val="nil"/>
              <w:left w:val="nil"/>
              <w:bottom w:val="single" w:sz="4" w:space="0" w:color="auto"/>
              <w:right w:val="single" w:sz="4" w:space="0" w:color="auto"/>
            </w:tcBorders>
            <w:shd w:val="clear" w:color="auto" w:fill="auto"/>
            <w:vAlign w:val="center"/>
            <w:hideMark/>
          </w:tcPr>
          <w:p w14:paraId="754EA6AC" w14:textId="77777777" w:rsidR="008B4370" w:rsidRPr="008B4370" w:rsidRDefault="008B4370" w:rsidP="008B4370">
            <w:pPr>
              <w:jc w:val="center"/>
              <w:rPr>
                <w:rFonts w:ascii="Times New Roman" w:eastAsia="Calibri" w:hAnsi="Times New Roman" w:cs="Times New Roman"/>
                <w:color w:val="FFFFFF" w:themeColor="background1"/>
                <w:spacing w:val="20"/>
                <w:sz w:val="18"/>
                <w:szCs w:val="18"/>
                <w:lang w:val="es-DO"/>
              </w:rPr>
            </w:pPr>
            <w:r w:rsidRPr="008B4370">
              <w:rPr>
                <w:rFonts w:ascii="Times New Roman" w:eastAsia="Calibri" w:hAnsi="Times New Roman" w:cs="Times New Roman"/>
                <w:color w:val="FFFFFF" w:themeColor="background1"/>
                <w:spacing w:val="20"/>
                <w:sz w:val="18"/>
                <w:szCs w:val="18"/>
                <w:lang w:val="es-DO"/>
              </w:rPr>
              <w:t> </w:t>
            </w:r>
          </w:p>
        </w:tc>
        <w:tc>
          <w:tcPr>
            <w:tcW w:w="1599" w:type="dxa"/>
            <w:tcBorders>
              <w:top w:val="nil"/>
              <w:left w:val="nil"/>
              <w:bottom w:val="single" w:sz="4" w:space="0" w:color="auto"/>
              <w:right w:val="single" w:sz="4" w:space="0" w:color="auto"/>
            </w:tcBorders>
            <w:shd w:val="clear" w:color="auto" w:fill="auto"/>
            <w:vAlign w:val="center"/>
            <w:hideMark/>
          </w:tcPr>
          <w:p w14:paraId="655D03AD" w14:textId="77777777" w:rsidR="008B4370" w:rsidRPr="008B4370" w:rsidRDefault="008B4370" w:rsidP="008B4370">
            <w:pPr>
              <w:jc w:val="center"/>
              <w:rPr>
                <w:rFonts w:ascii="Times New Roman" w:eastAsia="Calibri" w:hAnsi="Times New Roman" w:cs="Times New Roman"/>
                <w:color w:val="FFFFFF" w:themeColor="background1"/>
                <w:spacing w:val="20"/>
                <w:sz w:val="18"/>
                <w:szCs w:val="18"/>
                <w:lang w:val="es-DO"/>
              </w:rPr>
            </w:pPr>
            <w:r w:rsidRPr="008B4370">
              <w:rPr>
                <w:rFonts w:ascii="Times New Roman" w:eastAsia="Calibri" w:hAnsi="Times New Roman" w:cs="Times New Roman"/>
                <w:color w:val="FFFFFF" w:themeColor="background1"/>
                <w:spacing w:val="20"/>
                <w:sz w:val="18"/>
                <w:szCs w:val="18"/>
                <w:lang w:val="es-DO"/>
              </w:rPr>
              <w:t> </w:t>
            </w:r>
          </w:p>
        </w:tc>
      </w:tr>
      <w:tr w:rsidR="008B4370" w:rsidRPr="008B4370" w14:paraId="5D0EDA4C" w14:textId="77777777" w:rsidTr="008B4370">
        <w:trPr>
          <w:trHeight w:val="266"/>
        </w:trPr>
        <w:tc>
          <w:tcPr>
            <w:tcW w:w="1435" w:type="dxa"/>
            <w:tcBorders>
              <w:top w:val="nil"/>
              <w:left w:val="single" w:sz="4" w:space="0" w:color="auto"/>
              <w:bottom w:val="single" w:sz="4" w:space="0" w:color="auto"/>
              <w:right w:val="single" w:sz="4" w:space="0" w:color="auto"/>
            </w:tcBorders>
            <w:shd w:val="clear" w:color="000000" w:fill="203764"/>
            <w:noWrap/>
            <w:vAlign w:val="center"/>
            <w:hideMark/>
          </w:tcPr>
          <w:p w14:paraId="3B0FD5E2" w14:textId="77777777" w:rsidR="008B4370" w:rsidRPr="009714C2" w:rsidRDefault="008B4370" w:rsidP="008B4370">
            <w:pP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Ingresos Totales</w:t>
            </w:r>
          </w:p>
        </w:tc>
        <w:tc>
          <w:tcPr>
            <w:tcW w:w="1966" w:type="dxa"/>
            <w:tcBorders>
              <w:top w:val="nil"/>
              <w:left w:val="nil"/>
              <w:bottom w:val="single" w:sz="4" w:space="0" w:color="auto"/>
              <w:right w:val="single" w:sz="4" w:space="0" w:color="auto"/>
            </w:tcBorders>
            <w:shd w:val="clear" w:color="000000" w:fill="203764"/>
            <w:noWrap/>
            <w:vAlign w:val="center"/>
            <w:hideMark/>
          </w:tcPr>
          <w:p w14:paraId="698D0502"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3,479,417,083</w:t>
            </w:r>
          </w:p>
        </w:tc>
        <w:tc>
          <w:tcPr>
            <w:tcW w:w="1599" w:type="dxa"/>
            <w:tcBorders>
              <w:top w:val="nil"/>
              <w:left w:val="nil"/>
              <w:bottom w:val="single" w:sz="4" w:space="0" w:color="auto"/>
              <w:right w:val="single" w:sz="4" w:space="0" w:color="auto"/>
            </w:tcBorders>
            <w:shd w:val="clear" w:color="000000" w:fill="203764"/>
            <w:noWrap/>
            <w:vAlign w:val="center"/>
            <w:hideMark/>
          </w:tcPr>
          <w:p w14:paraId="6206099F"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3,241,847,661</w:t>
            </w:r>
          </w:p>
        </w:tc>
        <w:tc>
          <w:tcPr>
            <w:tcW w:w="1311" w:type="dxa"/>
            <w:tcBorders>
              <w:top w:val="nil"/>
              <w:left w:val="nil"/>
              <w:bottom w:val="single" w:sz="4" w:space="0" w:color="auto"/>
              <w:right w:val="single" w:sz="4" w:space="0" w:color="auto"/>
            </w:tcBorders>
            <w:shd w:val="clear" w:color="000000" w:fill="203764"/>
            <w:noWrap/>
            <w:vAlign w:val="center"/>
            <w:hideMark/>
          </w:tcPr>
          <w:p w14:paraId="1CAC082F"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93%</w:t>
            </w:r>
          </w:p>
        </w:tc>
        <w:tc>
          <w:tcPr>
            <w:tcW w:w="1599" w:type="dxa"/>
            <w:tcBorders>
              <w:top w:val="nil"/>
              <w:left w:val="nil"/>
              <w:bottom w:val="single" w:sz="4" w:space="0" w:color="auto"/>
              <w:right w:val="single" w:sz="4" w:space="0" w:color="auto"/>
            </w:tcBorders>
            <w:shd w:val="clear" w:color="000000" w:fill="203764"/>
            <w:noWrap/>
            <w:vAlign w:val="center"/>
            <w:hideMark/>
          </w:tcPr>
          <w:p w14:paraId="0EC2AA60"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237,569,422</w:t>
            </w:r>
          </w:p>
        </w:tc>
      </w:tr>
      <w:tr w:rsidR="008B4370" w:rsidRPr="008B4370" w14:paraId="70ECCD0C"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1DD98302"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 xml:space="preserve">1.1 - Impuestos </w:t>
            </w:r>
          </w:p>
        </w:tc>
        <w:tc>
          <w:tcPr>
            <w:tcW w:w="1966" w:type="dxa"/>
            <w:tcBorders>
              <w:top w:val="nil"/>
              <w:left w:val="nil"/>
              <w:bottom w:val="single" w:sz="4" w:space="0" w:color="auto"/>
              <w:right w:val="single" w:sz="4" w:space="0" w:color="auto"/>
            </w:tcBorders>
            <w:shd w:val="clear" w:color="auto" w:fill="auto"/>
            <w:noWrap/>
            <w:vAlign w:val="center"/>
            <w:hideMark/>
          </w:tcPr>
          <w:p w14:paraId="3C839EB2"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1,598,951,559</w:t>
            </w:r>
          </w:p>
        </w:tc>
        <w:tc>
          <w:tcPr>
            <w:tcW w:w="1599" w:type="dxa"/>
            <w:tcBorders>
              <w:top w:val="nil"/>
              <w:left w:val="nil"/>
              <w:bottom w:val="single" w:sz="4" w:space="0" w:color="auto"/>
              <w:right w:val="single" w:sz="4" w:space="0" w:color="auto"/>
            </w:tcBorders>
            <w:shd w:val="clear" w:color="auto" w:fill="auto"/>
            <w:noWrap/>
            <w:vAlign w:val="center"/>
            <w:hideMark/>
          </w:tcPr>
          <w:p w14:paraId="206BEAA2"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1,610,632,720</w:t>
            </w:r>
          </w:p>
        </w:tc>
        <w:tc>
          <w:tcPr>
            <w:tcW w:w="1311" w:type="dxa"/>
            <w:tcBorders>
              <w:top w:val="nil"/>
              <w:left w:val="nil"/>
              <w:bottom w:val="single" w:sz="4" w:space="0" w:color="auto"/>
              <w:right w:val="single" w:sz="4" w:space="0" w:color="auto"/>
            </w:tcBorders>
            <w:shd w:val="clear" w:color="auto" w:fill="auto"/>
            <w:noWrap/>
            <w:vAlign w:val="center"/>
            <w:hideMark/>
          </w:tcPr>
          <w:p w14:paraId="671505C4"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101%</w:t>
            </w:r>
          </w:p>
        </w:tc>
        <w:tc>
          <w:tcPr>
            <w:tcW w:w="1599" w:type="dxa"/>
            <w:tcBorders>
              <w:top w:val="nil"/>
              <w:left w:val="nil"/>
              <w:bottom w:val="single" w:sz="4" w:space="0" w:color="auto"/>
              <w:right w:val="single" w:sz="4" w:space="0" w:color="auto"/>
            </w:tcBorders>
            <w:shd w:val="clear" w:color="000000" w:fill="FFFFFF"/>
            <w:noWrap/>
            <w:vAlign w:val="center"/>
            <w:hideMark/>
          </w:tcPr>
          <w:p w14:paraId="2C8B23E5"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-11,681,161</w:t>
            </w:r>
          </w:p>
        </w:tc>
      </w:tr>
      <w:tr w:rsidR="008B4370" w:rsidRPr="008B4370" w14:paraId="67531E84"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478342CA"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1.6 - Otros Ingresos</w:t>
            </w:r>
          </w:p>
        </w:tc>
        <w:tc>
          <w:tcPr>
            <w:tcW w:w="1966" w:type="dxa"/>
            <w:tcBorders>
              <w:top w:val="nil"/>
              <w:left w:val="nil"/>
              <w:bottom w:val="single" w:sz="4" w:space="0" w:color="auto"/>
              <w:right w:val="single" w:sz="4" w:space="0" w:color="auto"/>
            </w:tcBorders>
            <w:shd w:val="clear" w:color="auto" w:fill="auto"/>
            <w:noWrap/>
            <w:vAlign w:val="center"/>
            <w:hideMark/>
          </w:tcPr>
          <w:p w14:paraId="11A61BEC"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1,880,465,524</w:t>
            </w:r>
          </w:p>
        </w:tc>
        <w:tc>
          <w:tcPr>
            <w:tcW w:w="1599" w:type="dxa"/>
            <w:tcBorders>
              <w:top w:val="nil"/>
              <w:left w:val="nil"/>
              <w:bottom w:val="single" w:sz="4" w:space="0" w:color="auto"/>
              <w:right w:val="single" w:sz="4" w:space="0" w:color="auto"/>
            </w:tcBorders>
            <w:shd w:val="clear" w:color="auto" w:fill="auto"/>
            <w:noWrap/>
            <w:vAlign w:val="center"/>
            <w:hideMark/>
          </w:tcPr>
          <w:p w14:paraId="2C89ECBA"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1,631,214,941</w:t>
            </w:r>
          </w:p>
        </w:tc>
        <w:tc>
          <w:tcPr>
            <w:tcW w:w="1311" w:type="dxa"/>
            <w:tcBorders>
              <w:top w:val="nil"/>
              <w:left w:val="nil"/>
              <w:bottom w:val="single" w:sz="4" w:space="0" w:color="auto"/>
              <w:right w:val="single" w:sz="4" w:space="0" w:color="auto"/>
            </w:tcBorders>
            <w:shd w:val="clear" w:color="auto" w:fill="auto"/>
            <w:noWrap/>
            <w:vAlign w:val="center"/>
            <w:hideMark/>
          </w:tcPr>
          <w:p w14:paraId="424B53B1"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87%</w:t>
            </w:r>
          </w:p>
        </w:tc>
        <w:tc>
          <w:tcPr>
            <w:tcW w:w="1599" w:type="dxa"/>
            <w:tcBorders>
              <w:top w:val="nil"/>
              <w:left w:val="nil"/>
              <w:bottom w:val="single" w:sz="4" w:space="0" w:color="auto"/>
              <w:right w:val="single" w:sz="4" w:space="0" w:color="auto"/>
            </w:tcBorders>
            <w:shd w:val="clear" w:color="000000" w:fill="FFFFFF"/>
            <w:noWrap/>
            <w:vAlign w:val="center"/>
            <w:hideMark/>
          </w:tcPr>
          <w:p w14:paraId="5ED68903"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249,250,582</w:t>
            </w:r>
          </w:p>
        </w:tc>
      </w:tr>
      <w:tr w:rsidR="008B4370" w:rsidRPr="008B4370" w14:paraId="031192A5" w14:textId="77777777" w:rsidTr="008B4370">
        <w:trPr>
          <w:trHeight w:val="292"/>
        </w:trPr>
        <w:tc>
          <w:tcPr>
            <w:tcW w:w="1435" w:type="dxa"/>
            <w:tcBorders>
              <w:top w:val="nil"/>
              <w:left w:val="single" w:sz="4" w:space="0" w:color="auto"/>
              <w:bottom w:val="single" w:sz="4" w:space="0" w:color="auto"/>
              <w:right w:val="single" w:sz="4" w:space="0" w:color="auto"/>
            </w:tcBorders>
            <w:shd w:val="clear" w:color="000000" w:fill="203764"/>
            <w:noWrap/>
            <w:vAlign w:val="center"/>
            <w:hideMark/>
          </w:tcPr>
          <w:p w14:paraId="7AC69367" w14:textId="77777777" w:rsidR="008B4370" w:rsidRPr="009714C2" w:rsidRDefault="008B4370" w:rsidP="008B4370">
            <w:pP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Gastos Totales</w:t>
            </w:r>
          </w:p>
        </w:tc>
        <w:tc>
          <w:tcPr>
            <w:tcW w:w="1966" w:type="dxa"/>
            <w:tcBorders>
              <w:top w:val="nil"/>
              <w:left w:val="nil"/>
              <w:bottom w:val="single" w:sz="4" w:space="0" w:color="auto"/>
              <w:right w:val="single" w:sz="4" w:space="0" w:color="auto"/>
            </w:tcBorders>
            <w:shd w:val="clear" w:color="000000" w:fill="203764"/>
            <w:noWrap/>
            <w:vAlign w:val="center"/>
            <w:hideMark/>
          </w:tcPr>
          <w:p w14:paraId="2F11D460"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3,479,417,083</w:t>
            </w:r>
          </w:p>
        </w:tc>
        <w:tc>
          <w:tcPr>
            <w:tcW w:w="1599" w:type="dxa"/>
            <w:tcBorders>
              <w:top w:val="nil"/>
              <w:left w:val="nil"/>
              <w:bottom w:val="single" w:sz="4" w:space="0" w:color="auto"/>
              <w:right w:val="single" w:sz="4" w:space="0" w:color="auto"/>
            </w:tcBorders>
            <w:shd w:val="clear" w:color="000000" w:fill="203764"/>
            <w:noWrap/>
            <w:vAlign w:val="center"/>
            <w:hideMark/>
          </w:tcPr>
          <w:p w14:paraId="5A0D2763"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1,394,456,229</w:t>
            </w:r>
          </w:p>
        </w:tc>
        <w:tc>
          <w:tcPr>
            <w:tcW w:w="1311" w:type="dxa"/>
            <w:tcBorders>
              <w:top w:val="nil"/>
              <w:left w:val="nil"/>
              <w:bottom w:val="single" w:sz="4" w:space="0" w:color="auto"/>
              <w:right w:val="single" w:sz="4" w:space="0" w:color="auto"/>
            </w:tcBorders>
            <w:shd w:val="clear" w:color="000000" w:fill="203764"/>
            <w:noWrap/>
            <w:vAlign w:val="center"/>
            <w:hideMark/>
          </w:tcPr>
          <w:p w14:paraId="45ACE9DD"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40%</w:t>
            </w:r>
          </w:p>
        </w:tc>
        <w:tc>
          <w:tcPr>
            <w:tcW w:w="1599" w:type="dxa"/>
            <w:tcBorders>
              <w:top w:val="nil"/>
              <w:left w:val="nil"/>
              <w:bottom w:val="single" w:sz="4" w:space="0" w:color="auto"/>
              <w:right w:val="single" w:sz="4" w:space="0" w:color="auto"/>
            </w:tcBorders>
            <w:shd w:val="clear" w:color="000000" w:fill="203764"/>
            <w:noWrap/>
            <w:vAlign w:val="center"/>
            <w:hideMark/>
          </w:tcPr>
          <w:p w14:paraId="1594A884"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2,084,960,854</w:t>
            </w:r>
          </w:p>
        </w:tc>
      </w:tr>
      <w:tr w:rsidR="008B4370" w:rsidRPr="008B4370" w14:paraId="3170CB98"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54336A61"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2.1 - Remuneraciones y Contribuciones</w:t>
            </w:r>
          </w:p>
        </w:tc>
        <w:tc>
          <w:tcPr>
            <w:tcW w:w="1966" w:type="dxa"/>
            <w:tcBorders>
              <w:top w:val="nil"/>
              <w:left w:val="nil"/>
              <w:bottom w:val="single" w:sz="4" w:space="0" w:color="auto"/>
              <w:right w:val="single" w:sz="4" w:space="0" w:color="auto"/>
            </w:tcBorders>
            <w:shd w:val="clear" w:color="auto" w:fill="auto"/>
            <w:noWrap/>
            <w:vAlign w:val="center"/>
            <w:hideMark/>
          </w:tcPr>
          <w:p w14:paraId="5384EC0C"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1,065,132,807</w:t>
            </w:r>
          </w:p>
        </w:tc>
        <w:tc>
          <w:tcPr>
            <w:tcW w:w="1599" w:type="dxa"/>
            <w:tcBorders>
              <w:top w:val="nil"/>
              <w:left w:val="nil"/>
              <w:bottom w:val="single" w:sz="4" w:space="0" w:color="auto"/>
              <w:right w:val="single" w:sz="4" w:space="0" w:color="auto"/>
            </w:tcBorders>
            <w:shd w:val="clear" w:color="auto" w:fill="auto"/>
            <w:noWrap/>
            <w:vAlign w:val="center"/>
            <w:hideMark/>
          </w:tcPr>
          <w:p w14:paraId="2D606CEA"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949,501,321</w:t>
            </w:r>
          </w:p>
        </w:tc>
        <w:tc>
          <w:tcPr>
            <w:tcW w:w="1311" w:type="dxa"/>
            <w:tcBorders>
              <w:top w:val="nil"/>
              <w:left w:val="nil"/>
              <w:bottom w:val="single" w:sz="4" w:space="0" w:color="auto"/>
              <w:right w:val="single" w:sz="4" w:space="0" w:color="auto"/>
            </w:tcBorders>
            <w:shd w:val="clear" w:color="auto" w:fill="auto"/>
            <w:noWrap/>
            <w:vAlign w:val="center"/>
            <w:hideMark/>
          </w:tcPr>
          <w:p w14:paraId="673F1DB4"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89%</w:t>
            </w:r>
          </w:p>
        </w:tc>
        <w:tc>
          <w:tcPr>
            <w:tcW w:w="1599" w:type="dxa"/>
            <w:tcBorders>
              <w:top w:val="nil"/>
              <w:left w:val="nil"/>
              <w:bottom w:val="single" w:sz="4" w:space="0" w:color="auto"/>
              <w:right w:val="single" w:sz="4" w:space="0" w:color="auto"/>
            </w:tcBorders>
            <w:shd w:val="clear" w:color="000000" w:fill="FFFFFF"/>
            <w:noWrap/>
            <w:vAlign w:val="center"/>
            <w:hideMark/>
          </w:tcPr>
          <w:p w14:paraId="7B637447"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115,631,486</w:t>
            </w:r>
          </w:p>
        </w:tc>
      </w:tr>
      <w:tr w:rsidR="008B4370" w:rsidRPr="008B4370" w14:paraId="1A1B0A79"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4F3F4D2D"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 xml:space="preserve">2.2 - Contratación De Servicios </w:t>
            </w:r>
          </w:p>
        </w:tc>
        <w:tc>
          <w:tcPr>
            <w:tcW w:w="1966" w:type="dxa"/>
            <w:tcBorders>
              <w:top w:val="nil"/>
              <w:left w:val="nil"/>
              <w:bottom w:val="single" w:sz="4" w:space="0" w:color="auto"/>
              <w:right w:val="single" w:sz="4" w:space="0" w:color="auto"/>
            </w:tcBorders>
            <w:shd w:val="clear" w:color="auto" w:fill="auto"/>
            <w:noWrap/>
            <w:vAlign w:val="center"/>
            <w:hideMark/>
          </w:tcPr>
          <w:p w14:paraId="4A8091B6"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614,265,107</w:t>
            </w:r>
          </w:p>
        </w:tc>
        <w:tc>
          <w:tcPr>
            <w:tcW w:w="1599" w:type="dxa"/>
            <w:tcBorders>
              <w:top w:val="nil"/>
              <w:left w:val="nil"/>
              <w:bottom w:val="single" w:sz="4" w:space="0" w:color="auto"/>
              <w:right w:val="single" w:sz="4" w:space="0" w:color="auto"/>
            </w:tcBorders>
            <w:shd w:val="clear" w:color="auto" w:fill="auto"/>
            <w:noWrap/>
            <w:vAlign w:val="center"/>
            <w:hideMark/>
          </w:tcPr>
          <w:p w14:paraId="4162CF34"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333,633,888</w:t>
            </w:r>
          </w:p>
        </w:tc>
        <w:tc>
          <w:tcPr>
            <w:tcW w:w="1311" w:type="dxa"/>
            <w:tcBorders>
              <w:top w:val="nil"/>
              <w:left w:val="nil"/>
              <w:bottom w:val="single" w:sz="4" w:space="0" w:color="auto"/>
              <w:right w:val="single" w:sz="4" w:space="0" w:color="auto"/>
            </w:tcBorders>
            <w:shd w:val="clear" w:color="auto" w:fill="auto"/>
            <w:noWrap/>
            <w:vAlign w:val="center"/>
            <w:hideMark/>
          </w:tcPr>
          <w:p w14:paraId="06B3E0CD"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54%</w:t>
            </w:r>
          </w:p>
        </w:tc>
        <w:tc>
          <w:tcPr>
            <w:tcW w:w="1599" w:type="dxa"/>
            <w:tcBorders>
              <w:top w:val="nil"/>
              <w:left w:val="nil"/>
              <w:bottom w:val="single" w:sz="4" w:space="0" w:color="auto"/>
              <w:right w:val="single" w:sz="4" w:space="0" w:color="auto"/>
            </w:tcBorders>
            <w:shd w:val="clear" w:color="000000" w:fill="FFFFFF"/>
            <w:noWrap/>
            <w:vAlign w:val="center"/>
            <w:hideMark/>
          </w:tcPr>
          <w:p w14:paraId="3DC3C2F5"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280,631,219</w:t>
            </w:r>
          </w:p>
        </w:tc>
      </w:tr>
      <w:tr w:rsidR="008B4370" w:rsidRPr="008B4370" w14:paraId="7A602053"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1A6D72CA"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2.3 - Materiales y Suministros</w:t>
            </w:r>
          </w:p>
        </w:tc>
        <w:tc>
          <w:tcPr>
            <w:tcW w:w="1966" w:type="dxa"/>
            <w:tcBorders>
              <w:top w:val="nil"/>
              <w:left w:val="nil"/>
              <w:bottom w:val="single" w:sz="4" w:space="0" w:color="auto"/>
              <w:right w:val="single" w:sz="4" w:space="0" w:color="auto"/>
            </w:tcBorders>
            <w:shd w:val="clear" w:color="auto" w:fill="auto"/>
            <w:noWrap/>
            <w:vAlign w:val="center"/>
            <w:hideMark/>
          </w:tcPr>
          <w:p w14:paraId="73D97703"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58,030,735</w:t>
            </w:r>
          </w:p>
        </w:tc>
        <w:tc>
          <w:tcPr>
            <w:tcW w:w="1599" w:type="dxa"/>
            <w:tcBorders>
              <w:top w:val="nil"/>
              <w:left w:val="nil"/>
              <w:bottom w:val="single" w:sz="4" w:space="0" w:color="auto"/>
              <w:right w:val="single" w:sz="4" w:space="0" w:color="auto"/>
            </w:tcBorders>
            <w:shd w:val="clear" w:color="auto" w:fill="auto"/>
            <w:noWrap/>
            <w:vAlign w:val="center"/>
            <w:hideMark/>
          </w:tcPr>
          <w:p w14:paraId="78B7A0CD"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26,050,621</w:t>
            </w:r>
          </w:p>
        </w:tc>
        <w:tc>
          <w:tcPr>
            <w:tcW w:w="1311" w:type="dxa"/>
            <w:tcBorders>
              <w:top w:val="nil"/>
              <w:left w:val="nil"/>
              <w:bottom w:val="single" w:sz="4" w:space="0" w:color="auto"/>
              <w:right w:val="single" w:sz="4" w:space="0" w:color="auto"/>
            </w:tcBorders>
            <w:shd w:val="clear" w:color="auto" w:fill="auto"/>
            <w:noWrap/>
            <w:vAlign w:val="center"/>
            <w:hideMark/>
          </w:tcPr>
          <w:p w14:paraId="37A0DC46"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45%</w:t>
            </w:r>
          </w:p>
        </w:tc>
        <w:tc>
          <w:tcPr>
            <w:tcW w:w="1599" w:type="dxa"/>
            <w:tcBorders>
              <w:top w:val="nil"/>
              <w:left w:val="nil"/>
              <w:bottom w:val="single" w:sz="4" w:space="0" w:color="auto"/>
              <w:right w:val="single" w:sz="4" w:space="0" w:color="auto"/>
            </w:tcBorders>
            <w:shd w:val="clear" w:color="000000" w:fill="FFFFFF"/>
            <w:noWrap/>
            <w:vAlign w:val="center"/>
            <w:hideMark/>
          </w:tcPr>
          <w:p w14:paraId="312F3063"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31,980,114</w:t>
            </w:r>
          </w:p>
        </w:tc>
      </w:tr>
      <w:tr w:rsidR="008B4370" w:rsidRPr="008B4370" w14:paraId="4B459BD1"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54C5129A"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2.4 - Transferencias Corrientes</w:t>
            </w:r>
          </w:p>
        </w:tc>
        <w:tc>
          <w:tcPr>
            <w:tcW w:w="1966" w:type="dxa"/>
            <w:tcBorders>
              <w:top w:val="nil"/>
              <w:left w:val="nil"/>
              <w:bottom w:val="single" w:sz="4" w:space="0" w:color="auto"/>
              <w:right w:val="single" w:sz="4" w:space="0" w:color="auto"/>
            </w:tcBorders>
            <w:shd w:val="clear" w:color="auto" w:fill="auto"/>
            <w:noWrap/>
            <w:vAlign w:val="center"/>
            <w:hideMark/>
          </w:tcPr>
          <w:p w14:paraId="276780ED"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1,233,156,670</w:t>
            </w:r>
          </w:p>
        </w:tc>
        <w:tc>
          <w:tcPr>
            <w:tcW w:w="1599" w:type="dxa"/>
            <w:tcBorders>
              <w:top w:val="nil"/>
              <w:left w:val="nil"/>
              <w:bottom w:val="single" w:sz="4" w:space="0" w:color="auto"/>
              <w:right w:val="single" w:sz="4" w:space="0" w:color="auto"/>
            </w:tcBorders>
            <w:shd w:val="clear" w:color="auto" w:fill="auto"/>
            <w:noWrap/>
            <w:vAlign w:val="center"/>
            <w:hideMark/>
          </w:tcPr>
          <w:p w14:paraId="48C9DBEA"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26,971,803</w:t>
            </w:r>
          </w:p>
        </w:tc>
        <w:tc>
          <w:tcPr>
            <w:tcW w:w="1311" w:type="dxa"/>
            <w:tcBorders>
              <w:top w:val="nil"/>
              <w:left w:val="nil"/>
              <w:bottom w:val="single" w:sz="4" w:space="0" w:color="auto"/>
              <w:right w:val="single" w:sz="4" w:space="0" w:color="auto"/>
            </w:tcBorders>
            <w:shd w:val="clear" w:color="auto" w:fill="auto"/>
            <w:noWrap/>
            <w:vAlign w:val="center"/>
            <w:hideMark/>
          </w:tcPr>
          <w:p w14:paraId="0306755B"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w:t>
            </w:r>
          </w:p>
        </w:tc>
        <w:tc>
          <w:tcPr>
            <w:tcW w:w="1599" w:type="dxa"/>
            <w:tcBorders>
              <w:top w:val="nil"/>
              <w:left w:val="nil"/>
              <w:bottom w:val="single" w:sz="4" w:space="0" w:color="auto"/>
              <w:right w:val="single" w:sz="4" w:space="0" w:color="auto"/>
            </w:tcBorders>
            <w:shd w:val="clear" w:color="000000" w:fill="FFFFFF"/>
            <w:noWrap/>
            <w:vAlign w:val="center"/>
            <w:hideMark/>
          </w:tcPr>
          <w:p w14:paraId="29D0D344"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1,206,184,867</w:t>
            </w:r>
          </w:p>
        </w:tc>
      </w:tr>
      <w:tr w:rsidR="008B4370" w:rsidRPr="008B4370" w14:paraId="0C39DE4F"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48776FAD"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 xml:space="preserve">2.5 - Transferencias de Capital </w:t>
            </w:r>
          </w:p>
        </w:tc>
        <w:tc>
          <w:tcPr>
            <w:tcW w:w="1966" w:type="dxa"/>
            <w:tcBorders>
              <w:top w:val="nil"/>
              <w:left w:val="nil"/>
              <w:bottom w:val="single" w:sz="4" w:space="0" w:color="auto"/>
              <w:right w:val="single" w:sz="4" w:space="0" w:color="auto"/>
            </w:tcBorders>
            <w:shd w:val="clear" w:color="auto" w:fill="auto"/>
            <w:noWrap/>
            <w:vAlign w:val="center"/>
            <w:hideMark/>
          </w:tcPr>
          <w:p w14:paraId="29041604"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109,668,111</w:t>
            </w:r>
          </w:p>
        </w:tc>
        <w:tc>
          <w:tcPr>
            <w:tcW w:w="1599" w:type="dxa"/>
            <w:tcBorders>
              <w:top w:val="nil"/>
              <w:left w:val="nil"/>
              <w:bottom w:val="single" w:sz="4" w:space="0" w:color="auto"/>
              <w:right w:val="single" w:sz="4" w:space="0" w:color="auto"/>
            </w:tcBorders>
            <w:shd w:val="clear" w:color="auto" w:fill="auto"/>
            <w:noWrap/>
            <w:vAlign w:val="center"/>
            <w:hideMark/>
          </w:tcPr>
          <w:p w14:paraId="1CCD6CF3"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21,476,188</w:t>
            </w:r>
          </w:p>
        </w:tc>
        <w:tc>
          <w:tcPr>
            <w:tcW w:w="1311" w:type="dxa"/>
            <w:tcBorders>
              <w:top w:val="nil"/>
              <w:left w:val="nil"/>
              <w:bottom w:val="single" w:sz="4" w:space="0" w:color="auto"/>
              <w:right w:val="single" w:sz="4" w:space="0" w:color="auto"/>
            </w:tcBorders>
            <w:shd w:val="clear" w:color="auto" w:fill="auto"/>
            <w:noWrap/>
            <w:vAlign w:val="center"/>
            <w:hideMark/>
          </w:tcPr>
          <w:p w14:paraId="0FD9636C"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20%</w:t>
            </w:r>
          </w:p>
        </w:tc>
        <w:tc>
          <w:tcPr>
            <w:tcW w:w="1599" w:type="dxa"/>
            <w:tcBorders>
              <w:top w:val="nil"/>
              <w:left w:val="nil"/>
              <w:bottom w:val="single" w:sz="4" w:space="0" w:color="auto"/>
              <w:right w:val="single" w:sz="4" w:space="0" w:color="auto"/>
            </w:tcBorders>
            <w:shd w:val="clear" w:color="000000" w:fill="FFFFFF"/>
            <w:noWrap/>
            <w:vAlign w:val="center"/>
            <w:hideMark/>
          </w:tcPr>
          <w:p w14:paraId="21C7E21B"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88,191,923</w:t>
            </w:r>
          </w:p>
        </w:tc>
      </w:tr>
      <w:tr w:rsidR="008B4370" w:rsidRPr="008B4370" w14:paraId="235FDABA"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noWrap/>
            <w:vAlign w:val="center"/>
            <w:hideMark/>
          </w:tcPr>
          <w:p w14:paraId="23122E87"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 xml:space="preserve">2.6 - Bienes Muebles, Inmuebles E Intangibles </w:t>
            </w:r>
          </w:p>
        </w:tc>
        <w:tc>
          <w:tcPr>
            <w:tcW w:w="1966" w:type="dxa"/>
            <w:tcBorders>
              <w:top w:val="nil"/>
              <w:left w:val="nil"/>
              <w:bottom w:val="single" w:sz="4" w:space="0" w:color="auto"/>
              <w:right w:val="single" w:sz="4" w:space="0" w:color="auto"/>
            </w:tcBorders>
            <w:shd w:val="clear" w:color="auto" w:fill="auto"/>
            <w:noWrap/>
            <w:vAlign w:val="center"/>
            <w:hideMark/>
          </w:tcPr>
          <w:p w14:paraId="0B8FC2DE"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90,165,153</w:t>
            </w:r>
          </w:p>
        </w:tc>
        <w:tc>
          <w:tcPr>
            <w:tcW w:w="1599" w:type="dxa"/>
            <w:tcBorders>
              <w:top w:val="nil"/>
              <w:left w:val="nil"/>
              <w:bottom w:val="single" w:sz="4" w:space="0" w:color="auto"/>
              <w:right w:val="single" w:sz="4" w:space="0" w:color="auto"/>
            </w:tcBorders>
            <w:shd w:val="clear" w:color="auto" w:fill="auto"/>
            <w:noWrap/>
            <w:vAlign w:val="center"/>
            <w:hideMark/>
          </w:tcPr>
          <w:p w14:paraId="25337F9D"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36,822,406</w:t>
            </w:r>
          </w:p>
        </w:tc>
        <w:tc>
          <w:tcPr>
            <w:tcW w:w="1311" w:type="dxa"/>
            <w:tcBorders>
              <w:top w:val="nil"/>
              <w:left w:val="nil"/>
              <w:bottom w:val="single" w:sz="4" w:space="0" w:color="auto"/>
              <w:right w:val="single" w:sz="4" w:space="0" w:color="auto"/>
            </w:tcBorders>
            <w:shd w:val="clear" w:color="auto" w:fill="auto"/>
            <w:noWrap/>
            <w:vAlign w:val="center"/>
            <w:hideMark/>
          </w:tcPr>
          <w:p w14:paraId="43B37005"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41%</w:t>
            </w:r>
          </w:p>
        </w:tc>
        <w:tc>
          <w:tcPr>
            <w:tcW w:w="1599" w:type="dxa"/>
            <w:tcBorders>
              <w:top w:val="nil"/>
              <w:left w:val="nil"/>
              <w:bottom w:val="single" w:sz="4" w:space="0" w:color="auto"/>
              <w:right w:val="single" w:sz="4" w:space="0" w:color="auto"/>
            </w:tcBorders>
            <w:shd w:val="clear" w:color="000000" w:fill="FFFFFF"/>
            <w:noWrap/>
            <w:vAlign w:val="center"/>
            <w:hideMark/>
          </w:tcPr>
          <w:p w14:paraId="55DD3C51"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53,342,747</w:t>
            </w:r>
          </w:p>
        </w:tc>
      </w:tr>
      <w:tr w:rsidR="008B4370" w:rsidRPr="008B4370" w14:paraId="39EBD3E0" w14:textId="77777777" w:rsidTr="008B4370">
        <w:trPr>
          <w:trHeight w:val="266"/>
        </w:trPr>
        <w:tc>
          <w:tcPr>
            <w:tcW w:w="1435" w:type="dxa"/>
            <w:tcBorders>
              <w:top w:val="nil"/>
              <w:left w:val="single" w:sz="4" w:space="0" w:color="auto"/>
              <w:bottom w:val="single" w:sz="4" w:space="0" w:color="auto"/>
              <w:right w:val="single" w:sz="4" w:space="0" w:color="auto"/>
            </w:tcBorders>
            <w:shd w:val="clear" w:color="auto" w:fill="auto"/>
            <w:vAlign w:val="center"/>
            <w:hideMark/>
          </w:tcPr>
          <w:p w14:paraId="2F56C93E" w14:textId="77777777" w:rsidR="008B4370" w:rsidRPr="008B4370" w:rsidRDefault="008B4370" w:rsidP="008B4370">
            <w:pP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2.7 – Obras</w:t>
            </w:r>
          </w:p>
        </w:tc>
        <w:tc>
          <w:tcPr>
            <w:tcW w:w="1966" w:type="dxa"/>
            <w:tcBorders>
              <w:top w:val="nil"/>
              <w:left w:val="nil"/>
              <w:bottom w:val="single" w:sz="4" w:space="0" w:color="auto"/>
              <w:right w:val="single" w:sz="4" w:space="0" w:color="auto"/>
            </w:tcBorders>
            <w:shd w:val="clear" w:color="auto" w:fill="auto"/>
            <w:noWrap/>
            <w:vAlign w:val="center"/>
            <w:hideMark/>
          </w:tcPr>
          <w:p w14:paraId="2F7327CA"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308,998,500</w:t>
            </w:r>
          </w:p>
        </w:tc>
        <w:tc>
          <w:tcPr>
            <w:tcW w:w="1599" w:type="dxa"/>
            <w:tcBorders>
              <w:top w:val="nil"/>
              <w:left w:val="nil"/>
              <w:bottom w:val="single" w:sz="4" w:space="0" w:color="auto"/>
              <w:right w:val="single" w:sz="4" w:space="0" w:color="auto"/>
            </w:tcBorders>
            <w:shd w:val="clear" w:color="auto" w:fill="auto"/>
            <w:noWrap/>
            <w:vAlign w:val="center"/>
            <w:hideMark/>
          </w:tcPr>
          <w:p w14:paraId="6FCA492C"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0</w:t>
            </w:r>
          </w:p>
        </w:tc>
        <w:tc>
          <w:tcPr>
            <w:tcW w:w="1311" w:type="dxa"/>
            <w:tcBorders>
              <w:top w:val="nil"/>
              <w:left w:val="nil"/>
              <w:bottom w:val="single" w:sz="4" w:space="0" w:color="auto"/>
              <w:right w:val="single" w:sz="4" w:space="0" w:color="auto"/>
            </w:tcBorders>
            <w:shd w:val="clear" w:color="auto" w:fill="auto"/>
            <w:noWrap/>
            <w:vAlign w:val="center"/>
            <w:hideMark/>
          </w:tcPr>
          <w:p w14:paraId="3E660031" w14:textId="77777777" w:rsidR="008B4370" w:rsidRPr="008B4370" w:rsidRDefault="008B4370" w:rsidP="008B4370">
            <w:pPr>
              <w:jc w:val="center"/>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0%</w:t>
            </w:r>
          </w:p>
        </w:tc>
        <w:tc>
          <w:tcPr>
            <w:tcW w:w="1599" w:type="dxa"/>
            <w:tcBorders>
              <w:top w:val="nil"/>
              <w:left w:val="nil"/>
              <w:bottom w:val="single" w:sz="4" w:space="0" w:color="auto"/>
              <w:right w:val="single" w:sz="4" w:space="0" w:color="auto"/>
            </w:tcBorders>
            <w:shd w:val="clear" w:color="000000" w:fill="FFFFFF"/>
            <w:noWrap/>
            <w:vAlign w:val="center"/>
            <w:hideMark/>
          </w:tcPr>
          <w:p w14:paraId="6A221E28" w14:textId="77777777" w:rsidR="008B4370" w:rsidRPr="008B4370" w:rsidRDefault="008B4370" w:rsidP="008B4370">
            <w:pPr>
              <w:jc w:val="right"/>
              <w:rPr>
                <w:rFonts w:ascii="Times New Roman" w:eastAsia="Calibri" w:hAnsi="Times New Roman" w:cs="Times New Roman"/>
                <w:color w:val="4C4747"/>
                <w:spacing w:val="20"/>
                <w:sz w:val="18"/>
                <w:szCs w:val="18"/>
                <w:lang w:val="es-DO"/>
              </w:rPr>
            </w:pPr>
            <w:r w:rsidRPr="008B4370">
              <w:rPr>
                <w:rFonts w:ascii="Times New Roman" w:eastAsia="Calibri" w:hAnsi="Times New Roman" w:cs="Times New Roman"/>
                <w:color w:val="4C4747"/>
                <w:spacing w:val="20"/>
                <w:sz w:val="18"/>
                <w:szCs w:val="18"/>
                <w:lang w:val="es-DO"/>
              </w:rPr>
              <w:t>308,998,500</w:t>
            </w:r>
          </w:p>
        </w:tc>
      </w:tr>
      <w:tr w:rsidR="008B4370" w:rsidRPr="009714C2" w14:paraId="76243BD9" w14:textId="77777777" w:rsidTr="008B4370">
        <w:trPr>
          <w:trHeight w:val="266"/>
        </w:trPr>
        <w:tc>
          <w:tcPr>
            <w:tcW w:w="1435" w:type="dxa"/>
            <w:tcBorders>
              <w:top w:val="nil"/>
              <w:left w:val="single" w:sz="4" w:space="0" w:color="auto"/>
              <w:bottom w:val="single" w:sz="4" w:space="0" w:color="auto"/>
              <w:right w:val="single" w:sz="4" w:space="0" w:color="auto"/>
            </w:tcBorders>
            <w:shd w:val="clear" w:color="000000" w:fill="203764"/>
            <w:noWrap/>
            <w:vAlign w:val="center"/>
            <w:hideMark/>
          </w:tcPr>
          <w:p w14:paraId="272C0F12" w14:textId="77777777" w:rsidR="008B4370" w:rsidRPr="009714C2" w:rsidRDefault="008B4370" w:rsidP="008B4370">
            <w:pP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Resultado Financiero (1-2)</w:t>
            </w:r>
          </w:p>
        </w:tc>
        <w:tc>
          <w:tcPr>
            <w:tcW w:w="1966" w:type="dxa"/>
            <w:tcBorders>
              <w:top w:val="nil"/>
              <w:left w:val="nil"/>
              <w:bottom w:val="single" w:sz="4" w:space="0" w:color="auto"/>
              <w:right w:val="single" w:sz="4" w:space="0" w:color="auto"/>
            </w:tcBorders>
            <w:shd w:val="clear" w:color="000000" w:fill="203764"/>
            <w:noWrap/>
            <w:vAlign w:val="center"/>
            <w:hideMark/>
          </w:tcPr>
          <w:p w14:paraId="604ADF15"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0</w:t>
            </w:r>
          </w:p>
        </w:tc>
        <w:tc>
          <w:tcPr>
            <w:tcW w:w="1599" w:type="dxa"/>
            <w:tcBorders>
              <w:top w:val="nil"/>
              <w:left w:val="nil"/>
              <w:bottom w:val="single" w:sz="4" w:space="0" w:color="auto"/>
              <w:right w:val="single" w:sz="4" w:space="0" w:color="auto"/>
            </w:tcBorders>
            <w:shd w:val="clear" w:color="000000" w:fill="203764"/>
            <w:noWrap/>
            <w:vAlign w:val="center"/>
            <w:hideMark/>
          </w:tcPr>
          <w:p w14:paraId="335D15A7"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1,847,391,432</w:t>
            </w:r>
          </w:p>
        </w:tc>
        <w:tc>
          <w:tcPr>
            <w:tcW w:w="1311" w:type="dxa"/>
            <w:tcBorders>
              <w:top w:val="nil"/>
              <w:left w:val="nil"/>
              <w:bottom w:val="single" w:sz="4" w:space="0" w:color="auto"/>
              <w:right w:val="single" w:sz="4" w:space="0" w:color="auto"/>
            </w:tcBorders>
            <w:shd w:val="clear" w:color="000000" w:fill="203764"/>
            <w:noWrap/>
            <w:vAlign w:val="center"/>
            <w:hideMark/>
          </w:tcPr>
          <w:p w14:paraId="15146629" w14:textId="77777777" w:rsidR="008B4370" w:rsidRPr="009714C2" w:rsidRDefault="008B4370" w:rsidP="008B4370">
            <w:pPr>
              <w:jc w:val="center"/>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 </w:t>
            </w:r>
          </w:p>
        </w:tc>
        <w:tc>
          <w:tcPr>
            <w:tcW w:w="1599" w:type="dxa"/>
            <w:tcBorders>
              <w:top w:val="nil"/>
              <w:left w:val="nil"/>
              <w:bottom w:val="single" w:sz="4" w:space="0" w:color="auto"/>
              <w:right w:val="single" w:sz="4" w:space="0" w:color="auto"/>
            </w:tcBorders>
            <w:shd w:val="clear" w:color="000000" w:fill="203764"/>
            <w:noWrap/>
            <w:vAlign w:val="center"/>
            <w:hideMark/>
          </w:tcPr>
          <w:p w14:paraId="4A9FF91A" w14:textId="77777777" w:rsidR="008B4370" w:rsidRPr="009714C2" w:rsidRDefault="008B4370" w:rsidP="008B4370">
            <w:pPr>
              <w:jc w:val="right"/>
              <w:rPr>
                <w:rFonts w:ascii="Times New Roman" w:eastAsia="Calibri" w:hAnsi="Times New Roman" w:cs="Times New Roman"/>
                <w:b/>
                <w:color w:val="FFFFFF" w:themeColor="background1"/>
                <w:spacing w:val="20"/>
                <w:sz w:val="18"/>
                <w:szCs w:val="18"/>
                <w:lang w:val="es-DO"/>
              </w:rPr>
            </w:pPr>
            <w:r w:rsidRPr="009714C2">
              <w:rPr>
                <w:rFonts w:ascii="Times New Roman" w:eastAsia="Calibri" w:hAnsi="Times New Roman" w:cs="Times New Roman"/>
                <w:b/>
                <w:color w:val="FFFFFF" w:themeColor="background1"/>
                <w:spacing w:val="20"/>
                <w:sz w:val="18"/>
                <w:szCs w:val="18"/>
                <w:lang w:val="es-DO"/>
              </w:rPr>
              <w:t>-1,847,391,433</w:t>
            </w:r>
          </w:p>
        </w:tc>
      </w:tr>
    </w:tbl>
    <w:p w14:paraId="38488A0A" w14:textId="77777777" w:rsidR="00326BBB" w:rsidRPr="009714C2" w:rsidRDefault="00326BBB" w:rsidP="00A56B68">
      <w:pPr>
        <w:spacing w:line="360" w:lineRule="auto"/>
        <w:jc w:val="both"/>
        <w:rPr>
          <w:rFonts w:ascii="Times New Roman" w:eastAsia="Calibri" w:hAnsi="Times New Roman" w:cs="Times New Roman"/>
          <w:b/>
          <w:color w:val="4C4747"/>
          <w:spacing w:val="20"/>
          <w:sz w:val="24"/>
          <w:szCs w:val="24"/>
          <w:lang w:val="es-DO"/>
        </w:rPr>
      </w:pPr>
    </w:p>
    <w:p w14:paraId="1ABFA50F" w14:textId="77777777" w:rsidR="00A9501C" w:rsidRPr="009714C2" w:rsidRDefault="00A9501C" w:rsidP="00A56B68">
      <w:pPr>
        <w:spacing w:line="360" w:lineRule="auto"/>
        <w:jc w:val="both"/>
        <w:rPr>
          <w:rFonts w:ascii="Times New Roman" w:eastAsia="Calibri" w:hAnsi="Times New Roman" w:cs="Times New Roman"/>
          <w:b/>
          <w:color w:val="4C4747"/>
          <w:spacing w:val="20"/>
          <w:sz w:val="24"/>
          <w:szCs w:val="24"/>
          <w:lang w:val="es-DO"/>
        </w:rPr>
      </w:pPr>
    </w:p>
    <w:p w14:paraId="472A2AA9" w14:textId="77777777" w:rsidR="00A9501C" w:rsidRPr="00F60454" w:rsidRDefault="00A9501C" w:rsidP="00A56B68">
      <w:pPr>
        <w:spacing w:line="360" w:lineRule="auto"/>
        <w:jc w:val="both"/>
        <w:rPr>
          <w:rFonts w:ascii="Times New Roman" w:eastAsia="Calibri" w:hAnsi="Times New Roman" w:cs="Times New Roman"/>
          <w:color w:val="4C4747"/>
          <w:spacing w:val="20"/>
          <w:sz w:val="24"/>
          <w:szCs w:val="24"/>
          <w:lang w:val="es-DO"/>
        </w:rPr>
      </w:pPr>
    </w:p>
    <w:p w14:paraId="1CEECA18" w14:textId="0DE5C797" w:rsidR="007F67E7" w:rsidRPr="000D7F32" w:rsidRDefault="007F67E7" w:rsidP="00A02BDE">
      <w:pPr>
        <w:pStyle w:val="Prrafodelista"/>
        <w:keepNext/>
        <w:numPr>
          <w:ilvl w:val="0"/>
          <w:numId w:val="36"/>
        </w:numPr>
        <w:spacing w:before="240" w:after="60" w:line="360" w:lineRule="auto"/>
        <w:outlineLvl w:val="2"/>
        <w:rPr>
          <w:rFonts w:ascii="Times New Roman" w:eastAsia="Calibri" w:hAnsi="Times New Roman" w:cs="Times New Roman"/>
          <w:b/>
          <w:color w:val="4C4747"/>
          <w:spacing w:val="20"/>
          <w:sz w:val="24"/>
          <w:szCs w:val="24"/>
          <w:lang w:val="es-DO"/>
        </w:rPr>
      </w:pPr>
      <w:bookmarkStart w:id="50" w:name="_Toc122425260"/>
      <w:bookmarkStart w:id="51" w:name="_GoBack"/>
      <w:bookmarkEnd w:id="51"/>
      <w:r w:rsidRPr="000D7F32">
        <w:rPr>
          <w:rFonts w:ascii="Times New Roman" w:eastAsia="Calibri" w:hAnsi="Times New Roman" w:cs="Times New Roman"/>
          <w:b/>
          <w:color w:val="4C4747"/>
          <w:spacing w:val="20"/>
          <w:sz w:val="24"/>
          <w:szCs w:val="24"/>
          <w:lang w:val="es-DO"/>
        </w:rPr>
        <w:lastRenderedPageBreak/>
        <w:t>Plan Anual de Compras y Contrataciones (PACC)</w:t>
      </w:r>
      <w:bookmarkEnd w:id="50"/>
    </w:p>
    <w:p w14:paraId="5C95C8A8" w14:textId="77777777" w:rsidR="00EF195C" w:rsidRPr="00F60454" w:rsidRDefault="00EF195C" w:rsidP="008B0DE2">
      <w:pPr>
        <w:pStyle w:val="Sinespaciado"/>
        <w:rPr>
          <w:lang w:val="es-DO"/>
        </w:rPr>
      </w:pPr>
    </w:p>
    <w:tbl>
      <w:tblPr>
        <w:tblW w:w="0" w:type="auto"/>
        <w:tblInd w:w="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3925"/>
        <w:gridCol w:w="3955"/>
      </w:tblGrid>
      <w:tr w:rsidR="007F67E7" w:rsidRPr="00F60454" w14:paraId="17813C53" w14:textId="77777777" w:rsidTr="00B41B8D">
        <w:trPr>
          <w:trHeight w:val="315"/>
        </w:trPr>
        <w:tc>
          <w:tcPr>
            <w:tcW w:w="7880" w:type="dxa"/>
            <w:gridSpan w:val="2"/>
            <w:shd w:val="clear" w:color="auto" w:fill="002060"/>
            <w:vAlign w:val="center"/>
            <w:hideMark/>
          </w:tcPr>
          <w:p w14:paraId="0FCBC640" w14:textId="77777777" w:rsidR="007F67E7" w:rsidRPr="00F60454" w:rsidRDefault="007F67E7" w:rsidP="00B41B8D">
            <w:pPr>
              <w:spacing w:after="0" w:line="360" w:lineRule="auto"/>
              <w:jc w:val="center"/>
              <w:rPr>
                <w:rFonts w:ascii="Times New Roman" w:eastAsia="Calibri" w:hAnsi="Times New Roman" w:cs="Times New Roman"/>
                <w:b/>
                <w:color w:val="4C4747"/>
                <w:spacing w:val="20"/>
                <w:sz w:val="24"/>
                <w:szCs w:val="24"/>
                <w:lang w:val="es-DO"/>
              </w:rPr>
            </w:pPr>
            <w:r w:rsidRPr="00F60454">
              <w:rPr>
                <w:rFonts w:ascii="Times New Roman" w:eastAsia="Calibri" w:hAnsi="Times New Roman" w:cs="Times New Roman"/>
                <w:b/>
                <w:color w:val="FFFFFF" w:themeColor="background1"/>
                <w:spacing w:val="20"/>
                <w:sz w:val="24"/>
                <w:szCs w:val="24"/>
                <w:lang w:val="es-DO"/>
              </w:rPr>
              <w:t>Datos de cabecera PACC</w:t>
            </w:r>
          </w:p>
        </w:tc>
      </w:tr>
      <w:tr w:rsidR="007F67E7" w:rsidRPr="00F60454" w14:paraId="57A1B0F7" w14:textId="77777777" w:rsidTr="00B41B8D">
        <w:trPr>
          <w:trHeight w:val="360"/>
        </w:trPr>
        <w:tc>
          <w:tcPr>
            <w:tcW w:w="3925" w:type="dxa"/>
            <w:shd w:val="clear" w:color="auto" w:fill="auto"/>
            <w:vAlign w:val="center"/>
            <w:hideMark/>
          </w:tcPr>
          <w:p w14:paraId="53F40309"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Monto estimado total</w:t>
            </w:r>
          </w:p>
        </w:tc>
        <w:tc>
          <w:tcPr>
            <w:tcW w:w="3955" w:type="dxa"/>
            <w:shd w:val="clear" w:color="auto" w:fill="auto"/>
            <w:noWrap/>
            <w:vAlign w:val="bottom"/>
            <w:hideMark/>
          </w:tcPr>
          <w:p w14:paraId="532543AA"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 xml:space="preserve">RD$ 477,231,777.52 </w:t>
            </w:r>
          </w:p>
        </w:tc>
      </w:tr>
      <w:tr w:rsidR="007F67E7" w:rsidRPr="00F60454" w14:paraId="3A0EB9F9" w14:textId="77777777" w:rsidTr="00B41B8D">
        <w:trPr>
          <w:trHeight w:val="360"/>
        </w:trPr>
        <w:tc>
          <w:tcPr>
            <w:tcW w:w="3925" w:type="dxa"/>
            <w:shd w:val="clear" w:color="auto" w:fill="auto"/>
            <w:vAlign w:val="center"/>
            <w:hideMark/>
          </w:tcPr>
          <w:p w14:paraId="710ED642"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Cantidad de procesos registrados</w:t>
            </w:r>
          </w:p>
        </w:tc>
        <w:tc>
          <w:tcPr>
            <w:tcW w:w="3955" w:type="dxa"/>
            <w:shd w:val="clear" w:color="auto" w:fill="auto"/>
            <w:noWrap/>
            <w:vAlign w:val="bottom"/>
            <w:hideMark/>
          </w:tcPr>
          <w:p w14:paraId="613E9CB5"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103</w:t>
            </w:r>
          </w:p>
        </w:tc>
      </w:tr>
      <w:tr w:rsidR="007F67E7" w:rsidRPr="00F60454" w14:paraId="07326EBA" w14:textId="77777777" w:rsidTr="00B41B8D">
        <w:trPr>
          <w:trHeight w:val="360"/>
        </w:trPr>
        <w:tc>
          <w:tcPr>
            <w:tcW w:w="3925" w:type="dxa"/>
            <w:shd w:val="clear" w:color="auto" w:fill="auto"/>
            <w:vAlign w:val="center"/>
            <w:hideMark/>
          </w:tcPr>
          <w:p w14:paraId="620166B6"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 xml:space="preserve">Capítulo </w:t>
            </w:r>
          </w:p>
        </w:tc>
        <w:tc>
          <w:tcPr>
            <w:tcW w:w="3955" w:type="dxa"/>
            <w:shd w:val="clear" w:color="auto" w:fill="auto"/>
            <w:noWrap/>
            <w:vAlign w:val="bottom"/>
            <w:hideMark/>
          </w:tcPr>
          <w:p w14:paraId="6ACE4B7A"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5131</w:t>
            </w:r>
          </w:p>
        </w:tc>
      </w:tr>
      <w:tr w:rsidR="007F67E7" w:rsidRPr="00F60454" w14:paraId="2BD0DE1A" w14:textId="77777777" w:rsidTr="00B41B8D">
        <w:trPr>
          <w:trHeight w:val="360"/>
        </w:trPr>
        <w:tc>
          <w:tcPr>
            <w:tcW w:w="3925" w:type="dxa"/>
            <w:shd w:val="clear" w:color="auto" w:fill="auto"/>
            <w:vAlign w:val="center"/>
            <w:hideMark/>
          </w:tcPr>
          <w:p w14:paraId="34CE7C29"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Sub capítulo</w:t>
            </w:r>
          </w:p>
        </w:tc>
        <w:tc>
          <w:tcPr>
            <w:tcW w:w="3955" w:type="dxa"/>
            <w:shd w:val="clear" w:color="auto" w:fill="auto"/>
            <w:noWrap/>
            <w:vAlign w:val="bottom"/>
            <w:hideMark/>
          </w:tcPr>
          <w:p w14:paraId="707DF946"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01</w:t>
            </w:r>
          </w:p>
        </w:tc>
      </w:tr>
      <w:tr w:rsidR="007F67E7" w:rsidRPr="00F60454" w14:paraId="68EF1B18" w14:textId="77777777" w:rsidTr="00B41B8D">
        <w:trPr>
          <w:trHeight w:val="360"/>
        </w:trPr>
        <w:tc>
          <w:tcPr>
            <w:tcW w:w="3925" w:type="dxa"/>
            <w:shd w:val="clear" w:color="auto" w:fill="auto"/>
            <w:vAlign w:val="center"/>
            <w:hideMark/>
          </w:tcPr>
          <w:p w14:paraId="06E5660A"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Unidad ejecutora</w:t>
            </w:r>
          </w:p>
        </w:tc>
        <w:tc>
          <w:tcPr>
            <w:tcW w:w="3955" w:type="dxa"/>
            <w:shd w:val="clear" w:color="auto" w:fill="auto"/>
            <w:noWrap/>
            <w:vAlign w:val="bottom"/>
            <w:hideMark/>
          </w:tcPr>
          <w:p w14:paraId="298831E6"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0001</w:t>
            </w:r>
          </w:p>
        </w:tc>
      </w:tr>
      <w:tr w:rsidR="007F67E7" w:rsidRPr="00376423" w14:paraId="6AB8F2A6" w14:textId="77777777" w:rsidTr="00B41B8D">
        <w:trPr>
          <w:trHeight w:val="330"/>
        </w:trPr>
        <w:tc>
          <w:tcPr>
            <w:tcW w:w="3925" w:type="dxa"/>
            <w:shd w:val="clear" w:color="auto" w:fill="auto"/>
            <w:vAlign w:val="center"/>
            <w:hideMark/>
          </w:tcPr>
          <w:p w14:paraId="37EF600E"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 xml:space="preserve">Unidad de compra </w:t>
            </w:r>
          </w:p>
        </w:tc>
        <w:tc>
          <w:tcPr>
            <w:tcW w:w="3955" w:type="dxa"/>
            <w:shd w:val="clear" w:color="auto" w:fill="auto"/>
            <w:noWrap/>
            <w:vAlign w:val="bottom"/>
            <w:hideMark/>
          </w:tcPr>
          <w:p w14:paraId="7544C7FC"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Instituto Dominicano de las Telecomunicaciones</w:t>
            </w:r>
          </w:p>
        </w:tc>
      </w:tr>
      <w:tr w:rsidR="007F67E7" w:rsidRPr="00F60454" w14:paraId="52C70950" w14:textId="77777777" w:rsidTr="00B41B8D">
        <w:trPr>
          <w:trHeight w:val="330"/>
        </w:trPr>
        <w:tc>
          <w:tcPr>
            <w:tcW w:w="3925" w:type="dxa"/>
            <w:shd w:val="clear" w:color="auto" w:fill="auto"/>
            <w:vAlign w:val="center"/>
            <w:hideMark/>
          </w:tcPr>
          <w:p w14:paraId="5441BDEB" w14:textId="77777777" w:rsidR="007F67E7" w:rsidRPr="002131EF"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 xml:space="preserve">Año fiscal </w:t>
            </w:r>
          </w:p>
        </w:tc>
        <w:tc>
          <w:tcPr>
            <w:tcW w:w="3955" w:type="dxa"/>
            <w:shd w:val="clear" w:color="auto" w:fill="auto"/>
            <w:noWrap/>
            <w:vAlign w:val="bottom"/>
            <w:hideMark/>
          </w:tcPr>
          <w:p w14:paraId="791FC49F" w14:textId="77777777" w:rsidR="007F67E7" w:rsidRPr="002131EF" w:rsidRDefault="007F67E7" w:rsidP="00B41B8D">
            <w:pPr>
              <w:spacing w:after="0" w:line="360" w:lineRule="auto"/>
              <w:rPr>
                <w:rFonts w:ascii="Times New Roman" w:eastAsia="Calibri" w:hAnsi="Times New Roman" w:cs="Times New Roman"/>
                <w:color w:val="4C4747"/>
                <w:spacing w:val="20"/>
                <w:sz w:val="24"/>
                <w:szCs w:val="24"/>
                <w:lang w:val="es-DO"/>
              </w:rPr>
            </w:pPr>
            <w:r w:rsidRPr="002131EF">
              <w:rPr>
                <w:rFonts w:ascii="Times New Roman" w:eastAsia="Calibri" w:hAnsi="Times New Roman" w:cs="Times New Roman"/>
                <w:color w:val="4C4747"/>
                <w:spacing w:val="20"/>
                <w:sz w:val="24"/>
                <w:szCs w:val="24"/>
                <w:lang w:val="es-DO"/>
              </w:rPr>
              <w:t>2022</w:t>
            </w:r>
          </w:p>
        </w:tc>
      </w:tr>
      <w:tr w:rsidR="007F67E7" w:rsidRPr="00F60454" w14:paraId="408268F7" w14:textId="77777777" w:rsidTr="00B41B8D">
        <w:trPr>
          <w:trHeight w:val="330"/>
        </w:trPr>
        <w:tc>
          <w:tcPr>
            <w:tcW w:w="3925" w:type="dxa"/>
            <w:shd w:val="clear" w:color="auto" w:fill="auto"/>
            <w:vAlign w:val="center"/>
            <w:hideMark/>
          </w:tcPr>
          <w:p w14:paraId="38BD1E26" w14:textId="77777777" w:rsidR="007F67E7" w:rsidRPr="00F60454"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F60454">
              <w:rPr>
                <w:rFonts w:ascii="Times New Roman" w:eastAsia="Calibri" w:hAnsi="Times New Roman" w:cs="Times New Roman"/>
                <w:color w:val="4C4747"/>
                <w:spacing w:val="20"/>
                <w:sz w:val="24"/>
                <w:szCs w:val="24"/>
                <w:lang w:val="es-DO"/>
              </w:rPr>
              <w:t>Fecha aprobación</w:t>
            </w:r>
          </w:p>
        </w:tc>
        <w:tc>
          <w:tcPr>
            <w:tcW w:w="3955" w:type="dxa"/>
            <w:shd w:val="clear" w:color="auto" w:fill="auto"/>
            <w:noWrap/>
            <w:vAlign w:val="bottom"/>
            <w:hideMark/>
          </w:tcPr>
          <w:p w14:paraId="4A3A7AB6" w14:textId="721F8E9C" w:rsidR="007F67E7" w:rsidRPr="00F60454" w:rsidRDefault="007F67E7" w:rsidP="00B41B8D">
            <w:pPr>
              <w:spacing w:after="0" w:line="360" w:lineRule="auto"/>
              <w:rPr>
                <w:rFonts w:ascii="Times New Roman" w:eastAsia="Calibri" w:hAnsi="Times New Roman" w:cs="Times New Roman"/>
                <w:color w:val="4C4747"/>
                <w:spacing w:val="20"/>
                <w:sz w:val="24"/>
                <w:szCs w:val="24"/>
                <w:lang w:val="es-DO"/>
              </w:rPr>
            </w:pPr>
            <w:r w:rsidRPr="00F60454">
              <w:rPr>
                <w:rFonts w:ascii="Times New Roman" w:eastAsia="Calibri" w:hAnsi="Times New Roman" w:cs="Times New Roman"/>
                <w:color w:val="4C4747"/>
                <w:spacing w:val="20"/>
                <w:sz w:val="24"/>
                <w:szCs w:val="24"/>
                <w:lang w:val="es-DO"/>
              </w:rPr>
              <w:t> </w:t>
            </w:r>
            <w:r w:rsidR="00CC6E6F" w:rsidRPr="00F60454">
              <w:rPr>
                <w:rFonts w:ascii="Times New Roman" w:eastAsia="Calibri" w:hAnsi="Times New Roman" w:cs="Times New Roman"/>
                <w:color w:val="4C4747"/>
                <w:spacing w:val="20"/>
                <w:sz w:val="24"/>
                <w:szCs w:val="24"/>
                <w:lang w:val="es-DO"/>
              </w:rPr>
              <w:t>27 de enero 2022</w:t>
            </w:r>
          </w:p>
        </w:tc>
      </w:tr>
      <w:tr w:rsidR="007F67E7" w:rsidRPr="00376423" w14:paraId="682B445B" w14:textId="77777777" w:rsidTr="00B41B8D">
        <w:trPr>
          <w:trHeight w:val="315"/>
        </w:trPr>
        <w:tc>
          <w:tcPr>
            <w:tcW w:w="7880" w:type="dxa"/>
            <w:gridSpan w:val="2"/>
            <w:shd w:val="clear" w:color="auto" w:fill="002060"/>
            <w:vAlign w:val="center"/>
            <w:hideMark/>
          </w:tcPr>
          <w:p w14:paraId="6601A531" w14:textId="77777777" w:rsidR="007F67E7" w:rsidRPr="00F60454" w:rsidRDefault="007F67E7" w:rsidP="00B41B8D">
            <w:pPr>
              <w:spacing w:after="0" w:line="360" w:lineRule="auto"/>
              <w:jc w:val="center"/>
              <w:rPr>
                <w:rFonts w:ascii="Times New Roman" w:eastAsia="Calibri" w:hAnsi="Times New Roman" w:cs="Times New Roman"/>
                <w:b/>
                <w:color w:val="4C4747"/>
                <w:spacing w:val="20"/>
                <w:sz w:val="24"/>
                <w:szCs w:val="24"/>
                <w:lang w:val="es-DO"/>
              </w:rPr>
            </w:pPr>
            <w:r w:rsidRPr="00F60454">
              <w:rPr>
                <w:rFonts w:ascii="Times New Roman" w:eastAsia="Calibri" w:hAnsi="Times New Roman" w:cs="Times New Roman"/>
                <w:b/>
                <w:color w:val="FFFFFF" w:themeColor="background1"/>
                <w:spacing w:val="20"/>
                <w:sz w:val="24"/>
                <w:szCs w:val="24"/>
                <w:lang w:val="es-DO"/>
              </w:rPr>
              <w:t>Montos estimados según objeto de contratación</w:t>
            </w:r>
          </w:p>
        </w:tc>
      </w:tr>
      <w:tr w:rsidR="007F67E7" w:rsidRPr="00F60454" w14:paraId="1B66040D" w14:textId="77777777" w:rsidTr="00B41B8D">
        <w:trPr>
          <w:trHeight w:val="315"/>
        </w:trPr>
        <w:tc>
          <w:tcPr>
            <w:tcW w:w="3925" w:type="dxa"/>
            <w:shd w:val="clear" w:color="auto" w:fill="auto"/>
            <w:vAlign w:val="center"/>
            <w:hideMark/>
          </w:tcPr>
          <w:p w14:paraId="5EEA450D"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Bienes</w:t>
            </w:r>
          </w:p>
        </w:tc>
        <w:tc>
          <w:tcPr>
            <w:tcW w:w="3955" w:type="dxa"/>
            <w:shd w:val="clear" w:color="auto" w:fill="auto"/>
            <w:noWrap/>
            <w:vAlign w:val="bottom"/>
            <w:hideMark/>
          </w:tcPr>
          <w:p w14:paraId="5C67F670"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RD$ 185,912,607.52 </w:t>
            </w:r>
          </w:p>
        </w:tc>
      </w:tr>
      <w:tr w:rsidR="007F67E7" w:rsidRPr="00F60454" w14:paraId="6DDC6FC4" w14:textId="77777777" w:rsidTr="00B41B8D">
        <w:trPr>
          <w:trHeight w:val="315"/>
        </w:trPr>
        <w:tc>
          <w:tcPr>
            <w:tcW w:w="3925" w:type="dxa"/>
            <w:shd w:val="clear" w:color="auto" w:fill="auto"/>
            <w:vAlign w:val="center"/>
            <w:hideMark/>
          </w:tcPr>
          <w:p w14:paraId="33B626A3"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Obras</w:t>
            </w:r>
          </w:p>
        </w:tc>
        <w:tc>
          <w:tcPr>
            <w:tcW w:w="3955" w:type="dxa"/>
            <w:shd w:val="clear" w:color="auto" w:fill="auto"/>
            <w:noWrap/>
            <w:vAlign w:val="bottom"/>
            <w:hideMark/>
          </w:tcPr>
          <w:p w14:paraId="6DF512BB"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F60454" w14:paraId="1A725674" w14:textId="77777777" w:rsidTr="00B41B8D">
        <w:trPr>
          <w:trHeight w:val="315"/>
        </w:trPr>
        <w:tc>
          <w:tcPr>
            <w:tcW w:w="3925" w:type="dxa"/>
            <w:shd w:val="clear" w:color="auto" w:fill="auto"/>
            <w:vAlign w:val="center"/>
            <w:hideMark/>
          </w:tcPr>
          <w:p w14:paraId="3CB89855"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Servicios</w:t>
            </w:r>
          </w:p>
        </w:tc>
        <w:tc>
          <w:tcPr>
            <w:tcW w:w="3955" w:type="dxa"/>
            <w:shd w:val="clear" w:color="auto" w:fill="auto"/>
            <w:noWrap/>
            <w:vAlign w:val="bottom"/>
            <w:hideMark/>
          </w:tcPr>
          <w:p w14:paraId="10B8BE89"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RD$ 240,062,170.00 </w:t>
            </w:r>
          </w:p>
        </w:tc>
      </w:tr>
      <w:tr w:rsidR="007F67E7" w:rsidRPr="00F60454" w14:paraId="7DAB6336" w14:textId="77777777" w:rsidTr="00B41B8D">
        <w:trPr>
          <w:trHeight w:val="315"/>
        </w:trPr>
        <w:tc>
          <w:tcPr>
            <w:tcW w:w="3925" w:type="dxa"/>
            <w:shd w:val="clear" w:color="auto" w:fill="auto"/>
            <w:vAlign w:val="center"/>
            <w:hideMark/>
          </w:tcPr>
          <w:p w14:paraId="2F6B5AF6"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Servicios: consultoría</w:t>
            </w:r>
          </w:p>
        </w:tc>
        <w:tc>
          <w:tcPr>
            <w:tcW w:w="3955" w:type="dxa"/>
            <w:shd w:val="clear" w:color="auto" w:fill="auto"/>
            <w:noWrap/>
            <w:vAlign w:val="bottom"/>
            <w:hideMark/>
          </w:tcPr>
          <w:p w14:paraId="448D5965"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RD$ 51,257,000.00 </w:t>
            </w:r>
          </w:p>
        </w:tc>
      </w:tr>
      <w:tr w:rsidR="007F67E7" w:rsidRPr="00F60454" w14:paraId="3FAFC2DA" w14:textId="77777777" w:rsidTr="00B41B8D">
        <w:trPr>
          <w:trHeight w:val="630"/>
        </w:trPr>
        <w:tc>
          <w:tcPr>
            <w:tcW w:w="3925" w:type="dxa"/>
            <w:shd w:val="clear" w:color="auto" w:fill="auto"/>
            <w:vAlign w:val="center"/>
            <w:hideMark/>
          </w:tcPr>
          <w:p w14:paraId="330A018F"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Servicios: consultoría basada en la calidad de los servicios</w:t>
            </w:r>
          </w:p>
        </w:tc>
        <w:tc>
          <w:tcPr>
            <w:tcW w:w="3955" w:type="dxa"/>
            <w:shd w:val="clear" w:color="auto" w:fill="auto"/>
            <w:noWrap/>
            <w:hideMark/>
          </w:tcPr>
          <w:p w14:paraId="21EA9701"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RD$   -</w:t>
            </w:r>
          </w:p>
        </w:tc>
      </w:tr>
      <w:tr w:rsidR="007F67E7" w:rsidRPr="00376423" w14:paraId="3C249E3D" w14:textId="77777777" w:rsidTr="00B41B8D">
        <w:trPr>
          <w:trHeight w:val="315"/>
        </w:trPr>
        <w:tc>
          <w:tcPr>
            <w:tcW w:w="7880" w:type="dxa"/>
            <w:gridSpan w:val="2"/>
            <w:shd w:val="clear" w:color="auto" w:fill="002060"/>
            <w:vAlign w:val="center"/>
            <w:hideMark/>
          </w:tcPr>
          <w:p w14:paraId="54D2F598" w14:textId="77777777" w:rsidR="007F67E7" w:rsidRPr="00F60454" w:rsidRDefault="007F67E7" w:rsidP="00B41B8D">
            <w:pPr>
              <w:spacing w:after="0" w:line="360" w:lineRule="auto"/>
              <w:jc w:val="center"/>
              <w:rPr>
                <w:rFonts w:ascii="Times New Roman" w:eastAsia="Calibri" w:hAnsi="Times New Roman" w:cs="Times New Roman"/>
                <w:b/>
                <w:color w:val="4C4747"/>
                <w:spacing w:val="20"/>
                <w:sz w:val="24"/>
                <w:szCs w:val="24"/>
                <w:lang w:val="es-DO"/>
              </w:rPr>
            </w:pPr>
            <w:r w:rsidRPr="00F60454">
              <w:rPr>
                <w:rFonts w:ascii="Times New Roman" w:eastAsia="Calibri" w:hAnsi="Times New Roman" w:cs="Times New Roman"/>
                <w:b/>
                <w:color w:val="FFFFFF" w:themeColor="background1"/>
                <w:spacing w:val="20"/>
                <w:sz w:val="24"/>
                <w:szCs w:val="24"/>
                <w:lang w:val="es-DO"/>
              </w:rPr>
              <w:t>Montos estimados según clasificación Mipyme</w:t>
            </w:r>
          </w:p>
        </w:tc>
      </w:tr>
      <w:tr w:rsidR="007F67E7" w:rsidRPr="00F60454" w14:paraId="3FA9238D" w14:textId="77777777" w:rsidTr="00B41B8D">
        <w:trPr>
          <w:trHeight w:val="315"/>
        </w:trPr>
        <w:tc>
          <w:tcPr>
            <w:tcW w:w="3925" w:type="dxa"/>
            <w:shd w:val="clear" w:color="auto" w:fill="auto"/>
            <w:vAlign w:val="center"/>
            <w:hideMark/>
          </w:tcPr>
          <w:p w14:paraId="63D751B7"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Mipyme</w:t>
            </w:r>
          </w:p>
        </w:tc>
        <w:tc>
          <w:tcPr>
            <w:tcW w:w="3955" w:type="dxa"/>
            <w:shd w:val="clear" w:color="auto" w:fill="auto"/>
            <w:noWrap/>
            <w:vAlign w:val="bottom"/>
            <w:hideMark/>
          </w:tcPr>
          <w:p w14:paraId="5666C53A"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RD$ 143,083,212.52 </w:t>
            </w:r>
          </w:p>
        </w:tc>
      </w:tr>
      <w:tr w:rsidR="007F67E7" w:rsidRPr="00F60454" w14:paraId="6FBBC3D5" w14:textId="77777777" w:rsidTr="00B41B8D">
        <w:trPr>
          <w:trHeight w:val="315"/>
        </w:trPr>
        <w:tc>
          <w:tcPr>
            <w:tcW w:w="3925" w:type="dxa"/>
            <w:shd w:val="clear" w:color="auto" w:fill="auto"/>
            <w:vAlign w:val="center"/>
            <w:hideMark/>
          </w:tcPr>
          <w:p w14:paraId="56C5BE20"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Mipyme mujer</w:t>
            </w:r>
          </w:p>
        </w:tc>
        <w:tc>
          <w:tcPr>
            <w:tcW w:w="3955" w:type="dxa"/>
            <w:shd w:val="clear" w:color="auto" w:fill="auto"/>
            <w:noWrap/>
            <w:vAlign w:val="bottom"/>
            <w:hideMark/>
          </w:tcPr>
          <w:p w14:paraId="7B1BACA9"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F60454" w14:paraId="5CE55568" w14:textId="77777777" w:rsidTr="00B41B8D">
        <w:trPr>
          <w:trHeight w:val="315"/>
        </w:trPr>
        <w:tc>
          <w:tcPr>
            <w:tcW w:w="3925" w:type="dxa"/>
            <w:shd w:val="clear" w:color="auto" w:fill="auto"/>
            <w:vAlign w:val="center"/>
            <w:hideMark/>
          </w:tcPr>
          <w:p w14:paraId="1154A6B6"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No mipyme</w:t>
            </w:r>
          </w:p>
        </w:tc>
        <w:tc>
          <w:tcPr>
            <w:tcW w:w="3955" w:type="dxa"/>
            <w:shd w:val="clear" w:color="auto" w:fill="auto"/>
            <w:noWrap/>
            <w:vAlign w:val="bottom"/>
            <w:hideMark/>
          </w:tcPr>
          <w:p w14:paraId="778C4FFB"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RD$ 334,148,565.00 </w:t>
            </w:r>
          </w:p>
        </w:tc>
      </w:tr>
      <w:tr w:rsidR="007F67E7" w:rsidRPr="00376423" w14:paraId="578A3805" w14:textId="77777777" w:rsidTr="00B41B8D">
        <w:trPr>
          <w:trHeight w:val="315"/>
        </w:trPr>
        <w:tc>
          <w:tcPr>
            <w:tcW w:w="7880" w:type="dxa"/>
            <w:gridSpan w:val="2"/>
            <w:shd w:val="clear" w:color="auto" w:fill="002060"/>
            <w:vAlign w:val="center"/>
            <w:hideMark/>
          </w:tcPr>
          <w:p w14:paraId="650A4F1F" w14:textId="77777777" w:rsidR="007F67E7" w:rsidRPr="00F60454" w:rsidRDefault="007F67E7" w:rsidP="00B41B8D">
            <w:pPr>
              <w:spacing w:after="0" w:line="360" w:lineRule="auto"/>
              <w:jc w:val="center"/>
              <w:rPr>
                <w:rFonts w:ascii="Times New Roman" w:eastAsia="Calibri" w:hAnsi="Times New Roman" w:cs="Times New Roman"/>
                <w:b/>
                <w:color w:val="4C4747"/>
                <w:spacing w:val="20"/>
                <w:sz w:val="24"/>
                <w:szCs w:val="24"/>
                <w:lang w:val="es-DO"/>
              </w:rPr>
            </w:pPr>
            <w:r w:rsidRPr="00F60454">
              <w:rPr>
                <w:rFonts w:ascii="Times New Roman" w:eastAsia="Calibri" w:hAnsi="Times New Roman" w:cs="Times New Roman"/>
                <w:b/>
                <w:color w:val="FFFFFF" w:themeColor="background1"/>
                <w:spacing w:val="20"/>
                <w:sz w:val="24"/>
                <w:szCs w:val="24"/>
                <w:lang w:val="es-DO"/>
              </w:rPr>
              <w:t>Montos estimados según tipo de procedimiento</w:t>
            </w:r>
          </w:p>
        </w:tc>
      </w:tr>
      <w:tr w:rsidR="007F67E7" w:rsidRPr="00F60454" w14:paraId="0AFF4621" w14:textId="77777777" w:rsidTr="00B41B8D">
        <w:trPr>
          <w:trHeight w:val="315"/>
        </w:trPr>
        <w:tc>
          <w:tcPr>
            <w:tcW w:w="3925" w:type="dxa"/>
            <w:shd w:val="clear" w:color="auto" w:fill="auto"/>
            <w:vAlign w:val="center"/>
            <w:hideMark/>
          </w:tcPr>
          <w:p w14:paraId="6C93F6E6"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Compras por debajo del umbral</w:t>
            </w:r>
          </w:p>
        </w:tc>
        <w:tc>
          <w:tcPr>
            <w:tcW w:w="3955" w:type="dxa"/>
            <w:shd w:val="clear" w:color="auto" w:fill="auto"/>
            <w:noWrap/>
            <w:vAlign w:val="bottom"/>
            <w:hideMark/>
          </w:tcPr>
          <w:p w14:paraId="0373C2A8"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RD$ 5,197,140.00 </w:t>
            </w:r>
          </w:p>
        </w:tc>
      </w:tr>
      <w:tr w:rsidR="007F67E7" w:rsidRPr="00F60454" w14:paraId="3BF05910" w14:textId="77777777" w:rsidTr="00B41B8D">
        <w:trPr>
          <w:trHeight w:val="315"/>
        </w:trPr>
        <w:tc>
          <w:tcPr>
            <w:tcW w:w="3925" w:type="dxa"/>
            <w:shd w:val="clear" w:color="auto" w:fill="auto"/>
            <w:vAlign w:val="center"/>
            <w:hideMark/>
          </w:tcPr>
          <w:p w14:paraId="7E322212"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Compra menor</w:t>
            </w:r>
          </w:p>
        </w:tc>
        <w:tc>
          <w:tcPr>
            <w:tcW w:w="3955" w:type="dxa"/>
            <w:shd w:val="clear" w:color="auto" w:fill="auto"/>
            <w:noWrap/>
            <w:vAlign w:val="bottom"/>
            <w:hideMark/>
          </w:tcPr>
          <w:p w14:paraId="645214AF"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RD$ 50,863,760.52 </w:t>
            </w:r>
          </w:p>
        </w:tc>
      </w:tr>
      <w:tr w:rsidR="007F67E7" w:rsidRPr="00F60454" w14:paraId="1316A522" w14:textId="77777777" w:rsidTr="00B41B8D">
        <w:trPr>
          <w:trHeight w:val="315"/>
        </w:trPr>
        <w:tc>
          <w:tcPr>
            <w:tcW w:w="3925" w:type="dxa"/>
            <w:shd w:val="clear" w:color="auto" w:fill="auto"/>
            <w:vAlign w:val="center"/>
            <w:hideMark/>
          </w:tcPr>
          <w:p w14:paraId="0E958C56"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Comparación de precios</w:t>
            </w:r>
          </w:p>
        </w:tc>
        <w:tc>
          <w:tcPr>
            <w:tcW w:w="3955" w:type="dxa"/>
            <w:shd w:val="clear" w:color="auto" w:fill="auto"/>
            <w:noWrap/>
            <w:vAlign w:val="bottom"/>
            <w:hideMark/>
          </w:tcPr>
          <w:p w14:paraId="1A358AB3"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RD$ 93,329,340.00 </w:t>
            </w:r>
          </w:p>
        </w:tc>
      </w:tr>
      <w:tr w:rsidR="007F67E7" w:rsidRPr="00F60454" w14:paraId="432C34FF" w14:textId="77777777" w:rsidTr="00B41B8D">
        <w:trPr>
          <w:trHeight w:val="315"/>
        </w:trPr>
        <w:tc>
          <w:tcPr>
            <w:tcW w:w="3925" w:type="dxa"/>
            <w:shd w:val="clear" w:color="auto" w:fill="auto"/>
            <w:vAlign w:val="center"/>
            <w:hideMark/>
          </w:tcPr>
          <w:p w14:paraId="4DE8D965" w14:textId="77777777" w:rsidR="00376423" w:rsidRDefault="00376423" w:rsidP="00B41B8D">
            <w:pPr>
              <w:spacing w:after="0" w:line="360" w:lineRule="auto"/>
              <w:jc w:val="both"/>
              <w:rPr>
                <w:rFonts w:ascii="Times New Roman" w:eastAsia="Calibri" w:hAnsi="Times New Roman" w:cs="Times New Roman"/>
                <w:color w:val="4C4747"/>
                <w:spacing w:val="20"/>
                <w:sz w:val="24"/>
                <w:szCs w:val="24"/>
                <w:lang w:val="es-DO"/>
              </w:rPr>
            </w:pPr>
          </w:p>
          <w:p w14:paraId="4F533BA5" w14:textId="77777777" w:rsidR="007F67E7"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Licitación pública</w:t>
            </w:r>
          </w:p>
          <w:p w14:paraId="47240E18" w14:textId="77777777" w:rsidR="00376423" w:rsidRDefault="00376423" w:rsidP="00B41B8D">
            <w:pPr>
              <w:spacing w:after="0" w:line="360" w:lineRule="auto"/>
              <w:jc w:val="both"/>
              <w:rPr>
                <w:rFonts w:ascii="Times New Roman" w:eastAsia="Calibri" w:hAnsi="Times New Roman" w:cs="Times New Roman"/>
                <w:color w:val="4C4747"/>
                <w:spacing w:val="20"/>
                <w:sz w:val="24"/>
                <w:szCs w:val="24"/>
                <w:lang w:val="es-DO"/>
              </w:rPr>
            </w:pPr>
          </w:p>
          <w:p w14:paraId="66C9D45A" w14:textId="77777777" w:rsidR="00376423" w:rsidRPr="009714C2" w:rsidRDefault="00376423" w:rsidP="00B41B8D">
            <w:pPr>
              <w:spacing w:after="0" w:line="360" w:lineRule="auto"/>
              <w:jc w:val="both"/>
              <w:rPr>
                <w:rFonts w:ascii="Times New Roman" w:eastAsia="Calibri" w:hAnsi="Times New Roman" w:cs="Times New Roman"/>
                <w:color w:val="4C4747"/>
                <w:spacing w:val="20"/>
                <w:sz w:val="24"/>
                <w:szCs w:val="24"/>
                <w:lang w:val="es-DO"/>
              </w:rPr>
            </w:pPr>
          </w:p>
        </w:tc>
        <w:tc>
          <w:tcPr>
            <w:tcW w:w="3955" w:type="dxa"/>
            <w:shd w:val="clear" w:color="auto" w:fill="auto"/>
            <w:noWrap/>
            <w:vAlign w:val="bottom"/>
            <w:hideMark/>
          </w:tcPr>
          <w:p w14:paraId="3A5ADB39"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lastRenderedPageBreak/>
              <w:t xml:space="preserve"> RD$ 288,415,857.00 </w:t>
            </w:r>
          </w:p>
          <w:p w14:paraId="67E47A14" w14:textId="77777777" w:rsidR="00EF195C" w:rsidRPr="009714C2" w:rsidRDefault="00EF195C" w:rsidP="00B41B8D">
            <w:pPr>
              <w:spacing w:after="0" w:line="360" w:lineRule="auto"/>
              <w:rPr>
                <w:rFonts w:ascii="Times New Roman" w:eastAsia="Calibri" w:hAnsi="Times New Roman" w:cs="Times New Roman"/>
                <w:color w:val="4C4747"/>
                <w:spacing w:val="20"/>
                <w:sz w:val="24"/>
                <w:szCs w:val="24"/>
                <w:lang w:val="es-DO"/>
              </w:rPr>
            </w:pPr>
          </w:p>
        </w:tc>
      </w:tr>
      <w:tr w:rsidR="007F67E7" w:rsidRPr="00376423" w14:paraId="3BC8EDA4" w14:textId="77777777" w:rsidTr="00B41B8D">
        <w:trPr>
          <w:trHeight w:val="315"/>
        </w:trPr>
        <w:tc>
          <w:tcPr>
            <w:tcW w:w="7880" w:type="dxa"/>
            <w:gridSpan w:val="2"/>
            <w:shd w:val="clear" w:color="auto" w:fill="002060"/>
            <w:vAlign w:val="center"/>
          </w:tcPr>
          <w:p w14:paraId="11F9EB6A" w14:textId="77777777" w:rsidR="007F67E7" w:rsidRPr="009714C2" w:rsidRDefault="007F67E7" w:rsidP="00B41B8D">
            <w:pPr>
              <w:spacing w:after="0" w:line="360" w:lineRule="auto"/>
              <w:jc w:val="center"/>
              <w:rPr>
                <w:rFonts w:ascii="Times New Roman" w:eastAsia="Calibri" w:hAnsi="Times New Roman" w:cs="Times New Roman"/>
                <w:b/>
                <w:color w:val="4C4747"/>
                <w:spacing w:val="20"/>
                <w:sz w:val="24"/>
                <w:szCs w:val="24"/>
                <w:lang w:val="es-DO"/>
              </w:rPr>
            </w:pPr>
            <w:r w:rsidRPr="009714C2">
              <w:rPr>
                <w:rFonts w:ascii="Times New Roman" w:eastAsia="Calibri" w:hAnsi="Times New Roman" w:cs="Times New Roman"/>
                <w:b/>
                <w:color w:val="FFFFFF" w:themeColor="background1"/>
                <w:spacing w:val="20"/>
                <w:sz w:val="24"/>
                <w:szCs w:val="24"/>
                <w:lang w:val="es-DO"/>
              </w:rPr>
              <w:lastRenderedPageBreak/>
              <w:t>Montos estimados según tipo de procedimiento</w:t>
            </w:r>
          </w:p>
        </w:tc>
      </w:tr>
      <w:tr w:rsidR="007F67E7" w:rsidRPr="009714C2" w14:paraId="78FC30A6" w14:textId="77777777" w:rsidTr="00B41B8D">
        <w:trPr>
          <w:trHeight w:val="315"/>
        </w:trPr>
        <w:tc>
          <w:tcPr>
            <w:tcW w:w="3925" w:type="dxa"/>
            <w:shd w:val="clear" w:color="auto" w:fill="auto"/>
            <w:vAlign w:val="center"/>
            <w:hideMark/>
          </w:tcPr>
          <w:p w14:paraId="265185E5"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Licitación pública internacional</w:t>
            </w:r>
          </w:p>
        </w:tc>
        <w:tc>
          <w:tcPr>
            <w:tcW w:w="3955" w:type="dxa"/>
            <w:shd w:val="clear" w:color="auto" w:fill="auto"/>
            <w:noWrap/>
            <w:vAlign w:val="bottom"/>
            <w:hideMark/>
          </w:tcPr>
          <w:p w14:paraId="208A6973"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9714C2" w14:paraId="427D05AA" w14:textId="77777777" w:rsidTr="00B41B8D">
        <w:trPr>
          <w:trHeight w:val="315"/>
        </w:trPr>
        <w:tc>
          <w:tcPr>
            <w:tcW w:w="3925" w:type="dxa"/>
            <w:shd w:val="clear" w:color="auto" w:fill="auto"/>
            <w:vAlign w:val="center"/>
            <w:hideMark/>
          </w:tcPr>
          <w:p w14:paraId="7DE34244"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Licitación restringida</w:t>
            </w:r>
          </w:p>
        </w:tc>
        <w:tc>
          <w:tcPr>
            <w:tcW w:w="3955" w:type="dxa"/>
            <w:shd w:val="clear" w:color="auto" w:fill="auto"/>
            <w:noWrap/>
            <w:vAlign w:val="bottom"/>
            <w:hideMark/>
          </w:tcPr>
          <w:p w14:paraId="1272358C"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9714C2" w14:paraId="605074B4" w14:textId="77777777" w:rsidTr="00B41B8D">
        <w:trPr>
          <w:trHeight w:val="315"/>
        </w:trPr>
        <w:tc>
          <w:tcPr>
            <w:tcW w:w="3925" w:type="dxa"/>
            <w:shd w:val="clear" w:color="auto" w:fill="auto"/>
            <w:vAlign w:val="center"/>
            <w:hideMark/>
          </w:tcPr>
          <w:p w14:paraId="514F2160"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Sorteo de obras</w:t>
            </w:r>
          </w:p>
        </w:tc>
        <w:tc>
          <w:tcPr>
            <w:tcW w:w="3955" w:type="dxa"/>
            <w:shd w:val="clear" w:color="auto" w:fill="auto"/>
            <w:noWrap/>
            <w:vAlign w:val="bottom"/>
            <w:hideMark/>
          </w:tcPr>
          <w:p w14:paraId="63C038D0"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9714C2" w14:paraId="5251F5AC" w14:textId="77777777" w:rsidTr="00B41B8D">
        <w:trPr>
          <w:trHeight w:val="315"/>
        </w:trPr>
        <w:tc>
          <w:tcPr>
            <w:tcW w:w="3925" w:type="dxa"/>
            <w:shd w:val="clear" w:color="auto" w:fill="auto"/>
            <w:vAlign w:val="center"/>
            <w:hideMark/>
          </w:tcPr>
          <w:p w14:paraId="099A01E0"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Excepción - bienes o servicios con exclusividad </w:t>
            </w:r>
          </w:p>
        </w:tc>
        <w:tc>
          <w:tcPr>
            <w:tcW w:w="3955" w:type="dxa"/>
            <w:shd w:val="clear" w:color="auto" w:fill="auto"/>
            <w:noWrap/>
            <w:hideMark/>
          </w:tcPr>
          <w:p w14:paraId="744691BD"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RD$ 39,430,680.00 </w:t>
            </w:r>
          </w:p>
        </w:tc>
      </w:tr>
      <w:tr w:rsidR="007F67E7" w:rsidRPr="009714C2" w14:paraId="6E8EB13A" w14:textId="77777777" w:rsidTr="00B41B8D">
        <w:trPr>
          <w:trHeight w:val="630"/>
        </w:trPr>
        <w:tc>
          <w:tcPr>
            <w:tcW w:w="3925" w:type="dxa"/>
            <w:shd w:val="clear" w:color="auto" w:fill="auto"/>
            <w:vAlign w:val="center"/>
            <w:hideMark/>
          </w:tcPr>
          <w:p w14:paraId="2D4AA49F"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Excepción - construcción, instalación o adquisición de oficinas para el servicio exterior</w:t>
            </w:r>
          </w:p>
        </w:tc>
        <w:tc>
          <w:tcPr>
            <w:tcW w:w="3955" w:type="dxa"/>
            <w:shd w:val="clear" w:color="auto" w:fill="auto"/>
            <w:noWrap/>
            <w:hideMark/>
          </w:tcPr>
          <w:p w14:paraId="239A3923"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9714C2" w14:paraId="44E9C2CE" w14:textId="77777777" w:rsidTr="00B41B8D">
        <w:trPr>
          <w:trHeight w:val="630"/>
        </w:trPr>
        <w:tc>
          <w:tcPr>
            <w:tcW w:w="3925" w:type="dxa"/>
            <w:shd w:val="clear" w:color="auto" w:fill="auto"/>
            <w:vAlign w:val="center"/>
            <w:hideMark/>
          </w:tcPr>
          <w:p w14:paraId="73320324"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Excepción - contratación de publicidad a través de medios de comunicación social</w:t>
            </w:r>
          </w:p>
        </w:tc>
        <w:tc>
          <w:tcPr>
            <w:tcW w:w="3955" w:type="dxa"/>
            <w:shd w:val="clear" w:color="auto" w:fill="auto"/>
            <w:noWrap/>
            <w:hideMark/>
          </w:tcPr>
          <w:p w14:paraId="60AF6CB2"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9714C2" w14:paraId="383710EE" w14:textId="77777777" w:rsidTr="00B41B8D">
        <w:trPr>
          <w:trHeight w:val="945"/>
        </w:trPr>
        <w:tc>
          <w:tcPr>
            <w:tcW w:w="3925" w:type="dxa"/>
            <w:shd w:val="clear" w:color="auto" w:fill="auto"/>
            <w:vAlign w:val="center"/>
            <w:hideMark/>
          </w:tcPr>
          <w:p w14:paraId="56E32004"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Excepción - obras científicas, técnicas, artísticas, o restauración  de monumentos históricos</w:t>
            </w:r>
          </w:p>
        </w:tc>
        <w:tc>
          <w:tcPr>
            <w:tcW w:w="3955" w:type="dxa"/>
            <w:shd w:val="clear" w:color="auto" w:fill="auto"/>
            <w:noWrap/>
            <w:hideMark/>
          </w:tcPr>
          <w:p w14:paraId="625028B8"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RD$  -   </w:t>
            </w:r>
          </w:p>
        </w:tc>
      </w:tr>
      <w:tr w:rsidR="007F67E7" w:rsidRPr="009714C2" w14:paraId="1A07D777" w14:textId="77777777" w:rsidTr="00B41B8D">
        <w:trPr>
          <w:trHeight w:val="315"/>
        </w:trPr>
        <w:tc>
          <w:tcPr>
            <w:tcW w:w="3925" w:type="dxa"/>
            <w:shd w:val="clear" w:color="auto" w:fill="auto"/>
            <w:vAlign w:val="center"/>
            <w:hideMark/>
          </w:tcPr>
          <w:p w14:paraId="33915E7E"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Excepción - proveedor único</w:t>
            </w:r>
          </w:p>
        </w:tc>
        <w:tc>
          <w:tcPr>
            <w:tcW w:w="3955" w:type="dxa"/>
            <w:shd w:val="clear" w:color="auto" w:fill="auto"/>
            <w:noWrap/>
            <w:vAlign w:val="bottom"/>
            <w:hideMark/>
          </w:tcPr>
          <w:p w14:paraId="6AE2CE0E"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RD$  -   </w:t>
            </w:r>
          </w:p>
        </w:tc>
      </w:tr>
      <w:tr w:rsidR="007F67E7" w:rsidRPr="009714C2" w14:paraId="12BF8176" w14:textId="77777777" w:rsidTr="00B41B8D">
        <w:trPr>
          <w:trHeight w:val="945"/>
        </w:trPr>
        <w:tc>
          <w:tcPr>
            <w:tcW w:w="3925" w:type="dxa"/>
            <w:shd w:val="clear" w:color="auto" w:fill="auto"/>
            <w:vAlign w:val="center"/>
            <w:hideMark/>
          </w:tcPr>
          <w:p w14:paraId="39E1A4C2"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Excepción - rescisión de contratos cuya terminación no exceda el 40% del monto total del proyecto, obra o servicio</w:t>
            </w:r>
          </w:p>
        </w:tc>
        <w:tc>
          <w:tcPr>
            <w:tcW w:w="3955" w:type="dxa"/>
            <w:shd w:val="clear" w:color="auto" w:fill="auto"/>
            <w:noWrap/>
            <w:hideMark/>
          </w:tcPr>
          <w:p w14:paraId="207A669E"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r w:rsidR="007F67E7" w:rsidRPr="009714C2" w14:paraId="57171843" w14:textId="77777777" w:rsidTr="00B41B8D">
        <w:trPr>
          <w:trHeight w:val="945"/>
        </w:trPr>
        <w:tc>
          <w:tcPr>
            <w:tcW w:w="3925" w:type="dxa"/>
            <w:shd w:val="clear" w:color="auto" w:fill="auto"/>
            <w:vAlign w:val="center"/>
            <w:hideMark/>
          </w:tcPr>
          <w:p w14:paraId="57D638F9" w14:textId="77777777" w:rsidR="007F67E7" w:rsidRPr="009714C2" w:rsidRDefault="007F67E7" w:rsidP="00B41B8D">
            <w:pPr>
              <w:spacing w:after="0" w:line="360" w:lineRule="auto"/>
              <w:jc w:val="both"/>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Excepción - resolución 15-08 sobre compra y contratación de pasaje aéreo, combustible y reparación de vehículos de motor</w:t>
            </w:r>
          </w:p>
        </w:tc>
        <w:tc>
          <w:tcPr>
            <w:tcW w:w="3955" w:type="dxa"/>
            <w:shd w:val="clear" w:color="auto" w:fill="auto"/>
            <w:noWrap/>
            <w:hideMark/>
          </w:tcPr>
          <w:p w14:paraId="50548FA2" w14:textId="77777777" w:rsidR="007F67E7" w:rsidRPr="009714C2" w:rsidRDefault="007F67E7" w:rsidP="00B41B8D">
            <w:pPr>
              <w:spacing w:after="0" w:line="360" w:lineRule="auto"/>
              <w:rPr>
                <w:rFonts w:ascii="Times New Roman" w:eastAsia="Calibri" w:hAnsi="Times New Roman" w:cs="Times New Roman"/>
                <w:color w:val="4C4747"/>
                <w:spacing w:val="20"/>
                <w:sz w:val="24"/>
                <w:szCs w:val="24"/>
                <w:lang w:val="es-DO"/>
              </w:rPr>
            </w:pPr>
            <w:r w:rsidRPr="009714C2">
              <w:rPr>
                <w:rFonts w:ascii="Times New Roman" w:eastAsia="Calibri" w:hAnsi="Times New Roman" w:cs="Times New Roman"/>
                <w:color w:val="4C4747"/>
                <w:spacing w:val="20"/>
                <w:sz w:val="24"/>
                <w:szCs w:val="24"/>
                <w:lang w:val="es-DO"/>
              </w:rPr>
              <w:t xml:space="preserve"> RD$     -   </w:t>
            </w:r>
          </w:p>
        </w:tc>
      </w:tr>
    </w:tbl>
    <w:p w14:paraId="7DF12F3E" w14:textId="0F229769" w:rsidR="005805BA" w:rsidRPr="008B0DE2" w:rsidRDefault="007F67E7" w:rsidP="008B0DE2">
      <w:pPr>
        <w:spacing w:line="360" w:lineRule="auto"/>
        <w:jc w:val="both"/>
        <w:rPr>
          <w:rFonts w:ascii="Times New Roman" w:eastAsia="Calibri" w:hAnsi="Times New Roman" w:cs="Times New Roman"/>
          <w:color w:val="4C4747"/>
          <w:spacing w:val="20"/>
          <w:sz w:val="18"/>
          <w:szCs w:val="24"/>
          <w:lang w:val="es-DO"/>
        </w:rPr>
      </w:pPr>
      <w:r w:rsidRPr="009714C2">
        <w:rPr>
          <w:rFonts w:ascii="Times New Roman" w:eastAsia="Calibri" w:hAnsi="Times New Roman" w:cs="Times New Roman"/>
          <w:b/>
          <w:color w:val="4C4747"/>
          <w:spacing w:val="20"/>
          <w:sz w:val="18"/>
          <w:szCs w:val="24"/>
          <w:lang w:val="es-DO"/>
        </w:rPr>
        <w:t>Fuente:</w:t>
      </w:r>
      <w:r w:rsidRPr="009714C2">
        <w:rPr>
          <w:rFonts w:ascii="Times New Roman" w:eastAsia="Calibri" w:hAnsi="Times New Roman" w:cs="Times New Roman"/>
          <w:color w:val="4C4747"/>
          <w:spacing w:val="20"/>
          <w:sz w:val="18"/>
          <w:szCs w:val="24"/>
          <w:lang w:val="es-DO"/>
        </w:rPr>
        <w:t xml:space="preserve"> Portal de Transparencia INDOTEL</w:t>
      </w:r>
    </w:p>
    <w:sectPr w:rsidR="005805BA" w:rsidRPr="008B0DE2" w:rsidSect="00C64CEF">
      <w:headerReference w:type="default" r:id="rId42"/>
      <w:footerReference w:type="default" r:id="rId43"/>
      <w:pgSz w:w="12240" w:h="15840"/>
      <w:pgMar w:top="1440" w:right="2160" w:bottom="1440" w:left="216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6C98E1" w14:textId="77777777" w:rsidR="001B1047" w:rsidRDefault="001B1047" w:rsidP="00E84651">
      <w:pPr>
        <w:spacing w:after="0" w:line="240" w:lineRule="auto"/>
      </w:pPr>
      <w:r>
        <w:separator/>
      </w:r>
    </w:p>
  </w:endnote>
  <w:endnote w:type="continuationSeparator" w:id="0">
    <w:p w14:paraId="661498AB" w14:textId="77777777" w:rsidR="001B1047" w:rsidRDefault="001B1047" w:rsidP="00E8465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Times">
    <w:panose1 w:val="02020603050405020304"/>
    <w:charset w:val="00"/>
    <w:family w:val="roman"/>
    <w:pitch w:val="variable"/>
    <w:sig w:usb0="E0002EFF" w:usb1="C000785B" w:usb2="00000009" w:usb3="00000000" w:csb0="000001FF" w:csb1="00000000"/>
  </w:font>
  <w:font w:name="Arial MT">
    <w:altName w:val="Arial"/>
    <w:charset w:val="01"/>
    <w:family w:val="swiss"/>
    <w:pitch w:val="variable"/>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98864644"/>
      <w:docPartObj>
        <w:docPartGallery w:val="Page Numbers (Bottom of Page)"/>
        <w:docPartUnique/>
      </w:docPartObj>
    </w:sdtPr>
    <w:sdtEndPr>
      <w:rPr>
        <w:noProof/>
      </w:rPr>
    </w:sdtEndPr>
    <w:sdtContent>
      <w:p w14:paraId="1A9E6193" w14:textId="53F74689" w:rsidR="007C16C5" w:rsidRDefault="007C16C5">
        <w:pPr>
          <w:pStyle w:val="Piedepgina"/>
          <w:jc w:val="center"/>
        </w:pPr>
        <w:r>
          <w:fldChar w:fldCharType="begin"/>
        </w:r>
        <w:r>
          <w:instrText xml:space="preserve"> PAGE   \* MERGEFORMAT </w:instrText>
        </w:r>
        <w:r>
          <w:fldChar w:fldCharType="separate"/>
        </w:r>
        <w:r>
          <w:rPr>
            <w:noProof/>
          </w:rPr>
          <w:t>2</w:t>
        </w:r>
        <w:r>
          <w:rPr>
            <w:noProof/>
          </w:rPr>
          <w:fldChar w:fldCharType="end"/>
        </w:r>
      </w:p>
    </w:sdtContent>
  </w:sdt>
  <w:p w14:paraId="5882525B" w14:textId="77777777" w:rsidR="007C16C5" w:rsidRDefault="007C16C5">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7965239"/>
      <w:docPartObj>
        <w:docPartGallery w:val="Page Numbers (Bottom of Page)"/>
        <w:docPartUnique/>
      </w:docPartObj>
    </w:sdtPr>
    <w:sdtEndPr>
      <w:rPr>
        <w:noProof/>
      </w:rPr>
    </w:sdtEndPr>
    <w:sdtContent>
      <w:p w14:paraId="76783BEA" w14:textId="3B2E45C0" w:rsidR="007C16C5" w:rsidRDefault="007C16C5" w:rsidP="0021106F">
        <w:pPr>
          <w:pStyle w:val="Piedepgina"/>
          <w:jc w:val="center"/>
        </w:pPr>
        <w:r>
          <w:rPr>
            <w:noProof/>
          </w:rPr>
          <w:drawing>
            <wp:anchor distT="0" distB="0" distL="114300" distR="114300" simplePos="0" relativeHeight="251658240" behindDoc="0" locked="0" layoutInCell="1" allowOverlap="1" wp14:anchorId="54F82055" wp14:editId="17AFBB42">
              <wp:simplePos x="0" y="0"/>
              <wp:positionH relativeFrom="column">
                <wp:posOffset>1060450</wp:posOffset>
              </wp:positionH>
              <wp:positionV relativeFrom="paragraph">
                <wp:posOffset>-123825</wp:posOffset>
              </wp:positionV>
              <wp:extent cx="2995930" cy="408305"/>
              <wp:effectExtent l="0" t="0" r="0" b="0"/>
              <wp:wrapThrough wrapText="bothSides">
                <wp:wrapPolygon edited="0">
                  <wp:start x="0" y="0"/>
                  <wp:lineTo x="0" y="20156"/>
                  <wp:lineTo x="21426" y="20156"/>
                  <wp:lineTo x="21426" y="0"/>
                  <wp:lineTo x="0" y="0"/>
                </wp:wrapPolygon>
              </wp:wrapThrough>
              <wp:docPr id="55" name="Picture 55" descr="A screenshot of a computer&#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descr="A screenshot of a computer&#10;&#10;Description automatically generated with medium confidenc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95930" cy="408305"/>
                      </a:xfrm>
                      <a:prstGeom prst="rect">
                        <a:avLst/>
                      </a:prstGeom>
                      <a:noFill/>
                      <a:ln>
                        <a:noFill/>
                      </a:ln>
                    </pic:spPr>
                  </pic:pic>
                </a:graphicData>
              </a:graphic>
            </wp:anchor>
          </w:drawing>
        </w:r>
      </w:p>
      <w:p w14:paraId="139C570F" w14:textId="3C5D1A63" w:rsidR="007C16C5" w:rsidRDefault="007C16C5" w:rsidP="0021106F">
        <w:pPr>
          <w:pStyle w:val="Piedepgina"/>
          <w:jc w:val="center"/>
          <w:rPr>
            <w:rFonts w:ascii="Times New Roman" w:hAnsi="Times New Roman" w:cs="Times New Roman"/>
            <w:color w:val="7F7F7F" w:themeColor="text1" w:themeTint="80"/>
          </w:rPr>
        </w:pPr>
      </w:p>
      <w:p w14:paraId="2B095E5E" w14:textId="607716C5" w:rsidR="007C16C5" w:rsidRDefault="007C16C5" w:rsidP="00B07B8F">
        <w:pPr>
          <w:pStyle w:val="Piedepgina"/>
          <w:jc w:val="center"/>
        </w:pPr>
        <w:r>
          <w:rPr>
            <w:rFonts w:ascii="Times New Roman" w:hAnsi="Times New Roman" w:cs="Times New Roman"/>
            <w:color w:val="7F7F7F" w:themeColor="text1" w:themeTint="80"/>
          </w:rPr>
          <w:t xml:space="preserve">  </w:t>
        </w:r>
        <w:r w:rsidRPr="00F74112">
          <w:rPr>
            <w:rFonts w:ascii="Times New Roman" w:hAnsi="Times New Roman" w:cs="Times New Roman"/>
            <w:color w:val="7F7F7F" w:themeColor="text1" w:themeTint="80"/>
          </w:rPr>
          <w:fldChar w:fldCharType="begin"/>
        </w:r>
        <w:r w:rsidRPr="00F74112">
          <w:rPr>
            <w:rFonts w:ascii="Times New Roman" w:hAnsi="Times New Roman" w:cs="Times New Roman"/>
            <w:color w:val="7F7F7F" w:themeColor="text1" w:themeTint="80"/>
          </w:rPr>
          <w:instrText xml:space="preserve"> PAGE   \* MERGEFORMAT </w:instrText>
        </w:r>
        <w:r w:rsidRPr="00F74112">
          <w:rPr>
            <w:rFonts w:ascii="Times New Roman" w:hAnsi="Times New Roman" w:cs="Times New Roman"/>
            <w:color w:val="7F7F7F" w:themeColor="text1" w:themeTint="80"/>
          </w:rPr>
          <w:fldChar w:fldCharType="separate"/>
        </w:r>
        <w:r w:rsidR="006E232B">
          <w:rPr>
            <w:rFonts w:ascii="Times New Roman" w:hAnsi="Times New Roman" w:cs="Times New Roman"/>
            <w:noProof/>
            <w:color w:val="7F7F7F" w:themeColor="text1" w:themeTint="80"/>
          </w:rPr>
          <w:t>205</w:t>
        </w:r>
        <w:r w:rsidRPr="00F74112">
          <w:rPr>
            <w:rFonts w:ascii="Times New Roman" w:hAnsi="Times New Roman" w:cs="Times New Roman"/>
            <w:noProof/>
            <w:color w:val="7F7F7F" w:themeColor="text1" w:themeTint="80"/>
          </w:rP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B7F4EC4" w14:textId="77777777" w:rsidR="001B1047" w:rsidRDefault="001B1047" w:rsidP="00E84651">
      <w:pPr>
        <w:spacing w:after="0" w:line="240" w:lineRule="auto"/>
      </w:pPr>
      <w:r>
        <w:separator/>
      </w:r>
    </w:p>
  </w:footnote>
  <w:footnote w:type="continuationSeparator" w:id="0">
    <w:p w14:paraId="7F889727" w14:textId="77777777" w:rsidR="001B1047" w:rsidRDefault="001B1047" w:rsidP="00E8465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464575" w14:textId="77777777" w:rsidR="007C16C5" w:rsidRDefault="007C16C5">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143074"/>
    <w:multiLevelType w:val="hybridMultilevel"/>
    <w:tmpl w:val="3B3E0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53E5951"/>
    <w:multiLevelType w:val="hybridMultilevel"/>
    <w:tmpl w:val="9104B42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C532B9"/>
    <w:multiLevelType w:val="hybridMultilevel"/>
    <w:tmpl w:val="23BC4AE2"/>
    <w:lvl w:ilvl="0" w:tplc="1C0A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B562012"/>
    <w:multiLevelType w:val="hybridMultilevel"/>
    <w:tmpl w:val="23A499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D3E977B"/>
    <w:multiLevelType w:val="hybridMultilevel"/>
    <w:tmpl w:val="1F488416"/>
    <w:lvl w:ilvl="0" w:tplc="ACBE9A4E">
      <w:start w:val="1"/>
      <w:numFmt w:val="bullet"/>
      <w:lvlText w:val=""/>
      <w:lvlJc w:val="left"/>
      <w:pPr>
        <w:ind w:left="720" w:hanging="360"/>
      </w:pPr>
      <w:rPr>
        <w:rFonts w:ascii="Symbol" w:hAnsi="Symbol" w:hint="default"/>
      </w:rPr>
    </w:lvl>
    <w:lvl w:ilvl="1" w:tplc="3A36A4AE">
      <w:start w:val="1"/>
      <w:numFmt w:val="bullet"/>
      <w:lvlText w:val="o"/>
      <w:lvlJc w:val="left"/>
      <w:pPr>
        <w:ind w:left="1440" w:hanging="360"/>
      </w:pPr>
      <w:rPr>
        <w:rFonts w:ascii="Courier New" w:hAnsi="Courier New" w:hint="default"/>
      </w:rPr>
    </w:lvl>
    <w:lvl w:ilvl="2" w:tplc="4EDCAFF8">
      <w:start w:val="1"/>
      <w:numFmt w:val="bullet"/>
      <w:lvlText w:val=""/>
      <w:lvlJc w:val="left"/>
      <w:pPr>
        <w:ind w:left="2160" w:hanging="360"/>
      </w:pPr>
      <w:rPr>
        <w:rFonts w:ascii="Wingdings" w:hAnsi="Wingdings" w:hint="default"/>
      </w:rPr>
    </w:lvl>
    <w:lvl w:ilvl="3" w:tplc="408CAC58">
      <w:start w:val="1"/>
      <w:numFmt w:val="bullet"/>
      <w:lvlText w:val=""/>
      <w:lvlJc w:val="left"/>
      <w:pPr>
        <w:ind w:left="2880" w:hanging="360"/>
      </w:pPr>
      <w:rPr>
        <w:rFonts w:ascii="Symbol" w:hAnsi="Symbol" w:hint="default"/>
      </w:rPr>
    </w:lvl>
    <w:lvl w:ilvl="4" w:tplc="2ABE42A4">
      <w:start w:val="1"/>
      <w:numFmt w:val="bullet"/>
      <w:lvlText w:val="o"/>
      <w:lvlJc w:val="left"/>
      <w:pPr>
        <w:ind w:left="3600" w:hanging="360"/>
      </w:pPr>
      <w:rPr>
        <w:rFonts w:ascii="Courier New" w:hAnsi="Courier New" w:hint="default"/>
      </w:rPr>
    </w:lvl>
    <w:lvl w:ilvl="5" w:tplc="15D04442">
      <w:start w:val="1"/>
      <w:numFmt w:val="bullet"/>
      <w:lvlText w:val=""/>
      <w:lvlJc w:val="left"/>
      <w:pPr>
        <w:ind w:left="4320" w:hanging="360"/>
      </w:pPr>
      <w:rPr>
        <w:rFonts w:ascii="Wingdings" w:hAnsi="Wingdings" w:hint="default"/>
      </w:rPr>
    </w:lvl>
    <w:lvl w:ilvl="6" w:tplc="1AAED2EE">
      <w:start w:val="1"/>
      <w:numFmt w:val="bullet"/>
      <w:lvlText w:val=""/>
      <w:lvlJc w:val="left"/>
      <w:pPr>
        <w:ind w:left="5040" w:hanging="360"/>
      </w:pPr>
      <w:rPr>
        <w:rFonts w:ascii="Symbol" w:hAnsi="Symbol" w:hint="default"/>
      </w:rPr>
    </w:lvl>
    <w:lvl w:ilvl="7" w:tplc="ACC6DAAC">
      <w:start w:val="1"/>
      <w:numFmt w:val="bullet"/>
      <w:lvlText w:val="o"/>
      <w:lvlJc w:val="left"/>
      <w:pPr>
        <w:ind w:left="5760" w:hanging="360"/>
      </w:pPr>
      <w:rPr>
        <w:rFonts w:ascii="Courier New" w:hAnsi="Courier New" w:hint="default"/>
      </w:rPr>
    </w:lvl>
    <w:lvl w:ilvl="8" w:tplc="999A2FB0">
      <w:start w:val="1"/>
      <w:numFmt w:val="bullet"/>
      <w:lvlText w:val=""/>
      <w:lvlJc w:val="left"/>
      <w:pPr>
        <w:ind w:left="6480" w:hanging="360"/>
      </w:pPr>
      <w:rPr>
        <w:rFonts w:ascii="Wingdings" w:hAnsi="Wingdings" w:hint="default"/>
      </w:rPr>
    </w:lvl>
  </w:abstractNum>
  <w:abstractNum w:abstractNumId="5">
    <w:nsid w:val="0DAA5F3E"/>
    <w:multiLevelType w:val="hybridMultilevel"/>
    <w:tmpl w:val="269A30DC"/>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6">
    <w:nsid w:val="115D4A9A"/>
    <w:multiLevelType w:val="hybridMultilevel"/>
    <w:tmpl w:val="94DE7626"/>
    <w:lvl w:ilvl="0" w:tplc="7D0805E8">
      <w:numFmt w:val="bullet"/>
      <w:lvlText w:val="•"/>
      <w:lvlJc w:val="left"/>
      <w:pPr>
        <w:ind w:left="1350" w:hanging="720"/>
      </w:pPr>
      <w:rPr>
        <w:rFonts w:ascii="Times New Roman" w:eastAsia="Calibri" w:hAnsi="Times New Roman" w:cs="Times New Roman" w:hint="default"/>
        <w:color w:val="4C4747"/>
      </w:rPr>
    </w:lvl>
    <w:lvl w:ilvl="1" w:tplc="04090003" w:tentative="1">
      <w:start w:val="1"/>
      <w:numFmt w:val="bullet"/>
      <w:lvlText w:val="o"/>
      <w:lvlJc w:val="left"/>
      <w:pPr>
        <w:ind w:left="1710" w:hanging="360"/>
      </w:pPr>
      <w:rPr>
        <w:rFonts w:ascii="Courier New" w:hAnsi="Courier New" w:cs="Courier New" w:hint="default"/>
      </w:rPr>
    </w:lvl>
    <w:lvl w:ilvl="2" w:tplc="04090005" w:tentative="1">
      <w:start w:val="1"/>
      <w:numFmt w:val="bullet"/>
      <w:lvlText w:val=""/>
      <w:lvlJc w:val="left"/>
      <w:pPr>
        <w:ind w:left="2430" w:hanging="360"/>
      </w:pPr>
      <w:rPr>
        <w:rFonts w:ascii="Wingdings" w:hAnsi="Wingdings" w:hint="default"/>
      </w:rPr>
    </w:lvl>
    <w:lvl w:ilvl="3" w:tplc="04090001" w:tentative="1">
      <w:start w:val="1"/>
      <w:numFmt w:val="bullet"/>
      <w:lvlText w:val=""/>
      <w:lvlJc w:val="left"/>
      <w:pPr>
        <w:ind w:left="3150" w:hanging="360"/>
      </w:pPr>
      <w:rPr>
        <w:rFonts w:ascii="Symbol" w:hAnsi="Symbol" w:hint="default"/>
      </w:rPr>
    </w:lvl>
    <w:lvl w:ilvl="4" w:tplc="04090003" w:tentative="1">
      <w:start w:val="1"/>
      <w:numFmt w:val="bullet"/>
      <w:lvlText w:val="o"/>
      <w:lvlJc w:val="left"/>
      <w:pPr>
        <w:ind w:left="3870" w:hanging="360"/>
      </w:pPr>
      <w:rPr>
        <w:rFonts w:ascii="Courier New" w:hAnsi="Courier New" w:cs="Courier New" w:hint="default"/>
      </w:rPr>
    </w:lvl>
    <w:lvl w:ilvl="5" w:tplc="04090005" w:tentative="1">
      <w:start w:val="1"/>
      <w:numFmt w:val="bullet"/>
      <w:lvlText w:val=""/>
      <w:lvlJc w:val="left"/>
      <w:pPr>
        <w:ind w:left="4590" w:hanging="360"/>
      </w:pPr>
      <w:rPr>
        <w:rFonts w:ascii="Wingdings" w:hAnsi="Wingdings" w:hint="default"/>
      </w:rPr>
    </w:lvl>
    <w:lvl w:ilvl="6" w:tplc="04090001" w:tentative="1">
      <w:start w:val="1"/>
      <w:numFmt w:val="bullet"/>
      <w:lvlText w:val=""/>
      <w:lvlJc w:val="left"/>
      <w:pPr>
        <w:ind w:left="5310" w:hanging="360"/>
      </w:pPr>
      <w:rPr>
        <w:rFonts w:ascii="Symbol" w:hAnsi="Symbol" w:hint="default"/>
      </w:rPr>
    </w:lvl>
    <w:lvl w:ilvl="7" w:tplc="04090003" w:tentative="1">
      <w:start w:val="1"/>
      <w:numFmt w:val="bullet"/>
      <w:lvlText w:val="o"/>
      <w:lvlJc w:val="left"/>
      <w:pPr>
        <w:ind w:left="6030" w:hanging="360"/>
      </w:pPr>
      <w:rPr>
        <w:rFonts w:ascii="Courier New" w:hAnsi="Courier New" w:cs="Courier New" w:hint="default"/>
      </w:rPr>
    </w:lvl>
    <w:lvl w:ilvl="8" w:tplc="04090005" w:tentative="1">
      <w:start w:val="1"/>
      <w:numFmt w:val="bullet"/>
      <w:lvlText w:val=""/>
      <w:lvlJc w:val="left"/>
      <w:pPr>
        <w:ind w:left="6750" w:hanging="360"/>
      </w:pPr>
      <w:rPr>
        <w:rFonts w:ascii="Wingdings" w:hAnsi="Wingdings" w:hint="default"/>
      </w:rPr>
    </w:lvl>
  </w:abstractNum>
  <w:abstractNum w:abstractNumId="7">
    <w:nsid w:val="11B91F85"/>
    <w:multiLevelType w:val="hybridMultilevel"/>
    <w:tmpl w:val="DA78F1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47B743B"/>
    <w:multiLevelType w:val="hybridMultilevel"/>
    <w:tmpl w:val="86A87D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15C6040D"/>
    <w:multiLevelType w:val="hybridMultilevel"/>
    <w:tmpl w:val="1FE84C8A"/>
    <w:lvl w:ilvl="0" w:tplc="1C0A0001">
      <w:start w:val="1"/>
      <w:numFmt w:val="bullet"/>
      <w:lvlText w:val=""/>
      <w:lvlJc w:val="left"/>
      <w:pPr>
        <w:ind w:left="720" w:hanging="360"/>
      </w:pPr>
      <w:rPr>
        <w:rFonts w:ascii="Symbol" w:hAnsi="Symbol" w:hint="default"/>
      </w:rPr>
    </w:lvl>
    <w:lvl w:ilvl="1" w:tplc="D2AA561E">
      <w:numFmt w:val="bullet"/>
      <w:lvlText w:val="•"/>
      <w:lvlJc w:val="left"/>
      <w:pPr>
        <w:ind w:left="1800" w:hanging="720"/>
      </w:pPr>
      <w:rPr>
        <w:rFonts w:ascii="Times New Roman" w:eastAsia="Calibri" w:hAnsi="Times New Roman" w:cs="Times New Roman"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10">
    <w:nsid w:val="17622FFC"/>
    <w:multiLevelType w:val="hybridMultilevel"/>
    <w:tmpl w:val="0FB85712"/>
    <w:lvl w:ilvl="0" w:tplc="04090001">
      <w:start w:val="1"/>
      <w:numFmt w:val="bullet"/>
      <w:lvlText w:val=""/>
      <w:lvlJc w:val="left"/>
      <w:pPr>
        <w:ind w:left="1530" w:hanging="360"/>
      </w:pPr>
      <w:rPr>
        <w:rFonts w:ascii="Symbol" w:hAnsi="Symbol" w:hint="default"/>
      </w:rPr>
    </w:lvl>
    <w:lvl w:ilvl="1" w:tplc="04090003" w:tentative="1">
      <w:start w:val="1"/>
      <w:numFmt w:val="bullet"/>
      <w:lvlText w:val="o"/>
      <w:lvlJc w:val="left"/>
      <w:pPr>
        <w:ind w:left="2250" w:hanging="360"/>
      </w:pPr>
      <w:rPr>
        <w:rFonts w:ascii="Courier New" w:hAnsi="Courier New" w:cs="Courier New" w:hint="default"/>
      </w:rPr>
    </w:lvl>
    <w:lvl w:ilvl="2" w:tplc="04090005" w:tentative="1">
      <w:start w:val="1"/>
      <w:numFmt w:val="bullet"/>
      <w:lvlText w:val=""/>
      <w:lvlJc w:val="left"/>
      <w:pPr>
        <w:ind w:left="2970" w:hanging="360"/>
      </w:pPr>
      <w:rPr>
        <w:rFonts w:ascii="Wingdings" w:hAnsi="Wingdings" w:hint="default"/>
      </w:rPr>
    </w:lvl>
    <w:lvl w:ilvl="3" w:tplc="04090001" w:tentative="1">
      <w:start w:val="1"/>
      <w:numFmt w:val="bullet"/>
      <w:lvlText w:val=""/>
      <w:lvlJc w:val="left"/>
      <w:pPr>
        <w:ind w:left="3690" w:hanging="360"/>
      </w:pPr>
      <w:rPr>
        <w:rFonts w:ascii="Symbol" w:hAnsi="Symbol" w:hint="default"/>
      </w:rPr>
    </w:lvl>
    <w:lvl w:ilvl="4" w:tplc="04090003" w:tentative="1">
      <w:start w:val="1"/>
      <w:numFmt w:val="bullet"/>
      <w:lvlText w:val="o"/>
      <w:lvlJc w:val="left"/>
      <w:pPr>
        <w:ind w:left="4410" w:hanging="360"/>
      </w:pPr>
      <w:rPr>
        <w:rFonts w:ascii="Courier New" w:hAnsi="Courier New" w:cs="Courier New" w:hint="default"/>
      </w:rPr>
    </w:lvl>
    <w:lvl w:ilvl="5" w:tplc="04090005" w:tentative="1">
      <w:start w:val="1"/>
      <w:numFmt w:val="bullet"/>
      <w:lvlText w:val=""/>
      <w:lvlJc w:val="left"/>
      <w:pPr>
        <w:ind w:left="5130" w:hanging="360"/>
      </w:pPr>
      <w:rPr>
        <w:rFonts w:ascii="Wingdings" w:hAnsi="Wingdings" w:hint="default"/>
      </w:rPr>
    </w:lvl>
    <w:lvl w:ilvl="6" w:tplc="04090001" w:tentative="1">
      <w:start w:val="1"/>
      <w:numFmt w:val="bullet"/>
      <w:lvlText w:val=""/>
      <w:lvlJc w:val="left"/>
      <w:pPr>
        <w:ind w:left="5850" w:hanging="360"/>
      </w:pPr>
      <w:rPr>
        <w:rFonts w:ascii="Symbol" w:hAnsi="Symbol" w:hint="default"/>
      </w:rPr>
    </w:lvl>
    <w:lvl w:ilvl="7" w:tplc="04090003" w:tentative="1">
      <w:start w:val="1"/>
      <w:numFmt w:val="bullet"/>
      <w:lvlText w:val="o"/>
      <w:lvlJc w:val="left"/>
      <w:pPr>
        <w:ind w:left="6570" w:hanging="360"/>
      </w:pPr>
      <w:rPr>
        <w:rFonts w:ascii="Courier New" w:hAnsi="Courier New" w:cs="Courier New" w:hint="default"/>
      </w:rPr>
    </w:lvl>
    <w:lvl w:ilvl="8" w:tplc="04090005" w:tentative="1">
      <w:start w:val="1"/>
      <w:numFmt w:val="bullet"/>
      <w:lvlText w:val=""/>
      <w:lvlJc w:val="left"/>
      <w:pPr>
        <w:ind w:left="7290" w:hanging="360"/>
      </w:pPr>
      <w:rPr>
        <w:rFonts w:ascii="Wingdings" w:hAnsi="Wingdings" w:hint="default"/>
      </w:rPr>
    </w:lvl>
  </w:abstractNum>
  <w:abstractNum w:abstractNumId="11">
    <w:nsid w:val="17CE014B"/>
    <w:multiLevelType w:val="hybridMultilevel"/>
    <w:tmpl w:val="9FC282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48127BA"/>
    <w:multiLevelType w:val="multilevel"/>
    <w:tmpl w:val="7A7C8C1E"/>
    <w:lvl w:ilvl="0">
      <w:start w:val="1"/>
      <w:numFmt w:val="decimal"/>
      <w:lvlText w:val="%1."/>
      <w:lvlJc w:val="left"/>
      <w:pPr>
        <w:ind w:left="720" w:hanging="360"/>
      </w:p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13">
    <w:nsid w:val="24CD7F5D"/>
    <w:multiLevelType w:val="hybridMultilevel"/>
    <w:tmpl w:val="BE16E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546355F"/>
    <w:multiLevelType w:val="hybridMultilevel"/>
    <w:tmpl w:val="529C79CC"/>
    <w:lvl w:ilvl="0" w:tplc="7D0805E8">
      <w:numFmt w:val="bullet"/>
      <w:lvlText w:val="•"/>
      <w:lvlJc w:val="left"/>
      <w:pPr>
        <w:ind w:left="1440" w:hanging="720"/>
      </w:pPr>
      <w:rPr>
        <w:rFonts w:ascii="Times New Roman" w:eastAsia="Calibri" w:hAnsi="Times New Roman" w:cs="Times New Roman" w:hint="default"/>
        <w:color w:val="4C4747"/>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nsid w:val="2AE85463"/>
    <w:multiLevelType w:val="multilevel"/>
    <w:tmpl w:val="5210A3F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810"/>
        </w:tabs>
        <w:ind w:left="810" w:hanging="720"/>
      </w:pPr>
      <w:rPr>
        <w:rFonts w:ascii="Symbol" w:hAnsi="Symbol"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6">
    <w:nsid w:val="2C504260"/>
    <w:multiLevelType w:val="hybridMultilevel"/>
    <w:tmpl w:val="21228830"/>
    <w:lvl w:ilvl="0" w:tplc="04090001">
      <w:start w:val="1"/>
      <w:numFmt w:val="bullet"/>
      <w:lvlText w:val=""/>
      <w:lvlJc w:val="left"/>
      <w:pPr>
        <w:ind w:left="1080" w:hanging="720"/>
      </w:pPr>
      <w:rPr>
        <w:rFonts w:ascii="Symbol" w:hAnsi="Symbol" w:hint="default"/>
      </w:rPr>
    </w:lvl>
    <w:lvl w:ilvl="1" w:tplc="1C0A0019" w:tentative="1">
      <w:start w:val="1"/>
      <w:numFmt w:val="lowerLetter"/>
      <w:lvlText w:val="%2."/>
      <w:lvlJc w:val="left"/>
      <w:pPr>
        <w:ind w:left="1440" w:hanging="360"/>
      </w:p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abstractNum w:abstractNumId="17">
    <w:nsid w:val="2D3A4E9F"/>
    <w:multiLevelType w:val="hybridMultilevel"/>
    <w:tmpl w:val="7EF4E0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2F2A14C6"/>
    <w:multiLevelType w:val="hybridMultilevel"/>
    <w:tmpl w:val="465218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302743AD"/>
    <w:multiLevelType w:val="hybridMultilevel"/>
    <w:tmpl w:val="8228B99C"/>
    <w:lvl w:ilvl="0" w:tplc="1DB8700C">
      <w:start w:val="1"/>
      <w:numFmt w:val="bullet"/>
      <w:lvlText w:val=""/>
      <w:lvlJc w:val="left"/>
      <w:pPr>
        <w:ind w:left="720" w:hanging="360"/>
      </w:pPr>
      <w:rPr>
        <w:rFonts w:ascii="Symbol" w:hAnsi="Symbol" w:hint="default"/>
      </w:rPr>
    </w:lvl>
    <w:lvl w:ilvl="1" w:tplc="E02A33CE">
      <w:start w:val="1"/>
      <w:numFmt w:val="bullet"/>
      <w:lvlText w:val="o"/>
      <w:lvlJc w:val="left"/>
      <w:pPr>
        <w:ind w:left="1440" w:hanging="360"/>
      </w:pPr>
      <w:rPr>
        <w:rFonts w:ascii="Courier New" w:hAnsi="Courier New" w:hint="default"/>
      </w:rPr>
    </w:lvl>
    <w:lvl w:ilvl="2" w:tplc="ED4AF43E">
      <w:start w:val="1"/>
      <w:numFmt w:val="bullet"/>
      <w:lvlText w:val=""/>
      <w:lvlJc w:val="left"/>
      <w:pPr>
        <w:ind w:left="2160" w:hanging="360"/>
      </w:pPr>
      <w:rPr>
        <w:rFonts w:ascii="Wingdings" w:hAnsi="Wingdings" w:hint="default"/>
      </w:rPr>
    </w:lvl>
    <w:lvl w:ilvl="3" w:tplc="A12A3AD2">
      <w:start w:val="1"/>
      <w:numFmt w:val="bullet"/>
      <w:lvlText w:val=""/>
      <w:lvlJc w:val="left"/>
      <w:pPr>
        <w:ind w:left="2880" w:hanging="360"/>
      </w:pPr>
      <w:rPr>
        <w:rFonts w:ascii="Symbol" w:hAnsi="Symbol" w:hint="default"/>
      </w:rPr>
    </w:lvl>
    <w:lvl w:ilvl="4" w:tplc="F3267B1A">
      <w:start w:val="1"/>
      <w:numFmt w:val="bullet"/>
      <w:lvlText w:val="o"/>
      <w:lvlJc w:val="left"/>
      <w:pPr>
        <w:ind w:left="3600" w:hanging="360"/>
      </w:pPr>
      <w:rPr>
        <w:rFonts w:ascii="Courier New" w:hAnsi="Courier New" w:hint="default"/>
      </w:rPr>
    </w:lvl>
    <w:lvl w:ilvl="5" w:tplc="02B8A6C8">
      <w:start w:val="1"/>
      <w:numFmt w:val="bullet"/>
      <w:lvlText w:val=""/>
      <w:lvlJc w:val="left"/>
      <w:pPr>
        <w:ind w:left="4320" w:hanging="360"/>
      </w:pPr>
      <w:rPr>
        <w:rFonts w:ascii="Wingdings" w:hAnsi="Wingdings" w:hint="default"/>
      </w:rPr>
    </w:lvl>
    <w:lvl w:ilvl="6" w:tplc="D500FF9A">
      <w:start w:val="1"/>
      <w:numFmt w:val="bullet"/>
      <w:lvlText w:val=""/>
      <w:lvlJc w:val="left"/>
      <w:pPr>
        <w:ind w:left="5040" w:hanging="360"/>
      </w:pPr>
      <w:rPr>
        <w:rFonts w:ascii="Symbol" w:hAnsi="Symbol" w:hint="default"/>
      </w:rPr>
    </w:lvl>
    <w:lvl w:ilvl="7" w:tplc="4850B31A">
      <w:start w:val="1"/>
      <w:numFmt w:val="bullet"/>
      <w:lvlText w:val="o"/>
      <w:lvlJc w:val="left"/>
      <w:pPr>
        <w:ind w:left="5760" w:hanging="360"/>
      </w:pPr>
      <w:rPr>
        <w:rFonts w:ascii="Courier New" w:hAnsi="Courier New" w:hint="default"/>
      </w:rPr>
    </w:lvl>
    <w:lvl w:ilvl="8" w:tplc="A3A692DC">
      <w:start w:val="1"/>
      <w:numFmt w:val="bullet"/>
      <w:lvlText w:val=""/>
      <w:lvlJc w:val="left"/>
      <w:pPr>
        <w:ind w:left="6480" w:hanging="360"/>
      </w:pPr>
      <w:rPr>
        <w:rFonts w:ascii="Wingdings" w:hAnsi="Wingdings" w:hint="default"/>
      </w:rPr>
    </w:lvl>
  </w:abstractNum>
  <w:abstractNum w:abstractNumId="20">
    <w:nsid w:val="32B20B9E"/>
    <w:multiLevelType w:val="hybridMultilevel"/>
    <w:tmpl w:val="BD5E67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429464D"/>
    <w:multiLevelType w:val="hybridMultilevel"/>
    <w:tmpl w:val="8ADCBA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350F52"/>
    <w:multiLevelType w:val="hybridMultilevel"/>
    <w:tmpl w:val="03DC664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A977AC4"/>
    <w:multiLevelType w:val="hybridMultilevel"/>
    <w:tmpl w:val="17FA27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DE132BF"/>
    <w:multiLevelType w:val="hybridMultilevel"/>
    <w:tmpl w:val="D83AEB60"/>
    <w:lvl w:ilvl="0" w:tplc="4A3A069E">
      <w:start w:val="1"/>
      <w:numFmt w:val="bullet"/>
      <w:lvlText w:val=""/>
      <w:lvlJc w:val="left"/>
      <w:pPr>
        <w:ind w:left="720" w:hanging="360"/>
      </w:pPr>
      <w:rPr>
        <w:rFonts w:ascii="Symbol" w:hAnsi="Symbol" w:hint="default"/>
      </w:rPr>
    </w:lvl>
    <w:lvl w:ilvl="1" w:tplc="2102D134">
      <w:start w:val="1"/>
      <w:numFmt w:val="bullet"/>
      <w:lvlText w:val="o"/>
      <w:lvlJc w:val="left"/>
      <w:pPr>
        <w:ind w:left="1440" w:hanging="360"/>
      </w:pPr>
      <w:rPr>
        <w:rFonts w:ascii="Courier New" w:hAnsi="Courier New" w:hint="default"/>
      </w:rPr>
    </w:lvl>
    <w:lvl w:ilvl="2" w:tplc="3F0C0514">
      <w:start w:val="1"/>
      <w:numFmt w:val="bullet"/>
      <w:lvlText w:val=""/>
      <w:lvlJc w:val="left"/>
      <w:pPr>
        <w:ind w:left="2160" w:hanging="360"/>
      </w:pPr>
      <w:rPr>
        <w:rFonts w:ascii="Wingdings" w:hAnsi="Wingdings" w:hint="default"/>
      </w:rPr>
    </w:lvl>
    <w:lvl w:ilvl="3" w:tplc="28E68AA6">
      <w:start w:val="1"/>
      <w:numFmt w:val="bullet"/>
      <w:lvlText w:val=""/>
      <w:lvlJc w:val="left"/>
      <w:pPr>
        <w:ind w:left="2880" w:hanging="360"/>
      </w:pPr>
      <w:rPr>
        <w:rFonts w:ascii="Symbol" w:hAnsi="Symbol" w:hint="default"/>
      </w:rPr>
    </w:lvl>
    <w:lvl w:ilvl="4" w:tplc="9C40EAC6">
      <w:start w:val="1"/>
      <w:numFmt w:val="bullet"/>
      <w:lvlText w:val="o"/>
      <w:lvlJc w:val="left"/>
      <w:pPr>
        <w:ind w:left="3600" w:hanging="360"/>
      </w:pPr>
      <w:rPr>
        <w:rFonts w:ascii="Courier New" w:hAnsi="Courier New" w:hint="default"/>
      </w:rPr>
    </w:lvl>
    <w:lvl w:ilvl="5" w:tplc="67B032FE">
      <w:start w:val="1"/>
      <w:numFmt w:val="bullet"/>
      <w:lvlText w:val=""/>
      <w:lvlJc w:val="left"/>
      <w:pPr>
        <w:ind w:left="4320" w:hanging="360"/>
      </w:pPr>
      <w:rPr>
        <w:rFonts w:ascii="Wingdings" w:hAnsi="Wingdings" w:hint="default"/>
      </w:rPr>
    </w:lvl>
    <w:lvl w:ilvl="6" w:tplc="A198C662">
      <w:start w:val="1"/>
      <w:numFmt w:val="bullet"/>
      <w:lvlText w:val=""/>
      <w:lvlJc w:val="left"/>
      <w:pPr>
        <w:ind w:left="5040" w:hanging="360"/>
      </w:pPr>
      <w:rPr>
        <w:rFonts w:ascii="Symbol" w:hAnsi="Symbol" w:hint="default"/>
      </w:rPr>
    </w:lvl>
    <w:lvl w:ilvl="7" w:tplc="34143864">
      <w:start w:val="1"/>
      <w:numFmt w:val="bullet"/>
      <w:lvlText w:val="o"/>
      <w:lvlJc w:val="left"/>
      <w:pPr>
        <w:ind w:left="5760" w:hanging="360"/>
      </w:pPr>
      <w:rPr>
        <w:rFonts w:ascii="Courier New" w:hAnsi="Courier New" w:hint="default"/>
      </w:rPr>
    </w:lvl>
    <w:lvl w:ilvl="8" w:tplc="D05E3192">
      <w:start w:val="1"/>
      <w:numFmt w:val="bullet"/>
      <w:lvlText w:val=""/>
      <w:lvlJc w:val="left"/>
      <w:pPr>
        <w:ind w:left="6480" w:hanging="360"/>
      </w:pPr>
      <w:rPr>
        <w:rFonts w:ascii="Wingdings" w:hAnsi="Wingdings" w:hint="default"/>
      </w:rPr>
    </w:lvl>
  </w:abstractNum>
  <w:abstractNum w:abstractNumId="25">
    <w:nsid w:val="3F57228A"/>
    <w:multiLevelType w:val="multilevel"/>
    <w:tmpl w:val="07268068"/>
    <w:lvl w:ilvl="0">
      <w:start w:val="1"/>
      <w:numFmt w:val="upperRoman"/>
      <w:lvlText w:val="%1."/>
      <w:lvlJc w:val="left"/>
      <w:pPr>
        <w:ind w:left="1080" w:hanging="720"/>
      </w:pPr>
      <w:rPr>
        <w:rFonts w:hint="default"/>
        <w:color w:val="4C4747"/>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6">
    <w:nsid w:val="40F41A72"/>
    <w:multiLevelType w:val="multilevel"/>
    <w:tmpl w:val="5210A3F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810"/>
        </w:tabs>
        <w:ind w:left="810" w:hanging="720"/>
      </w:pPr>
      <w:rPr>
        <w:rFonts w:ascii="Symbol" w:hAnsi="Symbol"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nsid w:val="42C96345"/>
    <w:multiLevelType w:val="hybridMultilevel"/>
    <w:tmpl w:val="A0369EDC"/>
    <w:lvl w:ilvl="0" w:tplc="04090001">
      <w:start w:val="1"/>
      <w:numFmt w:val="bullet"/>
      <w:lvlText w:val=""/>
      <w:lvlJc w:val="left"/>
      <w:pPr>
        <w:ind w:left="720" w:hanging="360"/>
      </w:pPr>
      <w:rPr>
        <w:rFonts w:ascii="Symbol" w:hAnsi="Symbol" w:hint="default"/>
      </w:rPr>
    </w:lvl>
    <w:lvl w:ilvl="1" w:tplc="8CA2BBCE">
      <w:numFmt w:val="bullet"/>
      <w:lvlText w:val="·"/>
      <w:lvlJc w:val="left"/>
      <w:pPr>
        <w:ind w:left="1470" w:hanging="390"/>
      </w:pPr>
      <w:rPr>
        <w:rFonts w:ascii="Times New Roman" w:eastAsia="Calibri"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3282A7E"/>
    <w:multiLevelType w:val="hybridMultilevel"/>
    <w:tmpl w:val="A3D48B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8EF2B0D"/>
    <w:multiLevelType w:val="hybridMultilevel"/>
    <w:tmpl w:val="214EEEDC"/>
    <w:lvl w:ilvl="0" w:tplc="1C0A0001">
      <w:numFmt w:val="bullet"/>
      <w:lvlText w:val=""/>
      <w:lvlJc w:val="left"/>
      <w:pPr>
        <w:ind w:left="720" w:hanging="360"/>
      </w:pPr>
      <w:rPr>
        <w:rFonts w:ascii="Symbol" w:eastAsia="Times New Roman" w:hAnsi="Symbol" w:cs="Times New Roman"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30">
    <w:nsid w:val="49B03875"/>
    <w:multiLevelType w:val="hybridMultilevel"/>
    <w:tmpl w:val="55B2E9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121B83"/>
    <w:multiLevelType w:val="hybridMultilevel"/>
    <w:tmpl w:val="6A5853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E2F2CA9"/>
    <w:multiLevelType w:val="hybridMultilevel"/>
    <w:tmpl w:val="0B7255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E3E6037"/>
    <w:multiLevelType w:val="multilevel"/>
    <w:tmpl w:val="5210A3F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810"/>
        </w:tabs>
        <w:ind w:left="810" w:hanging="720"/>
      </w:pPr>
      <w:rPr>
        <w:rFonts w:ascii="Symbol" w:hAnsi="Symbol"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4">
    <w:nsid w:val="504641EF"/>
    <w:multiLevelType w:val="hybridMultilevel"/>
    <w:tmpl w:val="6C38194A"/>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2FB3FA8"/>
    <w:multiLevelType w:val="hybridMultilevel"/>
    <w:tmpl w:val="B6B821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48E1E54"/>
    <w:multiLevelType w:val="multilevel"/>
    <w:tmpl w:val="5210A3F4"/>
    <w:lvl w:ilvl="0">
      <w:start w:val="1"/>
      <w:numFmt w:val="bullet"/>
      <w:lvlText w:val=""/>
      <w:lvlJc w:val="left"/>
      <w:pPr>
        <w:tabs>
          <w:tab w:val="num" w:pos="720"/>
        </w:tabs>
        <w:ind w:left="720" w:hanging="720"/>
      </w:pPr>
      <w:rPr>
        <w:rFonts w:ascii="Symbol" w:hAnsi="Symbol" w:hint="default"/>
      </w:rPr>
    </w:lvl>
    <w:lvl w:ilvl="1">
      <w:start w:val="1"/>
      <w:numFmt w:val="bullet"/>
      <w:lvlText w:val=""/>
      <w:lvlJc w:val="left"/>
      <w:pPr>
        <w:tabs>
          <w:tab w:val="num" w:pos="810"/>
        </w:tabs>
        <w:ind w:left="810" w:hanging="720"/>
      </w:pPr>
      <w:rPr>
        <w:rFonts w:ascii="Symbol" w:hAnsi="Symbol" w:hint="default"/>
      </w:rPr>
    </w:lvl>
    <w:lvl w:ilvl="2">
      <w:start w:val="1"/>
      <w:numFmt w:val="bullet"/>
      <w:lvlText w:val=""/>
      <w:lvlJc w:val="left"/>
      <w:pPr>
        <w:tabs>
          <w:tab w:val="num" w:pos="720"/>
        </w:tabs>
        <w:ind w:left="720" w:hanging="720"/>
      </w:pPr>
      <w:rPr>
        <w:rFonts w:ascii="Symbol" w:hAnsi="Symbol" w:hint="default"/>
      </w:r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7">
    <w:nsid w:val="56930AE3"/>
    <w:multiLevelType w:val="hybridMultilevel"/>
    <w:tmpl w:val="74E276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8CB352E"/>
    <w:multiLevelType w:val="hybridMultilevel"/>
    <w:tmpl w:val="C64AAE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B83A633"/>
    <w:multiLevelType w:val="hybridMultilevel"/>
    <w:tmpl w:val="6644D2B6"/>
    <w:lvl w:ilvl="0" w:tplc="4954874C">
      <w:start w:val="1"/>
      <w:numFmt w:val="bullet"/>
      <w:lvlText w:val=""/>
      <w:lvlJc w:val="left"/>
      <w:pPr>
        <w:ind w:left="720" w:hanging="360"/>
      </w:pPr>
      <w:rPr>
        <w:rFonts w:ascii="Symbol" w:hAnsi="Symbol" w:hint="default"/>
      </w:rPr>
    </w:lvl>
    <w:lvl w:ilvl="1" w:tplc="E7FAE760">
      <w:start w:val="1"/>
      <w:numFmt w:val="bullet"/>
      <w:lvlText w:val="o"/>
      <w:lvlJc w:val="left"/>
      <w:pPr>
        <w:ind w:left="1440" w:hanging="360"/>
      </w:pPr>
      <w:rPr>
        <w:rFonts w:ascii="Courier New" w:hAnsi="Courier New" w:hint="default"/>
      </w:rPr>
    </w:lvl>
    <w:lvl w:ilvl="2" w:tplc="1442AA6A">
      <w:start w:val="1"/>
      <w:numFmt w:val="bullet"/>
      <w:lvlText w:val=""/>
      <w:lvlJc w:val="left"/>
      <w:pPr>
        <w:ind w:left="2160" w:hanging="360"/>
      </w:pPr>
      <w:rPr>
        <w:rFonts w:ascii="Wingdings" w:hAnsi="Wingdings" w:hint="default"/>
      </w:rPr>
    </w:lvl>
    <w:lvl w:ilvl="3" w:tplc="116A79C0">
      <w:start w:val="1"/>
      <w:numFmt w:val="bullet"/>
      <w:lvlText w:val=""/>
      <w:lvlJc w:val="left"/>
      <w:pPr>
        <w:ind w:left="2880" w:hanging="360"/>
      </w:pPr>
      <w:rPr>
        <w:rFonts w:ascii="Symbol" w:hAnsi="Symbol" w:hint="default"/>
      </w:rPr>
    </w:lvl>
    <w:lvl w:ilvl="4" w:tplc="4D80A93C">
      <w:start w:val="1"/>
      <w:numFmt w:val="bullet"/>
      <w:lvlText w:val="o"/>
      <w:lvlJc w:val="left"/>
      <w:pPr>
        <w:ind w:left="3600" w:hanging="360"/>
      </w:pPr>
      <w:rPr>
        <w:rFonts w:ascii="Courier New" w:hAnsi="Courier New" w:hint="default"/>
      </w:rPr>
    </w:lvl>
    <w:lvl w:ilvl="5" w:tplc="CF34A968">
      <w:start w:val="1"/>
      <w:numFmt w:val="bullet"/>
      <w:lvlText w:val=""/>
      <w:lvlJc w:val="left"/>
      <w:pPr>
        <w:ind w:left="4320" w:hanging="360"/>
      </w:pPr>
      <w:rPr>
        <w:rFonts w:ascii="Wingdings" w:hAnsi="Wingdings" w:hint="default"/>
      </w:rPr>
    </w:lvl>
    <w:lvl w:ilvl="6" w:tplc="66D2EF78">
      <w:start w:val="1"/>
      <w:numFmt w:val="bullet"/>
      <w:lvlText w:val=""/>
      <w:lvlJc w:val="left"/>
      <w:pPr>
        <w:ind w:left="5040" w:hanging="360"/>
      </w:pPr>
      <w:rPr>
        <w:rFonts w:ascii="Symbol" w:hAnsi="Symbol" w:hint="default"/>
      </w:rPr>
    </w:lvl>
    <w:lvl w:ilvl="7" w:tplc="568E18D2">
      <w:start w:val="1"/>
      <w:numFmt w:val="bullet"/>
      <w:lvlText w:val="o"/>
      <w:lvlJc w:val="left"/>
      <w:pPr>
        <w:ind w:left="5760" w:hanging="360"/>
      </w:pPr>
      <w:rPr>
        <w:rFonts w:ascii="Courier New" w:hAnsi="Courier New" w:hint="default"/>
      </w:rPr>
    </w:lvl>
    <w:lvl w:ilvl="8" w:tplc="73005C26">
      <w:start w:val="1"/>
      <w:numFmt w:val="bullet"/>
      <w:lvlText w:val=""/>
      <w:lvlJc w:val="left"/>
      <w:pPr>
        <w:ind w:left="6480" w:hanging="360"/>
      </w:pPr>
      <w:rPr>
        <w:rFonts w:ascii="Wingdings" w:hAnsi="Wingdings" w:hint="default"/>
      </w:rPr>
    </w:lvl>
  </w:abstractNum>
  <w:abstractNum w:abstractNumId="40">
    <w:nsid w:val="5E117333"/>
    <w:multiLevelType w:val="hybridMultilevel"/>
    <w:tmpl w:val="923EE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5EF77CDF"/>
    <w:multiLevelType w:val="hybridMultilevel"/>
    <w:tmpl w:val="FD94B5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2F647CE"/>
    <w:multiLevelType w:val="hybridMultilevel"/>
    <w:tmpl w:val="DB1EB5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32F4A8C"/>
    <w:multiLevelType w:val="hybridMultilevel"/>
    <w:tmpl w:val="A3821C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6D53F43"/>
    <w:multiLevelType w:val="hybridMultilevel"/>
    <w:tmpl w:val="D55838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nsid w:val="68A97895"/>
    <w:multiLevelType w:val="hybridMultilevel"/>
    <w:tmpl w:val="FB848B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6B9E5E1F"/>
    <w:multiLevelType w:val="hybridMultilevel"/>
    <w:tmpl w:val="3C90DF70"/>
    <w:lvl w:ilvl="0" w:tplc="1C0A0001">
      <w:start w:val="1"/>
      <w:numFmt w:val="bullet"/>
      <w:lvlText w:val=""/>
      <w:lvlJc w:val="left"/>
      <w:pPr>
        <w:ind w:left="720" w:hanging="360"/>
      </w:pPr>
      <w:rPr>
        <w:rFonts w:ascii="Symbol" w:hAnsi="Symbol" w:hint="default"/>
      </w:rPr>
    </w:lvl>
    <w:lvl w:ilvl="1" w:tplc="1C0A0003" w:tentative="1">
      <w:start w:val="1"/>
      <w:numFmt w:val="bullet"/>
      <w:lvlText w:val="o"/>
      <w:lvlJc w:val="left"/>
      <w:pPr>
        <w:ind w:left="1440" w:hanging="360"/>
      </w:pPr>
      <w:rPr>
        <w:rFonts w:ascii="Courier New" w:hAnsi="Courier New" w:cs="Courier New" w:hint="default"/>
      </w:rPr>
    </w:lvl>
    <w:lvl w:ilvl="2" w:tplc="1C0A0005" w:tentative="1">
      <w:start w:val="1"/>
      <w:numFmt w:val="bullet"/>
      <w:lvlText w:val=""/>
      <w:lvlJc w:val="left"/>
      <w:pPr>
        <w:ind w:left="2160" w:hanging="360"/>
      </w:pPr>
      <w:rPr>
        <w:rFonts w:ascii="Wingdings" w:hAnsi="Wingdings" w:hint="default"/>
      </w:rPr>
    </w:lvl>
    <w:lvl w:ilvl="3" w:tplc="1C0A0001" w:tentative="1">
      <w:start w:val="1"/>
      <w:numFmt w:val="bullet"/>
      <w:lvlText w:val=""/>
      <w:lvlJc w:val="left"/>
      <w:pPr>
        <w:ind w:left="2880" w:hanging="360"/>
      </w:pPr>
      <w:rPr>
        <w:rFonts w:ascii="Symbol" w:hAnsi="Symbol" w:hint="default"/>
      </w:rPr>
    </w:lvl>
    <w:lvl w:ilvl="4" w:tplc="1C0A0003" w:tentative="1">
      <w:start w:val="1"/>
      <w:numFmt w:val="bullet"/>
      <w:lvlText w:val="o"/>
      <w:lvlJc w:val="left"/>
      <w:pPr>
        <w:ind w:left="3600" w:hanging="360"/>
      </w:pPr>
      <w:rPr>
        <w:rFonts w:ascii="Courier New" w:hAnsi="Courier New" w:cs="Courier New" w:hint="default"/>
      </w:rPr>
    </w:lvl>
    <w:lvl w:ilvl="5" w:tplc="1C0A0005" w:tentative="1">
      <w:start w:val="1"/>
      <w:numFmt w:val="bullet"/>
      <w:lvlText w:val=""/>
      <w:lvlJc w:val="left"/>
      <w:pPr>
        <w:ind w:left="4320" w:hanging="360"/>
      </w:pPr>
      <w:rPr>
        <w:rFonts w:ascii="Wingdings" w:hAnsi="Wingdings" w:hint="default"/>
      </w:rPr>
    </w:lvl>
    <w:lvl w:ilvl="6" w:tplc="1C0A0001" w:tentative="1">
      <w:start w:val="1"/>
      <w:numFmt w:val="bullet"/>
      <w:lvlText w:val=""/>
      <w:lvlJc w:val="left"/>
      <w:pPr>
        <w:ind w:left="5040" w:hanging="360"/>
      </w:pPr>
      <w:rPr>
        <w:rFonts w:ascii="Symbol" w:hAnsi="Symbol" w:hint="default"/>
      </w:rPr>
    </w:lvl>
    <w:lvl w:ilvl="7" w:tplc="1C0A0003" w:tentative="1">
      <w:start w:val="1"/>
      <w:numFmt w:val="bullet"/>
      <w:lvlText w:val="o"/>
      <w:lvlJc w:val="left"/>
      <w:pPr>
        <w:ind w:left="5760" w:hanging="360"/>
      </w:pPr>
      <w:rPr>
        <w:rFonts w:ascii="Courier New" w:hAnsi="Courier New" w:cs="Courier New" w:hint="default"/>
      </w:rPr>
    </w:lvl>
    <w:lvl w:ilvl="8" w:tplc="1C0A0005" w:tentative="1">
      <w:start w:val="1"/>
      <w:numFmt w:val="bullet"/>
      <w:lvlText w:val=""/>
      <w:lvlJc w:val="left"/>
      <w:pPr>
        <w:ind w:left="6480" w:hanging="360"/>
      </w:pPr>
      <w:rPr>
        <w:rFonts w:ascii="Wingdings" w:hAnsi="Wingdings" w:hint="default"/>
      </w:rPr>
    </w:lvl>
  </w:abstractNum>
  <w:abstractNum w:abstractNumId="47">
    <w:nsid w:val="72DC24DF"/>
    <w:multiLevelType w:val="hybridMultilevel"/>
    <w:tmpl w:val="7A104BC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nsid w:val="74C6BCEF"/>
    <w:multiLevelType w:val="hybridMultilevel"/>
    <w:tmpl w:val="35124282"/>
    <w:lvl w:ilvl="0" w:tplc="E7F2D0E0">
      <w:start w:val="1"/>
      <w:numFmt w:val="bullet"/>
      <w:lvlText w:val=""/>
      <w:lvlJc w:val="left"/>
      <w:pPr>
        <w:ind w:left="720" w:hanging="360"/>
      </w:pPr>
      <w:rPr>
        <w:rFonts w:ascii="Symbol" w:hAnsi="Symbol" w:hint="default"/>
      </w:rPr>
    </w:lvl>
    <w:lvl w:ilvl="1" w:tplc="E29E5516">
      <w:start w:val="1"/>
      <w:numFmt w:val="bullet"/>
      <w:lvlText w:val="o"/>
      <w:lvlJc w:val="left"/>
      <w:pPr>
        <w:ind w:left="1440" w:hanging="360"/>
      </w:pPr>
      <w:rPr>
        <w:rFonts w:ascii="Courier New" w:hAnsi="Courier New" w:hint="default"/>
      </w:rPr>
    </w:lvl>
    <w:lvl w:ilvl="2" w:tplc="A95C9FE0">
      <w:start w:val="1"/>
      <w:numFmt w:val="bullet"/>
      <w:lvlText w:val=""/>
      <w:lvlJc w:val="left"/>
      <w:pPr>
        <w:ind w:left="2160" w:hanging="360"/>
      </w:pPr>
      <w:rPr>
        <w:rFonts w:ascii="Wingdings" w:hAnsi="Wingdings" w:hint="default"/>
      </w:rPr>
    </w:lvl>
    <w:lvl w:ilvl="3" w:tplc="BE50BA72">
      <w:start w:val="1"/>
      <w:numFmt w:val="bullet"/>
      <w:lvlText w:val=""/>
      <w:lvlJc w:val="left"/>
      <w:pPr>
        <w:ind w:left="2880" w:hanging="360"/>
      </w:pPr>
      <w:rPr>
        <w:rFonts w:ascii="Symbol" w:hAnsi="Symbol" w:hint="default"/>
      </w:rPr>
    </w:lvl>
    <w:lvl w:ilvl="4" w:tplc="4EB85266">
      <w:start w:val="1"/>
      <w:numFmt w:val="bullet"/>
      <w:lvlText w:val="o"/>
      <w:lvlJc w:val="left"/>
      <w:pPr>
        <w:ind w:left="3600" w:hanging="360"/>
      </w:pPr>
      <w:rPr>
        <w:rFonts w:ascii="Courier New" w:hAnsi="Courier New" w:hint="default"/>
      </w:rPr>
    </w:lvl>
    <w:lvl w:ilvl="5" w:tplc="AB98721A">
      <w:start w:val="1"/>
      <w:numFmt w:val="bullet"/>
      <w:lvlText w:val=""/>
      <w:lvlJc w:val="left"/>
      <w:pPr>
        <w:ind w:left="4320" w:hanging="360"/>
      </w:pPr>
      <w:rPr>
        <w:rFonts w:ascii="Wingdings" w:hAnsi="Wingdings" w:hint="default"/>
      </w:rPr>
    </w:lvl>
    <w:lvl w:ilvl="6" w:tplc="F056C874">
      <w:start w:val="1"/>
      <w:numFmt w:val="bullet"/>
      <w:lvlText w:val=""/>
      <w:lvlJc w:val="left"/>
      <w:pPr>
        <w:ind w:left="5040" w:hanging="360"/>
      </w:pPr>
      <w:rPr>
        <w:rFonts w:ascii="Symbol" w:hAnsi="Symbol" w:hint="default"/>
      </w:rPr>
    </w:lvl>
    <w:lvl w:ilvl="7" w:tplc="966C4B5C">
      <w:start w:val="1"/>
      <w:numFmt w:val="bullet"/>
      <w:lvlText w:val="o"/>
      <w:lvlJc w:val="left"/>
      <w:pPr>
        <w:ind w:left="5760" w:hanging="360"/>
      </w:pPr>
      <w:rPr>
        <w:rFonts w:ascii="Courier New" w:hAnsi="Courier New" w:hint="default"/>
      </w:rPr>
    </w:lvl>
    <w:lvl w:ilvl="8" w:tplc="56F42FC0">
      <w:start w:val="1"/>
      <w:numFmt w:val="bullet"/>
      <w:lvlText w:val=""/>
      <w:lvlJc w:val="left"/>
      <w:pPr>
        <w:ind w:left="6480" w:hanging="360"/>
      </w:pPr>
      <w:rPr>
        <w:rFonts w:ascii="Wingdings" w:hAnsi="Wingdings" w:hint="default"/>
      </w:rPr>
    </w:lvl>
  </w:abstractNum>
  <w:abstractNum w:abstractNumId="49">
    <w:nsid w:val="775E1105"/>
    <w:multiLevelType w:val="hybridMultilevel"/>
    <w:tmpl w:val="422AA17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78C86740"/>
    <w:multiLevelType w:val="hybridMultilevel"/>
    <w:tmpl w:val="BEF68AB2"/>
    <w:lvl w:ilvl="0" w:tplc="43C076F8">
      <w:start w:val="1"/>
      <w:numFmt w:val="bullet"/>
      <w:lvlText w:val=""/>
      <w:lvlJc w:val="left"/>
      <w:pPr>
        <w:ind w:left="720" w:hanging="360"/>
      </w:pPr>
      <w:rPr>
        <w:rFonts w:ascii="Symbol" w:hAnsi="Symbol" w:hint="default"/>
      </w:rPr>
    </w:lvl>
    <w:lvl w:ilvl="1" w:tplc="90BE670A">
      <w:start w:val="1"/>
      <w:numFmt w:val="bullet"/>
      <w:lvlText w:val="o"/>
      <w:lvlJc w:val="left"/>
      <w:pPr>
        <w:ind w:left="1440" w:hanging="360"/>
      </w:pPr>
      <w:rPr>
        <w:rFonts w:ascii="Courier New" w:hAnsi="Courier New" w:hint="default"/>
      </w:rPr>
    </w:lvl>
    <w:lvl w:ilvl="2" w:tplc="40161418">
      <w:start w:val="1"/>
      <w:numFmt w:val="bullet"/>
      <w:lvlText w:val=""/>
      <w:lvlJc w:val="left"/>
      <w:pPr>
        <w:ind w:left="2160" w:hanging="360"/>
      </w:pPr>
      <w:rPr>
        <w:rFonts w:ascii="Wingdings" w:hAnsi="Wingdings" w:hint="default"/>
      </w:rPr>
    </w:lvl>
    <w:lvl w:ilvl="3" w:tplc="1A6AC5B0">
      <w:start w:val="1"/>
      <w:numFmt w:val="bullet"/>
      <w:lvlText w:val=""/>
      <w:lvlJc w:val="left"/>
      <w:pPr>
        <w:ind w:left="2880" w:hanging="360"/>
      </w:pPr>
      <w:rPr>
        <w:rFonts w:ascii="Symbol" w:hAnsi="Symbol" w:hint="default"/>
      </w:rPr>
    </w:lvl>
    <w:lvl w:ilvl="4" w:tplc="7CAE9558">
      <w:start w:val="1"/>
      <w:numFmt w:val="bullet"/>
      <w:lvlText w:val="o"/>
      <w:lvlJc w:val="left"/>
      <w:pPr>
        <w:ind w:left="3600" w:hanging="360"/>
      </w:pPr>
      <w:rPr>
        <w:rFonts w:ascii="Courier New" w:hAnsi="Courier New" w:hint="default"/>
      </w:rPr>
    </w:lvl>
    <w:lvl w:ilvl="5" w:tplc="D884E14C">
      <w:start w:val="1"/>
      <w:numFmt w:val="bullet"/>
      <w:lvlText w:val=""/>
      <w:lvlJc w:val="left"/>
      <w:pPr>
        <w:ind w:left="4320" w:hanging="360"/>
      </w:pPr>
      <w:rPr>
        <w:rFonts w:ascii="Wingdings" w:hAnsi="Wingdings" w:hint="default"/>
      </w:rPr>
    </w:lvl>
    <w:lvl w:ilvl="6" w:tplc="D90E9C84">
      <w:start w:val="1"/>
      <w:numFmt w:val="bullet"/>
      <w:lvlText w:val=""/>
      <w:lvlJc w:val="left"/>
      <w:pPr>
        <w:ind w:left="5040" w:hanging="360"/>
      </w:pPr>
      <w:rPr>
        <w:rFonts w:ascii="Symbol" w:hAnsi="Symbol" w:hint="default"/>
      </w:rPr>
    </w:lvl>
    <w:lvl w:ilvl="7" w:tplc="EF2036E2">
      <w:start w:val="1"/>
      <w:numFmt w:val="bullet"/>
      <w:lvlText w:val="o"/>
      <w:lvlJc w:val="left"/>
      <w:pPr>
        <w:ind w:left="5760" w:hanging="360"/>
      </w:pPr>
      <w:rPr>
        <w:rFonts w:ascii="Courier New" w:hAnsi="Courier New" w:hint="default"/>
      </w:rPr>
    </w:lvl>
    <w:lvl w:ilvl="8" w:tplc="CF5CB332">
      <w:start w:val="1"/>
      <w:numFmt w:val="bullet"/>
      <w:lvlText w:val=""/>
      <w:lvlJc w:val="left"/>
      <w:pPr>
        <w:ind w:left="6480" w:hanging="360"/>
      </w:pPr>
      <w:rPr>
        <w:rFonts w:ascii="Wingdings" w:hAnsi="Wingdings" w:hint="default"/>
      </w:rPr>
    </w:lvl>
  </w:abstractNum>
  <w:abstractNum w:abstractNumId="51">
    <w:nsid w:val="7B5710EF"/>
    <w:multiLevelType w:val="hybridMultilevel"/>
    <w:tmpl w:val="9D508E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C7C7A80"/>
    <w:multiLevelType w:val="hybridMultilevel"/>
    <w:tmpl w:val="9D5E9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7C995938"/>
    <w:multiLevelType w:val="hybridMultilevel"/>
    <w:tmpl w:val="4F9EDDB8"/>
    <w:lvl w:ilvl="0" w:tplc="04090001">
      <w:start w:val="1"/>
      <w:numFmt w:val="bullet"/>
      <w:lvlText w:val=""/>
      <w:lvlJc w:val="left"/>
      <w:pPr>
        <w:ind w:left="720" w:hanging="360"/>
      </w:pPr>
      <w:rPr>
        <w:rFonts w:ascii="Symbol" w:hAnsi="Symbol" w:hint="default"/>
      </w:rPr>
    </w:lvl>
    <w:lvl w:ilvl="1" w:tplc="86481D4C">
      <w:start w:val="1"/>
      <w:numFmt w:val="lowerLetter"/>
      <w:lvlText w:val="%2)"/>
      <w:lvlJc w:val="left"/>
      <w:pPr>
        <w:ind w:left="1800" w:hanging="720"/>
      </w:pPr>
      <w:rPr>
        <w:rFonts w:hint="default"/>
      </w:rPr>
    </w:lvl>
    <w:lvl w:ilvl="2" w:tplc="1C0A001B" w:tentative="1">
      <w:start w:val="1"/>
      <w:numFmt w:val="lowerRoman"/>
      <w:lvlText w:val="%3."/>
      <w:lvlJc w:val="right"/>
      <w:pPr>
        <w:ind w:left="2160" w:hanging="180"/>
      </w:pPr>
    </w:lvl>
    <w:lvl w:ilvl="3" w:tplc="1C0A000F" w:tentative="1">
      <w:start w:val="1"/>
      <w:numFmt w:val="decimal"/>
      <w:lvlText w:val="%4."/>
      <w:lvlJc w:val="left"/>
      <w:pPr>
        <w:ind w:left="2880" w:hanging="360"/>
      </w:pPr>
    </w:lvl>
    <w:lvl w:ilvl="4" w:tplc="1C0A0019" w:tentative="1">
      <w:start w:val="1"/>
      <w:numFmt w:val="lowerLetter"/>
      <w:lvlText w:val="%5."/>
      <w:lvlJc w:val="left"/>
      <w:pPr>
        <w:ind w:left="3600" w:hanging="360"/>
      </w:pPr>
    </w:lvl>
    <w:lvl w:ilvl="5" w:tplc="1C0A001B" w:tentative="1">
      <w:start w:val="1"/>
      <w:numFmt w:val="lowerRoman"/>
      <w:lvlText w:val="%6."/>
      <w:lvlJc w:val="right"/>
      <w:pPr>
        <w:ind w:left="4320" w:hanging="180"/>
      </w:pPr>
    </w:lvl>
    <w:lvl w:ilvl="6" w:tplc="1C0A000F" w:tentative="1">
      <w:start w:val="1"/>
      <w:numFmt w:val="decimal"/>
      <w:lvlText w:val="%7."/>
      <w:lvlJc w:val="left"/>
      <w:pPr>
        <w:ind w:left="5040" w:hanging="360"/>
      </w:pPr>
    </w:lvl>
    <w:lvl w:ilvl="7" w:tplc="1C0A0019" w:tentative="1">
      <w:start w:val="1"/>
      <w:numFmt w:val="lowerLetter"/>
      <w:lvlText w:val="%8."/>
      <w:lvlJc w:val="left"/>
      <w:pPr>
        <w:ind w:left="5760" w:hanging="360"/>
      </w:pPr>
    </w:lvl>
    <w:lvl w:ilvl="8" w:tplc="1C0A001B" w:tentative="1">
      <w:start w:val="1"/>
      <w:numFmt w:val="lowerRoman"/>
      <w:lvlText w:val="%9."/>
      <w:lvlJc w:val="right"/>
      <w:pPr>
        <w:ind w:left="6480" w:hanging="180"/>
      </w:pPr>
    </w:lvl>
  </w:abstractNum>
  <w:num w:numId="1">
    <w:abstractNumId w:val="9"/>
  </w:num>
  <w:num w:numId="2">
    <w:abstractNumId w:val="46"/>
  </w:num>
  <w:num w:numId="3">
    <w:abstractNumId w:val="5"/>
  </w:num>
  <w:num w:numId="4">
    <w:abstractNumId w:val="29"/>
  </w:num>
  <w:num w:numId="5">
    <w:abstractNumId w:val="12"/>
  </w:num>
  <w:num w:numId="6">
    <w:abstractNumId w:val="27"/>
  </w:num>
  <w:num w:numId="7">
    <w:abstractNumId w:val="48"/>
  </w:num>
  <w:num w:numId="8">
    <w:abstractNumId w:val="19"/>
  </w:num>
  <w:num w:numId="9">
    <w:abstractNumId w:val="39"/>
  </w:num>
  <w:num w:numId="10">
    <w:abstractNumId w:val="50"/>
  </w:num>
  <w:num w:numId="11">
    <w:abstractNumId w:val="4"/>
  </w:num>
  <w:num w:numId="12">
    <w:abstractNumId w:val="24"/>
  </w:num>
  <w:num w:numId="13">
    <w:abstractNumId w:val="17"/>
  </w:num>
  <w:num w:numId="14">
    <w:abstractNumId w:val="41"/>
  </w:num>
  <w:num w:numId="15">
    <w:abstractNumId w:val="43"/>
  </w:num>
  <w:num w:numId="16">
    <w:abstractNumId w:val="40"/>
  </w:num>
  <w:num w:numId="17">
    <w:abstractNumId w:val="37"/>
  </w:num>
  <w:num w:numId="18">
    <w:abstractNumId w:val="44"/>
  </w:num>
  <w:num w:numId="19">
    <w:abstractNumId w:val="7"/>
  </w:num>
  <w:num w:numId="20">
    <w:abstractNumId w:val="42"/>
  </w:num>
  <w:num w:numId="21">
    <w:abstractNumId w:val="13"/>
  </w:num>
  <w:num w:numId="22">
    <w:abstractNumId w:val="30"/>
  </w:num>
  <w:num w:numId="23">
    <w:abstractNumId w:val="49"/>
  </w:num>
  <w:num w:numId="24">
    <w:abstractNumId w:val="38"/>
  </w:num>
  <w:num w:numId="25">
    <w:abstractNumId w:val="45"/>
  </w:num>
  <w:num w:numId="26">
    <w:abstractNumId w:val="32"/>
  </w:num>
  <w:num w:numId="27">
    <w:abstractNumId w:val="25"/>
  </w:num>
  <w:num w:numId="28">
    <w:abstractNumId w:val="14"/>
  </w:num>
  <w:num w:numId="29">
    <w:abstractNumId w:val="6"/>
  </w:num>
  <w:num w:numId="30">
    <w:abstractNumId w:val="16"/>
  </w:num>
  <w:num w:numId="31">
    <w:abstractNumId w:val="53"/>
  </w:num>
  <w:num w:numId="32">
    <w:abstractNumId w:val="15"/>
  </w:num>
  <w:num w:numId="33">
    <w:abstractNumId w:val="26"/>
  </w:num>
  <w:num w:numId="34">
    <w:abstractNumId w:val="33"/>
  </w:num>
  <w:num w:numId="35">
    <w:abstractNumId w:val="36"/>
  </w:num>
  <w:num w:numId="36">
    <w:abstractNumId w:val="34"/>
  </w:num>
  <w:num w:numId="37">
    <w:abstractNumId w:val="2"/>
  </w:num>
  <w:num w:numId="38">
    <w:abstractNumId w:val="8"/>
  </w:num>
  <w:num w:numId="39">
    <w:abstractNumId w:val="47"/>
  </w:num>
  <w:num w:numId="40">
    <w:abstractNumId w:val="28"/>
  </w:num>
  <w:num w:numId="41">
    <w:abstractNumId w:val="35"/>
  </w:num>
  <w:num w:numId="42">
    <w:abstractNumId w:val="0"/>
  </w:num>
  <w:num w:numId="43">
    <w:abstractNumId w:val="52"/>
  </w:num>
  <w:num w:numId="44">
    <w:abstractNumId w:val="10"/>
  </w:num>
  <w:num w:numId="45">
    <w:abstractNumId w:val="23"/>
  </w:num>
  <w:num w:numId="46">
    <w:abstractNumId w:val="20"/>
  </w:num>
  <w:num w:numId="47">
    <w:abstractNumId w:val="22"/>
  </w:num>
  <w:num w:numId="48">
    <w:abstractNumId w:val="51"/>
  </w:num>
  <w:num w:numId="49">
    <w:abstractNumId w:val="21"/>
  </w:num>
  <w:num w:numId="50">
    <w:abstractNumId w:val="11"/>
  </w:num>
  <w:num w:numId="51">
    <w:abstractNumId w:val="18"/>
  </w:num>
  <w:num w:numId="52">
    <w:abstractNumId w:val="31"/>
  </w:num>
  <w:num w:numId="53">
    <w:abstractNumId w:val="3"/>
  </w:num>
  <w:num w:numId="54">
    <w:abstractNumId w:val="1"/>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7F4E"/>
    <w:rsid w:val="00001EA5"/>
    <w:rsid w:val="00002276"/>
    <w:rsid w:val="000066D2"/>
    <w:rsid w:val="00011C22"/>
    <w:rsid w:val="000166B0"/>
    <w:rsid w:val="000169BC"/>
    <w:rsid w:val="000174D0"/>
    <w:rsid w:val="00017EAE"/>
    <w:rsid w:val="00020273"/>
    <w:rsid w:val="00021794"/>
    <w:rsid w:val="00026F32"/>
    <w:rsid w:val="00032423"/>
    <w:rsid w:val="00033CEE"/>
    <w:rsid w:val="00034C2E"/>
    <w:rsid w:val="0003569A"/>
    <w:rsid w:val="00036AFC"/>
    <w:rsid w:val="00040272"/>
    <w:rsid w:val="00041294"/>
    <w:rsid w:val="00042C0B"/>
    <w:rsid w:val="00042F9F"/>
    <w:rsid w:val="00050E66"/>
    <w:rsid w:val="0005304D"/>
    <w:rsid w:val="000558D2"/>
    <w:rsid w:val="00057AD9"/>
    <w:rsid w:val="0006224D"/>
    <w:rsid w:val="00066DEA"/>
    <w:rsid w:val="00071039"/>
    <w:rsid w:val="000715D3"/>
    <w:rsid w:val="0007427A"/>
    <w:rsid w:val="00081474"/>
    <w:rsid w:val="0008364F"/>
    <w:rsid w:val="00085A72"/>
    <w:rsid w:val="00085CA3"/>
    <w:rsid w:val="00087802"/>
    <w:rsid w:val="00090FB3"/>
    <w:rsid w:val="000960E2"/>
    <w:rsid w:val="000A00BD"/>
    <w:rsid w:val="000B3B41"/>
    <w:rsid w:val="000B498D"/>
    <w:rsid w:val="000B5292"/>
    <w:rsid w:val="000B5B25"/>
    <w:rsid w:val="000D34AA"/>
    <w:rsid w:val="000D51A7"/>
    <w:rsid w:val="000D533D"/>
    <w:rsid w:val="000D5B00"/>
    <w:rsid w:val="000D7F32"/>
    <w:rsid w:val="000E66D4"/>
    <w:rsid w:val="000F18F1"/>
    <w:rsid w:val="000F38E8"/>
    <w:rsid w:val="00100AB1"/>
    <w:rsid w:val="00102FC1"/>
    <w:rsid w:val="001043F0"/>
    <w:rsid w:val="001048C4"/>
    <w:rsid w:val="00114F2A"/>
    <w:rsid w:val="00115ABC"/>
    <w:rsid w:val="00116B79"/>
    <w:rsid w:val="00117F7E"/>
    <w:rsid w:val="0012311D"/>
    <w:rsid w:val="001240D0"/>
    <w:rsid w:val="00125D46"/>
    <w:rsid w:val="001300D0"/>
    <w:rsid w:val="001332BD"/>
    <w:rsid w:val="00147C0E"/>
    <w:rsid w:val="0015013D"/>
    <w:rsid w:val="00150414"/>
    <w:rsid w:val="001523C3"/>
    <w:rsid w:val="00152E9E"/>
    <w:rsid w:val="00152FBB"/>
    <w:rsid w:val="00156419"/>
    <w:rsid w:val="00160BE9"/>
    <w:rsid w:val="00162A8A"/>
    <w:rsid w:val="00163B61"/>
    <w:rsid w:val="00164F9C"/>
    <w:rsid w:val="001806AE"/>
    <w:rsid w:val="00182630"/>
    <w:rsid w:val="001852BB"/>
    <w:rsid w:val="001B1047"/>
    <w:rsid w:val="001B1B5F"/>
    <w:rsid w:val="001B43AB"/>
    <w:rsid w:val="001B4BCD"/>
    <w:rsid w:val="001B5EDF"/>
    <w:rsid w:val="001B6676"/>
    <w:rsid w:val="001C151B"/>
    <w:rsid w:val="001C24E1"/>
    <w:rsid w:val="001D2106"/>
    <w:rsid w:val="001D27B0"/>
    <w:rsid w:val="001D3CC6"/>
    <w:rsid w:val="001D4256"/>
    <w:rsid w:val="001D5642"/>
    <w:rsid w:val="001D5822"/>
    <w:rsid w:val="001D5963"/>
    <w:rsid w:val="001D608D"/>
    <w:rsid w:val="001D72DF"/>
    <w:rsid w:val="001D7D07"/>
    <w:rsid w:val="001E07B9"/>
    <w:rsid w:val="001E697A"/>
    <w:rsid w:val="001F33D9"/>
    <w:rsid w:val="001F43C8"/>
    <w:rsid w:val="001F6F8C"/>
    <w:rsid w:val="001F7624"/>
    <w:rsid w:val="00200B6E"/>
    <w:rsid w:val="002010D7"/>
    <w:rsid w:val="002053AC"/>
    <w:rsid w:val="00205ED2"/>
    <w:rsid w:val="00207E1E"/>
    <w:rsid w:val="00210B0C"/>
    <w:rsid w:val="0021106F"/>
    <w:rsid w:val="00211A41"/>
    <w:rsid w:val="00212158"/>
    <w:rsid w:val="002131EF"/>
    <w:rsid w:val="0021331F"/>
    <w:rsid w:val="002141A4"/>
    <w:rsid w:val="00214E2C"/>
    <w:rsid w:val="00217002"/>
    <w:rsid w:val="00217AD7"/>
    <w:rsid w:val="00233446"/>
    <w:rsid w:val="00234CB5"/>
    <w:rsid w:val="0023702B"/>
    <w:rsid w:val="00240556"/>
    <w:rsid w:val="00241B40"/>
    <w:rsid w:val="00243839"/>
    <w:rsid w:val="00243FED"/>
    <w:rsid w:val="00244AE2"/>
    <w:rsid w:val="00250512"/>
    <w:rsid w:val="0025439D"/>
    <w:rsid w:val="00255F44"/>
    <w:rsid w:val="00256209"/>
    <w:rsid w:val="00260850"/>
    <w:rsid w:val="00262A7B"/>
    <w:rsid w:val="00263619"/>
    <w:rsid w:val="002662BB"/>
    <w:rsid w:val="002677EC"/>
    <w:rsid w:val="00270838"/>
    <w:rsid w:val="00271397"/>
    <w:rsid w:val="0027301D"/>
    <w:rsid w:val="002741F9"/>
    <w:rsid w:val="00275B5B"/>
    <w:rsid w:val="00281E74"/>
    <w:rsid w:val="00282C79"/>
    <w:rsid w:val="0028336D"/>
    <w:rsid w:val="0028376E"/>
    <w:rsid w:val="00285190"/>
    <w:rsid w:val="002851BA"/>
    <w:rsid w:val="00291C2D"/>
    <w:rsid w:val="00295341"/>
    <w:rsid w:val="002A3C53"/>
    <w:rsid w:val="002A3F81"/>
    <w:rsid w:val="002A40D6"/>
    <w:rsid w:val="002A56FA"/>
    <w:rsid w:val="002A73D7"/>
    <w:rsid w:val="002B1B7C"/>
    <w:rsid w:val="002B4451"/>
    <w:rsid w:val="002C14AC"/>
    <w:rsid w:val="002C4B47"/>
    <w:rsid w:val="002C4B58"/>
    <w:rsid w:val="002D2821"/>
    <w:rsid w:val="002D2E81"/>
    <w:rsid w:val="002D3BBC"/>
    <w:rsid w:val="002D79D0"/>
    <w:rsid w:val="002E1015"/>
    <w:rsid w:val="002E5343"/>
    <w:rsid w:val="002F2429"/>
    <w:rsid w:val="002F255C"/>
    <w:rsid w:val="002F2766"/>
    <w:rsid w:val="002F4988"/>
    <w:rsid w:val="003007E9"/>
    <w:rsid w:val="003022E5"/>
    <w:rsid w:val="00303102"/>
    <w:rsid w:val="00304AA7"/>
    <w:rsid w:val="00304B48"/>
    <w:rsid w:val="003136E6"/>
    <w:rsid w:val="00314B29"/>
    <w:rsid w:val="00317BE8"/>
    <w:rsid w:val="0032369B"/>
    <w:rsid w:val="003254E1"/>
    <w:rsid w:val="00326BBB"/>
    <w:rsid w:val="00330BBF"/>
    <w:rsid w:val="00332426"/>
    <w:rsid w:val="003337E7"/>
    <w:rsid w:val="003349E5"/>
    <w:rsid w:val="0033627E"/>
    <w:rsid w:val="00337F47"/>
    <w:rsid w:val="00340EE4"/>
    <w:rsid w:val="0034224F"/>
    <w:rsid w:val="00345AC2"/>
    <w:rsid w:val="00347270"/>
    <w:rsid w:val="003552BF"/>
    <w:rsid w:val="00355FE2"/>
    <w:rsid w:val="00356F8C"/>
    <w:rsid w:val="00360D7A"/>
    <w:rsid w:val="00362521"/>
    <w:rsid w:val="00365347"/>
    <w:rsid w:val="0037215A"/>
    <w:rsid w:val="00374E11"/>
    <w:rsid w:val="00376423"/>
    <w:rsid w:val="00376DD4"/>
    <w:rsid w:val="0038024B"/>
    <w:rsid w:val="00380CFC"/>
    <w:rsid w:val="00382F19"/>
    <w:rsid w:val="00383BFA"/>
    <w:rsid w:val="00385197"/>
    <w:rsid w:val="00385A96"/>
    <w:rsid w:val="003A41E6"/>
    <w:rsid w:val="003A6538"/>
    <w:rsid w:val="003B15A3"/>
    <w:rsid w:val="003C1326"/>
    <w:rsid w:val="003C5AC2"/>
    <w:rsid w:val="003C74C5"/>
    <w:rsid w:val="003C7675"/>
    <w:rsid w:val="003D5694"/>
    <w:rsid w:val="003D6DB6"/>
    <w:rsid w:val="003D6E9C"/>
    <w:rsid w:val="003D78AE"/>
    <w:rsid w:val="003E3759"/>
    <w:rsid w:val="003E7482"/>
    <w:rsid w:val="003E7C79"/>
    <w:rsid w:val="003E7EAF"/>
    <w:rsid w:val="003F0A84"/>
    <w:rsid w:val="003F3CA0"/>
    <w:rsid w:val="003F3E33"/>
    <w:rsid w:val="003F48A9"/>
    <w:rsid w:val="003F6212"/>
    <w:rsid w:val="0040208F"/>
    <w:rsid w:val="00402707"/>
    <w:rsid w:val="004055E0"/>
    <w:rsid w:val="00410EE5"/>
    <w:rsid w:val="004203CF"/>
    <w:rsid w:val="004226FB"/>
    <w:rsid w:val="00422DE8"/>
    <w:rsid w:val="00425CF6"/>
    <w:rsid w:val="00425F63"/>
    <w:rsid w:val="00430A3C"/>
    <w:rsid w:val="004344EF"/>
    <w:rsid w:val="00436449"/>
    <w:rsid w:val="00443BFC"/>
    <w:rsid w:val="00445793"/>
    <w:rsid w:val="00450B4C"/>
    <w:rsid w:val="00456467"/>
    <w:rsid w:val="00457E9A"/>
    <w:rsid w:val="00460CDF"/>
    <w:rsid w:val="00460F2B"/>
    <w:rsid w:val="004628C3"/>
    <w:rsid w:val="00463A18"/>
    <w:rsid w:val="00465880"/>
    <w:rsid w:val="004671B7"/>
    <w:rsid w:val="004762A5"/>
    <w:rsid w:val="0048059F"/>
    <w:rsid w:val="00481014"/>
    <w:rsid w:val="004836B7"/>
    <w:rsid w:val="004839C1"/>
    <w:rsid w:val="0049090C"/>
    <w:rsid w:val="004919AA"/>
    <w:rsid w:val="00497B7A"/>
    <w:rsid w:val="004A0947"/>
    <w:rsid w:val="004A2FA6"/>
    <w:rsid w:val="004A5550"/>
    <w:rsid w:val="004A7120"/>
    <w:rsid w:val="004A776F"/>
    <w:rsid w:val="004B2EEB"/>
    <w:rsid w:val="004C557A"/>
    <w:rsid w:val="004C7C30"/>
    <w:rsid w:val="004D0737"/>
    <w:rsid w:val="004D3E62"/>
    <w:rsid w:val="004D5ADB"/>
    <w:rsid w:val="004D7636"/>
    <w:rsid w:val="004E08E9"/>
    <w:rsid w:val="004E1865"/>
    <w:rsid w:val="004E2B35"/>
    <w:rsid w:val="004E32E4"/>
    <w:rsid w:val="004E68AA"/>
    <w:rsid w:val="004F2DD5"/>
    <w:rsid w:val="004F3A6D"/>
    <w:rsid w:val="00505719"/>
    <w:rsid w:val="005067A7"/>
    <w:rsid w:val="00511B64"/>
    <w:rsid w:val="00513ACC"/>
    <w:rsid w:val="00515B4C"/>
    <w:rsid w:val="00524306"/>
    <w:rsid w:val="00524E82"/>
    <w:rsid w:val="00526730"/>
    <w:rsid w:val="005268A3"/>
    <w:rsid w:val="005273D1"/>
    <w:rsid w:val="0053121F"/>
    <w:rsid w:val="005342DE"/>
    <w:rsid w:val="005344AD"/>
    <w:rsid w:val="005352A0"/>
    <w:rsid w:val="005356F9"/>
    <w:rsid w:val="005421D6"/>
    <w:rsid w:val="00545797"/>
    <w:rsid w:val="005467EE"/>
    <w:rsid w:val="0054777B"/>
    <w:rsid w:val="00552A9A"/>
    <w:rsid w:val="00556352"/>
    <w:rsid w:val="00565AD0"/>
    <w:rsid w:val="0056687C"/>
    <w:rsid w:val="00566BEC"/>
    <w:rsid w:val="00571E28"/>
    <w:rsid w:val="0057321D"/>
    <w:rsid w:val="0057570B"/>
    <w:rsid w:val="005805BA"/>
    <w:rsid w:val="00591C1B"/>
    <w:rsid w:val="00591FEA"/>
    <w:rsid w:val="005924C3"/>
    <w:rsid w:val="0059596B"/>
    <w:rsid w:val="00596D44"/>
    <w:rsid w:val="005972CD"/>
    <w:rsid w:val="00597722"/>
    <w:rsid w:val="005978B5"/>
    <w:rsid w:val="005A11A8"/>
    <w:rsid w:val="005A2962"/>
    <w:rsid w:val="005A404B"/>
    <w:rsid w:val="005A47A0"/>
    <w:rsid w:val="005A4B97"/>
    <w:rsid w:val="005B192B"/>
    <w:rsid w:val="005B1AED"/>
    <w:rsid w:val="005C548C"/>
    <w:rsid w:val="005C5633"/>
    <w:rsid w:val="005C6B56"/>
    <w:rsid w:val="005D0C3E"/>
    <w:rsid w:val="005D0D8A"/>
    <w:rsid w:val="005D326A"/>
    <w:rsid w:val="005D4E4B"/>
    <w:rsid w:val="005E1C92"/>
    <w:rsid w:val="005E3269"/>
    <w:rsid w:val="005E42B8"/>
    <w:rsid w:val="005F164E"/>
    <w:rsid w:val="005F3C58"/>
    <w:rsid w:val="005F72E4"/>
    <w:rsid w:val="005F7DD0"/>
    <w:rsid w:val="006104F0"/>
    <w:rsid w:val="0061095C"/>
    <w:rsid w:val="00611100"/>
    <w:rsid w:val="00611381"/>
    <w:rsid w:val="00611D6D"/>
    <w:rsid w:val="006160B6"/>
    <w:rsid w:val="006161E8"/>
    <w:rsid w:val="0061727F"/>
    <w:rsid w:val="006229BC"/>
    <w:rsid w:val="0062386F"/>
    <w:rsid w:val="0062591D"/>
    <w:rsid w:val="00630BAB"/>
    <w:rsid w:val="00631F6E"/>
    <w:rsid w:val="00633C9F"/>
    <w:rsid w:val="00634A7F"/>
    <w:rsid w:val="0064141A"/>
    <w:rsid w:val="006418F0"/>
    <w:rsid w:val="00641CAA"/>
    <w:rsid w:val="00643D96"/>
    <w:rsid w:val="00644365"/>
    <w:rsid w:val="00646AAD"/>
    <w:rsid w:val="00650346"/>
    <w:rsid w:val="00650DCD"/>
    <w:rsid w:val="00652417"/>
    <w:rsid w:val="00653B74"/>
    <w:rsid w:val="00654EFA"/>
    <w:rsid w:val="00655447"/>
    <w:rsid w:val="006575D7"/>
    <w:rsid w:val="00657B5E"/>
    <w:rsid w:val="006601F8"/>
    <w:rsid w:val="0066249F"/>
    <w:rsid w:val="00665419"/>
    <w:rsid w:val="00671530"/>
    <w:rsid w:val="006762C0"/>
    <w:rsid w:val="00676D2C"/>
    <w:rsid w:val="00683815"/>
    <w:rsid w:val="0068537B"/>
    <w:rsid w:val="00685598"/>
    <w:rsid w:val="00686DEC"/>
    <w:rsid w:val="0069598C"/>
    <w:rsid w:val="00696377"/>
    <w:rsid w:val="00696963"/>
    <w:rsid w:val="006A60A6"/>
    <w:rsid w:val="006B0F6B"/>
    <w:rsid w:val="006B3B91"/>
    <w:rsid w:val="006B445C"/>
    <w:rsid w:val="006B6FD1"/>
    <w:rsid w:val="006C2F5A"/>
    <w:rsid w:val="006C3675"/>
    <w:rsid w:val="006C471C"/>
    <w:rsid w:val="006C48A5"/>
    <w:rsid w:val="006C72BE"/>
    <w:rsid w:val="006C7874"/>
    <w:rsid w:val="006C7929"/>
    <w:rsid w:val="006C7AA0"/>
    <w:rsid w:val="006D33E6"/>
    <w:rsid w:val="006D4CE8"/>
    <w:rsid w:val="006D62FE"/>
    <w:rsid w:val="006D77C1"/>
    <w:rsid w:val="006E08C1"/>
    <w:rsid w:val="006E0C6F"/>
    <w:rsid w:val="006E232B"/>
    <w:rsid w:val="006E249B"/>
    <w:rsid w:val="006E3F08"/>
    <w:rsid w:val="006E4F40"/>
    <w:rsid w:val="006E78AD"/>
    <w:rsid w:val="006F2B3A"/>
    <w:rsid w:val="006F3954"/>
    <w:rsid w:val="006F61CB"/>
    <w:rsid w:val="006F7D8C"/>
    <w:rsid w:val="00701ADC"/>
    <w:rsid w:val="007033AD"/>
    <w:rsid w:val="0070392E"/>
    <w:rsid w:val="0070407A"/>
    <w:rsid w:val="007072CC"/>
    <w:rsid w:val="0070741E"/>
    <w:rsid w:val="00714ED7"/>
    <w:rsid w:val="00716A3D"/>
    <w:rsid w:val="00717142"/>
    <w:rsid w:val="00717D49"/>
    <w:rsid w:val="007277BF"/>
    <w:rsid w:val="00730FC0"/>
    <w:rsid w:val="00731A43"/>
    <w:rsid w:val="00732316"/>
    <w:rsid w:val="00737BE7"/>
    <w:rsid w:val="00740594"/>
    <w:rsid w:val="00742315"/>
    <w:rsid w:val="00745AB0"/>
    <w:rsid w:val="00747C96"/>
    <w:rsid w:val="007509F5"/>
    <w:rsid w:val="00755798"/>
    <w:rsid w:val="00756028"/>
    <w:rsid w:val="00756B42"/>
    <w:rsid w:val="007702B4"/>
    <w:rsid w:val="00771386"/>
    <w:rsid w:val="00771515"/>
    <w:rsid w:val="00771D84"/>
    <w:rsid w:val="00782509"/>
    <w:rsid w:val="00786C60"/>
    <w:rsid w:val="007905CC"/>
    <w:rsid w:val="00790BC0"/>
    <w:rsid w:val="00790E59"/>
    <w:rsid w:val="00792C87"/>
    <w:rsid w:val="00794CAD"/>
    <w:rsid w:val="00795320"/>
    <w:rsid w:val="00795A16"/>
    <w:rsid w:val="00796C22"/>
    <w:rsid w:val="007A267B"/>
    <w:rsid w:val="007A30D2"/>
    <w:rsid w:val="007A4469"/>
    <w:rsid w:val="007A641B"/>
    <w:rsid w:val="007A6B48"/>
    <w:rsid w:val="007B48FE"/>
    <w:rsid w:val="007C0301"/>
    <w:rsid w:val="007C11E2"/>
    <w:rsid w:val="007C16C5"/>
    <w:rsid w:val="007C2CE1"/>
    <w:rsid w:val="007C31A1"/>
    <w:rsid w:val="007C358A"/>
    <w:rsid w:val="007C5CEF"/>
    <w:rsid w:val="007C6071"/>
    <w:rsid w:val="007D0AAE"/>
    <w:rsid w:val="007D0E41"/>
    <w:rsid w:val="007D4866"/>
    <w:rsid w:val="007D5EC0"/>
    <w:rsid w:val="007E3BC4"/>
    <w:rsid w:val="007E688D"/>
    <w:rsid w:val="007F00FF"/>
    <w:rsid w:val="007F18A7"/>
    <w:rsid w:val="007F67E7"/>
    <w:rsid w:val="00801A98"/>
    <w:rsid w:val="00804783"/>
    <w:rsid w:val="00806120"/>
    <w:rsid w:val="00806437"/>
    <w:rsid w:val="00807562"/>
    <w:rsid w:val="00810DE4"/>
    <w:rsid w:val="008152C5"/>
    <w:rsid w:val="00816444"/>
    <w:rsid w:val="008274B3"/>
    <w:rsid w:val="00830ADE"/>
    <w:rsid w:val="0083303F"/>
    <w:rsid w:val="0083438E"/>
    <w:rsid w:val="00836283"/>
    <w:rsid w:val="00840891"/>
    <w:rsid w:val="00842961"/>
    <w:rsid w:val="008462FF"/>
    <w:rsid w:val="008533B5"/>
    <w:rsid w:val="00855BE2"/>
    <w:rsid w:val="00860389"/>
    <w:rsid w:val="00864251"/>
    <w:rsid w:val="00871F2C"/>
    <w:rsid w:val="00876DED"/>
    <w:rsid w:val="0087772C"/>
    <w:rsid w:val="008777FC"/>
    <w:rsid w:val="00877B21"/>
    <w:rsid w:val="00881874"/>
    <w:rsid w:val="00884A2D"/>
    <w:rsid w:val="008860AC"/>
    <w:rsid w:val="008862C9"/>
    <w:rsid w:val="0089273D"/>
    <w:rsid w:val="0089319D"/>
    <w:rsid w:val="00895611"/>
    <w:rsid w:val="00895A12"/>
    <w:rsid w:val="00897B1D"/>
    <w:rsid w:val="008A02DD"/>
    <w:rsid w:val="008A2483"/>
    <w:rsid w:val="008A2756"/>
    <w:rsid w:val="008A3378"/>
    <w:rsid w:val="008A3703"/>
    <w:rsid w:val="008A528C"/>
    <w:rsid w:val="008A6D11"/>
    <w:rsid w:val="008B0DE2"/>
    <w:rsid w:val="008B38CF"/>
    <w:rsid w:val="008B4370"/>
    <w:rsid w:val="008C215F"/>
    <w:rsid w:val="008C22C6"/>
    <w:rsid w:val="008C2B22"/>
    <w:rsid w:val="008C6211"/>
    <w:rsid w:val="008C63B9"/>
    <w:rsid w:val="008D1AD8"/>
    <w:rsid w:val="008D1B2E"/>
    <w:rsid w:val="008D55B2"/>
    <w:rsid w:val="008D7EF9"/>
    <w:rsid w:val="008D7F4E"/>
    <w:rsid w:val="008E0A32"/>
    <w:rsid w:val="008E447D"/>
    <w:rsid w:val="008E4C61"/>
    <w:rsid w:val="008E6046"/>
    <w:rsid w:val="008E67B8"/>
    <w:rsid w:val="008E711B"/>
    <w:rsid w:val="008F10C2"/>
    <w:rsid w:val="008F1E3E"/>
    <w:rsid w:val="008F2431"/>
    <w:rsid w:val="008F4270"/>
    <w:rsid w:val="008F59AD"/>
    <w:rsid w:val="008F5A21"/>
    <w:rsid w:val="008F7B63"/>
    <w:rsid w:val="009000C6"/>
    <w:rsid w:val="00900CF0"/>
    <w:rsid w:val="00904AC5"/>
    <w:rsid w:val="00907DDB"/>
    <w:rsid w:val="00911DE9"/>
    <w:rsid w:val="009124DA"/>
    <w:rsid w:val="009124FD"/>
    <w:rsid w:val="009131DC"/>
    <w:rsid w:val="009150D3"/>
    <w:rsid w:val="00916E17"/>
    <w:rsid w:val="0092014B"/>
    <w:rsid w:val="00924709"/>
    <w:rsid w:val="009255B6"/>
    <w:rsid w:val="00926425"/>
    <w:rsid w:val="0093050F"/>
    <w:rsid w:val="00930A18"/>
    <w:rsid w:val="00933619"/>
    <w:rsid w:val="00936D8F"/>
    <w:rsid w:val="00943FA5"/>
    <w:rsid w:val="0094512B"/>
    <w:rsid w:val="009533F6"/>
    <w:rsid w:val="009558E4"/>
    <w:rsid w:val="009602A3"/>
    <w:rsid w:val="009714C2"/>
    <w:rsid w:val="00971A01"/>
    <w:rsid w:val="009763F3"/>
    <w:rsid w:val="00977D9C"/>
    <w:rsid w:val="009824C1"/>
    <w:rsid w:val="00984617"/>
    <w:rsid w:val="009852C6"/>
    <w:rsid w:val="009861A3"/>
    <w:rsid w:val="009904DB"/>
    <w:rsid w:val="0099268C"/>
    <w:rsid w:val="0099745A"/>
    <w:rsid w:val="009A12AA"/>
    <w:rsid w:val="009A25BD"/>
    <w:rsid w:val="009A3B59"/>
    <w:rsid w:val="009A3E28"/>
    <w:rsid w:val="009A3E9C"/>
    <w:rsid w:val="009A40A4"/>
    <w:rsid w:val="009A6D07"/>
    <w:rsid w:val="009A738B"/>
    <w:rsid w:val="009B1422"/>
    <w:rsid w:val="009B239B"/>
    <w:rsid w:val="009B2515"/>
    <w:rsid w:val="009B391D"/>
    <w:rsid w:val="009B5F17"/>
    <w:rsid w:val="009C3427"/>
    <w:rsid w:val="009C5608"/>
    <w:rsid w:val="009C5DD0"/>
    <w:rsid w:val="009C655C"/>
    <w:rsid w:val="009D2012"/>
    <w:rsid w:val="009D40B8"/>
    <w:rsid w:val="009D69C6"/>
    <w:rsid w:val="009E3F58"/>
    <w:rsid w:val="009E671E"/>
    <w:rsid w:val="009E6779"/>
    <w:rsid w:val="009F3D54"/>
    <w:rsid w:val="009F6628"/>
    <w:rsid w:val="00A00F83"/>
    <w:rsid w:val="00A02BDE"/>
    <w:rsid w:val="00A031A9"/>
    <w:rsid w:val="00A04B5B"/>
    <w:rsid w:val="00A065A5"/>
    <w:rsid w:val="00A072F5"/>
    <w:rsid w:val="00A07FA7"/>
    <w:rsid w:val="00A14471"/>
    <w:rsid w:val="00A161D3"/>
    <w:rsid w:val="00A16410"/>
    <w:rsid w:val="00A23B48"/>
    <w:rsid w:val="00A25988"/>
    <w:rsid w:val="00A259CA"/>
    <w:rsid w:val="00A27BA0"/>
    <w:rsid w:val="00A3160B"/>
    <w:rsid w:val="00A31EFE"/>
    <w:rsid w:val="00A342CB"/>
    <w:rsid w:val="00A3625A"/>
    <w:rsid w:val="00A374FD"/>
    <w:rsid w:val="00A408F8"/>
    <w:rsid w:val="00A4233F"/>
    <w:rsid w:val="00A425E0"/>
    <w:rsid w:val="00A42CAA"/>
    <w:rsid w:val="00A4332B"/>
    <w:rsid w:val="00A44089"/>
    <w:rsid w:val="00A45868"/>
    <w:rsid w:val="00A54AD8"/>
    <w:rsid w:val="00A56B68"/>
    <w:rsid w:val="00A63A00"/>
    <w:rsid w:val="00A712DA"/>
    <w:rsid w:val="00A71A82"/>
    <w:rsid w:val="00A72CDD"/>
    <w:rsid w:val="00A73F2D"/>
    <w:rsid w:val="00A75CDE"/>
    <w:rsid w:val="00A77640"/>
    <w:rsid w:val="00A911D8"/>
    <w:rsid w:val="00A93998"/>
    <w:rsid w:val="00A94B61"/>
    <w:rsid w:val="00A9501C"/>
    <w:rsid w:val="00AA18E5"/>
    <w:rsid w:val="00AA21EF"/>
    <w:rsid w:val="00AA3C6C"/>
    <w:rsid w:val="00AB3DF0"/>
    <w:rsid w:val="00AB7986"/>
    <w:rsid w:val="00AC098F"/>
    <w:rsid w:val="00AD7BAF"/>
    <w:rsid w:val="00AE3521"/>
    <w:rsid w:val="00AE6CC8"/>
    <w:rsid w:val="00AF0C58"/>
    <w:rsid w:val="00AF4091"/>
    <w:rsid w:val="00AF5D9B"/>
    <w:rsid w:val="00B00E23"/>
    <w:rsid w:val="00B01A21"/>
    <w:rsid w:val="00B07B8F"/>
    <w:rsid w:val="00B137F1"/>
    <w:rsid w:val="00B1502F"/>
    <w:rsid w:val="00B1683C"/>
    <w:rsid w:val="00B16EF5"/>
    <w:rsid w:val="00B17F70"/>
    <w:rsid w:val="00B20486"/>
    <w:rsid w:val="00B24AD8"/>
    <w:rsid w:val="00B24DE8"/>
    <w:rsid w:val="00B2777C"/>
    <w:rsid w:val="00B30127"/>
    <w:rsid w:val="00B31A60"/>
    <w:rsid w:val="00B3667B"/>
    <w:rsid w:val="00B41B8D"/>
    <w:rsid w:val="00B43C32"/>
    <w:rsid w:val="00B43DC9"/>
    <w:rsid w:val="00B4484D"/>
    <w:rsid w:val="00B45B38"/>
    <w:rsid w:val="00B4789A"/>
    <w:rsid w:val="00B5062F"/>
    <w:rsid w:val="00B5179E"/>
    <w:rsid w:val="00B56CA4"/>
    <w:rsid w:val="00B644D2"/>
    <w:rsid w:val="00B66DB9"/>
    <w:rsid w:val="00B73220"/>
    <w:rsid w:val="00B764C5"/>
    <w:rsid w:val="00B76A8E"/>
    <w:rsid w:val="00B82CCE"/>
    <w:rsid w:val="00B83AB5"/>
    <w:rsid w:val="00B855AA"/>
    <w:rsid w:val="00B90BA2"/>
    <w:rsid w:val="00B94255"/>
    <w:rsid w:val="00B94808"/>
    <w:rsid w:val="00B94CCD"/>
    <w:rsid w:val="00B975B1"/>
    <w:rsid w:val="00BA285D"/>
    <w:rsid w:val="00BA3EE9"/>
    <w:rsid w:val="00BA56DF"/>
    <w:rsid w:val="00BA75C7"/>
    <w:rsid w:val="00BA7DE5"/>
    <w:rsid w:val="00BB1511"/>
    <w:rsid w:val="00BB3606"/>
    <w:rsid w:val="00BB362B"/>
    <w:rsid w:val="00BB4D02"/>
    <w:rsid w:val="00BB5E46"/>
    <w:rsid w:val="00BB7662"/>
    <w:rsid w:val="00BC1EBB"/>
    <w:rsid w:val="00BC55A1"/>
    <w:rsid w:val="00BD34C9"/>
    <w:rsid w:val="00BD5284"/>
    <w:rsid w:val="00BD5DA2"/>
    <w:rsid w:val="00BD79E2"/>
    <w:rsid w:val="00BE2AB6"/>
    <w:rsid w:val="00BE3668"/>
    <w:rsid w:val="00BE3871"/>
    <w:rsid w:val="00BE395F"/>
    <w:rsid w:val="00BE4E85"/>
    <w:rsid w:val="00BE59F6"/>
    <w:rsid w:val="00BE6A84"/>
    <w:rsid w:val="00BF135D"/>
    <w:rsid w:val="00BF1C55"/>
    <w:rsid w:val="00C02322"/>
    <w:rsid w:val="00C02FE4"/>
    <w:rsid w:val="00C06C8D"/>
    <w:rsid w:val="00C075F5"/>
    <w:rsid w:val="00C10543"/>
    <w:rsid w:val="00C12AA8"/>
    <w:rsid w:val="00C163DA"/>
    <w:rsid w:val="00C250FA"/>
    <w:rsid w:val="00C32B33"/>
    <w:rsid w:val="00C32EA5"/>
    <w:rsid w:val="00C3403E"/>
    <w:rsid w:val="00C356F0"/>
    <w:rsid w:val="00C35965"/>
    <w:rsid w:val="00C35975"/>
    <w:rsid w:val="00C3678C"/>
    <w:rsid w:val="00C37700"/>
    <w:rsid w:val="00C4653E"/>
    <w:rsid w:val="00C574E3"/>
    <w:rsid w:val="00C612FC"/>
    <w:rsid w:val="00C61C10"/>
    <w:rsid w:val="00C62BB6"/>
    <w:rsid w:val="00C62CD0"/>
    <w:rsid w:val="00C64CEF"/>
    <w:rsid w:val="00C66BBB"/>
    <w:rsid w:val="00C7462F"/>
    <w:rsid w:val="00C919F0"/>
    <w:rsid w:val="00C9268A"/>
    <w:rsid w:val="00C941A5"/>
    <w:rsid w:val="00CA6216"/>
    <w:rsid w:val="00CA688B"/>
    <w:rsid w:val="00CA79D1"/>
    <w:rsid w:val="00CB217D"/>
    <w:rsid w:val="00CB450A"/>
    <w:rsid w:val="00CC0B10"/>
    <w:rsid w:val="00CC4E19"/>
    <w:rsid w:val="00CC6E6F"/>
    <w:rsid w:val="00CC742B"/>
    <w:rsid w:val="00CD0F4A"/>
    <w:rsid w:val="00CD0F92"/>
    <w:rsid w:val="00CE0A6D"/>
    <w:rsid w:val="00CE6891"/>
    <w:rsid w:val="00CE72EA"/>
    <w:rsid w:val="00CF1A02"/>
    <w:rsid w:val="00CF1CAA"/>
    <w:rsid w:val="00CF272D"/>
    <w:rsid w:val="00CF4167"/>
    <w:rsid w:val="00CF5F9D"/>
    <w:rsid w:val="00CF7E5C"/>
    <w:rsid w:val="00D02B23"/>
    <w:rsid w:val="00D068A9"/>
    <w:rsid w:val="00D07AB6"/>
    <w:rsid w:val="00D114E1"/>
    <w:rsid w:val="00D144E2"/>
    <w:rsid w:val="00D14BF6"/>
    <w:rsid w:val="00D15492"/>
    <w:rsid w:val="00D15CD4"/>
    <w:rsid w:val="00D2018B"/>
    <w:rsid w:val="00D204A5"/>
    <w:rsid w:val="00D2120B"/>
    <w:rsid w:val="00D223FD"/>
    <w:rsid w:val="00D22567"/>
    <w:rsid w:val="00D229D8"/>
    <w:rsid w:val="00D23481"/>
    <w:rsid w:val="00D3218E"/>
    <w:rsid w:val="00D3250C"/>
    <w:rsid w:val="00D3317D"/>
    <w:rsid w:val="00D33A54"/>
    <w:rsid w:val="00D33B06"/>
    <w:rsid w:val="00D37BE8"/>
    <w:rsid w:val="00D402FC"/>
    <w:rsid w:val="00D47D5A"/>
    <w:rsid w:val="00D5542D"/>
    <w:rsid w:val="00D61850"/>
    <w:rsid w:val="00D6256B"/>
    <w:rsid w:val="00D631F0"/>
    <w:rsid w:val="00D63AF8"/>
    <w:rsid w:val="00D63D87"/>
    <w:rsid w:val="00D65970"/>
    <w:rsid w:val="00D660E9"/>
    <w:rsid w:val="00D72826"/>
    <w:rsid w:val="00D74FA9"/>
    <w:rsid w:val="00D75115"/>
    <w:rsid w:val="00D81158"/>
    <w:rsid w:val="00D82594"/>
    <w:rsid w:val="00D863B5"/>
    <w:rsid w:val="00D972A4"/>
    <w:rsid w:val="00D9747B"/>
    <w:rsid w:val="00DA0BD4"/>
    <w:rsid w:val="00DA3488"/>
    <w:rsid w:val="00DB12AA"/>
    <w:rsid w:val="00DB5745"/>
    <w:rsid w:val="00DB7386"/>
    <w:rsid w:val="00DB7E6B"/>
    <w:rsid w:val="00DC77CC"/>
    <w:rsid w:val="00DD1D67"/>
    <w:rsid w:val="00DD4D3D"/>
    <w:rsid w:val="00DD5A1B"/>
    <w:rsid w:val="00DE1858"/>
    <w:rsid w:val="00DE20E0"/>
    <w:rsid w:val="00DE288B"/>
    <w:rsid w:val="00DE3B3A"/>
    <w:rsid w:val="00DE4567"/>
    <w:rsid w:val="00DE5CAD"/>
    <w:rsid w:val="00DF0B54"/>
    <w:rsid w:val="00DF4B21"/>
    <w:rsid w:val="00DF4B82"/>
    <w:rsid w:val="00DF71E1"/>
    <w:rsid w:val="00E01DC2"/>
    <w:rsid w:val="00E038A8"/>
    <w:rsid w:val="00E07D8F"/>
    <w:rsid w:val="00E12DDE"/>
    <w:rsid w:val="00E135ED"/>
    <w:rsid w:val="00E144B1"/>
    <w:rsid w:val="00E14734"/>
    <w:rsid w:val="00E14BA7"/>
    <w:rsid w:val="00E264E9"/>
    <w:rsid w:val="00E279ED"/>
    <w:rsid w:val="00E27AE4"/>
    <w:rsid w:val="00E27EB1"/>
    <w:rsid w:val="00E3434B"/>
    <w:rsid w:val="00E346B3"/>
    <w:rsid w:val="00E353DD"/>
    <w:rsid w:val="00E355F8"/>
    <w:rsid w:val="00E35F7C"/>
    <w:rsid w:val="00E41EE5"/>
    <w:rsid w:val="00E42752"/>
    <w:rsid w:val="00E429F8"/>
    <w:rsid w:val="00E437D0"/>
    <w:rsid w:val="00E43B08"/>
    <w:rsid w:val="00E45E02"/>
    <w:rsid w:val="00E47230"/>
    <w:rsid w:val="00E475D5"/>
    <w:rsid w:val="00E500EE"/>
    <w:rsid w:val="00E517E6"/>
    <w:rsid w:val="00E52C04"/>
    <w:rsid w:val="00E57F83"/>
    <w:rsid w:val="00E60DA4"/>
    <w:rsid w:val="00E739F8"/>
    <w:rsid w:val="00E75BAE"/>
    <w:rsid w:val="00E7658E"/>
    <w:rsid w:val="00E7679C"/>
    <w:rsid w:val="00E80BF2"/>
    <w:rsid w:val="00E819CC"/>
    <w:rsid w:val="00E84651"/>
    <w:rsid w:val="00E848FF"/>
    <w:rsid w:val="00E85EFE"/>
    <w:rsid w:val="00E86C70"/>
    <w:rsid w:val="00E86F9C"/>
    <w:rsid w:val="00E96ABA"/>
    <w:rsid w:val="00E96BBA"/>
    <w:rsid w:val="00EA105F"/>
    <w:rsid w:val="00EA4531"/>
    <w:rsid w:val="00EB2EA6"/>
    <w:rsid w:val="00EB4B0C"/>
    <w:rsid w:val="00EB5710"/>
    <w:rsid w:val="00EC0943"/>
    <w:rsid w:val="00EC2B06"/>
    <w:rsid w:val="00EC47BA"/>
    <w:rsid w:val="00EC4F1E"/>
    <w:rsid w:val="00EC741E"/>
    <w:rsid w:val="00ED6B17"/>
    <w:rsid w:val="00EE30AA"/>
    <w:rsid w:val="00EE716A"/>
    <w:rsid w:val="00EE71F5"/>
    <w:rsid w:val="00EF0829"/>
    <w:rsid w:val="00EF0CF3"/>
    <w:rsid w:val="00EF195C"/>
    <w:rsid w:val="00EF22B4"/>
    <w:rsid w:val="00EF3144"/>
    <w:rsid w:val="00EF31CD"/>
    <w:rsid w:val="00EF4A67"/>
    <w:rsid w:val="00F01AFC"/>
    <w:rsid w:val="00F020DE"/>
    <w:rsid w:val="00F027E9"/>
    <w:rsid w:val="00F05703"/>
    <w:rsid w:val="00F12C1B"/>
    <w:rsid w:val="00F136A9"/>
    <w:rsid w:val="00F148FB"/>
    <w:rsid w:val="00F14CA7"/>
    <w:rsid w:val="00F177DE"/>
    <w:rsid w:val="00F2092D"/>
    <w:rsid w:val="00F21DBA"/>
    <w:rsid w:val="00F23D26"/>
    <w:rsid w:val="00F23DCD"/>
    <w:rsid w:val="00F245FB"/>
    <w:rsid w:val="00F270C8"/>
    <w:rsid w:val="00F30F22"/>
    <w:rsid w:val="00F32701"/>
    <w:rsid w:val="00F342FF"/>
    <w:rsid w:val="00F36012"/>
    <w:rsid w:val="00F36B07"/>
    <w:rsid w:val="00F41D57"/>
    <w:rsid w:val="00F43708"/>
    <w:rsid w:val="00F44782"/>
    <w:rsid w:val="00F47B75"/>
    <w:rsid w:val="00F50004"/>
    <w:rsid w:val="00F51415"/>
    <w:rsid w:val="00F531AB"/>
    <w:rsid w:val="00F537C4"/>
    <w:rsid w:val="00F54021"/>
    <w:rsid w:val="00F543A4"/>
    <w:rsid w:val="00F557D6"/>
    <w:rsid w:val="00F56299"/>
    <w:rsid w:val="00F56FCC"/>
    <w:rsid w:val="00F575BA"/>
    <w:rsid w:val="00F60454"/>
    <w:rsid w:val="00F65C89"/>
    <w:rsid w:val="00F676AC"/>
    <w:rsid w:val="00F70234"/>
    <w:rsid w:val="00F729D3"/>
    <w:rsid w:val="00F72FEA"/>
    <w:rsid w:val="00F74112"/>
    <w:rsid w:val="00F80D77"/>
    <w:rsid w:val="00F91343"/>
    <w:rsid w:val="00F93F63"/>
    <w:rsid w:val="00F94808"/>
    <w:rsid w:val="00F96777"/>
    <w:rsid w:val="00FA019C"/>
    <w:rsid w:val="00FA0BDB"/>
    <w:rsid w:val="00FA144E"/>
    <w:rsid w:val="00FA2624"/>
    <w:rsid w:val="00FA36CC"/>
    <w:rsid w:val="00FA4A3B"/>
    <w:rsid w:val="00FA5426"/>
    <w:rsid w:val="00FB7EE3"/>
    <w:rsid w:val="00FC249B"/>
    <w:rsid w:val="00FC3916"/>
    <w:rsid w:val="00FC4905"/>
    <w:rsid w:val="00FC6043"/>
    <w:rsid w:val="00FD0977"/>
    <w:rsid w:val="00FD3799"/>
    <w:rsid w:val="00FD7E59"/>
    <w:rsid w:val="00FE31C0"/>
    <w:rsid w:val="00FE3633"/>
    <w:rsid w:val="00FE3890"/>
    <w:rsid w:val="00FE589B"/>
    <w:rsid w:val="00FE639C"/>
    <w:rsid w:val="00FE66DD"/>
    <w:rsid w:val="00FF0284"/>
    <w:rsid w:val="00FF04FC"/>
    <w:rsid w:val="00FF239A"/>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D2ED340"/>
  <w15:chartTrackingRefBased/>
  <w15:docId w15:val="{13F05586-E0CA-4974-BD2C-3E01E01E29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924C3"/>
  </w:style>
  <w:style w:type="paragraph" w:styleId="Ttulo1">
    <w:name w:val="heading 1"/>
    <w:basedOn w:val="Normal"/>
    <w:next w:val="Normal"/>
    <w:link w:val="Ttulo1Car"/>
    <w:uiPriority w:val="9"/>
    <w:qFormat/>
    <w:rsid w:val="005273D1"/>
    <w:pPr>
      <w:keepNext/>
      <w:keepLines/>
      <w:spacing w:before="240" w:after="0"/>
      <w:outlineLvl w:val="0"/>
    </w:pPr>
    <w:rPr>
      <w:rFonts w:ascii="Times New Roman" w:eastAsiaTheme="majorEastAsia" w:hAnsi="Times New Roman" w:cstheme="majorBidi"/>
      <w:color w:val="595959" w:themeColor="text1" w:themeTint="A6"/>
      <w:sz w:val="28"/>
      <w:szCs w:val="32"/>
    </w:rPr>
  </w:style>
  <w:style w:type="paragraph" w:styleId="Ttulo2">
    <w:name w:val="heading 2"/>
    <w:aliases w:val="Title Header2"/>
    <w:basedOn w:val="Normal"/>
    <w:next w:val="Normal"/>
    <w:link w:val="Ttulo2Car"/>
    <w:unhideWhenUsed/>
    <w:qFormat/>
    <w:rsid w:val="00A71A82"/>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Ttulo3">
    <w:name w:val="heading 3"/>
    <w:basedOn w:val="Normal"/>
    <w:next w:val="Normal"/>
    <w:link w:val="Ttulo3Car"/>
    <w:uiPriority w:val="9"/>
    <w:unhideWhenUsed/>
    <w:qFormat/>
    <w:rsid w:val="00650DC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Ttulo4">
    <w:name w:val="heading 4"/>
    <w:basedOn w:val="Normal"/>
    <w:next w:val="Normal"/>
    <w:link w:val="Ttulo4Car"/>
    <w:uiPriority w:val="9"/>
    <w:unhideWhenUsed/>
    <w:qFormat/>
    <w:rsid w:val="00A71A82"/>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Ttulo5">
    <w:name w:val="heading 5"/>
    <w:basedOn w:val="Normal"/>
    <w:next w:val="Normal"/>
    <w:link w:val="Ttulo5Car"/>
    <w:uiPriority w:val="9"/>
    <w:unhideWhenUsed/>
    <w:qFormat/>
    <w:rsid w:val="00A75CDE"/>
    <w:pPr>
      <w:keepNext/>
      <w:keepLines/>
      <w:spacing w:before="40" w:after="0"/>
      <w:outlineLvl w:val="4"/>
    </w:pPr>
    <w:rPr>
      <w:rFonts w:asciiTheme="majorHAnsi" w:eastAsiaTheme="majorEastAsia" w:hAnsiTheme="majorHAnsi" w:cstheme="majorBidi"/>
      <w:color w:val="2F5496" w:themeColor="accent1" w:themeShade="BF"/>
    </w:rPr>
  </w:style>
  <w:style w:type="paragraph" w:styleId="Ttulo6">
    <w:name w:val="heading 6"/>
    <w:basedOn w:val="Normal"/>
    <w:next w:val="Normal"/>
    <w:link w:val="Ttulo6Car"/>
    <w:uiPriority w:val="9"/>
    <w:unhideWhenUsed/>
    <w:qFormat/>
    <w:rsid w:val="0054777B"/>
    <w:pPr>
      <w:keepNext/>
      <w:keepLines/>
      <w:spacing w:before="40" w:after="0"/>
      <w:outlineLvl w:val="5"/>
    </w:pPr>
    <w:rPr>
      <w:rFonts w:asciiTheme="majorHAnsi" w:eastAsiaTheme="majorEastAsia" w:hAnsiTheme="majorHAnsi" w:cstheme="majorBidi"/>
      <w:color w:val="1F3763" w:themeColor="accent1" w:themeShade="7F"/>
    </w:rPr>
  </w:style>
  <w:style w:type="paragraph" w:styleId="Ttulo7">
    <w:name w:val="heading 7"/>
    <w:basedOn w:val="Normal"/>
    <w:next w:val="Normal"/>
    <w:link w:val="Ttulo7Car"/>
    <w:uiPriority w:val="9"/>
    <w:unhideWhenUsed/>
    <w:qFormat/>
    <w:rsid w:val="00A75CDE"/>
    <w:pPr>
      <w:keepNext/>
      <w:keepLines/>
      <w:spacing w:before="40" w:after="0"/>
      <w:outlineLvl w:val="6"/>
    </w:pPr>
    <w:rPr>
      <w:rFonts w:asciiTheme="majorHAnsi" w:eastAsiaTheme="majorEastAsia" w:hAnsiTheme="majorHAnsi" w:cstheme="majorBidi"/>
      <w:i/>
      <w:iCs/>
      <w:color w:val="1F3763"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E84651"/>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E84651"/>
  </w:style>
  <w:style w:type="paragraph" w:styleId="Piedepgina">
    <w:name w:val="footer"/>
    <w:basedOn w:val="Normal"/>
    <w:link w:val="PiedepginaCar"/>
    <w:uiPriority w:val="99"/>
    <w:unhideWhenUsed/>
    <w:rsid w:val="00E84651"/>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E84651"/>
  </w:style>
  <w:style w:type="paragraph" w:styleId="Sinespaciado">
    <w:name w:val="No Spacing"/>
    <w:link w:val="SinespaciadoCar"/>
    <w:uiPriority w:val="1"/>
    <w:qFormat/>
    <w:rsid w:val="005273D1"/>
    <w:pPr>
      <w:spacing w:after="0" w:line="240" w:lineRule="auto"/>
    </w:pPr>
    <w:rPr>
      <w:rFonts w:ascii="Times New Roman" w:eastAsia="Calibri" w:hAnsi="Times New Roman" w:cs="Times New Roman"/>
      <w:color w:val="595959" w:themeColor="text1" w:themeTint="A6"/>
      <w:sz w:val="24"/>
    </w:rPr>
  </w:style>
  <w:style w:type="character" w:customStyle="1" w:styleId="Ttulo1Car">
    <w:name w:val="Título 1 Car"/>
    <w:basedOn w:val="Fuentedeprrafopredeter"/>
    <w:link w:val="Ttulo1"/>
    <w:uiPriority w:val="9"/>
    <w:rsid w:val="005273D1"/>
    <w:rPr>
      <w:rFonts w:ascii="Times New Roman" w:eastAsiaTheme="majorEastAsia" w:hAnsi="Times New Roman" w:cstheme="majorBidi"/>
      <w:color w:val="595959" w:themeColor="text1" w:themeTint="A6"/>
      <w:sz w:val="28"/>
      <w:szCs w:val="32"/>
    </w:rPr>
  </w:style>
  <w:style w:type="paragraph" w:styleId="TDC1">
    <w:name w:val="toc 1"/>
    <w:basedOn w:val="Normal"/>
    <w:next w:val="Normal"/>
    <w:autoRedefine/>
    <w:uiPriority w:val="39"/>
    <w:unhideWhenUsed/>
    <w:rsid w:val="00FE639C"/>
    <w:pPr>
      <w:spacing w:after="100"/>
    </w:pPr>
  </w:style>
  <w:style w:type="character" w:styleId="Hipervnculo">
    <w:name w:val="Hyperlink"/>
    <w:basedOn w:val="Fuentedeprrafopredeter"/>
    <w:uiPriority w:val="99"/>
    <w:unhideWhenUsed/>
    <w:rsid w:val="00FE639C"/>
    <w:rPr>
      <w:color w:val="0563C1" w:themeColor="hyperlink"/>
      <w:u w:val="single"/>
    </w:rPr>
  </w:style>
  <w:style w:type="character" w:customStyle="1" w:styleId="Ttulo3Car">
    <w:name w:val="Título 3 Car"/>
    <w:basedOn w:val="Fuentedeprrafopredeter"/>
    <w:link w:val="Ttulo3"/>
    <w:uiPriority w:val="9"/>
    <w:rsid w:val="00650DCD"/>
    <w:rPr>
      <w:rFonts w:asciiTheme="majorHAnsi" w:eastAsiaTheme="majorEastAsia" w:hAnsiTheme="majorHAnsi" w:cstheme="majorBidi"/>
      <w:color w:val="1F3763" w:themeColor="accent1" w:themeShade="7F"/>
      <w:sz w:val="24"/>
      <w:szCs w:val="24"/>
    </w:rPr>
  </w:style>
  <w:style w:type="paragraph" w:styleId="TDC3">
    <w:name w:val="toc 3"/>
    <w:basedOn w:val="Normal"/>
    <w:next w:val="Normal"/>
    <w:autoRedefine/>
    <w:uiPriority w:val="39"/>
    <w:unhideWhenUsed/>
    <w:rsid w:val="00650DCD"/>
    <w:pPr>
      <w:spacing w:after="100"/>
      <w:ind w:left="440"/>
    </w:pPr>
  </w:style>
  <w:style w:type="character" w:customStyle="1" w:styleId="Ttulo2Car">
    <w:name w:val="Título 2 Car"/>
    <w:aliases w:val="Title Header2 Car"/>
    <w:basedOn w:val="Fuentedeprrafopredeter"/>
    <w:link w:val="Ttulo2"/>
    <w:rsid w:val="00A71A82"/>
    <w:rPr>
      <w:rFonts w:asciiTheme="majorHAnsi" w:eastAsiaTheme="majorEastAsia" w:hAnsiTheme="majorHAnsi" w:cstheme="majorBidi"/>
      <w:color w:val="2F5496" w:themeColor="accent1" w:themeShade="BF"/>
      <w:sz w:val="26"/>
      <w:szCs w:val="26"/>
    </w:rPr>
  </w:style>
  <w:style w:type="character" w:customStyle="1" w:styleId="Ttulo4Car">
    <w:name w:val="Título 4 Car"/>
    <w:basedOn w:val="Fuentedeprrafopredeter"/>
    <w:link w:val="Ttulo4"/>
    <w:uiPriority w:val="9"/>
    <w:rsid w:val="00A71A82"/>
    <w:rPr>
      <w:rFonts w:asciiTheme="majorHAnsi" w:eastAsiaTheme="majorEastAsia" w:hAnsiTheme="majorHAnsi" w:cstheme="majorBidi"/>
      <w:i/>
      <w:iCs/>
      <w:color w:val="2F5496" w:themeColor="accent1" w:themeShade="BF"/>
    </w:rPr>
  </w:style>
  <w:style w:type="paragraph" w:styleId="Prrafodelista">
    <w:name w:val="List Paragraph"/>
    <w:basedOn w:val="Normal"/>
    <w:uiPriority w:val="34"/>
    <w:qFormat/>
    <w:rsid w:val="008B38CF"/>
    <w:pPr>
      <w:ind w:left="720"/>
      <w:contextualSpacing/>
    </w:pPr>
  </w:style>
  <w:style w:type="table" w:customStyle="1" w:styleId="Tablaconcuadrcula1">
    <w:name w:val="Tabla con cuadrícula1"/>
    <w:basedOn w:val="Tablanormal"/>
    <w:next w:val="Tablaconcuadrcula"/>
    <w:uiPriority w:val="39"/>
    <w:rsid w:val="001806AE"/>
    <w:pPr>
      <w:spacing w:after="0" w:line="240" w:lineRule="auto"/>
    </w:pPr>
    <w:rPr>
      <w:lang w:val="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aconcuadrcula">
    <w:name w:val="Table Grid"/>
    <w:basedOn w:val="Tablanormal"/>
    <w:uiPriority w:val="39"/>
    <w:rsid w:val="001806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aconcuadrcula2">
    <w:name w:val="Tabla con cuadrícula2"/>
    <w:basedOn w:val="Tablanormal"/>
    <w:next w:val="Tablaconcuadrcula"/>
    <w:uiPriority w:val="59"/>
    <w:rsid w:val="00152FBB"/>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3">
    <w:name w:val="Tabla con cuadrícula3"/>
    <w:basedOn w:val="Tablanormal"/>
    <w:next w:val="Tablaconcuadrcula"/>
    <w:uiPriority w:val="59"/>
    <w:rsid w:val="00BD5284"/>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4">
    <w:name w:val="Tabla con cuadrícula4"/>
    <w:basedOn w:val="Tablanormal"/>
    <w:next w:val="Tablaconcuadrcula"/>
    <w:uiPriority w:val="39"/>
    <w:rsid w:val="00BD5284"/>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aconcuadrcula5">
    <w:name w:val="Tabla con cuadrícula5"/>
    <w:basedOn w:val="Tablanormal"/>
    <w:next w:val="Tablaconcuadrcula"/>
    <w:uiPriority w:val="59"/>
    <w:rsid w:val="006F2B3A"/>
    <w:pPr>
      <w:spacing w:after="0" w:line="240" w:lineRule="auto"/>
    </w:pPr>
    <w:rPr>
      <w:lang w:val="es-E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Refdecomentario">
    <w:name w:val="annotation reference"/>
    <w:basedOn w:val="Fuentedeprrafopredeter"/>
    <w:uiPriority w:val="99"/>
    <w:semiHidden/>
    <w:unhideWhenUsed/>
    <w:rsid w:val="004C557A"/>
    <w:rPr>
      <w:sz w:val="16"/>
      <w:szCs w:val="16"/>
    </w:rPr>
  </w:style>
  <w:style w:type="paragraph" w:styleId="Textocomentario">
    <w:name w:val="annotation text"/>
    <w:basedOn w:val="Normal"/>
    <w:link w:val="TextocomentarioCar"/>
    <w:uiPriority w:val="99"/>
    <w:semiHidden/>
    <w:unhideWhenUsed/>
    <w:rsid w:val="004C557A"/>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4C557A"/>
    <w:rPr>
      <w:sz w:val="20"/>
      <w:szCs w:val="20"/>
    </w:rPr>
  </w:style>
  <w:style w:type="paragraph" w:styleId="Asuntodelcomentario">
    <w:name w:val="annotation subject"/>
    <w:basedOn w:val="Textocomentario"/>
    <w:next w:val="Textocomentario"/>
    <w:link w:val="AsuntodelcomentarioCar"/>
    <w:uiPriority w:val="99"/>
    <w:semiHidden/>
    <w:unhideWhenUsed/>
    <w:rsid w:val="004C557A"/>
    <w:rPr>
      <w:b/>
      <w:bCs/>
    </w:rPr>
  </w:style>
  <w:style w:type="character" w:customStyle="1" w:styleId="AsuntodelcomentarioCar">
    <w:name w:val="Asunto del comentario Car"/>
    <w:basedOn w:val="TextocomentarioCar"/>
    <w:link w:val="Asuntodelcomentario"/>
    <w:uiPriority w:val="99"/>
    <w:semiHidden/>
    <w:rsid w:val="004C557A"/>
    <w:rPr>
      <w:b/>
      <w:bCs/>
      <w:sz w:val="20"/>
      <w:szCs w:val="20"/>
    </w:rPr>
  </w:style>
  <w:style w:type="paragraph" w:styleId="Textodeglobo">
    <w:name w:val="Balloon Text"/>
    <w:basedOn w:val="Normal"/>
    <w:link w:val="TextodegloboCar"/>
    <w:uiPriority w:val="99"/>
    <w:semiHidden/>
    <w:unhideWhenUsed/>
    <w:rsid w:val="004C557A"/>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C557A"/>
    <w:rPr>
      <w:rFonts w:ascii="Segoe UI" w:hAnsi="Segoe UI" w:cs="Segoe UI"/>
      <w:sz w:val="18"/>
      <w:szCs w:val="18"/>
    </w:rPr>
  </w:style>
  <w:style w:type="paragraph" w:styleId="Revisin">
    <w:name w:val="Revision"/>
    <w:hidden/>
    <w:uiPriority w:val="99"/>
    <w:semiHidden/>
    <w:rsid w:val="00017EAE"/>
    <w:pPr>
      <w:spacing w:after="0" w:line="240" w:lineRule="auto"/>
    </w:pPr>
  </w:style>
  <w:style w:type="table" w:customStyle="1" w:styleId="Tablaconcuadrcula41">
    <w:name w:val="Tabla con cuadrícula41"/>
    <w:basedOn w:val="Tablanormal"/>
    <w:next w:val="Tablaconcuadrcula"/>
    <w:uiPriority w:val="39"/>
    <w:rsid w:val="00B1683C"/>
    <w:pPr>
      <w:spacing w:after="0" w:line="240" w:lineRule="auto"/>
    </w:pPr>
    <w:rPr>
      <w:lang w:val="es-DO"/>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graph">
    <w:name w:val="paragraph"/>
    <w:basedOn w:val="Normal"/>
    <w:rsid w:val="008A27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normaltextrun">
    <w:name w:val="normaltextrun"/>
    <w:basedOn w:val="Fuentedeprrafopredeter"/>
    <w:rsid w:val="008A2756"/>
  </w:style>
  <w:style w:type="character" w:customStyle="1" w:styleId="eop">
    <w:name w:val="eop"/>
    <w:basedOn w:val="Fuentedeprrafopredeter"/>
    <w:rsid w:val="008A2756"/>
  </w:style>
  <w:style w:type="paragraph" w:styleId="NormalWeb">
    <w:name w:val="Normal (Web)"/>
    <w:basedOn w:val="Normal"/>
    <w:uiPriority w:val="99"/>
    <w:unhideWhenUsed/>
    <w:rsid w:val="00E60DA4"/>
    <w:pPr>
      <w:spacing w:before="100" w:beforeAutospacing="1" w:after="100" w:afterAutospacing="1" w:line="240" w:lineRule="auto"/>
    </w:pPr>
    <w:rPr>
      <w:rFonts w:ascii="Times New Roman" w:eastAsia="Times New Roman" w:hAnsi="Times New Roman" w:cs="Times New Roman"/>
      <w:sz w:val="24"/>
      <w:szCs w:val="24"/>
      <w:lang w:val="es-DO" w:eastAsia="es-DO"/>
    </w:rPr>
  </w:style>
  <w:style w:type="paragraph" w:customStyle="1" w:styleId="xmsonormal">
    <w:name w:val="x_msonormal"/>
    <w:basedOn w:val="Normal"/>
    <w:rsid w:val="00C356F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tulo6Car">
    <w:name w:val="Título 6 Car"/>
    <w:basedOn w:val="Fuentedeprrafopredeter"/>
    <w:link w:val="Ttulo6"/>
    <w:uiPriority w:val="9"/>
    <w:rsid w:val="0054777B"/>
    <w:rPr>
      <w:rFonts w:asciiTheme="majorHAnsi" w:eastAsiaTheme="majorEastAsia" w:hAnsiTheme="majorHAnsi" w:cstheme="majorBidi"/>
      <w:color w:val="1F3763" w:themeColor="accent1" w:themeShade="7F"/>
    </w:rPr>
  </w:style>
  <w:style w:type="table" w:customStyle="1" w:styleId="Tablaconcuadrcula9">
    <w:name w:val="Tabla con cuadrícula9"/>
    <w:basedOn w:val="Tablanormal"/>
    <w:next w:val="Tablaconcuadrcula"/>
    <w:uiPriority w:val="59"/>
    <w:rsid w:val="001C151B"/>
    <w:pPr>
      <w:spacing w:after="0" w:line="240" w:lineRule="auto"/>
    </w:pPr>
    <w:rPr>
      <w:rFonts w:ascii="Gill Sans MT" w:hAnsi="Gill Sans MT"/>
      <w:sz w:val="24"/>
      <w:szCs w:val="24"/>
      <w:lang w:val="es-E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5Car">
    <w:name w:val="Título 5 Car"/>
    <w:basedOn w:val="Fuentedeprrafopredeter"/>
    <w:link w:val="Ttulo5"/>
    <w:uiPriority w:val="9"/>
    <w:rsid w:val="00A75CDE"/>
    <w:rPr>
      <w:rFonts w:asciiTheme="majorHAnsi" w:eastAsiaTheme="majorEastAsia" w:hAnsiTheme="majorHAnsi" w:cstheme="majorBidi"/>
      <w:color w:val="2F5496" w:themeColor="accent1" w:themeShade="BF"/>
    </w:rPr>
  </w:style>
  <w:style w:type="character" w:customStyle="1" w:styleId="Ttulo7Car">
    <w:name w:val="Título 7 Car"/>
    <w:basedOn w:val="Fuentedeprrafopredeter"/>
    <w:link w:val="Ttulo7"/>
    <w:uiPriority w:val="9"/>
    <w:rsid w:val="00A75CDE"/>
    <w:rPr>
      <w:rFonts w:asciiTheme="majorHAnsi" w:eastAsiaTheme="majorEastAsia" w:hAnsiTheme="majorHAnsi" w:cstheme="majorBidi"/>
      <w:i/>
      <w:iCs/>
      <w:color w:val="1F3763" w:themeColor="accent1" w:themeShade="7F"/>
    </w:rPr>
  </w:style>
  <w:style w:type="paragraph" w:styleId="TDC2">
    <w:name w:val="toc 2"/>
    <w:basedOn w:val="Normal"/>
    <w:next w:val="Normal"/>
    <w:autoRedefine/>
    <w:uiPriority w:val="39"/>
    <w:unhideWhenUsed/>
    <w:rsid w:val="006E08C1"/>
    <w:pPr>
      <w:spacing w:after="100"/>
      <w:ind w:left="220"/>
    </w:pPr>
  </w:style>
  <w:style w:type="paragraph" w:styleId="Sangradetextonormal">
    <w:name w:val="Body Text Indent"/>
    <w:basedOn w:val="Normal"/>
    <w:link w:val="SangradetextonormalCar"/>
    <w:unhideWhenUsed/>
    <w:rsid w:val="00A408F8"/>
    <w:pPr>
      <w:spacing w:after="0" w:line="240" w:lineRule="auto"/>
      <w:ind w:left="360"/>
      <w:jc w:val="both"/>
    </w:pPr>
    <w:rPr>
      <w:rFonts w:ascii="Times New Roman" w:eastAsia="Times New Roman" w:hAnsi="Times New Roman" w:cs="Times New Roman"/>
      <w:sz w:val="24"/>
      <w:szCs w:val="24"/>
    </w:rPr>
  </w:style>
  <w:style w:type="character" w:customStyle="1" w:styleId="SangradetextonormalCar">
    <w:name w:val="Sangría de texto normal Car"/>
    <w:basedOn w:val="Fuentedeprrafopredeter"/>
    <w:link w:val="Sangradetextonormal"/>
    <w:rsid w:val="00A408F8"/>
    <w:rPr>
      <w:rFonts w:ascii="Times New Roman" w:eastAsia="Times New Roman" w:hAnsi="Times New Roman" w:cs="Times New Roman"/>
      <w:sz w:val="24"/>
      <w:szCs w:val="24"/>
    </w:rPr>
  </w:style>
  <w:style w:type="character" w:customStyle="1" w:styleId="SinespaciadoCar">
    <w:name w:val="Sin espaciado Car"/>
    <w:link w:val="Sinespaciado"/>
    <w:uiPriority w:val="1"/>
    <w:rsid w:val="00A408F8"/>
    <w:rPr>
      <w:rFonts w:ascii="Times New Roman" w:eastAsia="Calibri" w:hAnsi="Times New Roman" w:cs="Times New Roman"/>
      <w:color w:val="595959" w:themeColor="text1" w:themeTint="A6"/>
      <w:sz w:val="24"/>
    </w:rPr>
  </w:style>
  <w:style w:type="paragraph" w:styleId="Textonotapie">
    <w:name w:val="footnote text"/>
    <w:basedOn w:val="Normal"/>
    <w:link w:val="TextonotapieCar"/>
    <w:uiPriority w:val="99"/>
    <w:semiHidden/>
    <w:unhideWhenUsed/>
    <w:rsid w:val="00A408F8"/>
    <w:pPr>
      <w:spacing w:after="0" w:line="240" w:lineRule="auto"/>
    </w:pPr>
    <w:rPr>
      <w:rFonts w:ascii="Times New Roman" w:eastAsia="Times New Roman" w:hAnsi="Times New Roman" w:cs="Times New Roman"/>
      <w:sz w:val="20"/>
      <w:szCs w:val="20"/>
      <w:lang w:val="es-ES" w:eastAsia="es-ES"/>
    </w:rPr>
  </w:style>
  <w:style w:type="character" w:customStyle="1" w:styleId="TextonotapieCar">
    <w:name w:val="Texto nota pie Car"/>
    <w:basedOn w:val="Fuentedeprrafopredeter"/>
    <w:link w:val="Textonotapie"/>
    <w:uiPriority w:val="99"/>
    <w:semiHidden/>
    <w:rsid w:val="00A408F8"/>
    <w:rPr>
      <w:rFonts w:ascii="Times New Roman" w:eastAsia="Times New Roman" w:hAnsi="Times New Roman" w:cs="Times New Roman"/>
      <w:sz w:val="20"/>
      <w:szCs w:val="20"/>
      <w:lang w:val="es-ES" w:eastAsia="es-ES"/>
    </w:rPr>
  </w:style>
  <w:style w:type="character" w:styleId="Refdenotaalpie">
    <w:name w:val="footnote reference"/>
    <w:uiPriority w:val="99"/>
    <w:semiHidden/>
    <w:unhideWhenUsed/>
    <w:rsid w:val="00A408F8"/>
    <w:rPr>
      <w:vertAlign w:val="superscript"/>
    </w:rPr>
  </w:style>
  <w:style w:type="paragraph" w:customStyle="1" w:styleId="Ttulo11">
    <w:name w:val="Título 11"/>
    <w:basedOn w:val="Normal"/>
    <w:rsid w:val="00A408F8"/>
    <w:pPr>
      <w:spacing w:after="0" w:line="240" w:lineRule="auto"/>
      <w:ind w:left="720" w:hanging="720"/>
    </w:pPr>
    <w:rPr>
      <w:rFonts w:ascii="Times" w:eastAsia="Times New Roman" w:hAnsi="Times" w:cs="Times New Roman"/>
      <w:b/>
      <w:sz w:val="28"/>
      <w:szCs w:val="20"/>
      <w:lang w:val="es-DO"/>
    </w:rPr>
  </w:style>
  <w:style w:type="table" w:customStyle="1" w:styleId="TableGrid">
    <w:name w:val="TableGrid"/>
    <w:rsid w:val="00A408F8"/>
    <w:pPr>
      <w:spacing w:after="0" w:line="240" w:lineRule="auto"/>
    </w:pPr>
    <w:rPr>
      <w:rFonts w:eastAsiaTheme="minorEastAsia"/>
    </w:r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76528562">
      <w:bodyDiv w:val="1"/>
      <w:marLeft w:val="0"/>
      <w:marRight w:val="0"/>
      <w:marTop w:val="0"/>
      <w:marBottom w:val="0"/>
      <w:divBdr>
        <w:top w:val="none" w:sz="0" w:space="0" w:color="auto"/>
        <w:left w:val="none" w:sz="0" w:space="0" w:color="auto"/>
        <w:bottom w:val="none" w:sz="0" w:space="0" w:color="auto"/>
        <w:right w:val="none" w:sz="0" w:space="0" w:color="auto"/>
      </w:divBdr>
    </w:div>
    <w:div w:id="354118959">
      <w:bodyDiv w:val="1"/>
      <w:marLeft w:val="0"/>
      <w:marRight w:val="0"/>
      <w:marTop w:val="0"/>
      <w:marBottom w:val="0"/>
      <w:divBdr>
        <w:top w:val="none" w:sz="0" w:space="0" w:color="auto"/>
        <w:left w:val="none" w:sz="0" w:space="0" w:color="auto"/>
        <w:bottom w:val="none" w:sz="0" w:space="0" w:color="auto"/>
        <w:right w:val="none" w:sz="0" w:space="0" w:color="auto"/>
      </w:divBdr>
    </w:div>
    <w:div w:id="361587958">
      <w:bodyDiv w:val="1"/>
      <w:marLeft w:val="0"/>
      <w:marRight w:val="0"/>
      <w:marTop w:val="0"/>
      <w:marBottom w:val="0"/>
      <w:divBdr>
        <w:top w:val="none" w:sz="0" w:space="0" w:color="auto"/>
        <w:left w:val="none" w:sz="0" w:space="0" w:color="auto"/>
        <w:bottom w:val="none" w:sz="0" w:space="0" w:color="auto"/>
        <w:right w:val="none" w:sz="0" w:space="0" w:color="auto"/>
      </w:divBdr>
    </w:div>
    <w:div w:id="523713615">
      <w:bodyDiv w:val="1"/>
      <w:marLeft w:val="0"/>
      <w:marRight w:val="0"/>
      <w:marTop w:val="0"/>
      <w:marBottom w:val="0"/>
      <w:divBdr>
        <w:top w:val="none" w:sz="0" w:space="0" w:color="auto"/>
        <w:left w:val="none" w:sz="0" w:space="0" w:color="auto"/>
        <w:bottom w:val="none" w:sz="0" w:space="0" w:color="auto"/>
        <w:right w:val="none" w:sz="0" w:space="0" w:color="auto"/>
      </w:divBdr>
      <w:divsChild>
        <w:div w:id="8063463">
          <w:marLeft w:val="0"/>
          <w:marRight w:val="0"/>
          <w:marTop w:val="0"/>
          <w:marBottom w:val="0"/>
          <w:divBdr>
            <w:top w:val="none" w:sz="0" w:space="0" w:color="auto"/>
            <w:left w:val="none" w:sz="0" w:space="0" w:color="auto"/>
            <w:bottom w:val="none" w:sz="0" w:space="0" w:color="auto"/>
            <w:right w:val="none" w:sz="0" w:space="0" w:color="auto"/>
          </w:divBdr>
          <w:divsChild>
            <w:div w:id="422801302">
              <w:marLeft w:val="0"/>
              <w:marRight w:val="0"/>
              <w:marTop w:val="0"/>
              <w:marBottom w:val="0"/>
              <w:divBdr>
                <w:top w:val="none" w:sz="0" w:space="0" w:color="auto"/>
                <w:left w:val="none" w:sz="0" w:space="0" w:color="auto"/>
                <w:bottom w:val="none" w:sz="0" w:space="0" w:color="auto"/>
                <w:right w:val="none" w:sz="0" w:space="0" w:color="auto"/>
              </w:divBdr>
            </w:div>
          </w:divsChild>
        </w:div>
        <w:div w:id="146944231">
          <w:marLeft w:val="0"/>
          <w:marRight w:val="0"/>
          <w:marTop w:val="0"/>
          <w:marBottom w:val="0"/>
          <w:divBdr>
            <w:top w:val="none" w:sz="0" w:space="0" w:color="auto"/>
            <w:left w:val="none" w:sz="0" w:space="0" w:color="auto"/>
            <w:bottom w:val="none" w:sz="0" w:space="0" w:color="auto"/>
            <w:right w:val="none" w:sz="0" w:space="0" w:color="auto"/>
          </w:divBdr>
          <w:divsChild>
            <w:div w:id="1483161021">
              <w:marLeft w:val="0"/>
              <w:marRight w:val="0"/>
              <w:marTop w:val="0"/>
              <w:marBottom w:val="0"/>
              <w:divBdr>
                <w:top w:val="none" w:sz="0" w:space="0" w:color="auto"/>
                <w:left w:val="none" w:sz="0" w:space="0" w:color="auto"/>
                <w:bottom w:val="none" w:sz="0" w:space="0" w:color="auto"/>
                <w:right w:val="none" w:sz="0" w:space="0" w:color="auto"/>
              </w:divBdr>
            </w:div>
          </w:divsChild>
        </w:div>
        <w:div w:id="184563939">
          <w:marLeft w:val="0"/>
          <w:marRight w:val="0"/>
          <w:marTop w:val="0"/>
          <w:marBottom w:val="0"/>
          <w:divBdr>
            <w:top w:val="none" w:sz="0" w:space="0" w:color="auto"/>
            <w:left w:val="none" w:sz="0" w:space="0" w:color="auto"/>
            <w:bottom w:val="none" w:sz="0" w:space="0" w:color="auto"/>
            <w:right w:val="none" w:sz="0" w:space="0" w:color="auto"/>
          </w:divBdr>
          <w:divsChild>
            <w:div w:id="268201942">
              <w:marLeft w:val="0"/>
              <w:marRight w:val="0"/>
              <w:marTop w:val="0"/>
              <w:marBottom w:val="0"/>
              <w:divBdr>
                <w:top w:val="none" w:sz="0" w:space="0" w:color="auto"/>
                <w:left w:val="none" w:sz="0" w:space="0" w:color="auto"/>
                <w:bottom w:val="none" w:sz="0" w:space="0" w:color="auto"/>
                <w:right w:val="none" w:sz="0" w:space="0" w:color="auto"/>
              </w:divBdr>
            </w:div>
          </w:divsChild>
        </w:div>
        <w:div w:id="209079135">
          <w:marLeft w:val="0"/>
          <w:marRight w:val="0"/>
          <w:marTop w:val="0"/>
          <w:marBottom w:val="0"/>
          <w:divBdr>
            <w:top w:val="none" w:sz="0" w:space="0" w:color="auto"/>
            <w:left w:val="none" w:sz="0" w:space="0" w:color="auto"/>
            <w:bottom w:val="none" w:sz="0" w:space="0" w:color="auto"/>
            <w:right w:val="none" w:sz="0" w:space="0" w:color="auto"/>
          </w:divBdr>
          <w:divsChild>
            <w:div w:id="1828327429">
              <w:marLeft w:val="0"/>
              <w:marRight w:val="0"/>
              <w:marTop w:val="0"/>
              <w:marBottom w:val="0"/>
              <w:divBdr>
                <w:top w:val="none" w:sz="0" w:space="0" w:color="auto"/>
                <w:left w:val="none" w:sz="0" w:space="0" w:color="auto"/>
                <w:bottom w:val="none" w:sz="0" w:space="0" w:color="auto"/>
                <w:right w:val="none" w:sz="0" w:space="0" w:color="auto"/>
              </w:divBdr>
            </w:div>
          </w:divsChild>
        </w:div>
        <w:div w:id="210575880">
          <w:marLeft w:val="0"/>
          <w:marRight w:val="0"/>
          <w:marTop w:val="0"/>
          <w:marBottom w:val="0"/>
          <w:divBdr>
            <w:top w:val="none" w:sz="0" w:space="0" w:color="auto"/>
            <w:left w:val="none" w:sz="0" w:space="0" w:color="auto"/>
            <w:bottom w:val="none" w:sz="0" w:space="0" w:color="auto"/>
            <w:right w:val="none" w:sz="0" w:space="0" w:color="auto"/>
          </w:divBdr>
          <w:divsChild>
            <w:div w:id="432365435">
              <w:marLeft w:val="0"/>
              <w:marRight w:val="0"/>
              <w:marTop w:val="0"/>
              <w:marBottom w:val="0"/>
              <w:divBdr>
                <w:top w:val="none" w:sz="0" w:space="0" w:color="auto"/>
                <w:left w:val="none" w:sz="0" w:space="0" w:color="auto"/>
                <w:bottom w:val="none" w:sz="0" w:space="0" w:color="auto"/>
                <w:right w:val="none" w:sz="0" w:space="0" w:color="auto"/>
              </w:divBdr>
            </w:div>
          </w:divsChild>
        </w:div>
        <w:div w:id="237517391">
          <w:marLeft w:val="0"/>
          <w:marRight w:val="0"/>
          <w:marTop w:val="0"/>
          <w:marBottom w:val="0"/>
          <w:divBdr>
            <w:top w:val="none" w:sz="0" w:space="0" w:color="auto"/>
            <w:left w:val="none" w:sz="0" w:space="0" w:color="auto"/>
            <w:bottom w:val="none" w:sz="0" w:space="0" w:color="auto"/>
            <w:right w:val="none" w:sz="0" w:space="0" w:color="auto"/>
          </w:divBdr>
          <w:divsChild>
            <w:div w:id="684331727">
              <w:marLeft w:val="0"/>
              <w:marRight w:val="0"/>
              <w:marTop w:val="0"/>
              <w:marBottom w:val="0"/>
              <w:divBdr>
                <w:top w:val="none" w:sz="0" w:space="0" w:color="auto"/>
                <w:left w:val="none" w:sz="0" w:space="0" w:color="auto"/>
                <w:bottom w:val="none" w:sz="0" w:space="0" w:color="auto"/>
                <w:right w:val="none" w:sz="0" w:space="0" w:color="auto"/>
              </w:divBdr>
            </w:div>
          </w:divsChild>
        </w:div>
        <w:div w:id="259529389">
          <w:marLeft w:val="0"/>
          <w:marRight w:val="0"/>
          <w:marTop w:val="0"/>
          <w:marBottom w:val="0"/>
          <w:divBdr>
            <w:top w:val="none" w:sz="0" w:space="0" w:color="auto"/>
            <w:left w:val="none" w:sz="0" w:space="0" w:color="auto"/>
            <w:bottom w:val="none" w:sz="0" w:space="0" w:color="auto"/>
            <w:right w:val="none" w:sz="0" w:space="0" w:color="auto"/>
          </w:divBdr>
          <w:divsChild>
            <w:div w:id="304240603">
              <w:marLeft w:val="0"/>
              <w:marRight w:val="0"/>
              <w:marTop w:val="0"/>
              <w:marBottom w:val="0"/>
              <w:divBdr>
                <w:top w:val="none" w:sz="0" w:space="0" w:color="auto"/>
                <w:left w:val="none" w:sz="0" w:space="0" w:color="auto"/>
                <w:bottom w:val="none" w:sz="0" w:space="0" w:color="auto"/>
                <w:right w:val="none" w:sz="0" w:space="0" w:color="auto"/>
              </w:divBdr>
            </w:div>
          </w:divsChild>
        </w:div>
        <w:div w:id="299506797">
          <w:marLeft w:val="0"/>
          <w:marRight w:val="0"/>
          <w:marTop w:val="0"/>
          <w:marBottom w:val="0"/>
          <w:divBdr>
            <w:top w:val="none" w:sz="0" w:space="0" w:color="auto"/>
            <w:left w:val="none" w:sz="0" w:space="0" w:color="auto"/>
            <w:bottom w:val="none" w:sz="0" w:space="0" w:color="auto"/>
            <w:right w:val="none" w:sz="0" w:space="0" w:color="auto"/>
          </w:divBdr>
          <w:divsChild>
            <w:div w:id="748771875">
              <w:marLeft w:val="0"/>
              <w:marRight w:val="0"/>
              <w:marTop w:val="0"/>
              <w:marBottom w:val="0"/>
              <w:divBdr>
                <w:top w:val="none" w:sz="0" w:space="0" w:color="auto"/>
                <w:left w:val="none" w:sz="0" w:space="0" w:color="auto"/>
                <w:bottom w:val="none" w:sz="0" w:space="0" w:color="auto"/>
                <w:right w:val="none" w:sz="0" w:space="0" w:color="auto"/>
              </w:divBdr>
            </w:div>
          </w:divsChild>
        </w:div>
        <w:div w:id="382295338">
          <w:marLeft w:val="0"/>
          <w:marRight w:val="0"/>
          <w:marTop w:val="0"/>
          <w:marBottom w:val="0"/>
          <w:divBdr>
            <w:top w:val="none" w:sz="0" w:space="0" w:color="auto"/>
            <w:left w:val="none" w:sz="0" w:space="0" w:color="auto"/>
            <w:bottom w:val="none" w:sz="0" w:space="0" w:color="auto"/>
            <w:right w:val="none" w:sz="0" w:space="0" w:color="auto"/>
          </w:divBdr>
          <w:divsChild>
            <w:div w:id="1151947602">
              <w:marLeft w:val="0"/>
              <w:marRight w:val="0"/>
              <w:marTop w:val="0"/>
              <w:marBottom w:val="0"/>
              <w:divBdr>
                <w:top w:val="none" w:sz="0" w:space="0" w:color="auto"/>
                <w:left w:val="none" w:sz="0" w:space="0" w:color="auto"/>
                <w:bottom w:val="none" w:sz="0" w:space="0" w:color="auto"/>
                <w:right w:val="none" w:sz="0" w:space="0" w:color="auto"/>
              </w:divBdr>
            </w:div>
          </w:divsChild>
        </w:div>
        <w:div w:id="413363603">
          <w:marLeft w:val="0"/>
          <w:marRight w:val="0"/>
          <w:marTop w:val="0"/>
          <w:marBottom w:val="0"/>
          <w:divBdr>
            <w:top w:val="none" w:sz="0" w:space="0" w:color="auto"/>
            <w:left w:val="none" w:sz="0" w:space="0" w:color="auto"/>
            <w:bottom w:val="none" w:sz="0" w:space="0" w:color="auto"/>
            <w:right w:val="none" w:sz="0" w:space="0" w:color="auto"/>
          </w:divBdr>
          <w:divsChild>
            <w:div w:id="502935236">
              <w:marLeft w:val="0"/>
              <w:marRight w:val="0"/>
              <w:marTop w:val="0"/>
              <w:marBottom w:val="0"/>
              <w:divBdr>
                <w:top w:val="none" w:sz="0" w:space="0" w:color="auto"/>
                <w:left w:val="none" w:sz="0" w:space="0" w:color="auto"/>
                <w:bottom w:val="none" w:sz="0" w:space="0" w:color="auto"/>
                <w:right w:val="none" w:sz="0" w:space="0" w:color="auto"/>
              </w:divBdr>
            </w:div>
          </w:divsChild>
        </w:div>
        <w:div w:id="418865902">
          <w:marLeft w:val="0"/>
          <w:marRight w:val="0"/>
          <w:marTop w:val="0"/>
          <w:marBottom w:val="0"/>
          <w:divBdr>
            <w:top w:val="none" w:sz="0" w:space="0" w:color="auto"/>
            <w:left w:val="none" w:sz="0" w:space="0" w:color="auto"/>
            <w:bottom w:val="none" w:sz="0" w:space="0" w:color="auto"/>
            <w:right w:val="none" w:sz="0" w:space="0" w:color="auto"/>
          </w:divBdr>
          <w:divsChild>
            <w:div w:id="103427219">
              <w:marLeft w:val="0"/>
              <w:marRight w:val="0"/>
              <w:marTop w:val="0"/>
              <w:marBottom w:val="0"/>
              <w:divBdr>
                <w:top w:val="none" w:sz="0" w:space="0" w:color="auto"/>
                <w:left w:val="none" w:sz="0" w:space="0" w:color="auto"/>
                <w:bottom w:val="none" w:sz="0" w:space="0" w:color="auto"/>
                <w:right w:val="none" w:sz="0" w:space="0" w:color="auto"/>
              </w:divBdr>
            </w:div>
          </w:divsChild>
        </w:div>
        <w:div w:id="482818481">
          <w:marLeft w:val="0"/>
          <w:marRight w:val="0"/>
          <w:marTop w:val="0"/>
          <w:marBottom w:val="0"/>
          <w:divBdr>
            <w:top w:val="none" w:sz="0" w:space="0" w:color="auto"/>
            <w:left w:val="none" w:sz="0" w:space="0" w:color="auto"/>
            <w:bottom w:val="none" w:sz="0" w:space="0" w:color="auto"/>
            <w:right w:val="none" w:sz="0" w:space="0" w:color="auto"/>
          </w:divBdr>
          <w:divsChild>
            <w:div w:id="31734966">
              <w:marLeft w:val="0"/>
              <w:marRight w:val="0"/>
              <w:marTop w:val="0"/>
              <w:marBottom w:val="0"/>
              <w:divBdr>
                <w:top w:val="none" w:sz="0" w:space="0" w:color="auto"/>
                <w:left w:val="none" w:sz="0" w:space="0" w:color="auto"/>
                <w:bottom w:val="none" w:sz="0" w:space="0" w:color="auto"/>
                <w:right w:val="none" w:sz="0" w:space="0" w:color="auto"/>
              </w:divBdr>
            </w:div>
          </w:divsChild>
        </w:div>
        <w:div w:id="497311230">
          <w:marLeft w:val="0"/>
          <w:marRight w:val="0"/>
          <w:marTop w:val="0"/>
          <w:marBottom w:val="0"/>
          <w:divBdr>
            <w:top w:val="none" w:sz="0" w:space="0" w:color="auto"/>
            <w:left w:val="none" w:sz="0" w:space="0" w:color="auto"/>
            <w:bottom w:val="none" w:sz="0" w:space="0" w:color="auto"/>
            <w:right w:val="none" w:sz="0" w:space="0" w:color="auto"/>
          </w:divBdr>
          <w:divsChild>
            <w:div w:id="760217734">
              <w:marLeft w:val="0"/>
              <w:marRight w:val="0"/>
              <w:marTop w:val="0"/>
              <w:marBottom w:val="0"/>
              <w:divBdr>
                <w:top w:val="none" w:sz="0" w:space="0" w:color="auto"/>
                <w:left w:val="none" w:sz="0" w:space="0" w:color="auto"/>
                <w:bottom w:val="none" w:sz="0" w:space="0" w:color="auto"/>
                <w:right w:val="none" w:sz="0" w:space="0" w:color="auto"/>
              </w:divBdr>
            </w:div>
          </w:divsChild>
        </w:div>
        <w:div w:id="527135546">
          <w:marLeft w:val="0"/>
          <w:marRight w:val="0"/>
          <w:marTop w:val="0"/>
          <w:marBottom w:val="0"/>
          <w:divBdr>
            <w:top w:val="none" w:sz="0" w:space="0" w:color="auto"/>
            <w:left w:val="none" w:sz="0" w:space="0" w:color="auto"/>
            <w:bottom w:val="none" w:sz="0" w:space="0" w:color="auto"/>
            <w:right w:val="none" w:sz="0" w:space="0" w:color="auto"/>
          </w:divBdr>
          <w:divsChild>
            <w:div w:id="855582537">
              <w:marLeft w:val="0"/>
              <w:marRight w:val="0"/>
              <w:marTop w:val="0"/>
              <w:marBottom w:val="0"/>
              <w:divBdr>
                <w:top w:val="none" w:sz="0" w:space="0" w:color="auto"/>
                <w:left w:val="none" w:sz="0" w:space="0" w:color="auto"/>
                <w:bottom w:val="none" w:sz="0" w:space="0" w:color="auto"/>
                <w:right w:val="none" w:sz="0" w:space="0" w:color="auto"/>
              </w:divBdr>
            </w:div>
          </w:divsChild>
        </w:div>
        <w:div w:id="743262191">
          <w:marLeft w:val="0"/>
          <w:marRight w:val="0"/>
          <w:marTop w:val="0"/>
          <w:marBottom w:val="0"/>
          <w:divBdr>
            <w:top w:val="none" w:sz="0" w:space="0" w:color="auto"/>
            <w:left w:val="none" w:sz="0" w:space="0" w:color="auto"/>
            <w:bottom w:val="none" w:sz="0" w:space="0" w:color="auto"/>
            <w:right w:val="none" w:sz="0" w:space="0" w:color="auto"/>
          </w:divBdr>
          <w:divsChild>
            <w:div w:id="205992357">
              <w:marLeft w:val="0"/>
              <w:marRight w:val="0"/>
              <w:marTop w:val="0"/>
              <w:marBottom w:val="0"/>
              <w:divBdr>
                <w:top w:val="none" w:sz="0" w:space="0" w:color="auto"/>
                <w:left w:val="none" w:sz="0" w:space="0" w:color="auto"/>
                <w:bottom w:val="none" w:sz="0" w:space="0" w:color="auto"/>
                <w:right w:val="none" w:sz="0" w:space="0" w:color="auto"/>
              </w:divBdr>
            </w:div>
          </w:divsChild>
        </w:div>
        <w:div w:id="745230666">
          <w:marLeft w:val="0"/>
          <w:marRight w:val="0"/>
          <w:marTop w:val="0"/>
          <w:marBottom w:val="0"/>
          <w:divBdr>
            <w:top w:val="none" w:sz="0" w:space="0" w:color="auto"/>
            <w:left w:val="none" w:sz="0" w:space="0" w:color="auto"/>
            <w:bottom w:val="none" w:sz="0" w:space="0" w:color="auto"/>
            <w:right w:val="none" w:sz="0" w:space="0" w:color="auto"/>
          </w:divBdr>
          <w:divsChild>
            <w:div w:id="2138446414">
              <w:marLeft w:val="0"/>
              <w:marRight w:val="0"/>
              <w:marTop w:val="0"/>
              <w:marBottom w:val="0"/>
              <w:divBdr>
                <w:top w:val="none" w:sz="0" w:space="0" w:color="auto"/>
                <w:left w:val="none" w:sz="0" w:space="0" w:color="auto"/>
                <w:bottom w:val="none" w:sz="0" w:space="0" w:color="auto"/>
                <w:right w:val="none" w:sz="0" w:space="0" w:color="auto"/>
              </w:divBdr>
            </w:div>
          </w:divsChild>
        </w:div>
        <w:div w:id="854340901">
          <w:marLeft w:val="0"/>
          <w:marRight w:val="0"/>
          <w:marTop w:val="0"/>
          <w:marBottom w:val="0"/>
          <w:divBdr>
            <w:top w:val="none" w:sz="0" w:space="0" w:color="auto"/>
            <w:left w:val="none" w:sz="0" w:space="0" w:color="auto"/>
            <w:bottom w:val="none" w:sz="0" w:space="0" w:color="auto"/>
            <w:right w:val="none" w:sz="0" w:space="0" w:color="auto"/>
          </w:divBdr>
          <w:divsChild>
            <w:div w:id="68575737">
              <w:marLeft w:val="0"/>
              <w:marRight w:val="0"/>
              <w:marTop w:val="0"/>
              <w:marBottom w:val="0"/>
              <w:divBdr>
                <w:top w:val="none" w:sz="0" w:space="0" w:color="auto"/>
                <w:left w:val="none" w:sz="0" w:space="0" w:color="auto"/>
                <w:bottom w:val="none" w:sz="0" w:space="0" w:color="auto"/>
                <w:right w:val="none" w:sz="0" w:space="0" w:color="auto"/>
              </w:divBdr>
            </w:div>
          </w:divsChild>
        </w:div>
        <w:div w:id="911234767">
          <w:marLeft w:val="0"/>
          <w:marRight w:val="0"/>
          <w:marTop w:val="0"/>
          <w:marBottom w:val="0"/>
          <w:divBdr>
            <w:top w:val="none" w:sz="0" w:space="0" w:color="auto"/>
            <w:left w:val="none" w:sz="0" w:space="0" w:color="auto"/>
            <w:bottom w:val="none" w:sz="0" w:space="0" w:color="auto"/>
            <w:right w:val="none" w:sz="0" w:space="0" w:color="auto"/>
          </w:divBdr>
          <w:divsChild>
            <w:div w:id="135996737">
              <w:marLeft w:val="0"/>
              <w:marRight w:val="0"/>
              <w:marTop w:val="0"/>
              <w:marBottom w:val="0"/>
              <w:divBdr>
                <w:top w:val="none" w:sz="0" w:space="0" w:color="auto"/>
                <w:left w:val="none" w:sz="0" w:space="0" w:color="auto"/>
                <w:bottom w:val="none" w:sz="0" w:space="0" w:color="auto"/>
                <w:right w:val="none" w:sz="0" w:space="0" w:color="auto"/>
              </w:divBdr>
            </w:div>
          </w:divsChild>
        </w:div>
        <w:div w:id="963731974">
          <w:marLeft w:val="0"/>
          <w:marRight w:val="0"/>
          <w:marTop w:val="0"/>
          <w:marBottom w:val="0"/>
          <w:divBdr>
            <w:top w:val="none" w:sz="0" w:space="0" w:color="auto"/>
            <w:left w:val="none" w:sz="0" w:space="0" w:color="auto"/>
            <w:bottom w:val="none" w:sz="0" w:space="0" w:color="auto"/>
            <w:right w:val="none" w:sz="0" w:space="0" w:color="auto"/>
          </w:divBdr>
          <w:divsChild>
            <w:div w:id="893395355">
              <w:marLeft w:val="0"/>
              <w:marRight w:val="0"/>
              <w:marTop w:val="0"/>
              <w:marBottom w:val="0"/>
              <w:divBdr>
                <w:top w:val="none" w:sz="0" w:space="0" w:color="auto"/>
                <w:left w:val="none" w:sz="0" w:space="0" w:color="auto"/>
                <w:bottom w:val="none" w:sz="0" w:space="0" w:color="auto"/>
                <w:right w:val="none" w:sz="0" w:space="0" w:color="auto"/>
              </w:divBdr>
            </w:div>
          </w:divsChild>
        </w:div>
        <w:div w:id="1004934889">
          <w:marLeft w:val="0"/>
          <w:marRight w:val="0"/>
          <w:marTop w:val="0"/>
          <w:marBottom w:val="0"/>
          <w:divBdr>
            <w:top w:val="none" w:sz="0" w:space="0" w:color="auto"/>
            <w:left w:val="none" w:sz="0" w:space="0" w:color="auto"/>
            <w:bottom w:val="none" w:sz="0" w:space="0" w:color="auto"/>
            <w:right w:val="none" w:sz="0" w:space="0" w:color="auto"/>
          </w:divBdr>
          <w:divsChild>
            <w:div w:id="1162967724">
              <w:marLeft w:val="0"/>
              <w:marRight w:val="0"/>
              <w:marTop w:val="0"/>
              <w:marBottom w:val="0"/>
              <w:divBdr>
                <w:top w:val="none" w:sz="0" w:space="0" w:color="auto"/>
                <w:left w:val="none" w:sz="0" w:space="0" w:color="auto"/>
                <w:bottom w:val="none" w:sz="0" w:space="0" w:color="auto"/>
                <w:right w:val="none" w:sz="0" w:space="0" w:color="auto"/>
              </w:divBdr>
            </w:div>
          </w:divsChild>
        </w:div>
        <w:div w:id="1022903505">
          <w:marLeft w:val="0"/>
          <w:marRight w:val="0"/>
          <w:marTop w:val="0"/>
          <w:marBottom w:val="0"/>
          <w:divBdr>
            <w:top w:val="none" w:sz="0" w:space="0" w:color="auto"/>
            <w:left w:val="none" w:sz="0" w:space="0" w:color="auto"/>
            <w:bottom w:val="none" w:sz="0" w:space="0" w:color="auto"/>
            <w:right w:val="none" w:sz="0" w:space="0" w:color="auto"/>
          </w:divBdr>
          <w:divsChild>
            <w:div w:id="2003117517">
              <w:marLeft w:val="0"/>
              <w:marRight w:val="0"/>
              <w:marTop w:val="0"/>
              <w:marBottom w:val="0"/>
              <w:divBdr>
                <w:top w:val="none" w:sz="0" w:space="0" w:color="auto"/>
                <w:left w:val="none" w:sz="0" w:space="0" w:color="auto"/>
                <w:bottom w:val="none" w:sz="0" w:space="0" w:color="auto"/>
                <w:right w:val="none" w:sz="0" w:space="0" w:color="auto"/>
              </w:divBdr>
            </w:div>
          </w:divsChild>
        </w:div>
        <w:div w:id="1113744471">
          <w:marLeft w:val="0"/>
          <w:marRight w:val="0"/>
          <w:marTop w:val="0"/>
          <w:marBottom w:val="0"/>
          <w:divBdr>
            <w:top w:val="none" w:sz="0" w:space="0" w:color="auto"/>
            <w:left w:val="none" w:sz="0" w:space="0" w:color="auto"/>
            <w:bottom w:val="none" w:sz="0" w:space="0" w:color="auto"/>
            <w:right w:val="none" w:sz="0" w:space="0" w:color="auto"/>
          </w:divBdr>
          <w:divsChild>
            <w:div w:id="975721690">
              <w:marLeft w:val="0"/>
              <w:marRight w:val="0"/>
              <w:marTop w:val="0"/>
              <w:marBottom w:val="0"/>
              <w:divBdr>
                <w:top w:val="none" w:sz="0" w:space="0" w:color="auto"/>
                <w:left w:val="none" w:sz="0" w:space="0" w:color="auto"/>
                <w:bottom w:val="none" w:sz="0" w:space="0" w:color="auto"/>
                <w:right w:val="none" w:sz="0" w:space="0" w:color="auto"/>
              </w:divBdr>
            </w:div>
          </w:divsChild>
        </w:div>
        <w:div w:id="1149829834">
          <w:marLeft w:val="0"/>
          <w:marRight w:val="0"/>
          <w:marTop w:val="0"/>
          <w:marBottom w:val="0"/>
          <w:divBdr>
            <w:top w:val="none" w:sz="0" w:space="0" w:color="auto"/>
            <w:left w:val="none" w:sz="0" w:space="0" w:color="auto"/>
            <w:bottom w:val="none" w:sz="0" w:space="0" w:color="auto"/>
            <w:right w:val="none" w:sz="0" w:space="0" w:color="auto"/>
          </w:divBdr>
          <w:divsChild>
            <w:div w:id="1838183661">
              <w:marLeft w:val="0"/>
              <w:marRight w:val="0"/>
              <w:marTop w:val="0"/>
              <w:marBottom w:val="0"/>
              <w:divBdr>
                <w:top w:val="none" w:sz="0" w:space="0" w:color="auto"/>
                <w:left w:val="none" w:sz="0" w:space="0" w:color="auto"/>
                <w:bottom w:val="none" w:sz="0" w:space="0" w:color="auto"/>
                <w:right w:val="none" w:sz="0" w:space="0" w:color="auto"/>
              </w:divBdr>
            </w:div>
          </w:divsChild>
        </w:div>
        <w:div w:id="1225065065">
          <w:marLeft w:val="0"/>
          <w:marRight w:val="0"/>
          <w:marTop w:val="0"/>
          <w:marBottom w:val="0"/>
          <w:divBdr>
            <w:top w:val="none" w:sz="0" w:space="0" w:color="auto"/>
            <w:left w:val="none" w:sz="0" w:space="0" w:color="auto"/>
            <w:bottom w:val="none" w:sz="0" w:space="0" w:color="auto"/>
            <w:right w:val="none" w:sz="0" w:space="0" w:color="auto"/>
          </w:divBdr>
          <w:divsChild>
            <w:div w:id="1683238347">
              <w:marLeft w:val="0"/>
              <w:marRight w:val="0"/>
              <w:marTop w:val="0"/>
              <w:marBottom w:val="0"/>
              <w:divBdr>
                <w:top w:val="none" w:sz="0" w:space="0" w:color="auto"/>
                <w:left w:val="none" w:sz="0" w:space="0" w:color="auto"/>
                <w:bottom w:val="none" w:sz="0" w:space="0" w:color="auto"/>
                <w:right w:val="none" w:sz="0" w:space="0" w:color="auto"/>
              </w:divBdr>
            </w:div>
          </w:divsChild>
        </w:div>
        <w:div w:id="1292204019">
          <w:marLeft w:val="0"/>
          <w:marRight w:val="0"/>
          <w:marTop w:val="0"/>
          <w:marBottom w:val="0"/>
          <w:divBdr>
            <w:top w:val="none" w:sz="0" w:space="0" w:color="auto"/>
            <w:left w:val="none" w:sz="0" w:space="0" w:color="auto"/>
            <w:bottom w:val="none" w:sz="0" w:space="0" w:color="auto"/>
            <w:right w:val="none" w:sz="0" w:space="0" w:color="auto"/>
          </w:divBdr>
          <w:divsChild>
            <w:div w:id="1099833011">
              <w:marLeft w:val="0"/>
              <w:marRight w:val="0"/>
              <w:marTop w:val="0"/>
              <w:marBottom w:val="0"/>
              <w:divBdr>
                <w:top w:val="none" w:sz="0" w:space="0" w:color="auto"/>
                <w:left w:val="none" w:sz="0" w:space="0" w:color="auto"/>
                <w:bottom w:val="none" w:sz="0" w:space="0" w:color="auto"/>
                <w:right w:val="none" w:sz="0" w:space="0" w:color="auto"/>
              </w:divBdr>
            </w:div>
          </w:divsChild>
        </w:div>
        <w:div w:id="1308702496">
          <w:marLeft w:val="0"/>
          <w:marRight w:val="0"/>
          <w:marTop w:val="0"/>
          <w:marBottom w:val="0"/>
          <w:divBdr>
            <w:top w:val="none" w:sz="0" w:space="0" w:color="auto"/>
            <w:left w:val="none" w:sz="0" w:space="0" w:color="auto"/>
            <w:bottom w:val="none" w:sz="0" w:space="0" w:color="auto"/>
            <w:right w:val="none" w:sz="0" w:space="0" w:color="auto"/>
          </w:divBdr>
          <w:divsChild>
            <w:div w:id="1473861563">
              <w:marLeft w:val="0"/>
              <w:marRight w:val="0"/>
              <w:marTop w:val="0"/>
              <w:marBottom w:val="0"/>
              <w:divBdr>
                <w:top w:val="none" w:sz="0" w:space="0" w:color="auto"/>
                <w:left w:val="none" w:sz="0" w:space="0" w:color="auto"/>
                <w:bottom w:val="none" w:sz="0" w:space="0" w:color="auto"/>
                <w:right w:val="none" w:sz="0" w:space="0" w:color="auto"/>
              </w:divBdr>
            </w:div>
          </w:divsChild>
        </w:div>
        <w:div w:id="1309936769">
          <w:marLeft w:val="0"/>
          <w:marRight w:val="0"/>
          <w:marTop w:val="0"/>
          <w:marBottom w:val="0"/>
          <w:divBdr>
            <w:top w:val="none" w:sz="0" w:space="0" w:color="auto"/>
            <w:left w:val="none" w:sz="0" w:space="0" w:color="auto"/>
            <w:bottom w:val="none" w:sz="0" w:space="0" w:color="auto"/>
            <w:right w:val="none" w:sz="0" w:space="0" w:color="auto"/>
          </w:divBdr>
          <w:divsChild>
            <w:div w:id="1750616568">
              <w:marLeft w:val="0"/>
              <w:marRight w:val="0"/>
              <w:marTop w:val="0"/>
              <w:marBottom w:val="0"/>
              <w:divBdr>
                <w:top w:val="none" w:sz="0" w:space="0" w:color="auto"/>
                <w:left w:val="none" w:sz="0" w:space="0" w:color="auto"/>
                <w:bottom w:val="none" w:sz="0" w:space="0" w:color="auto"/>
                <w:right w:val="none" w:sz="0" w:space="0" w:color="auto"/>
              </w:divBdr>
            </w:div>
          </w:divsChild>
        </w:div>
        <w:div w:id="1312910344">
          <w:marLeft w:val="0"/>
          <w:marRight w:val="0"/>
          <w:marTop w:val="0"/>
          <w:marBottom w:val="0"/>
          <w:divBdr>
            <w:top w:val="none" w:sz="0" w:space="0" w:color="auto"/>
            <w:left w:val="none" w:sz="0" w:space="0" w:color="auto"/>
            <w:bottom w:val="none" w:sz="0" w:space="0" w:color="auto"/>
            <w:right w:val="none" w:sz="0" w:space="0" w:color="auto"/>
          </w:divBdr>
          <w:divsChild>
            <w:div w:id="275018332">
              <w:marLeft w:val="0"/>
              <w:marRight w:val="0"/>
              <w:marTop w:val="0"/>
              <w:marBottom w:val="0"/>
              <w:divBdr>
                <w:top w:val="none" w:sz="0" w:space="0" w:color="auto"/>
                <w:left w:val="none" w:sz="0" w:space="0" w:color="auto"/>
                <w:bottom w:val="none" w:sz="0" w:space="0" w:color="auto"/>
                <w:right w:val="none" w:sz="0" w:space="0" w:color="auto"/>
              </w:divBdr>
            </w:div>
          </w:divsChild>
        </w:div>
        <w:div w:id="1334915921">
          <w:marLeft w:val="0"/>
          <w:marRight w:val="0"/>
          <w:marTop w:val="0"/>
          <w:marBottom w:val="0"/>
          <w:divBdr>
            <w:top w:val="none" w:sz="0" w:space="0" w:color="auto"/>
            <w:left w:val="none" w:sz="0" w:space="0" w:color="auto"/>
            <w:bottom w:val="none" w:sz="0" w:space="0" w:color="auto"/>
            <w:right w:val="none" w:sz="0" w:space="0" w:color="auto"/>
          </w:divBdr>
          <w:divsChild>
            <w:div w:id="1927348383">
              <w:marLeft w:val="0"/>
              <w:marRight w:val="0"/>
              <w:marTop w:val="0"/>
              <w:marBottom w:val="0"/>
              <w:divBdr>
                <w:top w:val="none" w:sz="0" w:space="0" w:color="auto"/>
                <w:left w:val="none" w:sz="0" w:space="0" w:color="auto"/>
                <w:bottom w:val="none" w:sz="0" w:space="0" w:color="auto"/>
                <w:right w:val="none" w:sz="0" w:space="0" w:color="auto"/>
              </w:divBdr>
            </w:div>
          </w:divsChild>
        </w:div>
        <w:div w:id="1335954550">
          <w:marLeft w:val="0"/>
          <w:marRight w:val="0"/>
          <w:marTop w:val="0"/>
          <w:marBottom w:val="0"/>
          <w:divBdr>
            <w:top w:val="none" w:sz="0" w:space="0" w:color="auto"/>
            <w:left w:val="none" w:sz="0" w:space="0" w:color="auto"/>
            <w:bottom w:val="none" w:sz="0" w:space="0" w:color="auto"/>
            <w:right w:val="none" w:sz="0" w:space="0" w:color="auto"/>
          </w:divBdr>
          <w:divsChild>
            <w:div w:id="1423376513">
              <w:marLeft w:val="0"/>
              <w:marRight w:val="0"/>
              <w:marTop w:val="0"/>
              <w:marBottom w:val="0"/>
              <w:divBdr>
                <w:top w:val="none" w:sz="0" w:space="0" w:color="auto"/>
                <w:left w:val="none" w:sz="0" w:space="0" w:color="auto"/>
                <w:bottom w:val="none" w:sz="0" w:space="0" w:color="auto"/>
                <w:right w:val="none" w:sz="0" w:space="0" w:color="auto"/>
              </w:divBdr>
            </w:div>
          </w:divsChild>
        </w:div>
        <w:div w:id="1379352687">
          <w:marLeft w:val="0"/>
          <w:marRight w:val="0"/>
          <w:marTop w:val="0"/>
          <w:marBottom w:val="0"/>
          <w:divBdr>
            <w:top w:val="none" w:sz="0" w:space="0" w:color="auto"/>
            <w:left w:val="none" w:sz="0" w:space="0" w:color="auto"/>
            <w:bottom w:val="none" w:sz="0" w:space="0" w:color="auto"/>
            <w:right w:val="none" w:sz="0" w:space="0" w:color="auto"/>
          </w:divBdr>
          <w:divsChild>
            <w:div w:id="1222672295">
              <w:marLeft w:val="0"/>
              <w:marRight w:val="0"/>
              <w:marTop w:val="0"/>
              <w:marBottom w:val="0"/>
              <w:divBdr>
                <w:top w:val="none" w:sz="0" w:space="0" w:color="auto"/>
                <w:left w:val="none" w:sz="0" w:space="0" w:color="auto"/>
                <w:bottom w:val="none" w:sz="0" w:space="0" w:color="auto"/>
                <w:right w:val="none" w:sz="0" w:space="0" w:color="auto"/>
              </w:divBdr>
            </w:div>
          </w:divsChild>
        </w:div>
        <w:div w:id="1408770583">
          <w:marLeft w:val="0"/>
          <w:marRight w:val="0"/>
          <w:marTop w:val="0"/>
          <w:marBottom w:val="0"/>
          <w:divBdr>
            <w:top w:val="none" w:sz="0" w:space="0" w:color="auto"/>
            <w:left w:val="none" w:sz="0" w:space="0" w:color="auto"/>
            <w:bottom w:val="none" w:sz="0" w:space="0" w:color="auto"/>
            <w:right w:val="none" w:sz="0" w:space="0" w:color="auto"/>
          </w:divBdr>
          <w:divsChild>
            <w:div w:id="1976837969">
              <w:marLeft w:val="0"/>
              <w:marRight w:val="0"/>
              <w:marTop w:val="0"/>
              <w:marBottom w:val="0"/>
              <w:divBdr>
                <w:top w:val="none" w:sz="0" w:space="0" w:color="auto"/>
                <w:left w:val="none" w:sz="0" w:space="0" w:color="auto"/>
                <w:bottom w:val="none" w:sz="0" w:space="0" w:color="auto"/>
                <w:right w:val="none" w:sz="0" w:space="0" w:color="auto"/>
              </w:divBdr>
            </w:div>
          </w:divsChild>
        </w:div>
        <w:div w:id="1553152831">
          <w:marLeft w:val="0"/>
          <w:marRight w:val="0"/>
          <w:marTop w:val="0"/>
          <w:marBottom w:val="0"/>
          <w:divBdr>
            <w:top w:val="none" w:sz="0" w:space="0" w:color="auto"/>
            <w:left w:val="none" w:sz="0" w:space="0" w:color="auto"/>
            <w:bottom w:val="none" w:sz="0" w:space="0" w:color="auto"/>
            <w:right w:val="none" w:sz="0" w:space="0" w:color="auto"/>
          </w:divBdr>
          <w:divsChild>
            <w:div w:id="225336329">
              <w:marLeft w:val="0"/>
              <w:marRight w:val="0"/>
              <w:marTop w:val="0"/>
              <w:marBottom w:val="0"/>
              <w:divBdr>
                <w:top w:val="none" w:sz="0" w:space="0" w:color="auto"/>
                <w:left w:val="none" w:sz="0" w:space="0" w:color="auto"/>
                <w:bottom w:val="none" w:sz="0" w:space="0" w:color="auto"/>
                <w:right w:val="none" w:sz="0" w:space="0" w:color="auto"/>
              </w:divBdr>
            </w:div>
          </w:divsChild>
        </w:div>
        <w:div w:id="1576863645">
          <w:marLeft w:val="0"/>
          <w:marRight w:val="0"/>
          <w:marTop w:val="0"/>
          <w:marBottom w:val="0"/>
          <w:divBdr>
            <w:top w:val="none" w:sz="0" w:space="0" w:color="auto"/>
            <w:left w:val="none" w:sz="0" w:space="0" w:color="auto"/>
            <w:bottom w:val="none" w:sz="0" w:space="0" w:color="auto"/>
            <w:right w:val="none" w:sz="0" w:space="0" w:color="auto"/>
          </w:divBdr>
          <w:divsChild>
            <w:div w:id="261494588">
              <w:marLeft w:val="0"/>
              <w:marRight w:val="0"/>
              <w:marTop w:val="0"/>
              <w:marBottom w:val="0"/>
              <w:divBdr>
                <w:top w:val="none" w:sz="0" w:space="0" w:color="auto"/>
                <w:left w:val="none" w:sz="0" w:space="0" w:color="auto"/>
                <w:bottom w:val="none" w:sz="0" w:space="0" w:color="auto"/>
                <w:right w:val="none" w:sz="0" w:space="0" w:color="auto"/>
              </w:divBdr>
            </w:div>
          </w:divsChild>
        </w:div>
        <w:div w:id="1588683904">
          <w:marLeft w:val="0"/>
          <w:marRight w:val="0"/>
          <w:marTop w:val="0"/>
          <w:marBottom w:val="0"/>
          <w:divBdr>
            <w:top w:val="none" w:sz="0" w:space="0" w:color="auto"/>
            <w:left w:val="none" w:sz="0" w:space="0" w:color="auto"/>
            <w:bottom w:val="none" w:sz="0" w:space="0" w:color="auto"/>
            <w:right w:val="none" w:sz="0" w:space="0" w:color="auto"/>
          </w:divBdr>
          <w:divsChild>
            <w:div w:id="983895510">
              <w:marLeft w:val="0"/>
              <w:marRight w:val="0"/>
              <w:marTop w:val="0"/>
              <w:marBottom w:val="0"/>
              <w:divBdr>
                <w:top w:val="none" w:sz="0" w:space="0" w:color="auto"/>
                <w:left w:val="none" w:sz="0" w:space="0" w:color="auto"/>
                <w:bottom w:val="none" w:sz="0" w:space="0" w:color="auto"/>
                <w:right w:val="none" w:sz="0" w:space="0" w:color="auto"/>
              </w:divBdr>
            </w:div>
          </w:divsChild>
        </w:div>
        <w:div w:id="1610888412">
          <w:marLeft w:val="0"/>
          <w:marRight w:val="0"/>
          <w:marTop w:val="0"/>
          <w:marBottom w:val="0"/>
          <w:divBdr>
            <w:top w:val="none" w:sz="0" w:space="0" w:color="auto"/>
            <w:left w:val="none" w:sz="0" w:space="0" w:color="auto"/>
            <w:bottom w:val="none" w:sz="0" w:space="0" w:color="auto"/>
            <w:right w:val="none" w:sz="0" w:space="0" w:color="auto"/>
          </w:divBdr>
          <w:divsChild>
            <w:div w:id="800852398">
              <w:marLeft w:val="0"/>
              <w:marRight w:val="0"/>
              <w:marTop w:val="0"/>
              <w:marBottom w:val="0"/>
              <w:divBdr>
                <w:top w:val="none" w:sz="0" w:space="0" w:color="auto"/>
                <w:left w:val="none" w:sz="0" w:space="0" w:color="auto"/>
                <w:bottom w:val="none" w:sz="0" w:space="0" w:color="auto"/>
                <w:right w:val="none" w:sz="0" w:space="0" w:color="auto"/>
              </w:divBdr>
            </w:div>
          </w:divsChild>
        </w:div>
        <w:div w:id="1682393036">
          <w:marLeft w:val="0"/>
          <w:marRight w:val="0"/>
          <w:marTop w:val="0"/>
          <w:marBottom w:val="0"/>
          <w:divBdr>
            <w:top w:val="none" w:sz="0" w:space="0" w:color="auto"/>
            <w:left w:val="none" w:sz="0" w:space="0" w:color="auto"/>
            <w:bottom w:val="none" w:sz="0" w:space="0" w:color="auto"/>
            <w:right w:val="none" w:sz="0" w:space="0" w:color="auto"/>
          </w:divBdr>
          <w:divsChild>
            <w:div w:id="377974864">
              <w:marLeft w:val="0"/>
              <w:marRight w:val="0"/>
              <w:marTop w:val="0"/>
              <w:marBottom w:val="0"/>
              <w:divBdr>
                <w:top w:val="none" w:sz="0" w:space="0" w:color="auto"/>
                <w:left w:val="none" w:sz="0" w:space="0" w:color="auto"/>
                <w:bottom w:val="none" w:sz="0" w:space="0" w:color="auto"/>
                <w:right w:val="none" w:sz="0" w:space="0" w:color="auto"/>
              </w:divBdr>
            </w:div>
          </w:divsChild>
        </w:div>
        <w:div w:id="1740590855">
          <w:marLeft w:val="0"/>
          <w:marRight w:val="0"/>
          <w:marTop w:val="0"/>
          <w:marBottom w:val="0"/>
          <w:divBdr>
            <w:top w:val="none" w:sz="0" w:space="0" w:color="auto"/>
            <w:left w:val="none" w:sz="0" w:space="0" w:color="auto"/>
            <w:bottom w:val="none" w:sz="0" w:space="0" w:color="auto"/>
            <w:right w:val="none" w:sz="0" w:space="0" w:color="auto"/>
          </w:divBdr>
          <w:divsChild>
            <w:div w:id="752551429">
              <w:marLeft w:val="0"/>
              <w:marRight w:val="0"/>
              <w:marTop w:val="0"/>
              <w:marBottom w:val="0"/>
              <w:divBdr>
                <w:top w:val="none" w:sz="0" w:space="0" w:color="auto"/>
                <w:left w:val="none" w:sz="0" w:space="0" w:color="auto"/>
                <w:bottom w:val="none" w:sz="0" w:space="0" w:color="auto"/>
                <w:right w:val="none" w:sz="0" w:space="0" w:color="auto"/>
              </w:divBdr>
            </w:div>
          </w:divsChild>
        </w:div>
        <w:div w:id="1768113048">
          <w:marLeft w:val="0"/>
          <w:marRight w:val="0"/>
          <w:marTop w:val="0"/>
          <w:marBottom w:val="0"/>
          <w:divBdr>
            <w:top w:val="none" w:sz="0" w:space="0" w:color="auto"/>
            <w:left w:val="none" w:sz="0" w:space="0" w:color="auto"/>
            <w:bottom w:val="none" w:sz="0" w:space="0" w:color="auto"/>
            <w:right w:val="none" w:sz="0" w:space="0" w:color="auto"/>
          </w:divBdr>
          <w:divsChild>
            <w:div w:id="724446474">
              <w:marLeft w:val="0"/>
              <w:marRight w:val="0"/>
              <w:marTop w:val="0"/>
              <w:marBottom w:val="0"/>
              <w:divBdr>
                <w:top w:val="none" w:sz="0" w:space="0" w:color="auto"/>
                <w:left w:val="none" w:sz="0" w:space="0" w:color="auto"/>
                <w:bottom w:val="none" w:sz="0" w:space="0" w:color="auto"/>
                <w:right w:val="none" w:sz="0" w:space="0" w:color="auto"/>
              </w:divBdr>
            </w:div>
          </w:divsChild>
        </w:div>
        <w:div w:id="1777824810">
          <w:marLeft w:val="0"/>
          <w:marRight w:val="0"/>
          <w:marTop w:val="0"/>
          <w:marBottom w:val="0"/>
          <w:divBdr>
            <w:top w:val="none" w:sz="0" w:space="0" w:color="auto"/>
            <w:left w:val="none" w:sz="0" w:space="0" w:color="auto"/>
            <w:bottom w:val="none" w:sz="0" w:space="0" w:color="auto"/>
            <w:right w:val="none" w:sz="0" w:space="0" w:color="auto"/>
          </w:divBdr>
          <w:divsChild>
            <w:div w:id="2066372146">
              <w:marLeft w:val="0"/>
              <w:marRight w:val="0"/>
              <w:marTop w:val="0"/>
              <w:marBottom w:val="0"/>
              <w:divBdr>
                <w:top w:val="none" w:sz="0" w:space="0" w:color="auto"/>
                <w:left w:val="none" w:sz="0" w:space="0" w:color="auto"/>
                <w:bottom w:val="none" w:sz="0" w:space="0" w:color="auto"/>
                <w:right w:val="none" w:sz="0" w:space="0" w:color="auto"/>
              </w:divBdr>
            </w:div>
          </w:divsChild>
        </w:div>
        <w:div w:id="1784955166">
          <w:marLeft w:val="0"/>
          <w:marRight w:val="0"/>
          <w:marTop w:val="0"/>
          <w:marBottom w:val="0"/>
          <w:divBdr>
            <w:top w:val="none" w:sz="0" w:space="0" w:color="auto"/>
            <w:left w:val="none" w:sz="0" w:space="0" w:color="auto"/>
            <w:bottom w:val="none" w:sz="0" w:space="0" w:color="auto"/>
            <w:right w:val="none" w:sz="0" w:space="0" w:color="auto"/>
          </w:divBdr>
          <w:divsChild>
            <w:div w:id="1362323609">
              <w:marLeft w:val="0"/>
              <w:marRight w:val="0"/>
              <w:marTop w:val="0"/>
              <w:marBottom w:val="0"/>
              <w:divBdr>
                <w:top w:val="none" w:sz="0" w:space="0" w:color="auto"/>
                <w:left w:val="none" w:sz="0" w:space="0" w:color="auto"/>
                <w:bottom w:val="none" w:sz="0" w:space="0" w:color="auto"/>
                <w:right w:val="none" w:sz="0" w:space="0" w:color="auto"/>
              </w:divBdr>
            </w:div>
          </w:divsChild>
        </w:div>
        <w:div w:id="1880194213">
          <w:marLeft w:val="0"/>
          <w:marRight w:val="0"/>
          <w:marTop w:val="0"/>
          <w:marBottom w:val="0"/>
          <w:divBdr>
            <w:top w:val="none" w:sz="0" w:space="0" w:color="auto"/>
            <w:left w:val="none" w:sz="0" w:space="0" w:color="auto"/>
            <w:bottom w:val="none" w:sz="0" w:space="0" w:color="auto"/>
            <w:right w:val="none" w:sz="0" w:space="0" w:color="auto"/>
          </w:divBdr>
          <w:divsChild>
            <w:div w:id="1571966007">
              <w:marLeft w:val="0"/>
              <w:marRight w:val="0"/>
              <w:marTop w:val="0"/>
              <w:marBottom w:val="0"/>
              <w:divBdr>
                <w:top w:val="none" w:sz="0" w:space="0" w:color="auto"/>
                <w:left w:val="none" w:sz="0" w:space="0" w:color="auto"/>
                <w:bottom w:val="none" w:sz="0" w:space="0" w:color="auto"/>
                <w:right w:val="none" w:sz="0" w:space="0" w:color="auto"/>
              </w:divBdr>
            </w:div>
          </w:divsChild>
        </w:div>
        <w:div w:id="1892840961">
          <w:marLeft w:val="0"/>
          <w:marRight w:val="0"/>
          <w:marTop w:val="0"/>
          <w:marBottom w:val="0"/>
          <w:divBdr>
            <w:top w:val="none" w:sz="0" w:space="0" w:color="auto"/>
            <w:left w:val="none" w:sz="0" w:space="0" w:color="auto"/>
            <w:bottom w:val="none" w:sz="0" w:space="0" w:color="auto"/>
            <w:right w:val="none" w:sz="0" w:space="0" w:color="auto"/>
          </w:divBdr>
          <w:divsChild>
            <w:div w:id="802190651">
              <w:marLeft w:val="0"/>
              <w:marRight w:val="0"/>
              <w:marTop w:val="0"/>
              <w:marBottom w:val="0"/>
              <w:divBdr>
                <w:top w:val="none" w:sz="0" w:space="0" w:color="auto"/>
                <w:left w:val="none" w:sz="0" w:space="0" w:color="auto"/>
                <w:bottom w:val="none" w:sz="0" w:space="0" w:color="auto"/>
                <w:right w:val="none" w:sz="0" w:space="0" w:color="auto"/>
              </w:divBdr>
            </w:div>
          </w:divsChild>
        </w:div>
        <w:div w:id="1961915169">
          <w:marLeft w:val="0"/>
          <w:marRight w:val="0"/>
          <w:marTop w:val="0"/>
          <w:marBottom w:val="0"/>
          <w:divBdr>
            <w:top w:val="none" w:sz="0" w:space="0" w:color="auto"/>
            <w:left w:val="none" w:sz="0" w:space="0" w:color="auto"/>
            <w:bottom w:val="none" w:sz="0" w:space="0" w:color="auto"/>
            <w:right w:val="none" w:sz="0" w:space="0" w:color="auto"/>
          </w:divBdr>
          <w:divsChild>
            <w:div w:id="187182761">
              <w:marLeft w:val="0"/>
              <w:marRight w:val="0"/>
              <w:marTop w:val="0"/>
              <w:marBottom w:val="0"/>
              <w:divBdr>
                <w:top w:val="none" w:sz="0" w:space="0" w:color="auto"/>
                <w:left w:val="none" w:sz="0" w:space="0" w:color="auto"/>
                <w:bottom w:val="none" w:sz="0" w:space="0" w:color="auto"/>
                <w:right w:val="none" w:sz="0" w:space="0" w:color="auto"/>
              </w:divBdr>
            </w:div>
            <w:div w:id="655958925">
              <w:marLeft w:val="0"/>
              <w:marRight w:val="0"/>
              <w:marTop w:val="0"/>
              <w:marBottom w:val="0"/>
              <w:divBdr>
                <w:top w:val="none" w:sz="0" w:space="0" w:color="auto"/>
                <w:left w:val="none" w:sz="0" w:space="0" w:color="auto"/>
                <w:bottom w:val="none" w:sz="0" w:space="0" w:color="auto"/>
                <w:right w:val="none" w:sz="0" w:space="0" w:color="auto"/>
              </w:divBdr>
            </w:div>
          </w:divsChild>
        </w:div>
        <w:div w:id="2041004290">
          <w:marLeft w:val="0"/>
          <w:marRight w:val="0"/>
          <w:marTop w:val="0"/>
          <w:marBottom w:val="0"/>
          <w:divBdr>
            <w:top w:val="none" w:sz="0" w:space="0" w:color="auto"/>
            <w:left w:val="none" w:sz="0" w:space="0" w:color="auto"/>
            <w:bottom w:val="none" w:sz="0" w:space="0" w:color="auto"/>
            <w:right w:val="none" w:sz="0" w:space="0" w:color="auto"/>
          </w:divBdr>
          <w:divsChild>
            <w:div w:id="2079861032">
              <w:marLeft w:val="0"/>
              <w:marRight w:val="0"/>
              <w:marTop w:val="0"/>
              <w:marBottom w:val="0"/>
              <w:divBdr>
                <w:top w:val="none" w:sz="0" w:space="0" w:color="auto"/>
                <w:left w:val="none" w:sz="0" w:space="0" w:color="auto"/>
                <w:bottom w:val="none" w:sz="0" w:space="0" w:color="auto"/>
                <w:right w:val="none" w:sz="0" w:space="0" w:color="auto"/>
              </w:divBdr>
            </w:div>
          </w:divsChild>
        </w:div>
        <w:div w:id="2059088000">
          <w:marLeft w:val="0"/>
          <w:marRight w:val="0"/>
          <w:marTop w:val="0"/>
          <w:marBottom w:val="0"/>
          <w:divBdr>
            <w:top w:val="none" w:sz="0" w:space="0" w:color="auto"/>
            <w:left w:val="none" w:sz="0" w:space="0" w:color="auto"/>
            <w:bottom w:val="none" w:sz="0" w:space="0" w:color="auto"/>
            <w:right w:val="none" w:sz="0" w:space="0" w:color="auto"/>
          </w:divBdr>
          <w:divsChild>
            <w:div w:id="2048211358">
              <w:marLeft w:val="0"/>
              <w:marRight w:val="0"/>
              <w:marTop w:val="0"/>
              <w:marBottom w:val="0"/>
              <w:divBdr>
                <w:top w:val="none" w:sz="0" w:space="0" w:color="auto"/>
                <w:left w:val="none" w:sz="0" w:space="0" w:color="auto"/>
                <w:bottom w:val="none" w:sz="0" w:space="0" w:color="auto"/>
                <w:right w:val="none" w:sz="0" w:space="0" w:color="auto"/>
              </w:divBdr>
            </w:div>
          </w:divsChild>
        </w:div>
        <w:div w:id="2101559082">
          <w:marLeft w:val="0"/>
          <w:marRight w:val="0"/>
          <w:marTop w:val="0"/>
          <w:marBottom w:val="0"/>
          <w:divBdr>
            <w:top w:val="none" w:sz="0" w:space="0" w:color="auto"/>
            <w:left w:val="none" w:sz="0" w:space="0" w:color="auto"/>
            <w:bottom w:val="none" w:sz="0" w:space="0" w:color="auto"/>
            <w:right w:val="none" w:sz="0" w:space="0" w:color="auto"/>
          </w:divBdr>
          <w:divsChild>
            <w:div w:id="2344333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842030">
      <w:bodyDiv w:val="1"/>
      <w:marLeft w:val="0"/>
      <w:marRight w:val="0"/>
      <w:marTop w:val="0"/>
      <w:marBottom w:val="0"/>
      <w:divBdr>
        <w:top w:val="none" w:sz="0" w:space="0" w:color="auto"/>
        <w:left w:val="none" w:sz="0" w:space="0" w:color="auto"/>
        <w:bottom w:val="none" w:sz="0" w:space="0" w:color="auto"/>
        <w:right w:val="none" w:sz="0" w:space="0" w:color="auto"/>
      </w:divBdr>
    </w:div>
    <w:div w:id="646327083">
      <w:bodyDiv w:val="1"/>
      <w:marLeft w:val="0"/>
      <w:marRight w:val="0"/>
      <w:marTop w:val="0"/>
      <w:marBottom w:val="0"/>
      <w:divBdr>
        <w:top w:val="none" w:sz="0" w:space="0" w:color="auto"/>
        <w:left w:val="none" w:sz="0" w:space="0" w:color="auto"/>
        <w:bottom w:val="none" w:sz="0" w:space="0" w:color="auto"/>
        <w:right w:val="none" w:sz="0" w:space="0" w:color="auto"/>
      </w:divBdr>
    </w:div>
    <w:div w:id="671034298">
      <w:bodyDiv w:val="1"/>
      <w:marLeft w:val="0"/>
      <w:marRight w:val="0"/>
      <w:marTop w:val="0"/>
      <w:marBottom w:val="0"/>
      <w:divBdr>
        <w:top w:val="none" w:sz="0" w:space="0" w:color="auto"/>
        <w:left w:val="none" w:sz="0" w:space="0" w:color="auto"/>
        <w:bottom w:val="none" w:sz="0" w:space="0" w:color="auto"/>
        <w:right w:val="none" w:sz="0" w:space="0" w:color="auto"/>
      </w:divBdr>
    </w:div>
    <w:div w:id="821852724">
      <w:bodyDiv w:val="1"/>
      <w:marLeft w:val="0"/>
      <w:marRight w:val="0"/>
      <w:marTop w:val="0"/>
      <w:marBottom w:val="0"/>
      <w:divBdr>
        <w:top w:val="none" w:sz="0" w:space="0" w:color="auto"/>
        <w:left w:val="none" w:sz="0" w:space="0" w:color="auto"/>
        <w:bottom w:val="none" w:sz="0" w:space="0" w:color="auto"/>
        <w:right w:val="none" w:sz="0" w:space="0" w:color="auto"/>
      </w:divBdr>
    </w:div>
    <w:div w:id="1041704983">
      <w:bodyDiv w:val="1"/>
      <w:marLeft w:val="0"/>
      <w:marRight w:val="0"/>
      <w:marTop w:val="0"/>
      <w:marBottom w:val="0"/>
      <w:divBdr>
        <w:top w:val="none" w:sz="0" w:space="0" w:color="auto"/>
        <w:left w:val="none" w:sz="0" w:space="0" w:color="auto"/>
        <w:bottom w:val="none" w:sz="0" w:space="0" w:color="auto"/>
        <w:right w:val="none" w:sz="0" w:space="0" w:color="auto"/>
      </w:divBdr>
      <w:divsChild>
        <w:div w:id="36399042">
          <w:marLeft w:val="0"/>
          <w:marRight w:val="0"/>
          <w:marTop w:val="0"/>
          <w:marBottom w:val="0"/>
          <w:divBdr>
            <w:top w:val="none" w:sz="0" w:space="0" w:color="auto"/>
            <w:left w:val="none" w:sz="0" w:space="0" w:color="auto"/>
            <w:bottom w:val="none" w:sz="0" w:space="0" w:color="auto"/>
            <w:right w:val="none" w:sz="0" w:space="0" w:color="auto"/>
          </w:divBdr>
        </w:div>
        <w:div w:id="104353068">
          <w:marLeft w:val="0"/>
          <w:marRight w:val="0"/>
          <w:marTop w:val="0"/>
          <w:marBottom w:val="0"/>
          <w:divBdr>
            <w:top w:val="none" w:sz="0" w:space="0" w:color="auto"/>
            <w:left w:val="none" w:sz="0" w:space="0" w:color="auto"/>
            <w:bottom w:val="none" w:sz="0" w:space="0" w:color="auto"/>
            <w:right w:val="none" w:sz="0" w:space="0" w:color="auto"/>
          </w:divBdr>
        </w:div>
        <w:div w:id="171919283">
          <w:marLeft w:val="0"/>
          <w:marRight w:val="0"/>
          <w:marTop w:val="0"/>
          <w:marBottom w:val="0"/>
          <w:divBdr>
            <w:top w:val="none" w:sz="0" w:space="0" w:color="auto"/>
            <w:left w:val="none" w:sz="0" w:space="0" w:color="auto"/>
            <w:bottom w:val="none" w:sz="0" w:space="0" w:color="auto"/>
            <w:right w:val="none" w:sz="0" w:space="0" w:color="auto"/>
          </w:divBdr>
        </w:div>
        <w:div w:id="325017057">
          <w:marLeft w:val="0"/>
          <w:marRight w:val="0"/>
          <w:marTop w:val="0"/>
          <w:marBottom w:val="0"/>
          <w:divBdr>
            <w:top w:val="none" w:sz="0" w:space="0" w:color="auto"/>
            <w:left w:val="none" w:sz="0" w:space="0" w:color="auto"/>
            <w:bottom w:val="none" w:sz="0" w:space="0" w:color="auto"/>
            <w:right w:val="none" w:sz="0" w:space="0" w:color="auto"/>
          </w:divBdr>
        </w:div>
        <w:div w:id="424499336">
          <w:marLeft w:val="0"/>
          <w:marRight w:val="0"/>
          <w:marTop w:val="0"/>
          <w:marBottom w:val="0"/>
          <w:divBdr>
            <w:top w:val="none" w:sz="0" w:space="0" w:color="auto"/>
            <w:left w:val="none" w:sz="0" w:space="0" w:color="auto"/>
            <w:bottom w:val="none" w:sz="0" w:space="0" w:color="auto"/>
            <w:right w:val="none" w:sz="0" w:space="0" w:color="auto"/>
          </w:divBdr>
        </w:div>
        <w:div w:id="514811958">
          <w:marLeft w:val="0"/>
          <w:marRight w:val="0"/>
          <w:marTop w:val="0"/>
          <w:marBottom w:val="0"/>
          <w:divBdr>
            <w:top w:val="none" w:sz="0" w:space="0" w:color="auto"/>
            <w:left w:val="none" w:sz="0" w:space="0" w:color="auto"/>
            <w:bottom w:val="none" w:sz="0" w:space="0" w:color="auto"/>
            <w:right w:val="none" w:sz="0" w:space="0" w:color="auto"/>
          </w:divBdr>
        </w:div>
        <w:div w:id="545993312">
          <w:marLeft w:val="0"/>
          <w:marRight w:val="0"/>
          <w:marTop w:val="0"/>
          <w:marBottom w:val="0"/>
          <w:divBdr>
            <w:top w:val="none" w:sz="0" w:space="0" w:color="auto"/>
            <w:left w:val="none" w:sz="0" w:space="0" w:color="auto"/>
            <w:bottom w:val="none" w:sz="0" w:space="0" w:color="auto"/>
            <w:right w:val="none" w:sz="0" w:space="0" w:color="auto"/>
          </w:divBdr>
        </w:div>
        <w:div w:id="589389220">
          <w:marLeft w:val="0"/>
          <w:marRight w:val="0"/>
          <w:marTop w:val="0"/>
          <w:marBottom w:val="0"/>
          <w:divBdr>
            <w:top w:val="none" w:sz="0" w:space="0" w:color="auto"/>
            <w:left w:val="none" w:sz="0" w:space="0" w:color="auto"/>
            <w:bottom w:val="none" w:sz="0" w:space="0" w:color="auto"/>
            <w:right w:val="none" w:sz="0" w:space="0" w:color="auto"/>
          </w:divBdr>
        </w:div>
        <w:div w:id="590436995">
          <w:marLeft w:val="0"/>
          <w:marRight w:val="0"/>
          <w:marTop w:val="0"/>
          <w:marBottom w:val="0"/>
          <w:divBdr>
            <w:top w:val="none" w:sz="0" w:space="0" w:color="auto"/>
            <w:left w:val="none" w:sz="0" w:space="0" w:color="auto"/>
            <w:bottom w:val="none" w:sz="0" w:space="0" w:color="auto"/>
            <w:right w:val="none" w:sz="0" w:space="0" w:color="auto"/>
          </w:divBdr>
        </w:div>
        <w:div w:id="676081336">
          <w:marLeft w:val="0"/>
          <w:marRight w:val="0"/>
          <w:marTop w:val="0"/>
          <w:marBottom w:val="0"/>
          <w:divBdr>
            <w:top w:val="none" w:sz="0" w:space="0" w:color="auto"/>
            <w:left w:val="none" w:sz="0" w:space="0" w:color="auto"/>
            <w:bottom w:val="none" w:sz="0" w:space="0" w:color="auto"/>
            <w:right w:val="none" w:sz="0" w:space="0" w:color="auto"/>
          </w:divBdr>
        </w:div>
        <w:div w:id="839009935">
          <w:marLeft w:val="0"/>
          <w:marRight w:val="0"/>
          <w:marTop w:val="0"/>
          <w:marBottom w:val="0"/>
          <w:divBdr>
            <w:top w:val="none" w:sz="0" w:space="0" w:color="auto"/>
            <w:left w:val="none" w:sz="0" w:space="0" w:color="auto"/>
            <w:bottom w:val="none" w:sz="0" w:space="0" w:color="auto"/>
            <w:right w:val="none" w:sz="0" w:space="0" w:color="auto"/>
          </w:divBdr>
        </w:div>
        <w:div w:id="862323452">
          <w:marLeft w:val="0"/>
          <w:marRight w:val="0"/>
          <w:marTop w:val="0"/>
          <w:marBottom w:val="0"/>
          <w:divBdr>
            <w:top w:val="none" w:sz="0" w:space="0" w:color="auto"/>
            <w:left w:val="none" w:sz="0" w:space="0" w:color="auto"/>
            <w:bottom w:val="none" w:sz="0" w:space="0" w:color="auto"/>
            <w:right w:val="none" w:sz="0" w:space="0" w:color="auto"/>
          </w:divBdr>
        </w:div>
        <w:div w:id="1237202873">
          <w:marLeft w:val="0"/>
          <w:marRight w:val="0"/>
          <w:marTop w:val="0"/>
          <w:marBottom w:val="0"/>
          <w:divBdr>
            <w:top w:val="none" w:sz="0" w:space="0" w:color="auto"/>
            <w:left w:val="none" w:sz="0" w:space="0" w:color="auto"/>
            <w:bottom w:val="none" w:sz="0" w:space="0" w:color="auto"/>
            <w:right w:val="none" w:sz="0" w:space="0" w:color="auto"/>
          </w:divBdr>
        </w:div>
        <w:div w:id="1418476072">
          <w:marLeft w:val="0"/>
          <w:marRight w:val="0"/>
          <w:marTop w:val="0"/>
          <w:marBottom w:val="0"/>
          <w:divBdr>
            <w:top w:val="none" w:sz="0" w:space="0" w:color="auto"/>
            <w:left w:val="none" w:sz="0" w:space="0" w:color="auto"/>
            <w:bottom w:val="none" w:sz="0" w:space="0" w:color="auto"/>
            <w:right w:val="none" w:sz="0" w:space="0" w:color="auto"/>
          </w:divBdr>
        </w:div>
        <w:div w:id="1593969759">
          <w:marLeft w:val="0"/>
          <w:marRight w:val="0"/>
          <w:marTop w:val="0"/>
          <w:marBottom w:val="0"/>
          <w:divBdr>
            <w:top w:val="none" w:sz="0" w:space="0" w:color="auto"/>
            <w:left w:val="none" w:sz="0" w:space="0" w:color="auto"/>
            <w:bottom w:val="none" w:sz="0" w:space="0" w:color="auto"/>
            <w:right w:val="none" w:sz="0" w:space="0" w:color="auto"/>
          </w:divBdr>
        </w:div>
        <w:div w:id="1765416829">
          <w:marLeft w:val="0"/>
          <w:marRight w:val="0"/>
          <w:marTop w:val="0"/>
          <w:marBottom w:val="0"/>
          <w:divBdr>
            <w:top w:val="none" w:sz="0" w:space="0" w:color="auto"/>
            <w:left w:val="none" w:sz="0" w:space="0" w:color="auto"/>
            <w:bottom w:val="none" w:sz="0" w:space="0" w:color="auto"/>
            <w:right w:val="none" w:sz="0" w:space="0" w:color="auto"/>
          </w:divBdr>
        </w:div>
        <w:div w:id="2082020022">
          <w:marLeft w:val="0"/>
          <w:marRight w:val="0"/>
          <w:marTop w:val="0"/>
          <w:marBottom w:val="0"/>
          <w:divBdr>
            <w:top w:val="none" w:sz="0" w:space="0" w:color="auto"/>
            <w:left w:val="none" w:sz="0" w:space="0" w:color="auto"/>
            <w:bottom w:val="none" w:sz="0" w:space="0" w:color="auto"/>
            <w:right w:val="none" w:sz="0" w:space="0" w:color="auto"/>
          </w:divBdr>
        </w:div>
      </w:divsChild>
    </w:div>
    <w:div w:id="1068574258">
      <w:bodyDiv w:val="1"/>
      <w:marLeft w:val="0"/>
      <w:marRight w:val="0"/>
      <w:marTop w:val="0"/>
      <w:marBottom w:val="0"/>
      <w:divBdr>
        <w:top w:val="none" w:sz="0" w:space="0" w:color="auto"/>
        <w:left w:val="none" w:sz="0" w:space="0" w:color="auto"/>
        <w:bottom w:val="none" w:sz="0" w:space="0" w:color="auto"/>
        <w:right w:val="none" w:sz="0" w:space="0" w:color="auto"/>
      </w:divBdr>
      <w:divsChild>
        <w:div w:id="45571166">
          <w:marLeft w:val="0"/>
          <w:marRight w:val="0"/>
          <w:marTop w:val="0"/>
          <w:marBottom w:val="0"/>
          <w:divBdr>
            <w:top w:val="none" w:sz="0" w:space="0" w:color="auto"/>
            <w:left w:val="none" w:sz="0" w:space="0" w:color="auto"/>
            <w:bottom w:val="none" w:sz="0" w:space="0" w:color="auto"/>
            <w:right w:val="none" w:sz="0" w:space="0" w:color="auto"/>
          </w:divBdr>
          <w:divsChild>
            <w:div w:id="1168596945">
              <w:marLeft w:val="0"/>
              <w:marRight w:val="0"/>
              <w:marTop w:val="0"/>
              <w:marBottom w:val="0"/>
              <w:divBdr>
                <w:top w:val="none" w:sz="0" w:space="0" w:color="auto"/>
                <w:left w:val="none" w:sz="0" w:space="0" w:color="auto"/>
                <w:bottom w:val="none" w:sz="0" w:space="0" w:color="auto"/>
                <w:right w:val="none" w:sz="0" w:space="0" w:color="auto"/>
              </w:divBdr>
            </w:div>
            <w:div w:id="1719161268">
              <w:marLeft w:val="0"/>
              <w:marRight w:val="0"/>
              <w:marTop w:val="0"/>
              <w:marBottom w:val="0"/>
              <w:divBdr>
                <w:top w:val="none" w:sz="0" w:space="0" w:color="auto"/>
                <w:left w:val="none" w:sz="0" w:space="0" w:color="auto"/>
                <w:bottom w:val="none" w:sz="0" w:space="0" w:color="auto"/>
                <w:right w:val="none" w:sz="0" w:space="0" w:color="auto"/>
              </w:divBdr>
            </w:div>
          </w:divsChild>
        </w:div>
        <w:div w:id="150101313">
          <w:marLeft w:val="0"/>
          <w:marRight w:val="0"/>
          <w:marTop w:val="0"/>
          <w:marBottom w:val="0"/>
          <w:divBdr>
            <w:top w:val="none" w:sz="0" w:space="0" w:color="auto"/>
            <w:left w:val="none" w:sz="0" w:space="0" w:color="auto"/>
            <w:bottom w:val="none" w:sz="0" w:space="0" w:color="auto"/>
            <w:right w:val="none" w:sz="0" w:space="0" w:color="auto"/>
          </w:divBdr>
          <w:divsChild>
            <w:div w:id="967278271">
              <w:marLeft w:val="0"/>
              <w:marRight w:val="0"/>
              <w:marTop w:val="0"/>
              <w:marBottom w:val="0"/>
              <w:divBdr>
                <w:top w:val="none" w:sz="0" w:space="0" w:color="auto"/>
                <w:left w:val="none" w:sz="0" w:space="0" w:color="auto"/>
                <w:bottom w:val="none" w:sz="0" w:space="0" w:color="auto"/>
                <w:right w:val="none" w:sz="0" w:space="0" w:color="auto"/>
              </w:divBdr>
            </w:div>
            <w:div w:id="1948538537">
              <w:marLeft w:val="0"/>
              <w:marRight w:val="0"/>
              <w:marTop w:val="0"/>
              <w:marBottom w:val="0"/>
              <w:divBdr>
                <w:top w:val="none" w:sz="0" w:space="0" w:color="auto"/>
                <w:left w:val="none" w:sz="0" w:space="0" w:color="auto"/>
                <w:bottom w:val="none" w:sz="0" w:space="0" w:color="auto"/>
                <w:right w:val="none" w:sz="0" w:space="0" w:color="auto"/>
              </w:divBdr>
            </w:div>
          </w:divsChild>
        </w:div>
        <w:div w:id="187836929">
          <w:marLeft w:val="0"/>
          <w:marRight w:val="0"/>
          <w:marTop w:val="0"/>
          <w:marBottom w:val="0"/>
          <w:divBdr>
            <w:top w:val="none" w:sz="0" w:space="0" w:color="auto"/>
            <w:left w:val="none" w:sz="0" w:space="0" w:color="auto"/>
            <w:bottom w:val="none" w:sz="0" w:space="0" w:color="auto"/>
            <w:right w:val="none" w:sz="0" w:space="0" w:color="auto"/>
          </w:divBdr>
          <w:divsChild>
            <w:div w:id="637102351">
              <w:marLeft w:val="0"/>
              <w:marRight w:val="0"/>
              <w:marTop w:val="0"/>
              <w:marBottom w:val="0"/>
              <w:divBdr>
                <w:top w:val="none" w:sz="0" w:space="0" w:color="auto"/>
                <w:left w:val="none" w:sz="0" w:space="0" w:color="auto"/>
                <w:bottom w:val="none" w:sz="0" w:space="0" w:color="auto"/>
                <w:right w:val="none" w:sz="0" w:space="0" w:color="auto"/>
              </w:divBdr>
            </w:div>
          </w:divsChild>
        </w:div>
        <w:div w:id="246885156">
          <w:marLeft w:val="0"/>
          <w:marRight w:val="0"/>
          <w:marTop w:val="0"/>
          <w:marBottom w:val="0"/>
          <w:divBdr>
            <w:top w:val="none" w:sz="0" w:space="0" w:color="auto"/>
            <w:left w:val="none" w:sz="0" w:space="0" w:color="auto"/>
            <w:bottom w:val="none" w:sz="0" w:space="0" w:color="auto"/>
            <w:right w:val="none" w:sz="0" w:space="0" w:color="auto"/>
          </w:divBdr>
          <w:divsChild>
            <w:div w:id="656499139">
              <w:marLeft w:val="0"/>
              <w:marRight w:val="0"/>
              <w:marTop w:val="0"/>
              <w:marBottom w:val="0"/>
              <w:divBdr>
                <w:top w:val="none" w:sz="0" w:space="0" w:color="auto"/>
                <w:left w:val="none" w:sz="0" w:space="0" w:color="auto"/>
                <w:bottom w:val="none" w:sz="0" w:space="0" w:color="auto"/>
                <w:right w:val="none" w:sz="0" w:space="0" w:color="auto"/>
              </w:divBdr>
            </w:div>
          </w:divsChild>
        </w:div>
        <w:div w:id="250432782">
          <w:marLeft w:val="0"/>
          <w:marRight w:val="0"/>
          <w:marTop w:val="0"/>
          <w:marBottom w:val="0"/>
          <w:divBdr>
            <w:top w:val="none" w:sz="0" w:space="0" w:color="auto"/>
            <w:left w:val="none" w:sz="0" w:space="0" w:color="auto"/>
            <w:bottom w:val="none" w:sz="0" w:space="0" w:color="auto"/>
            <w:right w:val="none" w:sz="0" w:space="0" w:color="auto"/>
          </w:divBdr>
          <w:divsChild>
            <w:div w:id="498741922">
              <w:marLeft w:val="0"/>
              <w:marRight w:val="0"/>
              <w:marTop w:val="0"/>
              <w:marBottom w:val="0"/>
              <w:divBdr>
                <w:top w:val="none" w:sz="0" w:space="0" w:color="auto"/>
                <w:left w:val="none" w:sz="0" w:space="0" w:color="auto"/>
                <w:bottom w:val="none" w:sz="0" w:space="0" w:color="auto"/>
                <w:right w:val="none" w:sz="0" w:space="0" w:color="auto"/>
              </w:divBdr>
            </w:div>
            <w:div w:id="2080861596">
              <w:marLeft w:val="0"/>
              <w:marRight w:val="0"/>
              <w:marTop w:val="0"/>
              <w:marBottom w:val="0"/>
              <w:divBdr>
                <w:top w:val="none" w:sz="0" w:space="0" w:color="auto"/>
                <w:left w:val="none" w:sz="0" w:space="0" w:color="auto"/>
                <w:bottom w:val="none" w:sz="0" w:space="0" w:color="auto"/>
                <w:right w:val="none" w:sz="0" w:space="0" w:color="auto"/>
              </w:divBdr>
            </w:div>
          </w:divsChild>
        </w:div>
        <w:div w:id="258219574">
          <w:marLeft w:val="0"/>
          <w:marRight w:val="0"/>
          <w:marTop w:val="0"/>
          <w:marBottom w:val="0"/>
          <w:divBdr>
            <w:top w:val="none" w:sz="0" w:space="0" w:color="auto"/>
            <w:left w:val="none" w:sz="0" w:space="0" w:color="auto"/>
            <w:bottom w:val="none" w:sz="0" w:space="0" w:color="auto"/>
            <w:right w:val="none" w:sz="0" w:space="0" w:color="auto"/>
          </w:divBdr>
          <w:divsChild>
            <w:div w:id="252396903">
              <w:marLeft w:val="0"/>
              <w:marRight w:val="0"/>
              <w:marTop w:val="0"/>
              <w:marBottom w:val="0"/>
              <w:divBdr>
                <w:top w:val="none" w:sz="0" w:space="0" w:color="auto"/>
                <w:left w:val="none" w:sz="0" w:space="0" w:color="auto"/>
                <w:bottom w:val="none" w:sz="0" w:space="0" w:color="auto"/>
                <w:right w:val="none" w:sz="0" w:space="0" w:color="auto"/>
              </w:divBdr>
            </w:div>
            <w:div w:id="407927940">
              <w:marLeft w:val="0"/>
              <w:marRight w:val="0"/>
              <w:marTop w:val="0"/>
              <w:marBottom w:val="0"/>
              <w:divBdr>
                <w:top w:val="none" w:sz="0" w:space="0" w:color="auto"/>
                <w:left w:val="none" w:sz="0" w:space="0" w:color="auto"/>
                <w:bottom w:val="none" w:sz="0" w:space="0" w:color="auto"/>
                <w:right w:val="none" w:sz="0" w:space="0" w:color="auto"/>
              </w:divBdr>
            </w:div>
          </w:divsChild>
        </w:div>
        <w:div w:id="304554614">
          <w:marLeft w:val="0"/>
          <w:marRight w:val="0"/>
          <w:marTop w:val="0"/>
          <w:marBottom w:val="0"/>
          <w:divBdr>
            <w:top w:val="none" w:sz="0" w:space="0" w:color="auto"/>
            <w:left w:val="none" w:sz="0" w:space="0" w:color="auto"/>
            <w:bottom w:val="none" w:sz="0" w:space="0" w:color="auto"/>
            <w:right w:val="none" w:sz="0" w:space="0" w:color="auto"/>
          </w:divBdr>
          <w:divsChild>
            <w:div w:id="406659188">
              <w:marLeft w:val="0"/>
              <w:marRight w:val="0"/>
              <w:marTop w:val="0"/>
              <w:marBottom w:val="0"/>
              <w:divBdr>
                <w:top w:val="none" w:sz="0" w:space="0" w:color="auto"/>
                <w:left w:val="none" w:sz="0" w:space="0" w:color="auto"/>
                <w:bottom w:val="none" w:sz="0" w:space="0" w:color="auto"/>
                <w:right w:val="none" w:sz="0" w:space="0" w:color="auto"/>
              </w:divBdr>
            </w:div>
          </w:divsChild>
        </w:div>
        <w:div w:id="401485062">
          <w:marLeft w:val="0"/>
          <w:marRight w:val="0"/>
          <w:marTop w:val="0"/>
          <w:marBottom w:val="0"/>
          <w:divBdr>
            <w:top w:val="none" w:sz="0" w:space="0" w:color="auto"/>
            <w:left w:val="none" w:sz="0" w:space="0" w:color="auto"/>
            <w:bottom w:val="none" w:sz="0" w:space="0" w:color="auto"/>
            <w:right w:val="none" w:sz="0" w:space="0" w:color="auto"/>
          </w:divBdr>
          <w:divsChild>
            <w:div w:id="329213830">
              <w:marLeft w:val="0"/>
              <w:marRight w:val="0"/>
              <w:marTop w:val="0"/>
              <w:marBottom w:val="0"/>
              <w:divBdr>
                <w:top w:val="none" w:sz="0" w:space="0" w:color="auto"/>
                <w:left w:val="none" w:sz="0" w:space="0" w:color="auto"/>
                <w:bottom w:val="none" w:sz="0" w:space="0" w:color="auto"/>
                <w:right w:val="none" w:sz="0" w:space="0" w:color="auto"/>
              </w:divBdr>
            </w:div>
          </w:divsChild>
        </w:div>
        <w:div w:id="517282665">
          <w:marLeft w:val="0"/>
          <w:marRight w:val="0"/>
          <w:marTop w:val="0"/>
          <w:marBottom w:val="0"/>
          <w:divBdr>
            <w:top w:val="none" w:sz="0" w:space="0" w:color="auto"/>
            <w:left w:val="none" w:sz="0" w:space="0" w:color="auto"/>
            <w:bottom w:val="none" w:sz="0" w:space="0" w:color="auto"/>
            <w:right w:val="none" w:sz="0" w:space="0" w:color="auto"/>
          </w:divBdr>
          <w:divsChild>
            <w:div w:id="466046779">
              <w:marLeft w:val="0"/>
              <w:marRight w:val="0"/>
              <w:marTop w:val="0"/>
              <w:marBottom w:val="0"/>
              <w:divBdr>
                <w:top w:val="none" w:sz="0" w:space="0" w:color="auto"/>
                <w:left w:val="none" w:sz="0" w:space="0" w:color="auto"/>
                <w:bottom w:val="none" w:sz="0" w:space="0" w:color="auto"/>
                <w:right w:val="none" w:sz="0" w:space="0" w:color="auto"/>
              </w:divBdr>
            </w:div>
            <w:div w:id="546336386">
              <w:marLeft w:val="0"/>
              <w:marRight w:val="0"/>
              <w:marTop w:val="0"/>
              <w:marBottom w:val="0"/>
              <w:divBdr>
                <w:top w:val="none" w:sz="0" w:space="0" w:color="auto"/>
                <w:left w:val="none" w:sz="0" w:space="0" w:color="auto"/>
                <w:bottom w:val="none" w:sz="0" w:space="0" w:color="auto"/>
                <w:right w:val="none" w:sz="0" w:space="0" w:color="auto"/>
              </w:divBdr>
            </w:div>
          </w:divsChild>
        </w:div>
        <w:div w:id="522088444">
          <w:marLeft w:val="0"/>
          <w:marRight w:val="0"/>
          <w:marTop w:val="0"/>
          <w:marBottom w:val="0"/>
          <w:divBdr>
            <w:top w:val="none" w:sz="0" w:space="0" w:color="auto"/>
            <w:left w:val="none" w:sz="0" w:space="0" w:color="auto"/>
            <w:bottom w:val="none" w:sz="0" w:space="0" w:color="auto"/>
            <w:right w:val="none" w:sz="0" w:space="0" w:color="auto"/>
          </w:divBdr>
          <w:divsChild>
            <w:div w:id="397244155">
              <w:marLeft w:val="0"/>
              <w:marRight w:val="0"/>
              <w:marTop w:val="0"/>
              <w:marBottom w:val="0"/>
              <w:divBdr>
                <w:top w:val="none" w:sz="0" w:space="0" w:color="auto"/>
                <w:left w:val="none" w:sz="0" w:space="0" w:color="auto"/>
                <w:bottom w:val="none" w:sz="0" w:space="0" w:color="auto"/>
                <w:right w:val="none" w:sz="0" w:space="0" w:color="auto"/>
              </w:divBdr>
            </w:div>
          </w:divsChild>
        </w:div>
        <w:div w:id="570315311">
          <w:marLeft w:val="0"/>
          <w:marRight w:val="0"/>
          <w:marTop w:val="0"/>
          <w:marBottom w:val="0"/>
          <w:divBdr>
            <w:top w:val="none" w:sz="0" w:space="0" w:color="auto"/>
            <w:left w:val="none" w:sz="0" w:space="0" w:color="auto"/>
            <w:bottom w:val="none" w:sz="0" w:space="0" w:color="auto"/>
            <w:right w:val="none" w:sz="0" w:space="0" w:color="auto"/>
          </w:divBdr>
          <w:divsChild>
            <w:div w:id="555824256">
              <w:marLeft w:val="0"/>
              <w:marRight w:val="0"/>
              <w:marTop w:val="0"/>
              <w:marBottom w:val="0"/>
              <w:divBdr>
                <w:top w:val="none" w:sz="0" w:space="0" w:color="auto"/>
                <w:left w:val="none" w:sz="0" w:space="0" w:color="auto"/>
                <w:bottom w:val="none" w:sz="0" w:space="0" w:color="auto"/>
                <w:right w:val="none" w:sz="0" w:space="0" w:color="auto"/>
              </w:divBdr>
            </w:div>
            <w:div w:id="672800044">
              <w:marLeft w:val="0"/>
              <w:marRight w:val="0"/>
              <w:marTop w:val="0"/>
              <w:marBottom w:val="0"/>
              <w:divBdr>
                <w:top w:val="none" w:sz="0" w:space="0" w:color="auto"/>
                <w:left w:val="none" w:sz="0" w:space="0" w:color="auto"/>
                <w:bottom w:val="none" w:sz="0" w:space="0" w:color="auto"/>
                <w:right w:val="none" w:sz="0" w:space="0" w:color="auto"/>
              </w:divBdr>
            </w:div>
          </w:divsChild>
        </w:div>
        <w:div w:id="796878746">
          <w:marLeft w:val="0"/>
          <w:marRight w:val="0"/>
          <w:marTop w:val="0"/>
          <w:marBottom w:val="0"/>
          <w:divBdr>
            <w:top w:val="none" w:sz="0" w:space="0" w:color="auto"/>
            <w:left w:val="none" w:sz="0" w:space="0" w:color="auto"/>
            <w:bottom w:val="none" w:sz="0" w:space="0" w:color="auto"/>
            <w:right w:val="none" w:sz="0" w:space="0" w:color="auto"/>
          </w:divBdr>
          <w:divsChild>
            <w:div w:id="1643652797">
              <w:marLeft w:val="0"/>
              <w:marRight w:val="0"/>
              <w:marTop w:val="0"/>
              <w:marBottom w:val="0"/>
              <w:divBdr>
                <w:top w:val="none" w:sz="0" w:space="0" w:color="auto"/>
                <w:left w:val="none" w:sz="0" w:space="0" w:color="auto"/>
                <w:bottom w:val="none" w:sz="0" w:space="0" w:color="auto"/>
                <w:right w:val="none" w:sz="0" w:space="0" w:color="auto"/>
              </w:divBdr>
            </w:div>
          </w:divsChild>
        </w:div>
        <w:div w:id="911623132">
          <w:marLeft w:val="0"/>
          <w:marRight w:val="0"/>
          <w:marTop w:val="0"/>
          <w:marBottom w:val="0"/>
          <w:divBdr>
            <w:top w:val="none" w:sz="0" w:space="0" w:color="auto"/>
            <w:left w:val="none" w:sz="0" w:space="0" w:color="auto"/>
            <w:bottom w:val="none" w:sz="0" w:space="0" w:color="auto"/>
            <w:right w:val="none" w:sz="0" w:space="0" w:color="auto"/>
          </w:divBdr>
          <w:divsChild>
            <w:div w:id="525412180">
              <w:marLeft w:val="0"/>
              <w:marRight w:val="0"/>
              <w:marTop w:val="0"/>
              <w:marBottom w:val="0"/>
              <w:divBdr>
                <w:top w:val="none" w:sz="0" w:space="0" w:color="auto"/>
                <w:left w:val="none" w:sz="0" w:space="0" w:color="auto"/>
                <w:bottom w:val="none" w:sz="0" w:space="0" w:color="auto"/>
                <w:right w:val="none" w:sz="0" w:space="0" w:color="auto"/>
              </w:divBdr>
            </w:div>
            <w:div w:id="821776835">
              <w:marLeft w:val="0"/>
              <w:marRight w:val="0"/>
              <w:marTop w:val="0"/>
              <w:marBottom w:val="0"/>
              <w:divBdr>
                <w:top w:val="none" w:sz="0" w:space="0" w:color="auto"/>
                <w:left w:val="none" w:sz="0" w:space="0" w:color="auto"/>
                <w:bottom w:val="none" w:sz="0" w:space="0" w:color="auto"/>
                <w:right w:val="none" w:sz="0" w:space="0" w:color="auto"/>
              </w:divBdr>
            </w:div>
            <w:div w:id="1190725413">
              <w:marLeft w:val="0"/>
              <w:marRight w:val="0"/>
              <w:marTop w:val="0"/>
              <w:marBottom w:val="0"/>
              <w:divBdr>
                <w:top w:val="none" w:sz="0" w:space="0" w:color="auto"/>
                <w:left w:val="none" w:sz="0" w:space="0" w:color="auto"/>
                <w:bottom w:val="none" w:sz="0" w:space="0" w:color="auto"/>
                <w:right w:val="none" w:sz="0" w:space="0" w:color="auto"/>
              </w:divBdr>
            </w:div>
          </w:divsChild>
        </w:div>
        <w:div w:id="977027674">
          <w:marLeft w:val="0"/>
          <w:marRight w:val="0"/>
          <w:marTop w:val="0"/>
          <w:marBottom w:val="0"/>
          <w:divBdr>
            <w:top w:val="none" w:sz="0" w:space="0" w:color="auto"/>
            <w:left w:val="none" w:sz="0" w:space="0" w:color="auto"/>
            <w:bottom w:val="none" w:sz="0" w:space="0" w:color="auto"/>
            <w:right w:val="none" w:sz="0" w:space="0" w:color="auto"/>
          </w:divBdr>
          <w:divsChild>
            <w:div w:id="591167111">
              <w:marLeft w:val="0"/>
              <w:marRight w:val="0"/>
              <w:marTop w:val="0"/>
              <w:marBottom w:val="0"/>
              <w:divBdr>
                <w:top w:val="none" w:sz="0" w:space="0" w:color="auto"/>
                <w:left w:val="none" w:sz="0" w:space="0" w:color="auto"/>
                <w:bottom w:val="none" w:sz="0" w:space="0" w:color="auto"/>
                <w:right w:val="none" w:sz="0" w:space="0" w:color="auto"/>
              </w:divBdr>
            </w:div>
          </w:divsChild>
        </w:div>
        <w:div w:id="1257590565">
          <w:marLeft w:val="0"/>
          <w:marRight w:val="0"/>
          <w:marTop w:val="0"/>
          <w:marBottom w:val="0"/>
          <w:divBdr>
            <w:top w:val="none" w:sz="0" w:space="0" w:color="auto"/>
            <w:left w:val="none" w:sz="0" w:space="0" w:color="auto"/>
            <w:bottom w:val="none" w:sz="0" w:space="0" w:color="auto"/>
            <w:right w:val="none" w:sz="0" w:space="0" w:color="auto"/>
          </w:divBdr>
          <w:divsChild>
            <w:div w:id="1110393119">
              <w:marLeft w:val="0"/>
              <w:marRight w:val="0"/>
              <w:marTop w:val="0"/>
              <w:marBottom w:val="0"/>
              <w:divBdr>
                <w:top w:val="none" w:sz="0" w:space="0" w:color="auto"/>
                <w:left w:val="none" w:sz="0" w:space="0" w:color="auto"/>
                <w:bottom w:val="none" w:sz="0" w:space="0" w:color="auto"/>
                <w:right w:val="none" w:sz="0" w:space="0" w:color="auto"/>
              </w:divBdr>
            </w:div>
            <w:div w:id="1213927146">
              <w:marLeft w:val="0"/>
              <w:marRight w:val="0"/>
              <w:marTop w:val="0"/>
              <w:marBottom w:val="0"/>
              <w:divBdr>
                <w:top w:val="none" w:sz="0" w:space="0" w:color="auto"/>
                <w:left w:val="none" w:sz="0" w:space="0" w:color="auto"/>
                <w:bottom w:val="none" w:sz="0" w:space="0" w:color="auto"/>
                <w:right w:val="none" w:sz="0" w:space="0" w:color="auto"/>
              </w:divBdr>
            </w:div>
          </w:divsChild>
        </w:div>
        <w:div w:id="1327980578">
          <w:marLeft w:val="0"/>
          <w:marRight w:val="0"/>
          <w:marTop w:val="0"/>
          <w:marBottom w:val="0"/>
          <w:divBdr>
            <w:top w:val="none" w:sz="0" w:space="0" w:color="auto"/>
            <w:left w:val="none" w:sz="0" w:space="0" w:color="auto"/>
            <w:bottom w:val="none" w:sz="0" w:space="0" w:color="auto"/>
            <w:right w:val="none" w:sz="0" w:space="0" w:color="auto"/>
          </w:divBdr>
          <w:divsChild>
            <w:div w:id="97454359">
              <w:marLeft w:val="0"/>
              <w:marRight w:val="0"/>
              <w:marTop w:val="0"/>
              <w:marBottom w:val="0"/>
              <w:divBdr>
                <w:top w:val="none" w:sz="0" w:space="0" w:color="auto"/>
                <w:left w:val="none" w:sz="0" w:space="0" w:color="auto"/>
                <w:bottom w:val="none" w:sz="0" w:space="0" w:color="auto"/>
                <w:right w:val="none" w:sz="0" w:space="0" w:color="auto"/>
              </w:divBdr>
            </w:div>
          </w:divsChild>
        </w:div>
        <w:div w:id="1383288503">
          <w:marLeft w:val="0"/>
          <w:marRight w:val="0"/>
          <w:marTop w:val="0"/>
          <w:marBottom w:val="0"/>
          <w:divBdr>
            <w:top w:val="none" w:sz="0" w:space="0" w:color="auto"/>
            <w:left w:val="none" w:sz="0" w:space="0" w:color="auto"/>
            <w:bottom w:val="none" w:sz="0" w:space="0" w:color="auto"/>
            <w:right w:val="none" w:sz="0" w:space="0" w:color="auto"/>
          </w:divBdr>
          <w:divsChild>
            <w:div w:id="1474446259">
              <w:marLeft w:val="0"/>
              <w:marRight w:val="0"/>
              <w:marTop w:val="0"/>
              <w:marBottom w:val="0"/>
              <w:divBdr>
                <w:top w:val="none" w:sz="0" w:space="0" w:color="auto"/>
                <w:left w:val="none" w:sz="0" w:space="0" w:color="auto"/>
                <w:bottom w:val="none" w:sz="0" w:space="0" w:color="auto"/>
                <w:right w:val="none" w:sz="0" w:space="0" w:color="auto"/>
              </w:divBdr>
            </w:div>
          </w:divsChild>
        </w:div>
        <w:div w:id="1432621991">
          <w:marLeft w:val="0"/>
          <w:marRight w:val="0"/>
          <w:marTop w:val="0"/>
          <w:marBottom w:val="0"/>
          <w:divBdr>
            <w:top w:val="none" w:sz="0" w:space="0" w:color="auto"/>
            <w:left w:val="none" w:sz="0" w:space="0" w:color="auto"/>
            <w:bottom w:val="none" w:sz="0" w:space="0" w:color="auto"/>
            <w:right w:val="none" w:sz="0" w:space="0" w:color="auto"/>
          </w:divBdr>
          <w:divsChild>
            <w:div w:id="537204670">
              <w:marLeft w:val="0"/>
              <w:marRight w:val="0"/>
              <w:marTop w:val="0"/>
              <w:marBottom w:val="0"/>
              <w:divBdr>
                <w:top w:val="none" w:sz="0" w:space="0" w:color="auto"/>
                <w:left w:val="none" w:sz="0" w:space="0" w:color="auto"/>
                <w:bottom w:val="none" w:sz="0" w:space="0" w:color="auto"/>
                <w:right w:val="none" w:sz="0" w:space="0" w:color="auto"/>
              </w:divBdr>
            </w:div>
            <w:div w:id="726998269">
              <w:marLeft w:val="0"/>
              <w:marRight w:val="0"/>
              <w:marTop w:val="0"/>
              <w:marBottom w:val="0"/>
              <w:divBdr>
                <w:top w:val="none" w:sz="0" w:space="0" w:color="auto"/>
                <w:left w:val="none" w:sz="0" w:space="0" w:color="auto"/>
                <w:bottom w:val="none" w:sz="0" w:space="0" w:color="auto"/>
                <w:right w:val="none" w:sz="0" w:space="0" w:color="auto"/>
              </w:divBdr>
            </w:div>
          </w:divsChild>
        </w:div>
        <w:div w:id="1468205583">
          <w:marLeft w:val="0"/>
          <w:marRight w:val="0"/>
          <w:marTop w:val="0"/>
          <w:marBottom w:val="0"/>
          <w:divBdr>
            <w:top w:val="none" w:sz="0" w:space="0" w:color="auto"/>
            <w:left w:val="none" w:sz="0" w:space="0" w:color="auto"/>
            <w:bottom w:val="none" w:sz="0" w:space="0" w:color="auto"/>
            <w:right w:val="none" w:sz="0" w:space="0" w:color="auto"/>
          </w:divBdr>
          <w:divsChild>
            <w:div w:id="101262734">
              <w:marLeft w:val="0"/>
              <w:marRight w:val="0"/>
              <w:marTop w:val="0"/>
              <w:marBottom w:val="0"/>
              <w:divBdr>
                <w:top w:val="none" w:sz="0" w:space="0" w:color="auto"/>
                <w:left w:val="none" w:sz="0" w:space="0" w:color="auto"/>
                <w:bottom w:val="none" w:sz="0" w:space="0" w:color="auto"/>
                <w:right w:val="none" w:sz="0" w:space="0" w:color="auto"/>
              </w:divBdr>
            </w:div>
          </w:divsChild>
        </w:div>
        <w:div w:id="1485392656">
          <w:marLeft w:val="0"/>
          <w:marRight w:val="0"/>
          <w:marTop w:val="0"/>
          <w:marBottom w:val="0"/>
          <w:divBdr>
            <w:top w:val="none" w:sz="0" w:space="0" w:color="auto"/>
            <w:left w:val="none" w:sz="0" w:space="0" w:color="auto"/>
            <w:bottom w:val="none" w:sz="0" w:space="0" w:color="auto"/>
            <w:right w:val="none" w:sz="0" w:space="0" w:color="auto"/>
          </w:divBdr>
          <w:divsChild>
            <w:div w:id="1628001615">
              <w:marLeft w:val="0"/>
              <w:marRight w:val="0"/>
              <w:marTop w:val="0"/>
              <w:marBottom w:val="0"/>
              <w:divBdr>
                <w:top w:val="none" w:sz="0" w:space="0" w:color="auto"/>
                <w:left w:val="none" w:sz="0" w:space="0" w:color="auto"/>
                <w:bottom w:val="none" w:sz="0" w:space="0" w:color="auto"/>
                <w:right w:val="none" w:sz="0" w:space="0" w:color="auto"/>
              </w:divBdr>
            </w:div>
          </w:divsChild>
        </w:div>
        <w:div w:id="1923023219">
          <w:marLeft w:val="0"/>
          <w:marRight w:val="0"/>
          <w:marTop w:val="0"/>
          <w:marBottom w:val="0"/>
          <w:divBdr>
            <w:top w:val="none" w:sz="0" w:space="0" w:color="auto"/>
            <w:left w:val="none" w:sz="0" w:space="0" w:color="auto"/>
            <w:bottom w:val="none" w:sz="0" w:space="0" w:color="auto"/>
            <w:right w:val="none" w:sz="0" w:space="0" w:color="auto"/>
          </w:divBdr>
          <w:divsChild>
            <w:div w:id="13084373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281996">
      <w:bodyDiv w:val="1"/>
      <w:marLeft w:val="0"/>
      <w:marRight w:val="0"/>
      <w:marTop w:val="0"/>
      <w:marBottom w:val="0"/>
      <w:divBdr>
        <w:top w:val="none" w:sz="0" w:space="0" w:color="auto"/>
        <w:left w:val="none" w:sz="0" w:space="0" w:color="auto"/>
        <w:bottom w:val="none" w:sz="0" w:space="0" w:color="auto"/>
        <w:right w:val="none" w:sz="0" w:space="0" w:color="auto"/>
      </w:divBdr>
    </w:div>
    <w:div w:id="1210268837">
      <w:bodyDiv w:val="1"/>
      <w:marLeft w:val="0"/>
      <w:marRight w:val="0"/>
      <w:marTop w:val="0"/>
      <w:marBottom w:val="0"/>
      <w:divBdr>
        <w:top w:val="none" w:sz="0" w:space="0" w:color="auto"/>
        <w:left w:val="none" w:sz="0" w:space="0" w:color="auto"/>
        <w:bottom w:val="none" w:sz="0" w:space="0" w:color="auto"/>
        <w:right w:val="none" w:sz="0" w:space="0" w:color="auto"/>
      </w:divBdr>
      <w:divsChild>
        <w:div w:id="1024358416">
          <w:marLeft w:val="0"/>
          <w:marRight w:val="0"/>
          <w:marTop w:val="0"/>
          <w:marBottom w:val="0"/>
          <w:divBdr>
            <w:top w:val="none" w:sz="0" w:space="0" w:color="auto"/>
            <w:left w:val="none" w:sz="0" w:space="0" w:color="auto"/>
            <w:bottom w:val="none" w:sz="0" w:space="0" w:color="auto"/>
            <w:right w:val="none" w:sz="0" w:space="0" w:color="auto"/>
          </w:divBdr>
        </w:div>
        <w:div w:id="818040206">
          <w:marLeft w:val="0"/>
          <w:marRight w:val="0"/>
          <w:marTop w:val="0"/>
          <w:marBottom w:val="0"/>
          <w:divBdr>
            <w:top w:val="none" w:sz="0" w:space="0" w:color="auto"/>
            <w:left w:val="none" w:sz="0" w:space="0" w:color="auto"/>
            <w:bottom w:val="none" w:sz="0" w:space="0" w:color="auto"/>
            <w:right w:val="none" w:sz="0" w:space="0" w:color="auto"/>
          </w:divBdr>
        </w:div>
        <w:div w:id="1643080381">
          <w:marLeft w:val="0"/>
          <w:marRight w:val="0"/>
          <w:marTop w:val="0"/>
          <w:marBottom w:val="0"/>
          <w:divBdr>
            <w:top w:val="none" w:sz="0" w:space="0" w:color="auto"/>
            <w:left w:val="none" w:sz="0" w:space="0" w:color="auto"/>
            <w:bottom w:val="none" w:sz="0" w:space="0" w:color="auto"/>
            <w:right w:val="none" w:sz="0" w:space="0" w:color="auto"/>
          </w:divBdr>
        </w:div>
        <w:div w:id="29301029">
          <w:marLeft w:val="0"/>
          <w:marRight w:val="0"/>
          <w:marTop w:val="0"/>
          <w:marBottom w:val="0"/>
          <w:divBdr>
            <w:top w:val="none" w:sz="0" w:space="0" w:color="auto"/>
            <w:left w:val="none" w:sz="0" w:space="0" w:color="auto"/>
            <w:bottom w:val="none" w:sz="0" w:space="0" w:color="auto"/>
            <w:right w:val="none" w:sz="0" w:space="0" w:color="auto"/>
          </w:divBdr>
        </w:div>
        <w:div w:id="670303731">
          <w:marLeft w:val="0"/>
          <w:marRight w:val="0"/>
          <w:marTop w:val="0"/>
          <w:marBottom w:val="0"/>
          <w:divBdr>
            <w:top w:val="none" w:sz="0" w:space="0" w:color="auto"/>
            <w:left w:val="none" w:sz="0" w:space="0" w:color="auto"/>
            <w:bottom w:val="none" w:sz="0" w:space="0" w:color="auto"/>
            <w:right w:val="none" w:sz="0" w:space="0" w:color="auto"/>
          </w:divBdr>
        </w:div>
      </w:divsChild>
    </w:div>
    <w:div w:id="1413968336">
      <w:bodyDiv w:val="1"/>
      <w:marLeft w:val="0"/>
      <w:marRight w:val="0"/>
      <w:marTop w:val="0"/>
      <w:marBottom w:val="0"/>
      <w:divBdr>
        <w:top w:val="none" w:sz="0" w:space="0" w:color="auto"/>
        <w:left w:val="none" w:sz="0" w:space="0" w:color="auto"/>
        <w:bottom w:val="none" w:sz="0" w:space="0" w:color="auto"/>
        <w:right w:val="none" w:sz="0" w:space="0" w:color="auto"/>
      </w:divBdr>
    </w:div>
    <w:div w:id="1642535778">
      <w:bodyDiv w:val="1"/>
      <w:marLeft w:val="0"/>
      <w:marRight w:val="0"/>
      <w:marTop w:val="0"/>
      <w:marBottom w:val="0"/>
      <w:divBdr>
        <w:top w:val="none" w:sz="0" w:space="0" w:color="auto"/>
        <w:left w:val="none" w:sz="0" w:space="0" w:color="auto"/>
        <w:bottom w:val="none" w:sz="0" w:space="0" w:color="auto"/>
        <w:right w:val="none" w:sz="0" w:space="0" w:color="auto"/>
      </w:divBdr>
      <w:divsChild>
        <w:div w:id="1060176001">
          <w:marLeft w:val="0"/>
          <w:marRight w:val="0"/>
          <w:marTop w:val="0"/>
          <w:marBottom w:val="0"/>
          <w:divBdr>
            <w:top w:val="none" w:sz="0" w:space="0" w:color="auto"/>
            <w:left w:val="none" w:sz="0" w:space="0" w:color="auto"/>
            <w:bottom w:val="none" w:sz="0" w:space="0" w:color="auto"/>
            <w:right w:val="none" w:sz="0" w:space="0" w:color="auto"/>
          </w:divBdr>
        </w:div>
        <w:div w:id="1346908069">
          <w:marLeft w:val="0"/>
          <w:marRight w:val="0"/>
          <w:marTop w:val="0"/>
          <w:marBottom w:val="0"/>
          <w:divBdr>
            <w:top w:val="none" w:sz="0" w:space="0" w:color="auto"/>
            <w:left w:val="none" w:sz="0" w:space="0" w:color="auto"/>
            <w:bottom w:val="none" w:sz="0" w:space="0" w:color="auto"/>
            <w:right w:val="none" w:sz="0" w:space="0" w:color="auto"/>
          </w:divBdr>
          <w:divsChild>
            <w:div w:id="690490524">
              <w:marLeft w:val="-75"/>
              <w:marRight w:val="0"/>
              <w:marTop w:val="30"/>
              <w:marBottom w:val="30"/>
              <w:divBdr>
                <w:top w:val="none" w:sz="0" w:space="0" w:color="auto"/>
                <w:left w:val="none" w:sz="0" w:space="0" w:color="auto"/>
                <w:bottom w:val="none" w:sz="0" w:space="0" w:color="auto"/>
                <w:right w:val="none" w:sz="0" w:space="0" w:color="auto"/>
              </w:divBdr>
              <w:divsChild>
                <w:div w:id="11228251">
                  <w:marLeft w:val="0"/>
                  <w:marRight w:val="0"/>
                  <w:marTop w:val="0"/>
                  <w:marBottom w:val="0"/>
                  <w:divBdr>
                    <w:top w:val="none" w:sz="0" w:space="0" w:color="auto"/>
                    <w:left w:val="none" w:sz="0" w:space="0" w:color="auto"/>
                    <w:bottom w:val="none" w:sz="0" w:space="0" w:color="auto"/>
                    <w:right w:val="none" w:sz="0" w:space="0" w:color="auto"/>
                  </w:divBdr>
                  <w:divsChild>
                    <w:div w:id="2129737518">
                      <w:marLeft w:val="0"/>
                      <w:marRight w:val="0"/>
                      <w:marTop w:val="0"/>
                      <w:marBottom w:val="0"/>
                      <w:divBdr>
                        <w:top w:val="none" w:sz="0" w:space="0" w:color="auto"/>
                        <w:left w:val="none" w:sz="0" w:space="0" w:color="auto"/>
                        <w:bottom w:val="none" w:sz="0" w:space="0" w:color="auto"/>
                        <w:right w:val="none" w:sz="0" w:space="0" w:color="auto"/>
                      </w:divBdr>
                    </w:div>
                  </w:divsChild>
                </w:div>
                <w:div w:id="65804215">
                  <w:marLeft w:val="0"/>
                  <w:marRight w:val="0"/>
                  <w:marTop w:val="0"/>
                  <w:marBottom w:val="0"/>
                  <w:divBdr>
                    <w:top w:val="none" w:sz="0" w:space="0" w:color="auto"/>
                    <w:left w:val="none" w:sz="0" w:space="0" w:color="auto"/>
                    <w:bottom w:val="none" w:sz="0" w:space="0" w:color="auto"/>
                    <w:right w:val="none" w:sz="0" w:space="0" w:color="auto"/>
                  </w:divBdr>
                  <w:divsChild>
                    <w:div w:id="526528909">
                      <w:marLeft w:val="0"/>
                      <w:marRight w:val="0"/>
                      <w:marTop w:val="0"/>
                      <w:marBottom w:val="0"/>
                      <w:divBdr>
                        <w:top w:val="none" w:sz="0" w:space="0" w:color="auto"/>
                        <w:left w:val="none" w:sz="0" w:space="0" w:color="auto"/>
                        <w:bottom w:val="none" w:sz="0" w:space="0" w:color="auto"/>
                        <w:right w:val="none" w:sz="0" w:space="0" w:color="auto"/>
                      </w:divBdr>
                    </w:div>
                  </w:divsChild>
                </w:div>
                <w:div w:id="102263785">
                  <w:marLeft w:val="0"/>
                  <w:marRight w:val="0"/>
                  <w:marTop w:val="0"/>
                  <w:marBottom w:val="0"/>
                  <w:divBdr>
                    <w:top w:val="none" w:sz="0" w:space="0" w:color="auto"/>
                    <w:left w:val="none" w:sz="0" w:space="0" w:color="auto"/>
                    <w:bottom w:val="none" w:sz="0" w:space="0" w:color="auto"/>
                    <w:right w:val="none" w:sz="0" w:space="0" w:color="auto"/>
                  </w:divBdr>
                  <w:divsChild>
                    <w:div w:id="332531866">
                      <w:marLeft w:val="0"/>
                      <w:marRight w:val="0"/>
                      <w:marTop w:val="0"/>
                      <w:marBottom w:val="0"/>
                      <w:divBdr>
                        <w:top w:val="none" w:sz="0" w:space="0" w:color="auto"/>
                        <w:left w:val="none" w:sz="0" w:space="0" w:color="auto"/>
                        <w:bottom w:val="none" w:sz="0" w:space="0" w:color="auto"/>
                        <w:right w:val="none" w:sz="0" w:space="0" w:color="auto"/>
                      </w:divBdr>
                    </w:div>
                  </w:divsChild>
                </w:div>
                <w:div w:id="158886320">
                  <w:marLeft w:val="0"/>
                  <w:marRight w:val="0"/>
                  <w:marTop w:val="0"/>
                  <w:marBottom w:val="0"/>
                  <w:divBdr>
                    <w:top w:val="none" w:sz="0" w:space="0" w:color="auto"/>
                    <w:left w:val="none" w:sz="0" w:space="0" w:color="auto"/>
                    <w:bottom w:val="none" w:sz="0" w:space="0" w:color="auto"/>
                    <w:right w:val="none" w:sz="0" w:space="0" w:color="auto"/>
                  </w:divBdr>
                  <w:divsChild>
                    <w:div w:id="2018728503">
                      <w:marLeft w:val="0"/>
                      <w:marRight w:val="0"/>
                      <w:marTop w:val="0"/>
                      <w:marBottom w:val="0"/>
                      <w:divBdr>
                        <w:top w:val="none" w:sz="0" w:space="0" w:color="auto"/>
                        <w:left w:val="none" w:sz="0" w:space="0" w:color="auto"/>
                        <w:bottom w:val="none" w:sz="0" w:space="0" w:color="auto"/>
                        <w:right w:val="none" w:sz="0" w:space="0" w:color="auto"/>
                      </w:divBdr>
                    </w:div>
                  </w:divsChild>
                </w:div>
                <w:div w:id="275068474">
                  <w:marLeft w:val="0"/>
                  <w:marRight w:val="0"/>
                  <w:marTop w:val="0"/>
                  <w:marBottom w:val="0"/>
                  <w:divBdr>
                    <w:top w:val="none" w:sz="0" w:space="0" w:color="auto"/>
                    <w:left w:val="none" w:sz="0" w:space="0" w:color="auto"/>
                    <w:bottom w:val="none" w:sz="0" w:space="0" w:color="auto"/>
                    <w:right w:val="none" w:sz="0" w:space="0" w:color="auto"/>
                  </w:divBdr>
                  <w:divsChild>
                    <w:div w:id="727804562">
                      <w:marLeft w:val="0"/>
                      <w:marRight w:val="0"/>
                      <w:marTop w:val="0"/>
                      <w:marBottom w:val="0"/>
                      <w:divBdr>
                        <w:top w:val="none" w:sz="0" w:space="0" w:color="auto"/>
                        <w:left w:val="none" w:sz="0" w:space="0" w:color="auto"/>
                        <w:bottom w:val="none" w:sz="0" w:space="0" w:color="auto"/>
                        <w:right w:val="none" w:sz="0" w:space="0" w:color="auto"/>
                      </w:divBdr>
                    </w:div>
                  </w:divsChild>
                </w:div>
                <w:div w:id="422456245">
                  <w:marLeft w:val="0"/>
                  <w:marRight w:val="0"/>
                  <w:marTop w:val="0"/>
                  <w:marBottom w:val="0"/>
                  <w:divBdr>
                    <w:top w:val="none" w:sz="0" w:space="0" w:color="auto"/>
                    <w:left w:val="none" w:sz="0" w:space="0" w:color="auto"/>
                    <w:bottom w:val="none" w:sz="0" w:space="0" w:color="auto"/>
                    <w:right w:val="none" w:sz="0" w:space="0" w:color="auto"/>
                  </w:divBdr>
                  <w:divsChild>
                    <w:div w:id="1210343814">
                      <w:marLeft w:val="0"/>
                      <w:marRight w:val="0"/>
                      <w:marTop w:val="0"/>
                      <w:marBottom w:val="0"/>
                      <w:divBdr>
                        <w:top w:val="none" w:sz="0" w:space="0" w:color="auto"/>
                        <w:left w:val="none" w:sz="0" w:space="0" w:color="auto"/>
                        <w:bottom w:val="none" w:sz="0" w:space="0" w:color="auto"/>
                        <w:right w:val="none" w:sz="0" w:space="0" w:color="auto"/>
                      </w:divBdr>
                    </w:div>
                    <w:div w:id="1702170292">
                      <w:marLeft w:val="0"/>
                      <w:marRight w:val="0"/>
                      <w:marTop w:val="0"/>
                      <w:marBottom w:val="0"/>
                      <w:divBdr>
                        <w:top w:val="none" w:sz="0" w:space="0" w:color="auto"/>
                        <w:left w:val="none" w:sz="0" w:space="0" w:color="auto"/>
                        <w:bottom w:val="none" w:sz="0" w:space="0" w:color="auto"/>
                        <w:right w:val="none" w:sz="0" w:space="0" w:color="auto"/>
                      </w:divBdr>
                    </w:div>
                  </w:divsChild>
                </w:div>
                <w:div w:id="558247029">
                  <w:marLeft w:val="0"/>
                  <w:marRight w:val="0"/>
                  <w:marTop w:val="0"/>
                  <w:marBottom w:val="0"/>
                  <w:divBdr>
                    <w:top w:val="none" w:sz="0" w:space="0" w:color="auto"/>
                    <w:left w:val="none" w:sz="0" w:space="0" w:color="auto"/>
                    <w:bottom w:val="none" w:sz="0" w:space="0" w:color="auto"/>
                    <w:right w:val="none" w:sz="0" w:space="0" w:color="auto"/>
                  </w:divBdr>
                  <w:divsChild>
                    <w:div w:id="667248975">
                      <w:marLeft w:val="0"/>
                      <w:marRight w:val="0"/>
                      <w:marTop w:val="0"/>
                      <w:marBottom w:val="0"/>
                      <w:divBdr>
                        <w:top w:val="none" w:sz="0" w:space="0" w:color="auto"/>
                        <w:left w:val="none" w:sz="0" w:space="0" w:color="auto"/>
                        <w:bottom w:val="none" w:sz="0" w:space="0" w:color="auto"/>
                        <w:right w:val="none" w:sz="0" w:space="0" w:color="auto"/>
                      </w:divBdr>
                    </w:div>
                  </w:divsChild>
                </w:div>
                <w:div w:id="614094121">
                  <w:marLeft w:val="0"/>
                  <w:marRight w:val="0"/>
                  <w:marTop w:val="0"/>
                  <w:marBottom w:val="0"/>
                  <w:divBdr>
                    <w:top w:val="none" w:sz="0" w:space="0" w:color="auto"/>
                    <w:left w:val="none" w:sz="0" w:space="0" w:color="auto"/>
                    <w:bottom w:val="none" w:sz="0" w:space="0" w:color="auto"/>
                    <w:right w:val="none" w:sz="0" w:space="0" w:color="auto"/>
                  </w:divBdr>
                  <w:divsChild>
                    <w:div w:id="1172646646">
                      <w:marLeft w:val="0"/>
                      <w:marRight w:val="0"/>
                      <w:marTop w:val="0"/>
                      <w:marBottom w:val="0"/>
                      <w:divBdr>
                        <w:top w:val="none" w:sz="0" w:space="0" w:color="auto"/>
                        <w:left w:val="none" w:sz="0" w:space="0" w:color="auto"/>
                        <w:bottom w:val="none" w:sz="0" w:space="0" w:color="auto"/>
                        <w:right w:val="none" w:sz="0" w:space="0" w:color="auto"/>
                      </w:divBdr>
                    </w:div>
                  </w:divsChild>
                </w:div>
                <w:div w:id="654800051">
                  <w:marLeft w:val="0"/>
                  <w:marRight w:val="0"/>
                  <w:marTop w:val="0"/>
                  <w:marBottom w:val="0"/>
                  <w:divBdr>
                    <w:top w:val="none" w:sz="0" w:space="0" w:color="auto"/>
                    <w:left w:val="none" w:sz="0" w:space="0" w:color="auto"/>
                    <w:bottom w:val="none" w:sz="0" w:space="0" w:color="auto"/>
                    <w:right w:val="none" w:sz="0" w:space="0" w:color="auto"/>
                  </w:divBdr>
                  <w:divsChild>
                    <w:div w:id="147138097">
                      <w:marLeft w:val="0"/>
                      <w:marRight w:val="0"/>
                      <w:marTop w:val="0"/>
                      <w:marBottom w:val="0"/>
                      <w:divBdr>
                        <w:top w:val="none" w:sz="0" w:space="0" w:color="auto"/>
                        <w:left w:val="none" w:sz="0" w:space="0" w:color="auto"/>
                        <w:bottom w:val="none" w:sz="0" w:space="0" w:color="auto"/>
                        <w:right w:val="none" w:sz="0" w:space="0" w:color="auto"/>
                      </w:divBdr>
                    </w:div>
                  </w:divsChild>
                </w:div>
                <w:div w:id="694693080">
                  <w:marLeft w:val="0"/>
                  <w:marRight w:val="0"/>
                  <w:marTop w:val="0"/>
                  <w:marBottom w:val="0"/>
                  <w:divBdr>
                    <w:top w:val="none" w:sz="0" w:space="0" w:color="auto"/>
                    <w:left w:val="none" w:sz="0" w:space="0" w:color="auto"/>
                    <w:bottom w:val="none" w:sz="0" w:space="0" w:color="auto"/>
                    <w:right w:val="none" w:sz="0" w:space="0" w:color="auto"/>
                  </w:divBdr>
                  <w:divsChild>
                    <w:div w:id="1670012672">
                      <w:marLeft w:val="0"/>
                      <w:marRight w:val="0"/>
                      <w:marTop w:val="0"/>
                      <w:marBottom w:val="0"/>
                      <w:divBdr>
                        <w:top w:val="none" w:sz="0" w:space="0" w:color="auto"/>
                        <w:left w:val="none" w:sz="0" w:space="0" w:color="auto"/>
                        <w:bottom w:val="none" w:sz="0" w:space="0" w:color="auto"/>
                        <w:right w:val="none" w:sz="0" w:space="0" w:color="auto"/>
                      </w:divBdr>
                    </w:div>
                  </w:divsChild>
                </w:div>
                <w:div w:id="699160650">
                  <w:marLeft w:val="0"/>
                  <w:marRight w:val="0"/>
                  <w:marTop w:val="0"/>
                  <w:marBottom w:val="0"/>
                  <w:divBdr>
                    <w:top w:val="none" w:sz="0" w:space="0" w:color="auto"/>
                    <w:left w:val="none" w:sz="0" w:space="0" w:color="auto"/>
                    <w:bottom w:val="none" w:sz="0" w:space="0" w:color="auto"/>
                    <w:right w:val="none" w:sz="0" w:space="0" w:color="auto"/>
                  </w:divBdr>
                  <w:divsChild>
                    <w:div w:id="2041853927">
                      <w:marLeft w:val="0"/>
                      <w:marRight w:val="0"/>
                      <w:marTop w:val="0"/>
                      <w:marBottom w:val="0"/>
                      <w:divBdr>
                        <w:top w:val="none" w:sz="0" w:space="0" w:color="auto"/>
                        <w:left w:val="none" w:sz="0" w:space="0" w:color="auto"/>
                        <w:bottom w:val="none" w:sz="0" w:space="0" w:color="auto"/>
                        <w:right w:val="none" w:sz="0" w:space="0" w:color="auto"/>
                      </w:divBdr>
                    </w:div>
                  </w:divsChild>
                </w:div>
                <w:div w:id="898445702">
                  <w:marLeft w:val="0"/>
                  <w:marRight w:val="0"/>
                  <w:marTop w:val="0"/>
                  <w:marBottom w:val="0"/>
                  <w:divBdr>
                    <w:top w:val="none" w:sz="0" w:space="0" w:color="auto"/>
                    <w:left w:val="none" w:sz="0" w:space="0" w:color="auto"/>
                    <w:bottom w:val="none" w:sz="0" w:space="0" w:color="auto"/>
                    <w:right w:val="none" w:sz="0" w:space="0" w:color="auto"/>
                  </w:divBdr>
                  <w:divsChild>
                    <w:div w:id="573978973">
                      <w:marLeft w:val="0"/>
                      <w:marRight w:val="0"/>
                      <w:marTop w:val="0"/>
                      <w:marBottom w:val="0"/>
                      <w:divBdr>
                        <w:top w:val="none" w:sz="0" w:space="0" w:color="auto"/>
                        <w:left w:val="none" w:sz="0" w:space="0" w:color="auto"/>
                        <w:bottom w:val="none" w:sz="0" w:space="0" w:color="auto"/>
                        <w:right w:val="none" w:sz="0" w:space="0" w:color="auto"/>
                      </w:divBdr>
                    </w:div>
                  </w:divsChild>
                </w:div>
                <w:div w:id="901335751">
                  <w:marLeft w:val="0"/>
                  <w:marRight w:val="0"/>
                  <w:marTop w:val="0"/>
                  <w:marBottom w:val="0"/>
                  <w:divBdr>
                    <w:top w:val="none" w:sz="0" w:space="0" w:color="auto"/>
                    <w:left w:val="none" w:sz="0" w:space="0" w:color="auto"/>
                    <w:bottom w:val="none" w:sz="0" w:space="0" w:color="auto"/>
                    <w:right w:val="none" w:sz="0" w:space="0" w:color="auto"/>
                  </w:divBdr>
                  <w:divsChild>
                    <w:div w:id="1582564507">
                      <w:marLeft w:val="0"/>
                      <w:marRight w:val="0"/>
                      <w:marTop w:val="0"/>
                      <w:marBottom w:val="0"/>
                      <w:divBdr>
                        <w:top w:val="none" w:sz="0" w:space="0" w:color="auto"/>
                        <w:left w:val="none" w:sz="0" w:space="0" w:color="auto"/>
                        <w:bottom w:val="none" w:sz="0" w:space="0" w:color="auto"/>
                        <w:right w:val="none" w:sz="0" w:space="0" w:color="auto"/>
                      </w:divBdr>
                    </w:div>
                  </w:divsChild>
                </w:div>
                <w:div w:id="946499575">
                  <w:marLeft w:val="0"/>
                  <w:marRight w:val="0"/>
                  <w:marTop w:val="0"/>
                  <w:marBottom w:val="0"/>
                  <w:divBdr>
                    <w:top w:val="none" w:sz="0" w:space="0" w:color="auto"/>
                    <w:left w:val="none" w:sz="0" w:space="0" w:color="auto"/>
                    <w:bottom w:val="none" w:sz="0" w:space="0" w:color="auto"/>
                    <w:right w:val="none" w:sz="0" w:space="0" w:color="auto"/>
                  </w:divBdr>
                  <w:divsChild>
                    <w:div w:id="1674410181">
                      <w:marLeft w:val="0"/>
                      <w:marRight w:val="0"/>
                      <w:marTop w:val="0"/>
                      <w:marBottom w:val="0"/>
                      <w:divBdr>
                        <w:top w:val="none" w:sz="0" w:space="0" w:color="auto"/>
                        <w:left w:val="none" w:sz="0" w:space="0" w:color="auto"/>
                        <w:bottom w:val="none" w:sz="0" w:space="0" w:color="auto"/>
                        <w:right w:val="none" w:sz="0" w:space="0" w:color="auto"/>
                      </w:divBdr>
                    </w:div>
                  </w:divsChild>
                </w:div>
                <w:div w:id="979572351">
                  <w:marLeft w:val="0"/>
                  <w:marRight w:val="0"/>
                  <w:marTop w:val="0"/>
                  <w:marBottom w:val="0"/>
                  <w:divBdr>
                    <w:top w:val="none" w:sz="0" w:space="0" w:color="auto"/>
                    <w:left w:val="none" w:sz="0" w:space="0" w:color="auto"/>
                    <w:bottom w:val="none" w:sz="0" w:space="0" w:color="auto"/>
                    <w:right w:val="none" w:sz="0" w:space="0" w:color="auto"/>
                  </w:divBdr>
                  <w:divsChild>
                    <w:div w:id="1120807547">
                      <w:marLeft w:val="0"/>
                      <w:marRight w:val="0"/>
                      <w:marTop w:val="0"/>
                      <w:marBottom w:val="0"/>
                      <w:divBdr>
                        <w:top w:val="none" w:sz="0" w:space="0" w:color="auto"/>
                        <w:left w:val="none" w:sz="0" w:space="0" w:color="auto"/>
                        <w:bottom w:val="none" w:sz="0" w:space="0" w:color="auto"/>
                        <w:right w:val="none" w:sz="0" w:space="0" w:color="auto"/>
                      </w:divBdr>
                    </w:div>
                  </w:divsChild>
                </w:div>
                <w:div w:id="1070731035">
                  <w:marLeft w:val="0"/>
                  <w:marRight w:val="0"/>
                  <w:marTop w:val="0"/>
                  <w:marBottom w:val="0"/>
                  <w:divBdr>
                    <w:top w:val="none" w:sz="0" w:space="0" w:color="auto"/>
                    <w:left w:val="none" w:sz="0" w:space="0" w:color="auto"/>
                    <w:bottom w:val="none" w:sz="0" w:space="0" w:color="auto"/>
                    <w:right w:val="none" w:sz="0" w:space="0" w:color="auto"/>
                  </w:divBdr>
                  <w:divsChild>
                    <w:div w:id="36130730">
                      <w:marLeft w:val="0"/>
                      <w:marRight w:val="0"/>
                      <w:marTop w:val="0"/>
                      <w:marBottom w:val="0"/>
                      <w:divBdr>
                        <w:top w:val="none" w:sz="0" w:space="0" w:color="auto"/>
                        <w:left w:val="none" w:sz="0" w:space="0" w:color="auto"/>
                        <w:bottom w:val="none" w:sz="0" w:space="0" w:color="auto"/>
                        <w:right w:val="none" w:sz="0" w:space="0" w:color="auto"/>
                      </w:divBdr>
                    </w:div>
                  </w:divsChild>
                </w:div>
                <w:div w:id="1080909281">
                  <w:marLeft w:val="0"/>
                  <w:marRight w:val="0"/>
                  <w:marTop w:val="0"/>
                  <w:marBottom w:val="0"/>
                  <w:divBdr>
                    <w:top w:val="none" w:sz="0" w:space="0" w:color="auto"/>
                    <w:left w:val="none" w:sz="0" w:space="0" w:color="auto"/>
                    <w:bottom w:val="none" w:sz="0" w:space="0" w:color="auto"/>
                    <w:right w:val="none" w:sz="0" w:space="0" w:color="auto"/>
                  </w:divBdr>
                  <w:divsChild>
                    <w:div w:id="1432167818">
                      <w:marLeft w:val="0"/>
                      <w:marRight w:val="0"/>
                      <w:marTop w:val="0"/>
                      <w:marBottom w:val="0"/>
                      <w:divBdr>
                        <w:top w:val="none" w:sz="0" w:space="0" w:color="auto"/>
                        <w:left w:val="none" w:sz="0" w:space="0" w:color="auto"/>
                        <w:bottom w:val="none" w:sz="0" w:space="0" w:color="auto"/>
                        <w:right w:val="none" w:sz="0" w:space="0" w:color="auto"/>
                      </w:divBdr>
                    </w:div>
                  </w:divsChild>
                </w:div>
                <w:div w:id="1158232892">
                  <w:marLeft w:val="0"/>
                  <w:marRight w:val="0"/>
                  <w:marTop w:val="0"/>
                  <w:marBottom w:val="0"/>
                  <w:divBdr>
                    <w:top w:val="none" w:sz="0" w:space="0" w:color="auto"/>
                    <w:left w:val="none" w:sz="0" w:space="0" w:color="auto"/>
                    <w:bottom w:val="none" w:sz="0" w:space="0" w:color="auto"/>
                    <w:right w:val="none" w:sz="0" w:space="0" w:color="auto"/>
                  </w:divBdr>
                  <w:divsChild>
                    <w:div w:id="30962584">
                      <w:marLeft w:val="0"/>
                      <w:marRight w:val="0"/>
                      <w:marTop w:val="0"/>
                      <w:marBottom w:val="0"/>
                      <w:divBdr>
                        <w:top w:val="none" w:sz="0" w:space="0" w:color="auto"/>
                        <w:left w:val="none" w:sz="0" w:space="0" w:color="auto"/>
                        <w:bottom w:val="none" w:sz="0" w:space="0" w:color="auto"/>
                        <w:right w:val="none" w:sz="0" w:space="0" w:color="auto"/>
                      </w:divBdr>
                    </w:div>
                  </w:divsChild>
                </w:div>
                <w:div w:id="1193765686">
                  <w:marLeft w:val="0"/>
                  <w:marRight w:val="0"/>
                  <w:marTop w:val="0"/>
                  <w:marBottom w:val="0"/>
                  <w:divBdr>
                    <w:top w:val="none" w:sz="0" w:space="0" w:color="auto"/>
                    <w:left w:val="none" w:sz="0" w:space="0" w:color="auto"/>
                    <w:bottom w:val="none" w:sz="0" w:space="0" w:color="auto"/>
                    <w:right w:val="none" w:sz="0" w:space="0" w:color="auto"/>
                  </w:divBdr>
                  <w:divsChild>
                    <w:div w:id="1170220020">
                      <w:marLeft w:val="0"/>
                      <w:marRight w:val="0"/>
                      <w:marTop w:val="0"/>
                      <w:marBottom w:val="0"/>
                      <w:divBdr>
                        <w:top w:val="none" w:sz="0" w:space="0" w:color="auto"/>
                        <w:left w:val="none" w:sz="0" w:space="0" w:color="auto"/>
                        <w:bottom w:val="none" w:sz="0" w:space="0" w:color="auto"/>
                        <w:right w:val="none" w:sz="0" w:space="0" w:color="auto"/>
                      </w:divBdr>
                    </w:div>
                  </w:divsChild>
                </w:div>
                <w:div w:id="1244989684">
                  <w:marLeft w:val="0"/>
                  <w:marRight w:val="0"/>
                  <w:marTop w:val="0"/>
                  <w:marBottom w:val="0"/>
                  <w:divBdr>
                    <w:top w:val="none" w:sz="0" w:space="0" w:color="auto"/>
                    <w:left w:val="none" w:sz="0" w:space="0" w:color="auto"/>
                    <w:bottom w:val="none" w:sz="0" w:space="0" w:color="auto"/>
                    <w:right w:val="none" w:sz="0" w:space="0" w:color="auto"/>
                  </w:divBdr>
                  <w:divsChild>
                    <w:div w:id="1854146002">
                      <w:marLeft w:val="0"/>
                      <w:marRight w:val="0"/>
                      <w:marTop w:val="0"/>
                      <w:marBottom w:val="0"/>
                      <w:divBdr>
                        <w:top w:val="none" w:sz="0" w:space="0" w:color="auto"/>
                        <w:left w:val="none" w:sz="0" w:space="0" w:color="auto"/>
                        <w:bottom w:val="none" w:sz="0" w:space="0" w:color="auto"/>
                        <w:right w:val="none" w:sz="0" w:space="0" w:color="auto"/>
                      </w:divBdr>
                    </w:div>
                  </w:divsChild>
                </w:div>
                <w:div w:id="1247962250">
                  <w:marLeft w:val="0"/>
                  <w:marRight w:val="0"/>
                  <w:marTop w:val="0"/>
                  <w:marBottom w:val="0"/>
                  <w:divBdr>
                    <w:top w:val="none" w:sz="0" w:space="0" w:color="auto"/>
                    <w:left w:val="none" w:sz="0" w:space="0" w:color="auto"/>
                    <w:bottom w:val="none" w:sz="0" w:space="0" w:color="auto"/>
                    <w:right w:val="none" w:sz="0" w:space="0" w:color="auto"/>
                  </w:divBdr>
                  <w:divsChild>
                    <w:div w:id="608391239">
                      <w:marLeft w:val="0"/>
                      <w:marRight w:val="0"/>
                      <w:marTop w:val="0"/>
                      <w:marBottom w:val="0"/>
                      <w:divBdr>
                        <w:top w:val="none" w:sz="0" w:space="0" w:color="auto"/>
                        <w:left w:val="none" w:sz="0" w:space="0" w:color="auto"/>
                        <w:bottom w:val="none" w:sz="0" w:space="0" w:color="auto"/>
                        <w:right w:val="none" w:sz="0" w:space="0" w:color="auto"/>
                      </w:divBdr>
                    </w:div>
                  </w:divsChild>
                </w:div>
                <w:div w:id="1319727167">
                  <w:marLeft w:val="0"/>
                  <w:marRight w:val="0"/>
                  <w:marTop w:val="0"/>
                  <w:marBottom w:val="0"/>
                  <w:divBdr>
                    <w:top w:val="none" w:sz="0" w:space="0" w:color="auto"/>
                    <w:left w:val="none" w:sz="0" w:space="0" w:color="auto"/>
                    <w:bottom w:val="none" w:sz="0" w:space="0" w:color="auto"/>
                    <w:right w:val="none" w:sz="0" w:space="0" w:color="auto"/>
                  </w:divBdr>
                  <w:divsChild>
                    <w:div w:id="550073197">
                      <w:marLeft w:val="0"/>
                      <w:marRight w:val="0"/>
                      <w:marTop w:val="0"/>
                      <w:marBottom w:val="0"/>
                      <w:divBdr>
                        <w:top w:val="none" w:sz="0" w:space="0" w:color="auto"/>
                        <w:left w:val="none" w:sz="0" w:space="0" w:color="auto"/>
                        <w:bottom w:val="none" w:sz="0" w:space="0" w:color="auto"/>
                        <w:right w:val="none" w:sz="0" w:space="0" w:color="auto"/>
                      </w:divBdr>
                    </w:div>
                  </w:divsChild>
                </w:div>
                <w:div w:id="1347747855">
                  <w:marLeft w:val="0"/>
                  <w:marRight w:val="0"/>
                  <w:marTop w:val="0"/>
                  <w:marBottom w:val="0"/>
                  <w:divBdr>
                    <w:top w:val="none" w:sz="0" w:space="0" w:color="auto"/>
                    <w:left w:val="none" w:sz="0" w:space="0" w:color="auto"/>
                    <w:bottom w:val="none" w:sz="0" w:space="0" w:color="auto"/>
                    <w:right w:val="none" w:sz="0" w:space="0" w:color="auto"/>
                  </w:divBdr>
                  <w:divsChild>
                    <w:div w:id="1637104583">
                      <w:marLeft w:val="0"/>
                      <w:marRight w:val="0"/>
                      <w:marTop w:val="0"/>
                      <w:marBottom w:val="0"/>
                      <w:divBdr>
                        <w:top w:val="none" w:sz="0" w:space="0" w:color="auto"/>
                        <w:left w:val="none" w:sz="0" w:space="0" w:color="auto"/>
                        <w:bottom w:val="none" w:sz="0" w:space="0" w:color="auto"/>
                        <w:right w:val="none" w:sz="0" w:space="0" w:color="auto"/>
                      </w:divBdr>
                    </w:div>
                  </w:divsChild>
                </w:div>
                <w:div w:id="1400640267">
                  <w:marLeft w:val="0"/>
                  <w:marRight w:val="0"/>
                  <w:marTop w:val="0"/>
                  <w:marBottom w:val="0"/>
                  <w:divBdr>
                    <w:top w:val="none" w:sz="0" w:space="0" w:color="auto"/>
                    <w:left w:val="none" w:sz="0" w:space="0" w:color="auto"/>
                    <w:bottom w:val="none" w:sz="0" w:space="0" w:color="auto"/>
                    <w:right w:val="none" w:sz="0" w:space="0" w:color="auto"/>
                  </w:divBdr>
                  <w:divsChild>
                    <w:div w:id="2055419386">
                      <w:marLeft w:val="0"/>
                      <w:marRight w:val="0"/>
                      <w:marTop w:val="0"/>
                      <w:marBottom w:val="0"/>
                      <w:divBdr>
                        <w:top w:val="none" w:sz="0" w:space="0" w:color="auto"/>
                        <w:left w:val="none" w:sz="0" w:space="0" w:color="auto"/>
                        <w:bottom w:val="none" w:sz="0" w:space="0" w:color="auto"/>
                        <w:right w:val="none" w:sz="0" w:space="0" w:color="auto"/>
                      </w:divBdr>
                    </w:div>
                  </w:divsChild>
                </w:div>
                <w:div w:id="1452741860">
                  <w:marLeft w:val="0"/>
                  <w:marRight w:val="0"/>
                  <w:marTop w:val="0"/>
                  <w:marBottom w:val="0"/>
                  <w:divBdr>
                    <w:top w:val="none" w:sz="0" w:space="0" w:color="auto"/>
                    <w:left w:val="none" w:sz="0" w:space="0" w:color="auto"/>
                    <w:bottom w:val="none" w:sz="0" w:space="0" w:color="auto"/>
                    <w:right w:val="none" w:sz="0" w:space="0" w:color="auto"/>
                  </w:divBdr>
                  <w:divsChild>
                    <w:div w:id="525220090">
                      <w:marLeft w:val="0"/>
                      <w:marRight w:val="0"/>
                      <w:marTop w:val="0"/>
                      <w:marBottom w:val="0"/>
                      <w:divBdr>
                        <w:top w:val="none" w:sz="0" w:space="0" w:color="auto"/>
                        <w:left w:val="none" w:sz="0" w:space="0" w:color="auto"/>
                        <w:bottom w:val="none" w:sz="0" w:space="0" w:color="auto"/>
                        <w:right w:val="none" w:sz="0" w:space="0" w:color="auto"/>
                      </w:divBdr>
                    </w:div>
                  </w:divsChild>
                </w:div>
                <w:div w:id="1566260878">
                  <w:marLeft w:val="0"/>
                  <w:marRight w:val="0"/>
                  <w:marTop w:val="0"/>
                  <w:marBottom w:val="0"/>
                  <w:divBdr>
                    <w:top w:val="none" w:sz="0" w:space="0" w:color="auto"/>
                    <w:left w:val="none" w:sz="0" w:space="0" w:color="auto"/>
                    <w:bottom w:val="none" w:sz="0" w:space="0" w:color="auto"/>
                    <w:right w:val="none" w:sz="0" w:space="0" w:color="auto"/>
                  </w:divBdr>
                  <w:divsChild>
                    <w:div w:id="319702210">
                      <w:marLeft w:val="0"/>
                      <w:marRight w:val="0"/>
                      <w:marTop w:val="0"/>
                      <w:marBottom w:val="0"/>
                      <w:divBdr>
                        <w:top w:val="none" w:sz="0" w:space="0" w:color="auto"/>
                        <w:left w:val="none" w:sz="0" w:space="0" w:color="auto"/>
                        <w:bottom w:val="none" w:sz="0" w:space="0" w:color="auto"/>
                        <w:right w:val="none" w:sz="0" w:space="0" w:color="auto"/>
                      </w:divBdr>
                    </w:div>
                  </w:divsChild>
                </w:div>
                <w:div w:id="1604846664">
                  <w:marLeft w:val="0"/>
                  <w:marRight w:val="0"/>
                  <w:marTop w:val="0"/>
                  <w:marBottom w:val="0"/>
                  <w:divBdr>
                    <w:top w:val="none" w:sz="0" w:space="0" w:color="auto"/>
                    <w:left w:val="none" w:sz="0" w:space="0" w:color="auto"/>
                    <w:bottom w:val="none" w:sz="0" w:space="0" w:color="auto"/>
                    <w:right w:val="none" w:sz="0" w:space="0" w:color="auto"/>
                  </w:divBdr>
                  <w:divsChild>
                    <w:div w:id="378633477">
                      <w:marLeft w:val="0"/>
                      <w:marRight w:val="0"/>
                      <w:marTop w:val="0"/>
                      <w:marBottom w:val="0"/>
                      <w:divBdr>
                        <w:top w:val="none" w:sz="0" w:space="0" w:color="auto"/>
                        <w:left w:val="none" w:sz="0" w:space="0" w:color="auto"/>
                        <w:bottom w:val="none" w:sz="0" w:space="0" w:color="auto"/>
                        <w:right w:val="none" w:sz="0" w:space="0" w:color="auto"/>
                      </w:divBdr>
                    </w:div>
                  </w:divsChild>
                </w:div>
                <w:div w:id="1617788287">
                  <w:marLeft w:val="0"/>
                  <w:marRight w:val="0"/>
                  <w:marTop w:val="0"/>
                  <w:marBottom w:val="0"/>
                  <w:divBdr>
                    <w:top w:val="none" w:sz="0" w:space="0" w:color="auto"/>
                    <w:left w:val="none" w:sz="0" w:space="0" w:color="auto"/>
                    <w:bottom w:val="none" w:sz="0" w:space="0" w:color="auto"/>
                    <w:right w:val="none" w:sz="0" w:space="0" w:color="auto"/>
                  </w:divBdr>
                  <w:divsChild>
                    <w:div w:id="2116241265">
                      <w:marLeft w:val="0"/>
                      <w:marRight w:val="0"/>
                      <w:marTop w:val="0"/>
                      <w:marBottom w:val="0"/>
                      <w:divBdr>
                        <w:top w:val="none" w:sz="0" w:space="0" w:color="auto"/>
                        <w:left w:val="none" w:sz="0" w:space="0" w:color="auto"/>
                        <w:bottom w:val="none" w:sz="0" w:space="0" w:color="auto"/>
                        <w:right w:val="none" w:sz="0" w:space="0" w:color="auto"/>
                      </w:divBdr>
                    </w:div>
                  </w:divsChild>
                </w:div>
                <w:div w:id="1630554379">
                  <w:marLeft w:val="0"/>
                  <w:marRight w:val="0"/>
                  <w:marTop w:val="0"/>
                  <w:marBottom w:val="0"/>
                  <w:divBdr>
                    <w:top w:val="none" w:sz="0" w:space="0" w:color="auto"/>
                    <w:left w:val="none" w:sz="0" w:space="0" w:color="auto"/>
                    <w:bottom w:val="none" w:sz="0" w:space="0" w:color="auto"/>
                    <w:right w:val="none" w:sz="0" w:space="0" w:color="auto"/>
                  </w:divBdr>
                  <w:divsChild>
                    <w:div w:id="1988774603">
                      <w:marLeft w:val="0"/>
                      <w:marRight w:val="0"/>
                      <w:marTop w:val="0"/>
                      <w:marBottom w:val="0"/>
                      <w:divBdr>
                        <w:top w:val="none" w:sz="0" w:space="0" w:color="auto"/>
                        <w:left w:val="none" w:sz="0" w:space="0" w:color="auto"/>
                        <w:bottom w:val="none" w:sz="0" w:space="0" w:color="auto"/>
                        <w:right w:val="none" w:sz="0" w:space="0" w:color="auto"/>
                      </w:divBdr>
                    </w:div>
                  </w:divsChild>
                </w:div>
                <w:div w:id="1642731082">
                  <w:marLeft w:val="0"/>
                  <w:marRight w:val="0"/>
                  <w:marTop w:val="0"/>
                  <w:marBottom w:val="0"/>
                  <w:divBdr>
                    <w:top w:val="none" w:sz="0" w:space="0" w:color="auto"/>
                    <w:left w:val="none" w:sz="0" w:space="0" w:color="auto"/>
                    <w:bottom w:val="none" w:sz="0" w:space="0" w:color="auto"/>
                    <w:right w:val="none" w:sz="0" w:space="0" w:color="auto"/>
                  </w:divBdr>
                  <w:divsChild>
                    <w:div w:id="955671168">
                      <w:marLeft w:val="0"/>
                      <w:marRight w:val="0"/>
                      <w:marTop w:val="0"/>
                      <w:marBottom w:val="0"/>
                      <w:divBdr>
                        <w:top w:val="none" w:sz="0" w:space="0" w:color="auto"/>
                        <w:left w:val="none" w:sz="0" w:space="0" w:color="auto"/>
                        <w:bottom w:val="none" w:sz="0" w:space="0" w:color="auto"/>
                        <w:right w:val="none" w:sz="0" w:space="0" w:color="auto"/>
                      </w:divBdr>
                    </w:div>
                  </w:divsChild>
                </w:div>
                <w:div w:id="1669559515">
                  <w:marLeft w:val="0"/>
                  <w:marRight w:val="0"/>
                  <w:marTop w:val="0"/>
                  <w:marBottom w:val="0"/>
                  <w:divBdr>
                    <w:top w:val="none" w:sz="0" w:space="0" w:color="auto"/>
                    <w:left w:val="none" w:sz="0" w:space="0" w:color="auto"/>
                    <w:bottom w:val="none" w:sz="0" w:space="0" w:color="auto"/>
                    <w:right w:val="none" w:sz="0" w:space="0" w:color="auto"/>
                  </w:divBdr>
                  <w:divsChild>
                    <w:div w:id="1880975997">
                      <w:marLeft w:val="0"/>
                      <w:marRight w:val="0"/>
                      <w:marTop w:val="0"/>
                      <w:marBottom w:val="0"/>
                      <w:divBdr>
                        <w:top w:val="none" w:sz="0" w:space="0" w:color="auto"/>
                        <w:left w:val="none" w:sz="0" w:space="0" w:color="auto"/>
                        <w:bottom w:val="none" w:sz="0" w:space="0" w:color="auto"/>
                        <w:right w:val="none" w:sz="0" w:space="0" w:color="auto"/>
                      </w:divBdr>
                    </w:div>
                  </w:divsChild>
                </w:div>
                <w:div w:id="1686444934">
                  <w:marLeft w:val="0"/>
                  <w:marRight w:val="0"/>
                  <w:marTop w:val="0"/>
                  <w:marBottom w:val="0"/>
                  <w:divBdr>
                    <w:top w:val="none" w:sz="0" w:space="0" w:color="auto"/>
                    <w:left w:val="none" w:sz="0" w:space="0" w:color="auto"/>
                    <w:bottom w:val="none" w:sz="0" w:space="0" w:color="auto"/>
                    <w:right w:val="none" w:sz="0" w:space="0" w:color="auto"/>
                  </w:divBdr>
                  <w:divsChild>
                    <w:div w:id="816997369">
                      <w:marLeft w:val="0"/>
                      <w:marRight w:val="0"/>
                      <w:marTop w:val="0"/>
                      <w:marBottom w:val="0"/>
                      <w:divBdr>
                        <w:top w:val="none" w:sz="0" w:space="0" w:color="auto"/>
                        <w:left w:val="none" w:sz="0" w:space="0" w:color="auto"/>
                        <w:bottom w:val="none" w:sz="0" w:space="0" w:color="auto"/>
                        <w:right w:val="none" w:sz="0" w:space="0" w:color="auto"/>
                      </w:divBdr>
                    </w:div>
                  </w:divsChild>
                </w:div>
                <w:div w:id="1711153172">
                  <w:marLeft w:val="0"/>
                  <w:marRight w:val="0"/>
                  <w:marTop w:val="0"/>
                  <w:marBottom w:val="0"/>
                  <w:divBdr>
                    <w:top w:val="none" w:sz="0" w:space="0" w:color="auto"/>
                    <w:left w:val="none" w:sz="0" w:space="0" w:color="auto"/>
                    <w:bottom w:val="none" w:sz="0" w:space="0" w:color="auto"/>
                    <w:right w:val="none" w:sz="0" w:space="0" w:color="auto"/>
                  </w:divBdr>
                  <w:divsChild>
                    <w:div w:id="528299031">
                      <w:marLeft w:val="0"/>
                      <w:marRight w:val="0"/>
                      <w:marTop w:val="0"/>
                      <w:marBottom w:val="0"/>
                      <w:divBdr>
                        <w:top w:val="none" w:sz="0" w:space="0" w:color="auto"/>
                        <w:left w:val="none" w:sz="0" w:space="0" w:color="auto"/>
                        <w:bottom w:val="none" w:sz="0" w:space="0" w:color="auto"/>
                        <w:right w:val="none" w:sz="0" w:space="0" w:color="auto"/>
                      </w:divBdr>
                    </w:div>
                  </w:divsChild>
                </w:div>
                <w:div w:id="1727757738">
                  <w:marLeft w:val="0"/>
                  <w:marRight w:val="0"/>
                  <w:marTop w:val="0"/>
                  <w:marBottom w:val="0"/>
                  <w:divBdr>
                    <w:top w:val="none" w:sz="0" w:space="0" w:color="auto"/>
                    <w:left w:val="none" w:sz="0" w:space="0" w:color="auto"/>
                    <w:bottom w:val="none" w:sz="0" w:space="0" w:color="auto"/>
                    <w:right w:val="none" w:sz="0" w:space="0" w:color="auto"/>
                  </w:divBdr>
                  <w:divsChild>
                    <w:div w:id="817889963">
                      <w:marLeft w:val="0"/>
                      <w:marRight w:val="0"/>
                      <w:marTop w:val="0"/>
                      <w:marBottom w:val="0"/>
                      <w:divBdr>
                        <w:top w:val="none" w:sz="0" w:space="0" w:color="auto"/>
                        <w:left w:val="none" w:sz="0" w:space="0" w:color="auto"/>
                        <w:bottom w:val="none" w:sz="0" w:space="0" w:color="auto"/>
                        <w:right w:val="none" w:sz="0" w:space="0" w:color="auto"/>
                      </w:divBdr>
                    </w:div>
                  </w:divsChild>
                </w:div>
                <w:div w:id="1741906964">
                  <w:marLeft w:val="0"/>
                  <w:marRight w:val="0"/>
                  <w:marTop w:val="0"/>
                  <w:marBottom w:val="0"/>
                  <w:divBdr>
                    <w:top w:val="none" w:sz="0" w:space="0" w:color="auto"/>
                    <w:left w:val="none" w:sz="0" w:space="0" w:color="auto"/>
                    <w:bottom w:val="none" w:sz="0" w:space="0" w:color="auto"/>
                    <w:right w:val="none" w:sz="0" w:space="0" w:color="auto"/>
                  </w:divBdr>
                  <w:divsChild>
                    <w:div w:id="1919440014">
                      <w:marLeft w:val="0"/>
                      <w:marRight w:val="0"/>
                      <w:marTop w:val="0"/>
                      <w:marBottom w:val="0"/>
                      <w:divBdr>
                        <w:top w:val="none" w:sz="0" w:space="0" w:color="auto"/>
                        <w:left w:val="none" w:sz="0" w:space="0" w:color="auto"/>
                        <w:bottom w:val="none" w:sz="0" w:space="0" w:color="auto"/>
                        <w:right w:val="none" w:sz="0" w:space="0" w:color="auto"/>
                      </w:divBdr>
                    </w:div>
                  </w:divsChild>
                </w:div>
                <w:div w:id="1780490488">
                  <w:marLeft w:val="0"/>
                  <w:marRight w:val="0"/>
                  <w:marTop w:val="0"/>
                  <w:marBottom w:val="0"/>
                  <w:divBdr>
                    <w:top w:val="none" w:sz="0" w:space="0" w:color="auto"/>
                    <w:left w:val="none" w:sz="0" w:space="0" w:color="auto"/>
                    <w:bottom w:val="none" w:sz="0" w:space="0" w:color="auto"/>
                    <w:right w:val="none" w:sz="0" w:space="0" w:color="auto"/>
                  </w:divBdr>
                  <w:divsChild>
                    <w:div w:id="1281911551">
                      <w:marLeft w:val="0"/>
                      <w:marRight w:val="0"/>
                      <w:marTop w:val="0"/>
                      <w:marBottom w:val="0"/>
                      <w:divBdr>
                        <w:top w:val="none" w:sz="0" w:space="0" w:color="auto"/>
                        <w:left w:val="none" w:sz="0" w:space="0" w:color="auto"/>
                        <w:bottom w:val="none" w:sz="0" w:space="0" w:color="auto"/>
                        <w:right w:val="none" w:sz="0" w:space="0" w:color="auto"/>
                      </w:divBdr>
                    </w:div>
                  </w:divsChild>
                </w:div>
                <w:div w:id="1892379489">
                  <w:marLeft w:val="0"/>
                  <w:marRight w:val="0"/>
                  <w:marTop w:val="0"/>
                  <w:marBottom w:val="0"/>
                  <w:divBdr>
                    <w:top w:val="none" w:sz="0" w:space="0" w:color="auto"/>
                    <w:left w:val="none" w:sz="0" w:space="0" w:color="auto"/>
                    <w:bottom w:val="none" w:sz="0" w:space="0" w:color="auto"/>
                    <w:right w:val="none" w:sz="0" w:space="0" w:color="auto"/>
                  </w:divBdr>
                  <w:divsChild>
                    <w:div w:id="1888685920">
                      <w:marLeft w:val="0"/>
                      <w:marRight w:val="0"/>
                      <w:marTop w:val="0"/>
                      <w:marBottom w:val="0"/>
                      <w:divBdr>
                        <w:top w:val="none" w:sz="0" w:space="0" w:color="auto"/>
                        <w:left w:val="none" w:sz="0" w:space="0" w:color="auto"/>
                        <w:bottom w:val="none" w:sz="0" w:space="0" w:color="auto"/>
                        <w:right w:val="none" w:sz="0" w:space="0" w:color="auto"/>
                      </w:divBdr>
                    </w:div>
                  </w:divsChild>
                </w:div>
                <w:div w:id="1989360078">
                  <w:marLeft w:val="0"/>
                  <w:marRight w:val="0"/>
                  <w:marTop w:val="0"/>
                  <w:marBottom w:val="0"/>
                  <w:divBdr>
                    <w:top w:val="none" w:sz="0" w:space="0" w:color="auto"/>
                    <w:left w:val="none" w:sz="0" w:space="0" w:color="auto"/>
                    <w:bottom w:val="none" w:sz="0" w:space="0" w:color="auto"/>
                    <w:right w:val="none" w:sz="0" w:space="0" w:color="auto"/>
                  </w:divBdr>
                  <w:divsChild>
                    <w:div w:id="936600312">
                      <w:marLeft w:val="0"/>
                      <w:marRight w:val="0"/>
                      <w:marTop w:val="0"/>
                      <w:marBottom w:val="0"/>
                      <w:divBdr>
                        <w:top w:val="none" w:sz="0" w:space="0" w:color="auto"/>
                        <w:left w:val="none" w:sz="0" w:space="0" w:color="auto"/>
                        <w:bottom w:val="none" w:sz="0" w:space="0" w:color="auto"/>
                        <w:right w:val="none" w:sz="0" w:space="0" w:color="auto"/>
                      </w:divBdr>
                    </w:div>
                  </w:divsChild>
                </w:div>
                <w:div w:id="1994412606">
                  <w:marLeft w:val="0"/>
                  <w:marRight w:val="0"/>
                  <w:marTop w:val="0"/>
                  <w:marBottom w:val="0"/>
                  <w:divBdr>
                    <w:top w:val="none" w:sz="0" w:space="0" w:color="auto"/>
                    <w:left w:val="none" w:sz="0" w:space="0" w:color="auto"/>
                    <w:bottom w:val="none" w:sz="0" w:space="0" w:color="auto"/>
                    <w:right w:val="none" w:sz="0" w:space="0" w:color="auto"/>
                  </w:divBdr>
                  <w:divsChild>
                    <w:div w:id="941642737">
                      <w:marLeft w:val="0"/>
                      <w:marRight w:val="0"/>
                      <w:marTop w:val="0"/>
                      <w:marBottom w:val="0"/>
                      <w:divBdr>
                        <w:top w:val="none" w:sz="0" w:space="0" w:color="auto"/>
                        <w:left w:val="none" w:sz="0" w:space="0" w:color="auto"/>
                        <w:bottom w:val="none" w:sz="0" w:space="0" w:color="auto"/>
                        <w:right w:val="none" w:sz="0" w:space="0" w:color="auto"/>
                      </w:divBdr>
                    </w:div>
                  </w:divsChild>
                </w:div>
                <w:div w:id="2017075317">
                  <w:marLeft w:val="0"/>
                  <w:marRight w:val="0"/>
                  <w:marTop w:val="0"/>
                  <w:marBottom w:val="0"/>
                  <w:divBdr>
                    <w:top w:val="none" w:sz="0" w:space="0" w:color="auto"/>
                    <w:left w:val="none" w:sz="0" w:space="0" w:color="auto"/>
                    <w:bottom w:val="none" w:sz="0" w:space="0" w:color="auto"/>
                    <w:right w:val="none" w:sz="0" w:space="0" w:color="auto"/>
                  </w:divBdr>
                  <w:divsChild>
                    <w:div w:id="1286036306">
                      <w:marLeft w:val="0"/>
                      <w:marRight w:val="0"/>
                      <w:marTop w:val="0"/>
                      <w:marBottom w:val="0"/>
                      <w:divBdr>
                        <w:top w:val="none" w:sz="0" w:space="0" w:color="auto"/>
                        <w:left w:val="none" w:sz="0" w:space="0" w:color="auto"/>
                        <w:bottom w:val="none" w:sz="0" w:space="0" w:color="auto"/>
                        <w:right w:val="none" w:sz="0" w:space="0" w:color="auto"/>
                      </w:divBdr>
                    </w:div>
                  </w:divsChild>
                </w:div>
                <w:div w:id="2036613617">
                  <w:marLeft w:val="0"/>
                  <w:marRight w:val="0"/>
                  <w:marTop w:val="0"/>
                  <w:marBottom w:val="0"/>
                  <w:divBdr>
                    <w:top w:val="none" w:sz="0" w:space="0" w:color="auto"/>
                    <w:left w:val="none" w:sz="0" w:space="0" w:color="auto"/>
                    <w:bottom w:val="none" w:sz="0" w:space="0" w:color="auto"/>
                    <w:right w:val="none" w:sz="0" w:space="0" w:color="auto"/>
                  </w:divBdr>
                  <w:divsChild>
                    <w:div w:id="780683939">
                      <w:marLeft w:val="0"/>
                      <w:marRight w:val="0"/>
                      <w:marTop w:val="0"/>
                      <w:marBottom w:val="0"/>
                      <w:divBdr>
                        <w:top w:val="none" w:sz="0" w:space="0" w:color="auto"/>
                        <w:left w:val="none" w:sz="0" w:space="0" w:color="auto"/>
                        <w:bottom w:val="none" w:sz="0" w:space="0" w:color="auto"/>
                        <w:right w:val="none" w:sz="0" w:space="0" w:color="auto"/>
                      </w:divBdr>
                    </w:div>
                  </w:divsChild>
                </w:div>
                <w:div w:id="2052458021">
                  <w:marLeft w:val="0"/>
                  <w:marRight w:val="0"/>
                  <w:marTop w:val="0"/>
                  <w:marBottom w:val="0"/>
                  <w:divBdr>
                    <w:top w:val="none" w:sz="0" w:space="0" w:color="auto"/>
                    <w:left w:val="none" w:sz="0" w:space="0" w:color="auto"/>
                    <w:bottom w:val="none" w:sz="0" w:space="0" w:color="auto"/>
                    <w:right w:val="none" w:sz="0" w:space="0" w:color="auto"/>
                  </w:divBdr>
                  <w:divsChild>
                    <w:div w:id="1768964577">
                      <w:marLeft w:val="0"/>
                      <w:marRight w:val="0"/>
                      <w:marTop w:val="0"/>
                      <w:marBottom w:val="0"/>
                      <w:divBdr>
                        <w:top w:val="none" w:sz="0" w:space="0" w:color="auto"/>
                        <w:left w:val="none" w:sz="0" w:space="0" w:color="auto"/>
                        <w:bottom w:val="none" w:sz="0" w:space="0" w:color="auto"/>
                        <w:right w:val="none" w:sz="0" w:space="0" w:color="auto"/>
                      </w:divBdr>
                    </w:div>
                  </w:divsChild>
                </w:div>
                <w:div w:id="2085567461">
                  <w:marLeft w:val="0"/>
                  <w:marRight w:val="0"/>
                  <w:marTop w:val="0"/>
                  <w:marBottom w:val="0"/>
                  <w:divBdr>
                    <w:top w:val="none" w:sz="0" w:space="0" w:color="auto"/>
                    <w:left w:val="none" w:sz="0" w:space="0" w:color="auto"/>
                    <w:bottom w:val="none" w:sz="0" w:space="0" w:color="auto"/>
                    <w:right w:val="none" w:sz="0" w:space="0" w:color="auto"/>
                  </w:divBdr>
                  <w:divsChild>
                    <w:div w:id="733351420">
                      <w:marLeft w:val="0"/>
                      <w:marRight w:val="0"/>
                      <w:marTop w:val="0"/>
                      <w:marBottom w:val="0"/>
                      <w:divBdr>
                        <w:top w:val="none" w:sz="0" w:space="0" w:color="auto"/>
                        <w:left w:val="none" w:sz="0" w:space="0" w:color="auto"/>
                        <w:bottom w:val="none" w:sz="0" w:space="0" w:color="auto"/>
                        <w:right w:val="none" w:sz="0" w:space="0" w:color="auto"/>
                      </w:divBdr>
                    </w:div>
                  </w:divsChild>
                </w:div>
                <w:div w:id="2101564206">
                  <w:marLeft w:val="0"/>
                  <w:marRight w:val="0"/>
                  <w:marTop w:val="0"/>
                  <w:marBottom w:val="0"/>
                  <w:divBdr>
                    <w:top w:val="none" w:sz="0" w:space="0" w:color="auto"/>
                    <w:left w:val="none" w:sz="0" w:space="0" w:color="auto"/>
                    <w:bottom w:val="none" w:sz="0" w:space="0" w:color="auto"/>
                    <w:right w:val="none" w:sz="0" w:space="0" w:color="auto"/>
                  </w:divBdr>
                  <w:divsChild>
                    <w:div w:id="307519057">
                      <w:marLeft w:val="0"/>
                      <w:marRight w:val="0"/>
                      <w:marTop w:val="0"/>
                      <w:marBottom w:val="0"/>
                      <w:divBdr>
                        <w:top w:val="none" w:sz="0" w:space="0" w:color="auto"/>
                        <w:left w:val="none" w:sz="0" w:space="0" w:color="auto"/>
                        <w:bottom w:val="none" w:sz="0" w:space="0" w:color="auto"/>
                        <w:right w:val="none" w:sz="0" w:space="0" w:color="auto"/>
                      </w:divBdr>
                    </w:div>
                  </w:divsChild>
                </w:div>
                <w:div w:id="2127499703">
                  <w:marLeft w:val="0"/>
                  <w:marRight w:val="0"/>
                  <w:marTop w:val="0"/>
                  <w:marBottom w:val="0"/>
                  <w:divBdr>
                    <w:top w:val="none" w:sz="0" w:space="0" w:color="auto"/>
                    <w:left w:val="none" w:sz="0" w:space="0" w:color="auto"/>
                    <w:bottom w:val="none" w:sz="0" w:space="0" w:color="auto"/>
                    <w:right w:val="none" w:sz="0" w:space="0" w:color="auto"/>
                  </w:divBdr>
                  <w:divsChild>
                    <w:div w:id="1488744592">
                      <w:marLeft w:val="0"/>
                      <w:marRight w:val="0"/>
                      <w:marTop w:val="0"/>
                      <w:marBottom w:val="0"/>
                      <w:divBdr>
                        <w:top w:val="none" w:sz="0" w:space="0" w:color="auto"/>
                        <w:left w:val="none" w:sz="0" w:space="0" w:color="auto"/>
                        <w:bottom w:val="none" w:sz="0" w:space="0" w:color="auto"/>
                        <w:right w:val="none" w:sz="0" w:space="0" w:color="auto"/>
                      </w:divBdr>
                    </w:div>
                  </w:divsChild>
                </w:div>
                <w:div w:id="2136755238">
                  <w:marLeft w:val="0"/>
                  <w:marRight w:val="0"/>
                  <w:marTop w:val="0"/>
                  <w:marBottom w:val="0"/>
                  <w:divBdr>
                    <w:top w:val="none" w:sz="0" w:space="0" w:color="auto"/>
                    <w:left w:val="none" w:sz="0" w:space="0" w:color="auto"/>
                    <w:bottom w:val="none" w:sz="0" w:space="0" w:color="auto"/>
                    <w:right w:val="none" w:sz="0" w:space="0" w:color="auto"/>
                  </w:divBdr>
                  <w:divsChild>
                    <w:div w:id="484204294">
                      <w:marLeft w:val="0"/>
                      <w:marRight w:val="0"/>
                      <w:marTop w:val="0"/>
                      <w:marBottom w:val="0"/>
                      <w:divBdr>
                        <w:top w:val="none" w:sz="0" w:space="0" w:color="auto"/>
                        <w:left w:val="none" w:sz="0" w:space="0" w:color="auto"/>
                        <w:bottom w:val="none" w:sz="0" w:space="0" w:color="auto"/>
                        <w:right w:val="none" w:sz="0" w:space="0" w:color="auto"/>
                      </w:divBdr>
                    </w:div>
                  </w:divsChild>
                </w:div>
                <w:div w:id="2139182069">
                  <w:marLeft w:val="0"/>
                  <w:marRight w:val="0"/>
                  <w:marTop w:val="0"/>
                  <w:marBottom w:val="0"/>
                  <w:divBdr>
                    <w:top w:val="none" w:sz="0" w:space="0" w:color="auto"/>
                    <w:left w:val="none" w:sz="0" w:space="0" w:color="auto"/>
                    <w:bottom w:val="none" w:sz="0" w:space="0" w:color="auto"/>
                    <w:right w:val="none" w:sz="0" w:space="0" w:color="auto"/>
                  </w:divBdr>
                  <w:divsChild>
                    <w:div w:id="891113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843528">
          <w:marLeft w:val="0"/>
          <w:marRight w:val="0"/>
          <w:marTop w:val="0"/>
          <w:marBottom w:val="0"/>
          <w:divBdr>
            <w:top w:val="none" w:sz="0" w:space="0" w:color="auto"/>
            <w:left w:val="none" w:sz="0" w:space="0" w:color="auto"/>
            <w:bottom w:val="none" w:sz="0" w:space="0" w:color="auto"/>
            <w:right w:val="none" w:sz="0" w:space="0" w:color="auto"/>
          </w:divBdr>
        </w:div>
      </w:divsChild>
    </w:div>
    <w:div w:id="1678922428">
      <w:bodyDiv w:val="1"/>
      <w:marLeft w:val="0"/>
      <w:marRight w:val="0"/>
      <w:marTop w:val="0"/>
      <w:marBottom w:val="0"/>
      <w:divBdr>
        <w:top w:val="none" w:sz="0" w:space="0" w:color="auto"/>
        <w:left w:val="none" w:sz="0" w:space="0" w:color="auto"/>
        <w:bottom w:val="none" w:sz="0" w:space="0" w:color="auto"/>
        <w:right w:val="none" w:sz="0" w:space="0" w:color="auto"/>
      </w:divBdr>
    </w:div>
    <w:div w:id="1731801535">
      <w:bodyDiv w:val="1"/>
      <w:marLeft w:val="0"/>
      <w:marRight w:val="0"/>
      <w:marTop w:val="0"/>
      <w:marBottom w:val="0"/>
      <w:divBdr>
        <w:top w:val="none" w:sz="0" w:space="0" w:color="auto"/>
        <w:left w:val="none" w:sz="0" w:space="0" w:color="auto"/>
        <w:bottom w:val="none" w:sz="0" w:space="0" w:color="auto"/>
        <w:right w:val="none" w:sz="0" w:space="0" w:color="auto"/>
      </w:divBdr>
    </w:div>
    <w:div w:id="1790083046">
      <w:bodyDiv w:val="1"/>
      <w:marLeft w:val="0"/>
      <w:marRight w:val="0"/>
      <w:marTop w:val="0"/>
      <w:marBottom w:val="0"/>
      <w:divBdr>
        <w:top w:val="none" w:sz="0" w:space="0" w:color="auto"/>
        <w:left w:val="none" w:sz="0" w:space="0" w:color="auto"/>
        <w:bottom w:val="none" w:sz="0" w:space="0" w:color="auto"/>
        <w:right w:val="none" w:sz="0" w:space="0" w:color="auto"/>
      </w:divBdr>
    </w:div>
    <w:div w:id="1884438236">
      <w:bodyDiv w:val="1"/>
      <w:marLeft w:val="0"/>
      <w:marRight w:val="0"/>
      <w:marTop w:val="0"/>
      <w:marBottom w:val="0"/>
      <w:divBdr>
        <w:top w:val="none" w:sz="0" w:space="0" w:color="auto"/>
        <w:left w:val="none" w:sz="0" w:space="0" w:color="auto"/>
        <w:bottom w:val="none" w:sz="0" w:space="0" w:color="auto"/>
        <w:right w:val="none" w:sz="0" w:space="0" w:color="auto"/>
      </w:divBdr>
    </w:div>
    <w:div w:id="1898544548">
      <w:bodyDiv w:val="1"/>
      <w:marLeft w:val="0"/>
      <w:marRight w:val="0"/>
      <w:marTop w:val="0"/>
      <w:marBottom w:val="0"/>
      <w:divBdr>
        <w:top w:val="none" w:sz="0" w:space="0" w:color="auto"/>
        <w:left w:val="none" w:sz="0" w:space="0" w:color="auto"/>
        <w:bottom w:val="none" w:sz="0" w:space="0" w:color="auto"/>
        <w:right w:val="none" w:sz="0" w:space="0" w:color="auto"/>
      </w:divBdr>
    </w:div>
    <w:div w:id="1929196769">
      <w:bodyDiv w:val="1"/>
      <w:marLeft w:val="0"/>
      <w:marRight w:val="0"/>
      <w:marTop w:val="0"/>
      <w:marBottom w:val="0"/>
      <w:divBdr>
        <w:top w:val="none" w:sz="0" w:space="0" w:color="auto"/>
        <w:left w:val="none" w:sz="0" w:space="0" w:color="auto"/>
        <w:bottom w:val="none" w:sz="0" w:space="0" w:color="auto"/>
        <w:right w:val="none" w:sz="0" w:space="0" w:color="auto"/>
      </w:divBdr>
    </w:div>
    <w:div w:id="1945725078">
      <w:bodyDiv w:val="1"/>
      <w:marLeft w:val="0"/>
      <w:marRight w:val="0"/>
      <w:marTop w:val="0"/>
      <w:marBottom w:val="0"/>
      <w:divBdr>
        <w:top w:val="none" w:sz="0" w:space="0" w:color="auto"/>
        <w:left w:val="none" w:sz="0" w:space="0" w:color="auto"/>
        <w:bottom w:val="none" w:sz="0" w:space="0" w:color="auto"/>
        <w:right w:val="none" w:sz="0" w:space="0" w:color="auto"/>
      </w:divBdr>
    </w:div>
    <w:div w:id="2141456756">
      <w:bodyDiv w:val="1"/>
      <w:marLeft w:val="0"/>
      <w:marRight w:val="0"/>
      <w:marTop w:val="0"/>
      <w:marBottom w:val="0"/>
      <w:divBdr>
        <w:top w:val="none" w:sz="0" w:space="0" w:color="auto"/>
        <w:left w:val="none" w:sz="0" w:space="0" w:color="auto"/>
        <w:bottom w:val="none" w:sz="0" w:space="0" w:color="auto"/>
        <w:right w:val="none" w:sz="0" w:space="0" w:color="auto"/>
      </w:divBdr>
      <w:divsChild>
        <w:div w:id="448397721">
          <w:marLeft w:val="0"/>
          <w:marRight w:val="0"/>
          <w:marTop w:val="0"/>
          <w:marBottom w:val="0"/>
          <w:divBdr>
            <w:top w:val="none" w:sz="0" w:space="0" w:color="auto"/>
            <w:left w:val="none" w:sz="0" w:space="0" w:color="auto"/>
            <w:bottom w:val="none" w:sz="0" w:space="0" w:color="auto"/>
            <w:right w:val="none" w:sz="0" w:space="0" w:color="auto"/>
          </w:divBdr>
        </w:div>
        <w:div w:id="589581456">
          <w:marLeft w:val="0"/>
          <w:marRight w:val="0"/>
          <w:marTop w:val="0"/>
          <w:marBottom w:val="0"/>
          <w:divBdr>
            <w:top w:val="none" w:sz="0" w:space="0" w:color="auto"/>
            <w:left w:val="none" w:sz="0" w:space="0" w:color="auto"/>
            <w:bottom w:val="none" w:sz="0" w:space="0" w:color="auto"/>
            <w:right w:val="none" w:sz="0" w:space="0" w:color="auto"/>
          </w:divBdr>
        </w:div>
        <w:div w:id="778987198">
          <w:marLeft w:val="0"/>
          <w:marRight w:val="0"/>
          <w:marTop w:val="0"/>
          <w:marBottom w:val="0"/>
          <w:divBdr>
            <w:top w:val="none" w:sz="0" w:space="0" w:color="auto"/>
            <w:left w:val="none" w:sz="0" w:space="0" w:color="auto"/>
            <w:bottom w:val="none" w:sz="0" w:space="0" w:color="auto"/>
            <w:right w:val="none" w:sz="0" w:space="0" w:color="auto"/>
          </w:divBdr>
        </w:div>
        <w:div w:id="786238459">
          <w:marLeft w:val="0"/>
          <w:marRight w:val="0"/>
          <w:marTop w:val="0"/>
          <w:marBottom w:val="0"/>
          <w:divBdr>
            <w:top w:val="none" w:sz="0" w:space="0" w:color="auto"/>
            <w:left w:val="none" w:sz="0" w:space="0" w:color="auto"/>
            <w:bottom w:val="none" w:sz="0" w:space="0" w:color="auto"/>
            <w:right w:val="none" w:sz="0" w:space="0" w:color="auto"/>
          </w:divBdr>
        </w:div>
        <w:div w:id="1072436232">
          <w:marLeft w:val="0"/>
          <w:marRight w:val="0"/>
          <w:marTop w:val="0"/>
          <w:marBottom w:val="0"/>
          <w:divBdr>
            <w:top w:val="none" w:sz="0" w:space="0" w:color="auto"/>
            <w:left w:val="none" w:sz="0" w:space="0" w:color="auto"/>
            <w:bottom w:val="none" w:sz="0" w:space="0" w:color="auto"/>
            <w:right w:val="none" w:sz="0" w:space="0" w:color="auto"/>
          </w:divBdr>
        </w:div>
        <w:div w:id="1334451572">
          <w:marLeft w:val="0"/>
          <w:marRight w:val="0"/>
          <w:marTop w:val="0"/>
          <w:marBottom w:val="0"/>
          <w:divBdr>
            <w:top w:val="none" w:sz="0" w:space="0" w:color="auto"/>
            <w:left w:val="none" w:sz="0" w:space="0" w:color="auto"/>
            <w:bottom w:val="none" w:sz="0" w:space="0" w:color="auto"/>
            <w:right w:val="none" w:sz="0" w:space="0" w:color="auto"/>
          </w:divBdr>
        </w:div>
        <w:div w:id="1372340705">
          <w:marLeft w:val="0"/>
          <w:marRight w:val="0"/>
          <w:marTop w:val="0"/>
          <w:marBottom w:val="0"/>
          <w:divBdr>
            <w:top w:val="none" w:sz="0" w:space="0" w:color="auto"/>
            <w:left w:val="none" w:sz="0" w:space="0" w:color="auto"/>
            <w:bottom w:val="none" w:sz="0" w:space="0" w:color="auto"/>
            <w:right w:val="none" w:sz="0" w:space="0" w:color="auto"/>
          </w:divBdr>
        </w:div>
        <w:div w:id="1669596844">
          <w:marLeft w:val="0"/>
          <w:marRight w:val="0"/>
          <w:marTop w:val="0"/>
          <w:marBottom w:val="0"/>
          <w:divBdr>
            <w:top w:val="none" w:sz="0" w:space="0" w:color="auto"/>
            <w:left w:val="none" w:sz="0" w:space="0" w:color="auto"/>
            <w:bottom w:val="none" w:sz="0" w:space="0" w:color="auto"/>
            <w:right w:val="none" w:sz="0" w:space="0" w:color="auto"/>
          </w:divBdr>
        </w:div>
        <w:div w:id="1824852533">
          <w:marLeft w:val="0"/>
          <w:marRight w:val="0"/>
          <w:marTop w:val="0"/>
          <w:marBottom w:val="0"/>
          <w:divBdr>
            <w:top w:val="none" w:sz="0" w:space="0" w:color="auto"/>
            <w:left w:val="none" w:sz="0" w:space="0" w:color="auto"/>
            <w:bottom w:val="none" w:sz="0" w:space="0" w:color="auto"/>
            <w:right w:val="none" w:sz="0" w:space="0" w:color="auto"/>
          </w:divBdr>
        </w:div>
        <w:div w:id="1966957720">
          <w:marLeft w:val="0"/>
          <w:marRight w:val="0"/>
          <w:marTop w:val="0"/>
          <w:marBottom w:val="0"/>
          <w:divBdr>
            <w:top w:val="none" w:sz="0" w:space="0" w:color="auto"/>
            <w:left w:val="none" w:sz="0" w:space="0" w:color="auto"/>
            <w:bottom w:val="none" w:sz="0" w:space="0" w:color="auto"/>
            <w:right w:val="none" w:sz="0" w:space="0" w:color="auto"/>
          </w:divBdr>
        </w:div>
        <w:div w:id="212199373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jpeg"/><Relationship Id="rId18" Type="http://schemas.openxmlformats.org/officeDocument/2006/relationships/chart" Target="charts/chart5.xml"/><Relationship Id="rId26" Type="http://schemas.openxmlformats.org/officeDocument/2006/relationships/image" Target="media/image5.png"/><Relationship Id="rId39" Type="http://schemas.openxmlformats.org/officeDocument/2006/relationships/chart" Target="charts/chart15.xml"/><Relationship Id="rId3" Type="http://schemas.openxmlformats.org/officeDocument/2006/relationships/styles" Target="styles.xml"/><Relationship Id="rId21" Type="http://schemas.openxmlformats.org/officeDocument/2006/relationships/chart" Target="charts/chart8.xml"/><Relationship Id="rId34" Type="http://schemas.openxmlformats.org/officeDocument/2006/relationships/image" Target="media/image12.png"/><Relationship Id="rId42" Type="http://schemas.openxmlformats.org/officeDocument/2006/relationships/header" Target="header1.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chart" Target="charts/chart4.xml"/><Relationship Id="rId25" Type="http://schemas.openxmlformats.org/officeDocument/2006/relationships/chart" Target="charts/chart12.xml"/><Relationship Id="rId33" Type="http://schemas.openxmlformats.org/officeDocument/2006/relationships/image" Target="media/image11.png"/><Relationship Id="rId38" Type="http://schemas.openxmlformats.org/officeDocument/2006/relationships/image" Target="media/image15.png"/><Relationship Id="rId2" Type="http://schemas.openxmlformats.org/officeDocument/2006/relationships/numbering" Target="numbering.xml"/><Relationship Id="rId16" Type="http://schemas.openxmlformats.org/officeDocument/2006/relationships/chart" Target="charts/chart3.xml"/><Relationship Id="rId20" Type="http://schemas.openxmlformats.org/officeDocument/2006/relationships/chart" Target="charts/chart7.xml"/><Relationship Id="rId29" Type="http://schemas.openxmlformats.org/officeDocument/2006/relationships/chart" Target="charts/chart13.xml"/><Relationship Id="rId41" Type="http://schemas.openxmlformats.org/officeDocument/2006/relationships/chart" Target="charts/chart17.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chart" Target="charts/chart11.xml"/><Relationship Id="rId32" Type="http://schemas.openxmlformats.org/officeDocument/2006/relationships/image" Target="media/image10.emf"/><Relationship Id="rId37" Type="http://schemas.openxmlformats.org/officeDocument/2006/relationships/image" Target="media/image14.png"/><Relationship Id="rId40" Type="http://schemas.openxmlformats.org/officeDocument/2006/relationships/chart" Target="charts/chart16.xml"/><Relationship Id="rId45"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chart" Target="charts/chart2.xml"/><Relationship Id="rId23" Type="http://schemas.openxmlformats.org/officeDocument/2006/relationships/chart" Target="charts/chart10.xml"/><Relationship Id="rId28" Type="http://schemas.openxmlformats.org/officeDocument/2006/relationships/image" Target="media/image7.emf"/><Relationship Id="rId36" Type="http://schemas.openxmlformats.org/officeDocument/2006/relationships/chart" Target="charts/chart14.xml"/><Relationship Id="rId10" Type="http://schemas.openxmlformats.org/officeDocument/2006/relationships/image" Target="media/image3.png"/><Relationship Id="rId19" Type="http://schemas.openxmlformats.org/officeDocument/2006/relationships/chart" Target="charts/chart6.xml"/><Relationship Id="rId31" Type="http://schemas.openxmlformats.org/officeDocument/2006/relationships/image" Target="media/image9.emf"/><Relationship Id="rId44"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chart" Target="charts/chart1.xml"/><Relationship Id="rId22" Type="http://schemas.openxmlformats.org/officeDocument/2006/relationships/chart" Target="charts/chart9.xml"/><Relationship Id="rId27" Type="http://schemas.openxmlformats.org/officeDocument/2006/relationships/image" Target="media/image6.png"/><Relationship Id="rId30" Type="http://schemas.openxmlformats.org/officeDocument/2006/relationships/image" Target="media/image8.emf"/><Relationship Id="rId35" Type="http://schemas.openxmlformats.org/officeDocument/2006/relationships/image" Target="media/image13.png"/><Relationship Id="rId43"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16.jpeg"/></Relationships>
</file>

<file path=word/charts/_rels/chart1.xml.rels><?xml version="1.0" encoding="UTF-8" standalone="yes"?>
<Relationships xmlns="http://schemas.openxmlformats.org/package/2006/relationships"><Relationship Id="rId3" Type="http://schemas.openxmlformats.org/officeDocument/2006/relationships/package" Target="../embeddings/Hoja_de_c_lculo_de_Microsoft_Excel1.xlsx"/><Relationship Id="rId2" Type="http://schemas.microsoft.com/office/2011/relationships/chartColorStyle" Target="colors1.xml"/><Relationship Id="rId1" Type="http://schemas.microsoft.com/office/2011/relationships/chartStyle" Target="style1.xml"/></Relationships>
</file>

<file path=word/charts/_rels/chart10.xml.rels><?xml version="1.0" encoding="UTF-8" standalone="yes"?>
<Relationships xmlns="http://schemas.openxmlformats.org/package/2006/relationships"><Relationship Id="rId3" Type="http://schemas.openxmlformats.org/officeDocument/2006/relationships/package" Target="../embeddings/Hoja_de_c_lculo_de_Microsoft_Excel7.xlsx"/><Relationship Id="rId2" Type="http://schemas.microsoft.com/office/2011/relationships/chartColorStyle" Target="colors10.xml"/><Relationship Id="rId1" Type="http://schemas.microsoft.com/office/2011/relationships/chartStyle" Target="style10.xml"/></Relationships>
</file>

<file path=word/charts/_rels/chart11.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1.xml"/><Relationship Id="rId1" Type="http://schemas.microsoft.com/office/2011/relationships/chartStyle" Target="style11.xml"/></Relationships>
</file>

<file path=word/charts/_rels/chart12.xml.rels><?xml version="1.0" encoding="UTF-8" standalone="yes"?>
<Relationships xmlns="http://schemas.openxmlformats.org/package/2006/relationships"><Relationship Id="rId3" Type="http://schemas.openxmlformats.org/officeDocument/2006/relationships/oleObject" Target="Libro1" TargetMode="External"/><Relationship Id="rId2" Type="http://schemas.microsoft.com/office/2011/relationships/chartColorStyle" Target="colors12.xml"/><Relationship Id="rId1" Type="http://schemas.microsoft.com/office/2011/relationships/chartStyle" Target="style12.xml"/></Relationships>
</file>

<file path=word/charts/_rels/chart13.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3.xml"/><Relationship Id="rId1" Type="http://schemas.microsoft.com/office/2011/relationships/chartStyle" Target="style13.xml"/><Relationship Id="rId4" Type="http://schemas.openxmlformats.org/officeDocument/2006/relationships/oleObject" Target="file:///C:\Windows.old\Users\rmatias.INDOTEL2\Downloads\Desktop\Direcciones\Direcci&#243;n%20Financiera\Para%20Memorias%202022.xlsx" TargetMode="External"/></Relationships>
</file>

<file path=word/charts/_rels/chart14.xml.rels><?xml version="1.0" encoding="UTF-8" standalone="yes"?>
<Relationships xmlns="http://schemas.openxmlformats.org/package/2006/relationships"><Relationship Id="rId3" Type="http://schemas.openxmlformats.org/officeDocument/2006/relationships/oleObject" Target="../embeddings/oleObject1.bin"/><Relationship Id="rId2" Type="http://schemas.microsoft.com/office/2011/relationships/chartColorStyle" Target="colors14.xml"/><Relationship Id="rId1" Type="http://schemas.microsoft.com/office/2011/relationships/chartStyle" Target="style14.xml"/></Relationships>
</file>

<file path=word/charts/_rels/chart15.xml.rels><?xml version="1.0" encoding="UTF-8" standalone="yes"?>
<Relationships xmlns="http://schemas.openxmlformats.org/package/2006/relationships"><Relationship Id="rId3" Type="http://schemas.openxmlformats.org/officeDocument/2006/relationships/oleObject" Target="file:///C:\Users\cemartinez\Downloads\Memoria%20OAI.xlsx" TargetMode="External"/><Relationship Id="rId2" Type="http://schemas.microsoft.com/office/2011/relationships/chartColorStyle" Target="colors15.xml"/><Relationship Id="rId1" Type="http://schemas.microsoft.com/office/2011/relationships/chartStyle" Target="style15.xml"/></Relationships>
</file>

<file path=word/charts/_rels/chart16.xml.rels><?xml version="1.0" encoding="UTF-8" standalone="yes"?>
<Relationships xmlns="http://schemas.openxmlformats.org/package/2006/relationships"><Relationship Id="rId3" Type="http://schemas.openxmlformats.org/officeDocument/2006/relationships/oleObject" Target="file:///\\Users\felipeagudo\Downloads\Estadisticas%20Trimestrales%20311%20(T4)%202021.xlsx" TargetMode="External"/><Relationship Id="rId2" Type="http://schemas.microsoft.com/office/2011/relationships/chartColorStyle" Target="colors16.xml"/><Relationship Id="rId1" Type="http://schemas.microsoft.com/office/2011/relationships/chartStyle" Target="style16.xml"/><Relationship Id="rId4" Type="http://schemas.openxmlformats.org/officeDocument/2006/relationships/chartUserShapes" Target="../drawings/drawing1.xml"/></Relationships>
</file>

<file path=word/charts/_rels/chart17.xml.rels><?xml version="1.0" encoding="UTF-8" standalone="yes"?>
<Relationships xmlns="http://schemas.openxmlformats.org/package/2006/relationships"><Relationship Id="rId3" Type="http://schemas.openxmlformats.org/officeDocument/2006/relationships/oleObject" Target="file:///C:\Users\cemartinez\Downloads\Memoria%20DIGEIG.xlsx" TargetMode="External"/><Relationship Id="rId2" Type="http://schemas.microsoft.com/office/2011/relationships/chartColorStyle" Target="colors17.xml"/><Relationship Id="rId1" Type="http://schemas.microsoft.com/office/2011/relationships/chartStyle" Target="style17.xml"/></Relationships>
</file>

<file path=word/charts/_rels/chart2.xml.rels><?xml version="1.0" encoding="UTF-8" standalone="yes"?>
<Relationships xmlns="http://schemas.openxmlformats.org/package/2006/relationships"><Relationship Id="rId3" Type="http://schemas.openxmlformats.org/officeDocument/2006/relationships/package" Target="../embeddings/Hoja_de_c_lculo_de_Microsoft_Excel2.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rlanguasco\Documents\Memoria%20Institucional\Memoria%202022%20estadistica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file:///C:\Users\rlanguasco\Documents\Memoria%20Institucional\Memoria%202022%20estadistica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pturbi\Documents\Tablas%20memoria%20proteccion.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package" Target="../embeddings/Hoja_de_c_lculo_de_Microsoft_Excel3.xlsx"/><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package" Target="../embeddings/Hoja_de_c_lculo_de_Microsoft_Excel4.xlsx"/><Relationship Id="rId2" Type="http://schemas.microsoft.com/office/2011/relationships/chartColorStyle" Target="colors7.xml"/><Relationship Id="rId1" Type="http://schemas.microsoft.com/office/2011/relationships/chartStyle" Target="style7.xml"/></Relationships>
</file>

<file path=word/charts/_rels/chart8.xml.rels><?xml version="1.0" encoding="UTF-8" standalone="yes"?>
<Relationships xmlns="http://schemas.openxmlformats.org/package/2006/relationships"><Relationship Id="rId3" Type="http://schemas.openxmlformats.org/officeDocument/2006/relationships/package" Target="../embeddings/Hoja_de_c_lculo_de_Microsoft_Excel5.xlsx"/><Relationship Id="rId2" Type="http://schemas.microsoft.com/office/2011/relationships/chartColorStyle" Target="colors8.xml"/><Relationship Id="rId1" Type="http://schemas.microsoft.com/office/2011/relationships/chartStyle" Target="style8.xml"/></Relationships>
</file>

<file path=word/charts/_rels/chart9.xml.rels><?xml version="1.0" encoding="UTF-8" standalone="yes"?>
<Relationships xmlns="http://schemas.openxmlformats.org/package/2006/relationships"><Relationship Id="rId3" Type="http://schemas.openxmlformats.org/officeDocument/2006/relationships/package" Target="../embeddings/Hoja_de_c_lculo_de_Microsoft_Excel6.xlsx"/><Relationship Id="rId2" Type="http://schemas.microsoft.com/office/2011/relationships/chartColorStyle" Target="colors9.xml"/><Relationship Id="rId1" Type="http://schemas.microsoft.com/office/2011/relationships/chartStyle" Target="style9.xm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Derecho de Uso (DU) del </a:t>
            </a:r>
          </a:p>
          <a:p>
            <a:pPr>
              <a:defRPr sz="1200"/>
            </a:pPr>
            <a:r>
              <a:rPr lang="en-US"/>
              <a:t>Espectro Radioeléctrico por Servicios  Año  2022
</a:t>
            </a: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view3D>
      <c:rotX val="30"/>
      <c:rotY val="0"/>
      <c:depthPercent val="100"/>
      <c:rAngAx val="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pie3DChart>
        <c:varyColors val="1"/>
        <c:ser>
          <c:idx val="0"/>
          <c:order val="0"/>
          <c:tx>
            <c:strRef>
              <c:f>Hoja1!$B$1</c:f>
              <c:strCache>
                <c:ptCount val="1"/>
                <c:pt idx="0">
                  <c:v>Derecho de Uso (DU) del Espectro Radioeléctrico por Servicios  Año  2022
</c:v>
                </c:pt>
              </c:strCache>
            </c:strRef>
          </c:tx>
          <c:dPt>
            <c:idx val="0"/>
            <c:bubble3D val="0"/>
            <c:spPr>
              <a:solidFill>
                <a:schemeClr val="accent5">
                  <a:tint val="58000"/>
                </a:schemeClr>
              </a:solidFill>
              <a:ln w="25400">
                <a:solidFill>
                  <a:schemeClr val="lt1"/>
                </a:solidFill>
              </a:ln>
              <a:effectLst/>
              <a:sp3d contourW="25400">
                <a:contourClr>
                  <a:schemeClr val="lt1"/>
                </a:contourClr>
              </a:sp3d>
            </c:spPr>
          </c:dPt>
          <c:dPt>
            <c:idx val="1"/>
            <c:bubble3D val="0"/>
            <c:spPr>
              <a:solidFill>
                <a:schemeClr val="accent5">
                  <a:tint val="86000"/>
                </a:schemeClr>
              </a:solidFill>
              <a:ln w="25400">
                <a:solidFill>
                  <a:schemeClr val="lt1"/>
                </a:solidFill>
              </a:ln>
              <a:effectLst/>
              <a:sp3d contourW="25400">
                <a:contourClr>
                  <a:schemeClr val="lt1"/>
                </a:contourClr>
              </a:sp3d>
            </c:spPr>
          </c:dPt>
          <c:dPt>
            <c:idx val="2"/>
            <c:bubble3D val="0"/>
            <c:spPr>
              <a:solidFill>
                <a:schemeClr val="accent5">
                  <a:shade val="86000"/>
                </a:schemeClr>
              </a:solidFill>
              <a:ln w="25400">
                <a:solidFill>
                  <a:schemeClr val="lt1"/>
                </a:solidFill>
              </a:ln>
              <a:effectLst/>
              <a:sp3d contourW="25400">
                <a:contourClr>
                  <a:schemeClr val="lt1"/>
                </a:contourClr>
              </a:sp3d>
            </c:spPr>
          </c:dPt>
          <c:dPt>
            <c:idx val="3"/>
            <c:bubble3D val="0"/>
            <c:spPr>
              <a:solidFill>
                <a:schemeClr val="accent5">
                  <a:shade val="58000"/>
                </a:schemeClr>
              </a:solidFill>
              <a:ln w="25400">
                <a:solidFill>
                  <a:schemeClr val="lt1"/>
                </a:solidFill>
              </a:ln>
              <a:effectLst/>
              <a:sp3d contourW="25400">
                <a:contourClr>
                  <a:schemeClr val="lt1"/>
                </a:contourClr>
              </a:sp3d>
            </c:spPr>
          </c:dPt>
          <c:dLbls>
            <c:dLbl>
              <c:idx val="0"/>
              <c:layout>
                <c:manualLayout>
                  <c:x val="-6.0606060606060608E-2"/>
                  <c:y val="-3.276003276003276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1"/>
              <c:layout>
                <c:manualLayout>
                  <c:x val="2.5078369905956112E-2"/>
                  <c:y val="-3.6036036036036098E-2"/>
                </c:manualLayout>
              </c:layout>
              <c:dLblPos val="bestFit"/>
              <c:showLegendKey val="0"/>
              <c:showVal val="1"/>
              <c:showCatName val="1"/>
              <c:showSerName val="0"/>
              <c:showPercent val="0"/>
              <c:showBubbleSize val="0"/>
              <c:extLst>
                <c:ext xmlns:c15="http://schemas.microsoft.com/office/drawing/2012/chart" uri="{CE6537A1-D6FC-4f65-9D91-7224C49458BB}"/>
              </c:extLst>
            </c:dLbl>
            <c:dLbl>
              <c:idx val="2"/>
              <c:layout>
                <c:manualLayout>
                  <c:x val="2.9258098223615466E-2"/>
                  <c:y val="3.9312039312039311E-2"/>
                </c:manualLayout>
              </c:layout>
              <c:dLblPos val="bestFit"/>
              <c:showLegendKey val="0"/>
              <c:showVal val="1"/>
              <c:showCatName val="1"/>
              <c:showSerName val="0"/>
              <c:showPercent val="0"/>
              <c:showBubbleSize val="0"/>
              <c:extLst>
                <c:ext xmlns:c15="http://schemas.microsoft.com/office/drawing/2012/chart" uri="{CE6537A1-D6FC-4f65-9D91-7224C49458BB}"/>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1"/>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Hoja1!$A$2:$A$5</c:f>
              <c:strCache>
                <c:ptCount val="4"/>
                <c:pt idx="0">
                  <c:v>Radiodifusión Televisiva</c:v>
                </c:pt>
                <c:pt idx="1">
                  <c:v>Radiodifusión Sonora</c:v>
                </c:pt>
                <c:pt idx="2">
                  <c:v>Radiocomunicación</c:v>
                </c:pt>
                <c:pt idx="3">
                  <c:v>Telefónicas</c:v>
                </c:pt>
              </c:strCache>
            </c:strRef>
          </c:cat>
          <c:val>
            <c:numRef>
              <c:f>Hoja1!$B$2:$B$5</c:f>
              <c:numCache>
                <c:formatCode>#,##0.00</c:formatCode>
                <c:ptCount val="4"/>
                <c:pt idx="0">
                  <c:v>51799871.420000002</c:v>
                </c:pt>
                <c:pt idx="1">
                  <c:v>7709326.79</c:v>
                </c:pt>
                <c:pt idx="2">
                  <c:v>15474786.4</c:v>
                </c:pt>
                <c:pt idx="3">
                  <c:v>250210004.02000001</c:v>
                </c:pt>
              </c:numCache>
            </c:numRef>
          </c:val>
        </c:ser>
        <c:dLbls>
          <c:dLblPos val="outEnd"/>
          <c:showLegendKey val="0"/>
          <c:showVal val="0"/>
          <c:showCatName val="1"/>
          <c:showSerName val="0"/>
          <c:showPercent val="0"/>
          <c:showBubbleSize val="0"/>
          <c:showLeaderLines val="1"/>
        </c:dLbls>
      </c:pie3D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8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Monto Acreditado Usuarios (RD$)</a:t>
            </a:r>
          </a:p>
          <a:p>
            <a:pPr>
              <a:defRPr/>
            </a:pPr>
            <a:r>
              <a:rPr lang="es-DO"/>
              <a:t>Enero - noviembre</a:t>
            </a:r>
            <a:r>
              <a:rPr lang="es-DO" baseline="0"/>
              <a:t> </a:t>
            </a:r>
            <a:r>
              <a:rPr lang="es-DO"/>
              <a:t>2022</a:t>
            </a:r>
          </a:p>
        </c:rich>
      </c:tx>
      <c:overlay val="0"/>
      <c:spPr>
        <a:noFill/>
        <a:ln>
          <a:noFill/>
        </a:ln>
        <a:effectLst/>
      </c:spPr>
      <c:txPr>
        <a:bodyPr rot="0" spcFirstLastPara="1" vertOverflow="ellipsis" vert="horz" wrap="square" anchor="ctr" anchorCtr="1"/>
        <a:lstStyle/>
        <a:p>
          <a:pPr>
            <a:defRPr sz="84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Hoja2!$A$68</c:f>
              <c:strCache>
                <c:ptCount val="1"/>
                <c:pt idx="0">
                  <c:v>Balance reclamado</c:v>
                </c:pt>
              </c:strCache>
            </c:strRef>
          </c:tx>
          <c:spPr>
            <a:solidFill>
              <a:schemeClr val="accent1"/>
            </a:solidFill>
            <a:ln>
              <a:noFill/>
            </a:ln>
            <a:effectLst/>
          </c:spPr>
          <c:invertIfNegative val="0"/>
          <c:cat>
            <c:strRef>
              <c:f>Hoja2!$B$67:$L$67</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Hoja2!$B$68:$L$68</c:f>
              <c:numCache>
                <c:formatCode>_(* #,##0.0_);_(* \(#,##0.0\);_(* "-"??_);_(@_)</c:formatCode>
                <c:ptCount val="11"/>
                <c:pt idx="0">
                  <c:v>57491.99</c:v>
                </c:pt>
                <c:pt idx="1">
                  <c:v>11562.73</c:v>
                </c:pt>
                <c:pt idx="2">
                  <c:v>178731</c:v>
                </c:pt>
                <c:pt idx="3">
                  <c:v>0</c:v>
                </c:pt>
                <c:pt idx="4">
                  <c:v>25865.61</c:v>
                </c:pt>
                <c:pt idx="5">
                  <c:v>0</c:v>
                </c:pt>
                <c:pt idx="6">
                  <c:v>0</c:v>
                </c:pt>
                <c:pt idx="7">
                  <c:v>0</c:v>
                </c:pt>
                <c:pt idx="8">
                  <c:v>0</c:v>
                </c:pt>
                <c:pt idx="9">
                  <c:v>0</c:v>
                </c:pt>
                <c:pt idx="10">
                  <c:v>0</c:v>
                </c:pt>
              </c:numCache>
            </c:numRef>
          </c:val>
        </c:ser>
        <c:ser>
          <c:idx val="1"/>
          <c:order val="1"/>
          <c:tx>
            <c:strRef>
              <c:f>Hoja2!$A$69</c:f>
              <c:strCache>
                <c:ptCount val="1"/>
                <c:pt idx="0">
                  <c:v>Balance acreditado</c:v>
                </c:pt>
              </c:strCache>
            </c:strRef>
          </c:tx>
          <c:spPr>
            <a:solidFill>
              <a:schemeClr val="tx2">
                <a:lumMod val="40000"/>
                <a:lumOff val="60000"/>
              </a:schemeClr>
            </a:solidFill>
            <a:ln>
              <a:noFill/>
            </a:ln>
            <a:effectLst/>
          </c:spPr>
          <c:invertIfNegative val="0"/>
          <c:cat>
            <c:strRef>
              <c:f>Hoja2!$B$67:$L$67</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Hoja2!$B$69:$L$69</c:f>
              <c:numCache>
                <c:formatCode>_(* #,##0.0_);_(* \(#,##0.0\);_(* "-"??_);_(@_)</c:formatCode>
                <c:ptCount val="11"/>
                <c:pt idx="0">
                  <c:v>46168.46</c:v>
                </c:pt>
                <c:pt idx="1">
                  <c:v>6562.73</c:v>
                </c:pt>
                <c:pt idx="2">
                  <c:v>127341.89</c:v>
                </c:pt>
                <c:pt idx="3">
                  <c:v>1248.1300000000001</c:v>
                </c:pt>
                <c:pt idx="4">
                  <c:v>25865.61</c:v>
                </c:pt>
                <c:pt idx="5">
                  <c:v>0</c:v>
                </c:pt>
                <c:pt idx="6">
                  <c:v>0</c:v>
                </c:pt>
                <c:pt idx="7">
                  <c:v>2973.1</c:v>
                </c:pt>
                <c:pt idx="8">
                  <c:v>0</c:v>
                </c:pt>
                <c:pt idx="9">
                  <c:v>6974.7800000000007</c:v>
                </c:pt>
                <c:pt idx="10" formatCode="General">
                  <c:v>3533</c:v>
                </c:pt>
              </c:numCache>
            </c:numRef>
          </c:val>
        </c:ser>
        <c:dLbls>
          <c:showLegendKey val="0"/>
          <c:showVal val="0"/>
          <c:showCatName val="0"/>
          <c:showSerName val="0"/>
          <c:showPercent val="0"/>
          <c:showBubbleSize val="0"/>
        </c:dLbls>
        <c:gapWidth val="219"/>
        <c:overlap val="-27"/>
        <c:axId val="546567176"/>
        <c:axId val="546565608"/>
      </c:barChart>
      <c:catAx>
        <c:axId val="546567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565608"/>
        <c:crosses val="autoZero"/>
        <c:auto val="1"/>
        <c:lblAlgn val="ctr"/>
        <c:lblOffset val="100"/>
        <c:noMultiLvlLbl val="0"/>
      </c:catAx>
      <c:valAx>
        <c:axId val="546565608"/>
        <c:scaling>
          <c:orientation val="minMax"/>
        </c:scaling>
        <c:delete val="1"/>
        <c:axPos val="l"/>
        <c:numFmt formatCode="_(* #,##0.0_);_(* \(#,##0.0\);_(* &quot;-&quot;??_);_(@_)" sourceLinked="1"/>
        <c:majorTickMark val="none"/>
        <c:minorTickMark val="none"/>
        <c:tickLblPos val="nextTo"/>
        <c:crossAx val="54656717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sz="7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RDQ Cuerpos Colegiados </a:t>
            </a:r>
          </a:p>
          <a:p>
            <a:pPr>
              <a:defRPr/>
            </a:pPr>
            <a:r>
              <a:rPr lang="en-US"/>
              <a:t>Enero-noviembre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'RDQ cuerpos colegiados'!$B$4</c:f>
              <c:strCache>
                <c:ptCount val="1"/>
                <c:pt idx="0">
                  <c:v>RDQ's apoderados</c:v>
                </c:pt>
              </c:strCache>
            </c:strRef>
          </c:tx>
          <c:spPr>
            <a:solidFill>
              <a:schemeClr val="accent5">
                <a:tint val="65000"/>
              </a:schemeClr>
            </a:solidFill>
            <a:ln>
              <a:noFill/>
            </a:ln>
            <a:effectLst/>
          </c:spPr>
          <c:invertIfNegative val="0"/>
          <c:cat>
            <c:strRef>
              <c:f>'RDQ cuerpos colegiados'!$C$3:$M$3</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'RDQ cuerpos colegiados'!$C$4:$M$4</c:f>
              <c:numCache>
                <c:formatCode>General</c:formatCode>
                <c:ptCount val="11"/>
                <c:pt idx="0">
                  <c:v>1</c:v>
                </c:pt>
                <c:pt idx="1">
                  <c:v>0</c:v>
                </c:pt>
                <c:pt idx="2">
                  <c:v>0</c:v>
                </c:pt>
                <c:pt idx="3">
                  <c:v>0</c:v>
                </c:pt>
                <c:pt idx="4">
                  <c:v>0</c:v>
                </c:pt>
                <c:pt idx="5">
                  <c:v>0</c:v>
                </c:pt>
                <c:pt idx="6">
                  <c:v>0</c:v>
                </c:pt>
                <c:pt idx="7">
                  <c:v>0</c:v>
                </c:pt>
                <c:pt idx="8">
                  <c:v>0</c:v>
                </c:pt>
                <c:pt idx="9">
                  <c:v>0</c:v>
                </c:pt>
                <c:pt idx="10">
                  <c:v>0</c:v>
                </c:pt>
              </c:numCache>
            </c:numRef>
          </c:val>
        </c:ser>
        <c:ser>
          <c:idx val="1"/>
          <c:order val="1"/>
          <c:tx>
            <c:strRef>
              <c:f>'RDQ cuerpos colegiados'!$B$5</c:f>
              <c:strCache>
                <c:ptCount val="1"/>
                <c:pt idx="0">
                  <c:v>Fallados a favor del usuario </c:v>
                </c:pt>
              </c:strCache>
            </c:strRef>
          </c:tx>
          <c:spPr>
            <a:solidFill>
              <a:schemeClr val="accent5"/>
            </a:solidFill>
            <a:ln>
              <a:noFill/>
            </a:ln>
            <a:effectLst/>
          </c:spPr>
          <c:invertIfNegative val="0"/>
          <c:cat>
            <c:strRef>
              <c:f>'RDQ cuerpos colegiados'!$C$3:$M$3</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'RDQ cuerpos colegiados'!$C$5:$M$5</c:f>
              <c:numCache>
                <c:formatCode>General</c:formatCode>
                <c:ptCount val="11"/>
                <c:pt idx="0">
                  <c:v>1</c:v>
                </c:pt>
                <c:pt idx="1">
                  <c:v>0</c:v>
                </c:pt>
                <c:pt idx="2">
                  <c:v>0</c:v>
                </c:pt>
                <c:pt idx="3">
                  <c:v>0</c:v>
                </c:pt>
                <c:pt idx="4">
                  <c:v>0</c:v>
                </c:pt>
                <c:pt idx="5">
                  <c:v>0</c:v>
                </c:pt>
                <c:pt idx="6">
                  <c:v>0</c:v>
                </c:pt>
                <c:pt idx="7">
                  <c:v>0</c:v>
                </c:pt>
                <c:pt idx="8">
                  <c:v>0</c:v>
                </c:pt>
                <c:pt idx="9">
                  <c:v>0</c:v>
                </c:pt>
                <c:pt idx="10">
                  <c:v>0</c:v>
                </c:pt>
              </c:numCache>
            </c:numRef>
          </c:val>
        </c:ser>
        <c:ser>
          <c:idx val="2"/>
          <c:order val="2"/>
          <c:tx>
            <c:strRef>
              <c:f>'RDQ cuerpos colegiados'!$B$6</c:f>
              <c:strCache>
                <c:ptCount val="1"/>
                <c:pt idx="0">
                  <c:v>Fallados a favor de la prestadora </c:v>
                </c:pt>
              </c:strCache>
            </c:strRef>
          </c:tx>
          <c:spPr>
            <a:solidFill>
              <a:schemeClr val="accent5">
                <a:shade val="65000"/>
              </a:schemeClr>
            </a:solidFill>
            <a:ln>
              <a:noFill/>
            </a:ln>
            <a:effectLst/>
          </c:spPr>
          <c:invertIfNegative val="0"/>
          <c:cat>
            <c:strRef>
              <c:f>'RDQ cuerpos colegiados'!$C$3:$M$3</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'RDQ cuerpos colegiados'!$C$6:$M$6</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er>
        <c:dLbls>
          <c:showLegendKey val="0"/>
          <c:showVal val="0"/>
          <c:showCatName val="0"/>
          <c:showSerName val="0"/>
          <c:showPercent val="0"/>
          <c:showBubbleSize val="0"/>
        </c:dLbls>
        <c:gapWidth val="150"/>
        <c:axId val="546567568"/>
        <c:axId val="546564824"/>
      </c:barChart>
      <c:catAx>
        <c:axId val="546567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564824"/>
        <c:crosses val="autoZero"/>
        <c:auto val="1"/>
        <c:lblAlgn val="ctr"/>
        <c:lblOffset val="100"/>
        <c:noMultiLvlLbl val="0"/>
      </c:catAx>
      <c:valAx>
        <c:axId val="54656482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567568"/>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Monto de fallos (RD$)</a:t>
            </a:r>
          </a:p>
          <a:p>
            <a:pPr>
              <a:defRPr/>
            </a:pPr>
            <a:r>
              <a:rPr lang="en-US"/>
              <a:t>Enero-noviembre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'Montos de fallos'!$B$4</c:f>
              <c:strCache>
                <c:ptCount val="1"/>
                <c:pt idx="0">
                  <c:v>Monto a favor del usuario</c:v>
                </c:pt>
              </c:strCache>
            </c:strRef>
          </c:tx>
          <c:spPr>
            <a:solidFill>
              <a:schemeClr val="accent5">
                <a:shade val="76000"/>
              </a:schemeClr>
            </a:solidFill>
            <a:ln>
              <a:noFill/>
            </a:ln>
            <a:effectLst/>
          </c:spPr>
          <c:invertIfNegative val="0"/>
          <c:cat>
            <c:strRef>
              <c:f>'Montos de fallos'!$C$3:$M$3</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'Montos de fallos'!$C$4:$M$4</c:f>
              <c:numCache>
                <c:formatCode>General</c:formatCode>
                <c:ptCount val="11"/>
                <c:pt idx="0">
                  <c:v>130.91</c:v>
                </c:pt>
                <c:pt idx="1">
                  <c:v>0</c:v>
                </c:pt>
                <c:pt idx="2">
                  <c:v>0</c:v>
                </c:pt>
                <c:pt idx="3">
                  <c:v>0</c:v>
                </c:pt>
                <c:pt idx="4">
                  <c:v>0</c:v>
                </c:pt>
                <c:pt idx="5">
                  <c:v>0</c:v>
                </c:pt>
                <c:pt idx="6">
                  <c:v>0</c:v>
                </c:pt>
                <c:pt idx="7">
                  <c:v>0</c:v>
                </c:pt>
                <c:pt idx="8">
                  <c:v>0</c:v>
                </c:pt>
                <c:pt idx="9">
                  <c:v>0</c:v>
                </c:pt>
                <c:pt idx="10">
                  <c:v>0</c:v>
                </c:pt>
              </c:numCache>
            </c:numRef>
          </c:val>
        </c:ser>
        <c:ser>
          <c:idx val="1"/>
          <c:order val="1"/>
          <c:tx>
            <c:strRef>
              <c:f>'Montos de fallos'!$B$5</c:f>
              <c:strCache>
                <c:ptCount val="1"/>
                <c:pt idx="0">
                  <c:v>Monto a favor de la prestadora</c:v>
                </c:pt>
              </c:strCache>
            </c:strRef>
          </c:tx>
          <c:spPr>
            <a:solidFill>
              <a:schemeClr val="accent5">
                <a:tint val="77000"/>
              </a:schemeClr>
            </a:solidFill>
            <a:ln>
              <a:noFill/>
            </a:ln>
            <a:effectLst/>
          </c:spPr>
          <c:invertIfNegative val="0"/>
          <c:cat>
            <c:strRef>
              <c:f>'Montos de fallos'!$C$3:$M$3</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'Montos de fallos'!$C$5:$M$5</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er>
        <c:dLbls>
          <c:showLegendKey val="0"/>
          <c:showVal val="0"/>
          <c:showCatName val="0"/>
          <c:showSerName val="0"/>
          <c:showPercent val="0"/>
          <c:showBubbleSize val="0"/>
        </c:dLbls>
        <c:gapWidth val="150"/>
        <c:axId val="546881712"/>
        <c:axId val="546881320"/>
      </c:barChart>
      <c:catAx>
        <c:axId val="54688171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881320"/>
        <c:crosses val="autoZero"/>
        <c:auto val="1"/>
        <c:lblAlgn val="ctr"/>
        <c:lblOffset val="100"/>
        <c:noMultiLvlLbl val="0"/>
      </c:catAx>
      <c:valAx>
        <c:axId val="54688132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88171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latin typeface="Times New Roman" panose="02020603050405020304" pitchFamily="18" charset="0"/>
                <a:cs typeface="Times New Roman" panose="02020603050405020304" pitchFamily="18" charset="0"/>
              </a:rPr>
              <a:t>Ingresos Ejecutados Vs. Presupuestados</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Hoja1!$B$1</c:f>
              <c:strCache>
                <c:ptCount val="1"/>
                <c:pt idx="0">
                  <c:v>Ejecutado (DOP)</c:v>
                </c:pt>
              </c:strCache>
            </c:strRef>
          </c:tx>
          <c:spPr>
            <a:solidFill>
              <a:schemeClr val="accent1"/>
            </a:solidFill>
            <a:ln>
              <a:noFill/>
            </a:ln>
            <a:effectLst/>
          </c:spPr>
          <c:invertIfNegative val="0"/>
          <c:cat>
            <c:numRef>
              <c:f>Hoja1!$A$2:$A$12</c:f>
              <c:numCache>
                <c:formatCode>mmm\-yy</c:formatCode>
                <c:ptCount val="11"/>
                <c:pt idx="0">
                  <c:v>44562</c:v>
                </c:pt>
                <c:pt idx="1">
                  <c:v>44593</c:v>
                </c:pt>
                <c:pt idx="2">
                  <c:v>44621</c:v>
                </c:pt>
                <c:pt idx="3">
                  <c:v>44652</c:v>
                </c:pt>
                <c:pt idx="4">
                  <c:v>44682</c:v>
                </c:pt>
                <c:pt idx="5">
                  <c:v>44713</c:v>
                </c:pt>
                <c:pt idx="6">
                  <c:v>44743</c:v>
                </c:pt>
                <c:pt idx="7">
                  <c:v>44774</c:v>
                </c:pt>
                <c:pt idx="8">
                  <c:v>44805</c:v>
                </c:pt>
                <c:pt idx="9">
                  <c:v>44835</c:v>
                </c:pt>
                <c:pt idx="10">
                  <c:v>44866</c:v>
                </c:pt>
              </c:numCache>
            </c:numRef>
          </c:cat>
          <c:val>
            <c:numRef>
              <c:f>Hoja1!$B$2:$B$12</c:f>
              <c:numCache>
                <c:formatCode>#,##0.00</c:formatCode>
                <c:ptCount val="11"/>
                <c:pt idx="0">
                  <c:v>147209324.18000001</c:v>
                </c:pt>
                <c:pt idx="1">
                  <c:v>142836332.69999999</c:v>
                </c:pt>
                <c:pt idx="2">
                  <c:v>142905940.09</c:v>
                </c:pt>
                <c:pt idx="3">
                  <c:v>130624170.75</c:v>
                </c:pt>
                <c:pt idx="4">
                  <c:v>159828745.97999999</c:v>
                </c:pt>
                <c:pt idx="5">
                  <c:v>146703133.31</c:v>
                </c:pt>
                <c:pt idx="6">
                  <c:v>145829069.06</c:v>
                </c:pt>
                <c:pt idx="7">
                  <c:v>150999396.61000001</c:v>
                </c:pt>
                <c:pt idx="8">
                  <c:v>146469890.27000001</c:v>
                </c:pt>
                <c:pt idx="9">
                  <c:v>149270555.18000001</c:v>
                </c:pt>
                <c:pt idx="10">
                  <c:v>147677028.11000001</c:v>
                </c:pt>
              </c:numCache>
            </c:numRef>
          </c:val>
        </c:ser>
        <c:ser>
          <c:idx val="1"/>
          <c:order val="1"/>
          <c:tx>
            <c:strRef>
              <c:f>Hoja1!$C$1</c:f>
              <c:strCache>
                <c:ptCount val="1"/>
                <c:pt idx="0">
                  <c:v>Presupuestado (DOP)</c:v>
                </c:pt>
              </c:strCache>
            </c:strRef>
          </c:tx>
          <c:spPr>
            <a:solidFill>
              <a:schemeClr val="accent2"/>
            </a:solidFill>
            <a:ln>
              <a:noFill/>
            </a:ln>
            <a:effectLst/>
          </c:spPr>
          <c:invertIfNegative val="0"/>
          <c:cat>
            <c:numRef>
              <c:f>Hoja1!$A$2:$A$12</c:f>
              <c:numCache>
                <c:formatCode>mmm\-yy</c:formatCode>
                <c:ptCount val="11"/>
                <c:pt idx="0">
                  <c:v>44562</c:v>
                </c:pt>
                <c:pt idx="1">
                  <c:v>44593</c:v>
                </c:pt>
                <c:pt idx="2">
                  <c:v>44621</c:v>
                </c:pt>
                <c:pt idx="3">
                  <c:v>44652</c:v>
                </c:pt>
                <c:pt idx="4">
                  <c:v>44682</c:v>
                </c:pt>
                <c:pt idx="5">
                  <c:v>44713</c:v>
                </c:pt>
                <c:pt idx="6">
                  <c:v>44743</c:v>
                </c:pt>
                <c:pt idx="7">
                  <c:v>44774</c:v>
                </c:pt>
                <c:pt idx="8">
                  <c:v>44805</c:v>
                </c:pt>
                <c:pt idx="9">
                  <c:v>44835</c:v>
                </c:pt>
                <c:pt idx="10">
                  <c:v>44866</c:v>
                </c:pt>
              </c:numCache>
            </c:numRef>
          </c:cat>
          <c:val>
            <c:numRef>
              <c:f>Hoja1!$C$2:$C$12</c:f>
              <c:numCache>
                <c:formatCode>#,##0.00</c:formatCode>
                <c:ptCount val="11"/>
                <c:pt idx="0">
                  <c:v>133624281.88</c:v>
                </c:pt>
                <c:pt idx="1">
                  <c:v>136076345.53999999</c:v>
                </c:pt>
                <c:pt idx="2">
                  <c:v>131228435.86</c:v>
                </c:pt>
                <c:pt idx="3">
                  <c:v>131250029.2</c:v>
                </c:pt>
                <c:pt idx="4">
                  <c:v>134827316.36000001</c:v>
                </c:pt>
                <c:pt idx="5">
                  <c:v>135237353.00999999</c:v>
                </c:pt>
                <c:pt idx="6">
                  <c:v>130635867.83</c:v>
                </c:pt>
                <c:pt idx="7">
                  <c:v>131758413.39</c:v>
                </c:pt>
                <c:pt idx="8">
                  <c:v>135664543.22999999</c:v>
                </c:pt>
                <c:pt idx="9">
                  <c:v>134308413.86000001</c:v>
                </c:pt>
                <c:pt idx="10">
                  <c:v>130635867.83</c:v>
                </c:pt>
              </c:numCache>
            </c:numRef>
          </c:val>
        </c:ser>
        <c:ser>
          <c:idx val="2"/>
          <c:order val="2"/>
          <c:tx>
            <c:strRef>
              <c:f>Hoja1!$D$1</c:f>
              <c:strCache>
                <c:ptCount val="1"/>
                <c:pt idx="0">
                  <c:v>Varianza Absoluta (DOP)</c:v>
                </c:pt>
              </c:strCache>
            </c:strRef>
          </c:tx>
          <c:spPr>
            <a:solidFill>
              <a:schemeClr val="accent3"/>
            </a:solidFill>
            <a:ln>
              <a:noFill/>
            </a:ln>
            <a:effectLst/>
          </c:spPr>
          <c:invertIfNegative val="0"/>
          <c:cat>
            <c:numRef>
              <c:f>Hoja1!$A$2:$A$12</c:f>
              <c:numCache>
                <c:formatCode>mmm\-yy</c:formatCode>
                <c:ptCount val="11"/>
                <c:pt idx="0">
                  <c:v>44562</c:v>
                </c:pt>
                <c:pt idx="1">
                  <c:v>44593</c:v>
                </c:pt>
                <c:pt idx="2">
                  <c:v>44621</c:v>
                </c:pt>
                <c:pt idx="3">
                  <c:v>44652</c:v>
                </c:pt>
                <c:pt idx="4">
                  <c:v>44682</c:v>
                </c:pt>
                <c:pt idx="5">
                  <c:v>44713</c:v>
                </c:pt>
                <c:pt idx="6">
                  <c:v>44743</c:v>
                </c:pt>
                <c:pt idx="7">
                  <c:v>44774</c:v>
                </c:pt>
                <c:pt idx="8">
                  <c:v>44805</c:v>
                </c:pt>
                <c:pt idx="9">
                  <c:v>44835</c:v>
                </c:pt>
                <c:pt idx="10">
                  <c:v>44866</c:v>
                </c:pt>
              </c:numCache>
            </c:numRef>
          </c:cat>
          <c:val>
            <c:numRef>
              <c:f>Hoja1!$D$2:$D$12</c:f>
              <c:numCache>
                <c:formatCode>#,##0.00</c:formatCode>
                <c:ptCount val="11"/>
                <c:pt idx="0">
                  <c:v>13585042.300000012</c:v>
                </c:pt>
                <c:pt idx="1">
                  <c:v>6759987.1599999964</c:v>
                </c:pt>
                <c:pt idx="2">
                  <c:v>11677504.230000004</c:v>
                </c:pt>
                <c:pt idx="3">
                  <c:v>-625858.45000000298</c:v>
                </c:pt>
                <c:pt idx="4">
                  <c:v>25001429.619999975</c:v>
                </c:pt>
                <c:pt idx="5">
                  <c:v>11465780.300000012</c:v>
                </c:pt>
                <c:pt idx="6">
                  <c:v>15193201.230000004</c:v>
                </c:pt>
                <c:pt idx="7">
                  <c:v>19240983.220000014</c:v>
                </c:pt>
                <c:pt idx="8">
                  <c:v>10805347.040000021</c:v>
                </c:pt>
                <c:pt idx="9">
                  <c:v>14962141.319999993</c:v>
                </c:pt>
                <c:pt idx="10">
                  <c:v>17041160.280000016</c:v>
                </c:pt>
              </c:numCache>
            </c:numRef>
          </c:val>
        </c:ser>
        <c:dLbls>
          <c:showLegendKey val="0"/>
          <c:showVal val="0"/>
          <c:showCatName val="0"/>
          <c:showSerName val="0"/>
          <c:showPercent val="0"/>
          <c:showBubbleSize val="0"/>
        </c:dLbls>
        <c:gapWidth val="219"/>
        <c:overlap val="-27"/>
        <c:axId val="546882888"/>
        <c:axId val="546882496"/>
      </c:barChart>
      <c:lineChart>
        <c:grouping val="standard"/>
        <c:varyColors val="0"/>
        <c:ser>
          <c:idx val="3"/>
          <c:order val="3"/>
          <c:tx>
            <c:strRef>
              <c:f>Hoja1!$E$1</c:f>
              <c:strCache>
                <c:ptCount val="1"/>
                <c:pt idx="0">
                  <c:v>Varianza Relativa (%)</c:v>
                </c:pt>
              </c:strCache>
            </c:strRef>
          </c:tx>
          <c:spPr>
            <a:ln w="28575" cap="rnd">
              <a:solidFill>
                <a:schemeClr val="accent4"/>
              </a:solidFill>
              <a:round/>
            </a:ln>
            <a:effectLst/>
          </c:spPr>
          <c:marker>
            <c:symbol val="none"/>
          </c:marker>
          <c:cat>
            <c:numRef>
              <c:f>Hoja1!$A$2:$A$12</c:f>
              <c:numCache>
                <c:formatCode>mmm\-yy</c:formatCode>
                <c:ptCount val="11"/>
                <c:pt idx="0">
                  <c:v>44562</c:v>
                </c:pt>
                <c:pt idx="1">
                  <c:v>44593</c:v>
                </c:pt>
                <c:pt idx="2">
                  <c:v>44621</c:v>
                </c:pt>
                <c:pt idx="3">
                  <c:v>44652</c:v>
                </c:pt>
                <c:pt idx="4">
                  <c:v>44682</c:v>
                </c:pt>
                <c:pt idx="5">
                  <c:v>44713</c:v>
                </c:pt>
                <c:pt idx="6">
                  <c:v>44743</c:v>
                </c:pt>
                <c:pt idx="7">
                  <c:v>44774</c:v>
                </c:pt>
                <c:pt idx="8">
                  <c:v>44805</c:v>
                </c:pt>
                <c:pt idx="9">
                  <c:v>44835</c:v>
                </c:pt>
                <c:pt idx="10">
                  <c:v>44866</c:v>
                </c:pt>
              </c:numCache>
            </c:numRef>
          </c:cat>
          <c:val>
            <c:numRef>
              <c:f>Hoja1!$E$2:$E$12</c:f>
              <c:numCache>
                <c:formatCode>0%</c:formatCode>
                <c:ptCount val="11"/>
                <c:pt idx="0">
                  <c:v>1.1016659705022769</c:v>
                </c:pt>
                <c:pt idx="1">
                  <c:v>1.0496779005430659</c:v>
                </c:pt>
                <c:pt idx="2">
                  <c:v>1.0889860810537897</c:v>
                </c:pt>
                <c:pt idx="3">
                  <c:v>0.99523155572753197</c:v>
                </c:pt>
                <c:pt idx="4">
                  <c:v>1.1854329693342267</c:v>
                </c:pt>
                <c:pt idx="5">
                  <c:v>1.0847826435877681</c:v>
                </c:pt>
                <c:pt idx="6">
                  <c:v>1.116301912195901</c:v>
                </c:pt>
                <c:pt idx="7">
                  <c:v>1.1460322929287818</c:v>
                </c:pt>
                <c:pt idx="8">
                  <c:v>1.0796475393108507</c:v>
                </c:pt>
                <c:pt idx="9">
                  <c:v>1.1114013701002841</c:v>
                </c:pt>
                <c:pt idx="10">
                  <c:v>1.1304477902054904</c:v>
                </c:pt>
              </c:numCache>
            </c:numRef>
          </c:val>
          <c:smooth val="0"/>
        </c:ser>
        <c:dLbls>
          <c:showLegendKey val="0"/>
          <c:showVal val="0"/>
          <c:showCatName val="0"/>
          <c:showSerName val="0"/>
          <c:showPercent val="0"/>
          <c:showBubbleSize val="0"/>
        </c:dLbls>
        <c:marker val="1"/>
        <c:smooth val="0"/>
        <c:axId val="546884456"/>
        <c:axId val="546882104"/>
      </c:lineChart>
      <c:dateAx>
        <c:axId val="546882888"/>
        <c:scaling>
          <c:orientation val="minMax"/>
        </c:scaling>
        <c:delete val="0"/>
        <c:axPos val="b"/>
        <c:numFmt formatCode="mmm\-yy"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882496"/>
        <c:crosses val="autoZero"/>
        <c:auto val="1"/>
        <c:lblOffset val="100"/>
        <c:baseTimeUnit val="months"/>
      </c:dateAx>
      <c:valAx>
        <c:axId val="546882496"/>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882888"/>
        <c:crosses val="autoZero"/>
        <c:crossBetween val="between"/>
      </c:valAx>
      <c:valAx>
        <c:axId val="546882104"/>
        <c:scaling>
          <c:orientation val="minMax"/>
        </c:scaling>
        <c:delete val="0"/>
        <c:axPos val="r"/>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6884456"/>
        <c:crosses val="max"/>
        <c:crossBetween val="between"/>
      </c:valAx>
      <c:dateAx>
        <c:axId val="546884456"/>
        <c:scaling>
          <c:orientation val="minMax"/>
        </c:scaling>
        <c:delete val="1"/>
        <c:axPos val="b"/>
        <c:numFmt formatCode="mmm\-yy" sourceLinked="1"/>
        <c:majorTickMark val="out"/>
        <c:minorTickMark val="none"/>
        <c:tickLblPos val="nextTo"/>
        <c:crossAx val="546882104"/>
        <c:crosses val="autoZero"/>
        <c:auto val="1"/>
        <c:lblOffset val="100"/>
        <c:baseTimeUnit val="months"/>
      </c:date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ysClr val="window" lastClr="FFFFFF">
          <a:lumMod val="50000"/>
        </a:sysClr>
      </a:solidFill>
      <a:round/>
    </a:ln>
    <a:effectLst/>
  </c:spPr>
  <c:txPr>
    <a:bodyPr/>
    <a:lstStyle/>
    <a:p>
      <a:pPr>
        <a:defRPr/>
      </a:pPr>
      <a:endParaRPr lang="en-US"/>
    </a:p>
  </c:txPr>
  <c:externalData r:id="rId4">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a:gsLst>
                  <a:gs pos="100000">
                    <a:schemeClr val="accent1">
                      <a:lumMod val="60000"/>
                      <a:lumOff val="40000"/>
                    </a:schemeClr>
                  </a:gs>
                  <a:gs pos="0">
                    <a:schemeClr val="accent1"/>
                  </a:gs>
                </a:gsLst>
                <a:lin ang="5400000" scaled="0"/>
              </a:gradFill>
              <a:ln w="19050">
                <a:solidFill>
                  <a:schemeClr val="lt1"/>
                </a:solidFill>
              </a:ln>
              <a:effectLst/>
            </c:spPr>
          </c:dPt>
          <c:dPt>
            <c:idx val="1"/>
            <c:bubble3D val="0"/>
            <c:spPr>
              <a:gradFill>
                <a:gsLst>
                  <a:gs pos="100000">
                    <a:schemeClr val="accent2">
                      <a:lumMod val="60000"/>
                      <a:lumOff val="40000"/>
                    </a:schemeClr>
                  </a:gs>
                  <a:gs pos="0">
                    <a:schemeClr val="accent2"/>
                  </a:gs>
                </a:gsLst>
                <a:lin ang="5400000" scaled="0"/>
              </a:gradFill>
              <a:ln w="19050">
                <a:solidFill>
                  <a:schemeClr val="lt1"/>
                </a:solidFill>
              </a:ln>
              <a:effectLst/>
            </c:spPr>
          </c:dPt>
          <c:dPt>
            <c:idx val="2"/>
            <c:bubble3D val="0"/>
            <c:spPr>
              <a:gradFill>
                <a:gsLst>
                  <a:gs pos="100000">
                    <a:schemeClr val="accent3">
                      <a:lumMod val="60000"/>
                      <a:lumOff val="40000"/>
                    </a:schemeClr>
                  </a:gs>
                  <a:gs pos="0">
                    <a:schemeClr val="accent3"/>
                  </a:gs>
                </a:gsLst>
                <a:lin ang="5400000" scaled="0"/>
              </a:gradFill>
              <a:ln w="19050">
                <a:solidFill>
                  <a:schemeClr val="lt1"/>
                </a:solidFill>
              </a:ln>
              <a:effectLst/>
            </c:spPr>
          </c:dPt>
          <c:dPt>
            <c:idx val="3"/>
            <c:bubble3D val="0"/>
            <c:spPr>
              <a:gradFill>
                <a:gsLst>
                  <a:gs pos="100000">
                    <a:schemeClr val="accent4">
                      <a:lumMod val="60000"/>
                      <a:lumOff val="40000"/>
                    </a:schemeClr>
                  </a:gs>
                  <a:gs pos="0">
                    <a:schemeClr val="accent4"/>
                  </a:gs>
                </a:gsLst>
                <a:lin ang="5400000" scaled="0"/>
              </a:gra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dk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1"/>
            <c:leaderLines>
              <c:spPr>
                <a:ln w="9525" cap="flat" cmpd="sng" algn="ctr">
                  <a:solidFill>
                    <a:schemeClr val="dk1">
                      <a:lumMod val="35000"/>
                      <a:lumOff val="65000"/>
                    </a:schemeClr>
                  </a:solidFill>
                  <a:round/>
                </a:ln>
                <a:effectLst/>
              </c:spPr>
            </c:leaderLines>
            <c:extLst>
              <c:ext xmlns:c15="http://schemas.microsoft.com/office/drawing/2012/chart" uri="{CE6537A1-D6FC-4f65-9D91-7224C49458BB}"/>
            </c:extLst>
          </c:dLbls>
          <c:cat>
            <c:strRef>
              <c:f>Servicios!$G$171:$G$174</c:f>
              <c:strCache>
                <c:ptCount val="4"/>
                <c:pt idx="0">
                  <c:v>Al Dia </c:v>
                </c:pt>
                <c:pt idx="1">
                  <c:v>Atraso 2 Trimestres </c:v>
                </c:pt>
                <c:pt idx="2">
                  <c:v>PSA</c:v>
                </c:pt>
                <c:pt idx="3">
                  <c:v>Requerir Estadísticas</c:v>
                </c:pt>
              </c:strCache>
            </c:strRef>
          </c:cat>
          <c:val>
            <c:numRef>
              <c:f>Servicios!$H$171:$H$174</c:f>
              <c:numCache>
                <c:formatCode>0%</c:formatCode>
                <c:ptCount val="4"/>
                <c:pt idx="0">
                  <c:v>0.7</c:v>
                </c:pt>
                <c:pt idx="1">
                  <c:v>0.19</c:v>
                </c:pt>
                <c:pt idx="2">
                  <c:v>7.0000000000000007E-2</c:v>
                </c:pt>
                <c:pt idx="3">
                  <c:v>0.08</c:v>
                </c:pt>
              </c:numCache>
            </c:numRef>
          </c:val>
        </c:ser>
        <c:dLbls>
          <c:dLblPos val="outEnd"/>
          <c:showLegendKey val="0"/>
          <c:showVal val="1"/>
          <c:showCatName val="0"/>
          <c:showSerName val="0"/>
          <c:showPercent val="0"/>
          <c:showBubbleSize val="0"/>
          <c:showLeaderLines val="1"/>
        </c:dLbls>
        <c:firstSliceAng val="0"/>
      </c:pieChart>
      <c:spPr>
        <a:noFill/>
        <a:ln>
          <a:noFill/>
        </a:ln>
        <a:effectLst/>
      </c:spPr>
    </c:plotArea>
    <c:legend>
      <c:legendPos val="r"/>
      <c:overlay val="0"/>
      <c:spPr>
        <a:solidFill>
          <a:schemeClr val="lt1">
            <a:alpha val="50000"/>
          </a:schemeClr>
        </a:solidFill>
        <a:ln>
          <a:noFill/>
        </a:ln>
        <a:effectLst/>
      </c:spPr>
      <c:txPr>
        <a:bodyPr rot="0" spcFirstLastPara="1" vertOverflow="ellipsis" vert="horz" wrap="square" anchor="ctr" anchorCtr="1"/>
        <a:lstStyle/>
        <a:p>
          <a:pPr>
            <a:defRPr sz="900" b="0" i="0" u="none" strike="noStrike" kern="1200" baseline="0">
              <a:solidFill>
                <a:schemeClr val="dk1">
                  <a:lumMod val="65000"/>
                  <a:lumOff val="35000"/>
                </a:schemeClr>
              </a:solidFill>
              <a:latin typeface="+mn-lt"/>
              <a:ea typeface="+mn-ea"/>
              <a:cs typeface="+mn-cs"/>
            </a:defRPr>
          </a:pPr>
          <a:endParaRPr lang="en-US"/>
        </a:p>
      </c:txPr>
    </c:legend>
    <c:plotVisOnly val="1"/>
    <c:dispBlanksAs val="gap"/>
    <c:showDLblsOverMax val="0"/>
  </c:chart>
  <c:spPr>
    <a:pattFill prst="dkDnDiag">
      <a:fgClr>
        <a:schemeClr val="lt1"/>
      </a:fgClr>
      <a:bgClr>
        <a:schemeClr val="dk1">
          <a:lumMod val="10000"/>
          <a:lumOff val="90000"/>
        </a:schemeClr>
      </a:bgClr>
    </a:pattFill>
    <a:ln w="9525" cap="flat" cmpd="sng" algn="ctr">
      <a:solidFill>
        <a:schemeClr val="dk1">
          <a:lumMod val="15000"/>
          <a:lumOff val="85000"/>
        </a:schemeClr>
      </a:solidFill>
      <a:round/>
    </a:ln>
    <a:effectLst/>
  </c:spPr>
  <c:txPr>
    <a:bodyPr/>
    <a:lstStyle/>
    <a:p>
      <a:pPr>
        <a:defRPr/>
      </a:pPr>
      <a:endParaRPr lang="en-US"/>
    </a:p>
  </c:txPr>
  <c:externalData r:id="rId3">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solidFill>
                  <a:srgbClr val="4C4747"/>
                </a:solidFill>
                <a:latin typeface="Times New Roman" panose="02020603050405020304" pitchFamily="18" charset="0"/>
                <a:cs typeface="Times New Roman" panose="02020603050405020304" pitchFamily="18" charset="0"/>
              </a:rPr>
              <a:t>Solicitudes de información </a:t>
            </a:r>
          </a:p>
          <a:p>
            <a:pPr>
              <a:defRPr>
                <a:latin typeface="Times New Roman" panose="02020603050405020304" pitchFamily="18" charset="0"/>
                <a:cs typeface="Times New Roman" panose="02020603050405020304" pitchFamily="18" charset="0"/>
              </a:defRPr>
            </a:pPr>
            <a:r>
              <a:rPr lang="en-US">
                <a:solidFill>
                  <a:srgbClr val="4C4747"/>
                </a:solidFill>
                <a:latin typeface="Times New Roman" panose="02020603050405020304" pitchFamily="18" charset="0"/>
                <a:cs typeface="Times New Roman" panose="02020603050405020304" pitchFamily="18" charset="0"/>
              </a:rPr>
              <a:t>Enero - noviembre de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'[Memoria OAI.xlsx]Estad. Semestral'!$B$8</c:f>
              <c:strCache>
                <c:ptCount val="1"/>
                <c:pt idx="0">
                  <c:v>Total Solicitudes Recibidas</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dLbl>
              <c:idx val="0"/>
              <c:tx>
                <c:rich>
                  <a:bodyPr/>
                  <a:lstStyle/>
                  <a:p>
                    <a:fld id="{F92A4DD6-E05F-443D-B816-CE879F819821}"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10</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
              <c:tx>
                <c:rich>
                  <a:bodyPr/>
                  <a:lstStyle/>
                  <a:p>
                    <a:fld id="{0E14D455-CC59-495B-9808-4D8DF02099B8}"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8</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2"/>
              <c:tx>
                <c:rich>
                  <a:bodyPr/>
                  <a:lstStyle/>
                  <a:p>
                    <a:fld id="{43243A8A-4C5C-4B64-9E49-219EBD6222DF}"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9</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3"/>
              <c:tx>
                <c:rich>
                  <a:bodyPr/>
                  <a:lstStyle/>
                  <a:p>
                    <a:fld id="{1ECC13A5-26C1-4C65-BE03-4EEE31A21EAD}"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8</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4"/>
              <c:tx>
                <c:rich>
                  <a:bodyPr/>
                  <a:lstStyle/>
                  <a:p>
                    <a:fld id="{3EC68E45-52DB-4E45-9A32-6B90B2207D03}"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11</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5"/>
              <c:tx>
                <c:rich>
                  <a:bodyPr/>
                  <a:lstStyle/>
                  <a:p>
                    <a:fld id="{3297E224-13E9-4B1B-B154-8974445DBA3D}"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6</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6"/>
              <c:tx>
                <c:rich>
                  <a:bodyPr/>
                  <a:lstStyle/>
                  <a:p>
                    <a:fld id="{066E19B5-88D3-4787-AC36-E92C77F7E55D}"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6</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7"/>
              <c:tx>
                <c:rich>
                  <a:bodyPr/>
                  <a:lstStyle/>
                  <a:p>
                    <a:fld id="{4AD4C5D9-BAFB-4C5A-A755-2C3482C1D728}"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1</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8"/>
              <c:tx>
                <c:rich>
                  <a:bodyPr/>
                  <a:lstStyle/>
                  <a:p>
                    <a:fld id="{41C93E5D-6FFF-429D-84FC-F22AC8336A31}"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8</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9"/>
              <c:tx>
                <c:rich>
                  <a:bodyPr/>
                  <a:lstStyle/>
                  <a:p>
                    <a:fld id="{3969E27A-21BC-4E7D-90A2-888E400FBC63}"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5</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dLbl>
              <c:idx val="10"/>
              <c:tx>
                <c:rich>
                  <a:bodyPr/>
                  <a:lstStyle/>
                  <a:p>
                    <a:fld id="{961F2DAA-D040-4E6A-B5BF-A9B875EAA0F9}" type="CATEGORYNAME">
                      <a:rPr lang="en-US">
                        <a:latin typeface="Times New Roman" panose="02020603050405020304" pitchFamily="18" charset="0"/>
                        <a:cs typeface="Times New Roman" panose="02020603050405020304" pitchFamily="18" charset="0"/>
                      </a:rPr>
                      <a:pPr/>
                      <a:t>[NOMBRE DE CATEGORÍA]</a:t>
                    </a:fld>
                    <a:r>
                      <a:rPr lang="en-US">
                        <a:latin typeface="Times New Roman" panose="02020603050405020304" pitchFamily="18" charset="0"/>
                        <a:cs typeface="Times New Roman" panose="02020603050405020304" pitchFamily="18" charset="0"/>
                      </a:rPr>
                      <a:t>
6</a:t>
                    </a:r>
                  </a:p>
                </c:rich>
              </c:tx>
              <c:dLblPos val="outEnd"/>
              <c:showLegendKey val="0"/>
              <c:showVal val="0"/>
              <c:showCatName val="1"/>
              <c:showSerName val="0"/>
              <c:showPercent val="1"/>
              <c:showBubbleSize val="0"/>
              <c:extLst>
                <c:ext xmlns:c15="http://schemas.microsoft.com/office/drawing/2012/chart" uri="{CE6537A1-D6FC-4f65-9D91-7224C49458BB}">
                  <c15:dlblFieldTable/>
                  <c15:showDataLabelsRange val="0"/>
                </c:ext>
              </c:extLst>
            </c:dLbl>
            <c:spPr>
              <a:noFill/>
              <a:ln>
                <a:noFill/>
              </a:ln>
              <a:effectLst/>
            </c:spPr>
            <c:txPr>
              <a:bodyPr rot="0" spcFirstLastPara="1" vertOverflow="ellipsis" vert="horz" wrap="square" lIns="38100" tIns="19050" rIns="38100" bIns="19050" anchor="ctr" anchorCtr="1">
                <a:spAutoFit/>
              </a:bodyPr>
              <a:lstStyle/>
              <a:p>
                <a:pPr>
                  <a:defRPr sz="1100" b="0" i="0" u="none" strike="noStrike" kern="1200" baseline="0">
                    <a:solidFill>
                      <a:srgbClr val="4C4747"/>
                    </a:solidFill>
                    <a:latin typeface=""/>
                    <a:ea typeface="+mn-ea"/>
                    <a:cs typeface="Times New Roman" panose="02020603050405020304" pitchFamily="18" charset="0"/>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'[Memoria OAI.xlsx]Estad. Semestral'!$A$9:$A$19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'[Memoria OAI.xlsx]Estad. Semestral'!$B$9:$B$19</c:f>
              <c:numCache>
                <c:formatCode>General</c:formatCode>
                <c:ptCount val="11"/>
                <c:pt idx="0">
                  <c:v>10</c:v>
                </c:pt>
                <c:pt idx="1">
                  <c:v>8</c:v>
                </c:pt>
                <c:pt idx="2">
                  <c:v>9</c:v>
                </c:pt>
                <c:pt idx="3">
                  <c:v>8</c:v>
                </c:pt>
                <c:pt idx="4">
                  <c:v>11</c:v>
                </c:pt>
                <c:pt idx="5">
                  <c:v>6</c:v>
                </c:pt>
                <c:pt idx="6">
                  <c:v>6</c:v>
                </c:pt>
                <c:pt idx="7">
                  <c:v>1</c:v>
                </c:pt>
                <c:pt idx="8">
                  <c:v>8</c:v>
                </c:pt>
                <c:pt idx="9">
                  <c:v>5</c:v>
                </c:pt>
                <c:pt idx="10">
                  <c:v>6</c:v>
                </c:pt>
              </c:numCache>
            </c:numRef>
          </c:val>
        </c:ser>
        <c:ser>
          <c:idx val="1"/>
          <c:order val="1"/>
          <c:tx>
            <c:strRef>
              <c:f>'[Memoria OAI.xlsx]Estad. Semestral'!$C$8</c:f>
              <c:strCache>
                <c:ptCount val="1"/>
                <c:pt idx="0">
                  <c:v>Presencial</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'[Memoria OAI.xlsx]Estad. Semestral'!$A$9:$A$19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'[Memoria OAI.xlsx]Estad. Semestral'!$C$9:$C$19</c:f>
              <c:numCache>
                <c:formatCode>General</c:formatCode>
                <c:ptCount val="11"/>
                <c:pt idx="0">
                  <c:v>1</c:v>
                </c:pt>
                <c:pt idx="1">
                  <c:v>0</c:v>
                </c:pt>
                <c:pt idx="2">
                  <c:v>0</c:v>
                </c:pt>
                <c:pt idx="3">
                  <c:v>1</c:v>
                </c:pt>
                <c:pt idx="4">
                  <c:v>3</c:v>
                </c:pt>
                <c:pt idx="5">
                  <c:v>1</c:v>
                </c:pt>
                <c:pt idx="6">
                  <c:v>0</c:v>
                </c:pt>
                <c:pt idx="7">
                  <c:v>0</c:v>
                </c:pt>
                <c:pt idx="8">
                  <c:v>1</c:v>
                </c:pt>
                <c:pt idx="9">
                  <c:v>0</c:v>
                </c:pt>
                <c:pt idx="10">
                  <c:v>1</c:v>
                </c:pt>
              </c:numCache>
            </c:numRef>
          </c:val>
        </c:ser>
        <c:ser>
          <c:idx val="2"/>
          <c:order val="2"/>
          <c:tx>
            <c:strRef>
              <c:f>'[Memoria OAI.xlsx]Estad. Semestral'!$D$8</c:f>
              <c:strCache>
                <c:ptCount val="1"/>
                <c:pt idx="0">
                  <c:v>Correo Electrónico </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'[Memoria OAI.xlsx]Estad. Semestral'!$A$9:$A$19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'[Memoria OAI.xlsx]Estad. Semestral'!$D$9:$D$19</c:f>
              <c:numCache>
                <c:formatCode>General</c:formatCode>
                <c:ptCount val="11"/>
                <c:pt idx="0">
                  <c:v>0</c:v>
                </c:pt>
                <c:pt idx="1">
                  <c:v>1</c:v>
                </c:pt>
                <c:pt idx="2">
                  <c:v>1</c:v>
                </c:pt>
                <c:pt idx="3">
                  <c:v>0</c:v>
                </c:pt>
                <c:pt idx="4">
                  <c:v>0</c:v>
                </c:pt>
                <c:pt idx="5">
                  <c:v>1</c:v>
                </c:pt>
                <c:pt idx="6">
                  <c:v>3</c:v>
                </c:pt>
                <c:pt idx="7">
                  <c:v>0</c:v>
                </c:pt>
                <c:pt idx="8">
                  <c:v>0</c:v>
                </c:pt>
                <c:pt idx="9">
                  <c:v>1</c:v>
                </c:pt>
                <c:pt idx="10">
                  <c:v>1</c:v>
                </c:pt>
              </c:numCache>
            </c:numRef>
          </c:val>
        </c:ser>
        <c:ser>
          <c:idx val="3"/>
          <c:order val="3"/>
          <c:tx>
            <c:strRef>
              <c:f>'[Memoria OAI.xlsx]Estad. Semestral'!$E$8</c:f>
              <c:strCache>
                <c:ptCount val="1"/>
                <c:pt idx="0">
                  <c:v>SAIP</c:v>
                </c:pt>
              </c:strCache>
            </c:strRef>
          </c:tx>
          <c:dPt>
            <c:idx val="0"/>
            <c:bubble3D val="0"/>
            <c:spPr>
              <a:solidFill>
                <a:schemeClr val="accent1"/>
              </a:solidFill>
              <a:ln w="19050">
                <a:solidFill>
                  <a:schemeClr val="lt1"/>
                </a:solidFill>
              </a:ln>
              <a:effectLst/>
            </c:spPr>
          </c:dPt>
          <c:dPt>
            <c:idx val="1"/>
            <c:bubble3D val="0"/>
            <c:spPr>
              <a:solidFill>
                <a:schemeClr val="accent2"/>
              </a:solidFill>
              <a:ln w="19050">
                <a:solidFill>
                  <a:schemeClr val="lt1"/>
                </a:solidFill>
              </a:ln>
              <a:effectLst/>
            </c:spPr>
          </c:dPt>
          <c:dPt>
            <c:idx val="2"/>
            <c:bubble3D val="0"/>
            <c:spPr>
              <a:solidFill>
                <a:schemeClr val="accent3"/>
              </a:solidFill>
              <a:ln w="19050">
                <a:solidFill>
                  <a:schemeClr val="lt1"/>
                </a:solidFill>
              </a:ln>
              <a:effectLst/>
            </c:spPr>
          </c:dPt>
          <c:dPt>
            <c:idx val="3"/>
            <c:bubble3D val="0"/>
            <c:spPr>
              <a:solidFill>
                <a:schemeClr val="accent4"/>
              </a:solidFill>
              <a:ln w="19050">
                <a:solidFill>
                  <a:schemeClr val="lt1"/>
                </a:solidFill>
              </a:ln>
              <a:effectLst/>
            </c:spPr>
          </c:dPt>
          <c:dPt>
            <c:idx val="4"/>
            <c:bubble3D val="0"/>
            <c:spPr>
              <a:solidFill>
                <a:schemeClr val="accent5"/>
              </a:solidFill>
              <a:ln w="19050">
                <a:solidFill>
                  <a:schemeClr val="lt1"/>
                </a:solidFill>
              </a:ln>
              <a:effectLst/>
            </c:spPr>
          </c:dPt>
          <c:dPt>
            <c:idx val="5"/>
            <c:bubble3D val="0"/>
            <c:spPr>
              <a:solidFill>
                <a:schemeClr val="accent6"/>
              </a:solidFill>
              <a:ln w="19050">
                <a:solidFill>
                  <a:schemeClr val="lt1"/>
                </a:solidFill>
              </a:ln>
              <a:effectLst/>
            </c:spPr>
          </c:dPt>
          <c:dPt>
            <c:idx val="6"/>
            <c:bubble3D val="0"/>
            <c:spPr>
              <a:solidFill>
                <a:schemeClr val="accent1">
                  <a:lumMod val="60000"/>
                </a:schemeClr>
              </a:solidFill>
              <a:ln w="19050">
                <a:solidFill>
                  <a:schemeClr val="lt1"/>
                </a:solidFill>
              </a:ln>
              <a:effectLst/>
            </c:spPr>
          </c:dPt>
          <c:dPt>
            <c:idx val="7"/>
            <c:bubble3D val="0"/>
            <c:spPr>
              <a:solidFill>
                <a:schemeClr val="accent2">
                  <a:lumMod val="60000"/>
                </a:schemeClr>
              </a:solidFill>
              <a:ln w="19050">
                <a:solidFill>
                  <a:schemeClr val="lt1"/>
                </a:solidFill>
              </a:ln>
              <a:effectLst/>
            </c:spPr>
          </c:dPt>
          <c:dPt>
            <c:idx val="8"/>
            <c:bubble3D val="0"/>
            <c:spPr>
              <a:solidFill>
                <a:schemeClr val="accent3">
                  <a:lumMod val="60000"/>
                </a:schemeClr>
              </a:solidFill>
              <a:ln w="19050">
                <a:solidFill>
                  <a:schemeClr val="lt1"/>
                </a:solidFill>
              </a:ln>
              <a:effectLst/>
            </c:spPr>
          </c:dPt>
          <c:dPt>
            <c:idx val="9"/>
            <c:bubble3D val="0"/>
            <c:spPr>
              <a:solidFill>
                <a:schemeClr val="accent4">
                  <a:lumMod val="60000"/>
                </a:schemeClr>
              </a:solidFill>
              <a:ln w="19050">
                <a:solidFill>
                  <a:schemeClr val="lt1"/>
                </a:solidFill>
              </a:ln>
              <a:effectLst/>
            </c:spPr>
          </c:dPt>
          <c:dPt>
            <c:idx val="10"/>
            <c:bubble3D val="0"/>
            <c:spPr>
              <a:solidFill>
                <a:schemeClr val="accent5">
                  <a:lumMod val="60000"/>
                </a:schemeClr>
              </a:solidFill>
              <a:ln w="19050">
                <a:solidFill>
                  <a:schemeClr val="lt1"/>
                </a:solidFill>
              </a:ln>
              <a:effectLst/>
            </c:spPr>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0"/>
            <c:showCatName val="1"/>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'[Memoria OAI.xlsx]Estad. Semestral'!$A$9:$A$19</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'[Memoria OAI.xlsx]Estad. Semestral'!$E$9:$E$19</c:f>
              <c:numCache>
                <c:formatCode>General</c:formatCode>
                <c:ptCount val="11"/>
                <c:pt idx="0">
                  <c:v>9</c:v>
                </c:pt>
                <c:pt idx="1">
                  <c:v>7</c:v>
                </c:pt>
                <c:pt idx="2">
                  <c:v>8</c:v>
                </c:pt>
                <c:pt idx="3">
                  <c:v>7</c:v>
                </c:pt>
                <c:pt idx="4">
                  <c:v>8</c:v>
                </c:pt>
                <c:pt idx="5">
                  <c:v>4</c:v>
                </c:pt>
                <c:pt idx="6">
                  <c:v>3</c:v>
                </c:pt>
                <c:pt idx="7">
                  <c:v>1</c:v>
                </c:pt>
                <c:pt idx="8">
                  <c:v>7</c:v>
                </c:pt>
                <c:pt idx="9">
                  <c:v>4</c:v>
                </c:pt>
                <c:pt idx="10">
                  <c:v>4</c:v>
                </c:pt>
              </c:numCache>
            </c:numRef>
          </c:val>
        </c:ser>
        <c:dLbls>
          <c:dLblPos val="out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es-ES"/>
  <c:roundedCorners val="1"/>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solidFill>
                  <a:srgbClr val="767171"/>
                </a:solidFill>
              </a:rPr>
              <a:t>Sistema de Atención Ciudadana 3-1-1 </a:t>
            </a:r>
            <a:r>
              <a:rPr lang="en-US" sz="1200">
                <a:solidFill>
                  <a:srgbClr val="767171"/>
                </a:solidFill>
              </a:rPr>
              <a:t>de Quejas, Reclamaciones Y Sugerencias 2022</a:t>
            </a:r>
            <a:endParaRPr lang="es-DO" sz="1200">
              <a:solidFill>
                <a:srgbClr val="767171"/>
              </a:solidFill>
            </a:endParaRPr>
          </a:p>
        </c:rich>
      </c:tx>
      <c:overlay val="0"/>
      <c:spPr>
        <a:noFill/>
        <a:ln>
          <a:noFill/>
        </a:ln>
        <a:effectLst/>
      </c:spPr>
      <c:txPr>
        <a:bodyPr rot="0" spcFirstLastPara="1" vertOverflow="ellipsis" vert="horz" wrap="square" anchor="ctr" anchorCtr="1"/>
        <a:lstStyle/>
        <a:p>
          <a:pPr>
            <a:defRPr sz="12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4.7212963735055055E-2"/>
          <c:y val="0.20291545189504376"/>
          <c:w val="0.9265641416608098"/>
          <c:h val="0.6273002609367706"/>
        </c:manualLayout>
      </c:layout>
      <c:barChart>
        <c:barDir val="col"/>
        <c:grouping val="clustered"/>
        <c:varyColors val="0"/>
        <c:ser>
          <c:idx val="0"/>
          <c:order val="0"/>
          <c:tx>
            <c:strRef>
              <c:f>'Cuarto Trimestre 2021'!$A$8</c:f>
              <c:strCache>
                <c:ptCount val="1"/>
                <c:pt idx="0">
                  <c:v>Enero</c:v>
                </c:pt>
              </c:strCache>
            </c:strRef>
          </c:tx>
          <c:spPr>
            <a:solidFill>
              <a:schemeClr val="accent1"/>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0-6FA8-0644-851E-4F3309009EA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1-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eparator>, </c:separator>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2021'!$B$8:$D$8</c:f>
              <c:numCache>
                <c:formatCode>General</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2-6FA8-0644-851E-4F3309009EA8}"/>
            </c:ext>
          </c:extLst>
        </c:ser>
        <c:ser>
          <c:idx val="1"/>
          <c:order val="1"/>
          <c:tx>
            <c:strRef>
              <c:f>'Cuarto Trimestre 2021'!$A$9</c:f>
              <c:strCache>
                <c:ptCount val="1"/>
                <c:pt idx="0">
                  <c:v>Febrero</c:v>
                </c:pt>
              </c:strCache>
            </c:strRef>
          </c:tx>
          <c:spPr>
            <a:solidFill>
              <a:schemeClr val="accent2"/>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3-6FA8-0644-851E-4F3309009EA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4-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2021'!$B$9:$D$9</c:f>
              <c:numCache>
                <c:formatCode>General</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5-6FA8-0644-851E-4F3309009EA8}"/>
            </c:ext>
          </c:extLst>
        </c:ser>
        <c:ser>
          <c:idx val="2"/>
          <c:order val="2"/>
          <c:tx>
            <c:strRef>
              <c:f>'Cuarto Trimestre 2021'!$A$10</c:f>
              <c:strCache>
                <c:ptCount val="1"/>
                <c:pt idx="0">
                  <c:v>Marzo</c:v>
                </c:pt>
              </c:strCache>
            </c:strRef>
          </c:tx>
          <c:spPr>
            <a:solidFill>
              <a:schemeClr val="accent3"/>
            </a:solidFill>
            <a:ln>
              <a:noFill/>
            </a:ln>
            <a:effectLst/>
          </c:spPr>
          <c:invertIfNegative val="0"/>
          <c:dLbls>
            <c:delete val="1"/>
          </c:dLbls>
          <c:cat>
            <c:strRef>
              <c:f>'Cuarto Trimestre 2021'!$B$7:$D$7</c:f>
              <c:strCache>
                <c:ptCount val="3"/>
                <c:pt idx="0">
                  <c:v>Quejas</c:v>
                </c:pt>
                <c:pt idx="1">
                  <c:v>Reclamaciones</c:v>
                </c:pt>
                <c:pt idx="2">
                  <c:v>Sugerencias</c:v>
                </c:pt>
              </c:strCache>
            </c:strRef>
          </c:cat>
          <c:val>
            <c:numRef>
              <c:f>'Cuarto Trimestre 2021'!$B$10:$D$10</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06-6FA8-0644-851E-4F3309009EA8}"/>
            </c:ext>
          </c:extLst>
        </c:ser>
        <c:ser>
          <c:idx val="3"/>
          <c:order val="3"/>
          <c:tx>
            <c:strRef>
              <c:f>'Cuarto Trimestre 2021'!$A$11</c:f>
              <c:strCache>
                <c:ptCount val="1"/>
                <c:pt idx="0">
                  <c:v>Abril</c:v>
                </c:pt>
              </c:strCache>
            </c:strRef>
          </c:tx>
          <c:spPr>
            <a:solidFill>
              <a:schemeClr val="accent4"/>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7-6FA8-0644-851E-4F3309009EA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8-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2021'!$B$11:$D$11</c:f>
              <c:numCache>
                <c:formatCode>General</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9-6FA8-0644-851E-4F3309009EA8}"/>
            </c:ext>
          </c:extLst>
        </c:ser>
        <c:ser>
          <c:idx val="4"/>
          <c:order val="4"/>
          <c:tx>
            <c:strRef>
              <c:f>'Cuarto Trimestre 2021'!$A$12</c:f>
              <c:strCache>
                <c:ptCount val="1"/>
                <c:pt idx="0">
                  <c:v>Mayo</c:v>
                </c:pt>
              </c:strCache>
            </c:strRef>
          </c:tx>
          <c:spPr>
            <a:solidFill>
              <a:schemeClr val="accent5"/>
            </a:solidFill>
            <a:ln>
              <a:noFill/>
            </a:ln>
            <a:effectLst/>
          </c:spPr>
          <c:invertIfNegative val="0"/>
          <c:dLbls>
            <c:dLbl>
              <c:idx val="2"/>
              <c:delete val="1"/>
              <c:extLst xmlns:c16r2="http://schemas.microsoft.com/office/drawing/2015/06/chart">
                <c:ext xmlns:c16="http://schemas.microsoft.com/office/drawing/2014/chart" uri="{C3380CC4-5D6E-409C-BE32-E72D297353CC}">
                  <c16:uniqueId val="{0000000A-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2021'!$B$12:$D$12</c:f>
              <c:numCache>
                <c:formatCode>General</c:formatCode>
                <c:ptCount val="3"/>
                <c:pt idx="0">
                  <c:v>2</c:v>
                </c:pt>
                <c:pt idx="1">
                  <c:v>1</c:v>
                </c:pt>
                <c:pt idx="2">
                  <c:v>0</c:v>
                </c:pt>
              </c:numCache>
            </c:numRef>
          </c:val>
          <c:extLst xmlns:c16r2="http://schemas.microsoft.com/office/drawing/2015/06/chart">
            <c:ext xmlns:c16="http://schemas.microsoft.com/office/drawing/2014/chart" uri="{C3380CC4-5D6E-409C-BE32-E72D297353CC}">
              <c16:uniqueId val="{0000000B-6FA8-0644-851E-4F3309009EA8}"/>
            </c:ext>
          </c:extLst>
        </c:ser>
        <c:ser>
          <c:idx val="5"/>
          <c:order val="5"/>
          <c:tx>
            <c:strRef>
              <c:f>'Cuarto Trimestre 2021'!$A$13</c:f>
              <c:strCache>
                <c:ptCount val="1"/>
                <c:pt idx="0">
                  <c:v>Junio</c:v>
                </c:pt>
              </c:strCache>
            </c:strRef>
          </c:tx>
          <c:spPr>
            <a:solidFill>
              <a:schemeClr val="accent6"/>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0C-6FA8-0644-851E-4F3309009EA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0D-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2021'!$B$13:$D$13</c:f>
              <c:numCache>
                <c:formatCode>General</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0E-6FA8-0644-851E-4F3309009EA8}"/>
            </c:ext>
          </c:extLst>
        </c:ser>
        <c:ser>
          <c:idx val="6"/>
          <c:order val="6"/>
          <c:tx>
            <c:strRef>
              <c:f>'Cuarto Trimestre 2021'!$A$14</c:f>
              <c:strCache>
                <c:ptCount val="1"/>
                <c:pt idx="0">
                  <c:v>Julio</c:v>
                </c:pt>
              </c:strCache>
            </c:strRef>
          </c:tx>
          <c:spPr>
            <a:solidFill>
              <a:srgbClr val="FFFF00"/>
            </a:solidFill>
            <a:ln>
              <a:noFill/>
            </a:ln>
            <a:effectLst/>
          </c:spPr>
          <c:invertIfNegative val="0"/>
          <c:dLbls>
            <c:delete val="1"/>
          </c:dLbls>
          <c:cat>
            <c:strRef>
              <c:f>'Cuarto Trimestre 2021'!$B$7:$D$7</c:f>
              <c:strCache>
                <c:ptCount val="3"/>
                <c:pt idx="0">
                  <c:v>Quejas</c:v>
                </c:pt>
                <c:pt idx="1">
                  <c:v>Reclamaciones</c:v>
                </c:pt>
                <c:pt idx="2">
                  <c:v>Sugerencias</c:v>
                </c:pt>
              </c:strCache>
            </c:strRef>
          </c:cat>
          <c:val>
            <c:numRef>
              <c:f>'Cuarto Trimestre 2021'!$B$14:$D$14</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11-6FA8-0644-851E-4F3309009EA8}"/>
            </c:ext>
          </c:extLst>
        </c:ser>
        <c:ser>
          <c:idx val="7"/>
          <c:order val="7"/>
          <c:tx>
            <c:strRef>
              <c:f>'Cuarto Trimestre 2021'!$A$15</c:f>
              <c:strCache>
                <c:ptCount val="1"/>
                <c:pt idx="0">
                  <c:v>Agosto</c:v>
                </c:pt>
              </c:strCache>
            </c:strRef>
          </c:tx>
          <c:spPr>
            <a:solidFill>
              <a:schemeClr val="tx1"/>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12-6FA8-0644-851E-4F3309009EA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3-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2021'!$B$15:$D$15</c:f>
              <c:numCache>
                <c:formatCode>General</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14-6FA8-0644-851E-4F3309009EA8}"/>
            </c:ext>
          </c:extLst>
        </c:ser>
        <c:ser>
          <c:idx val="8"/>
          <c:order val="8"/>
          <c:tx>
            <c:strRef>
              <c:f>'Cuarto Trimestre 2021'!$A$16</c:f>
              <c:strCache>
                <c:ptCount val="1"/>
                <c:pt idx="0">
                  <c:v>Septiembre</c:v>
                </c:pt>
              </c:strCache>
            </c:strRef>
          </c:tx>
          <c:spPr>
            <a:solidFill>
              <a:schemeClr val="accent3">
                <a:lumMod val="60000"/>
              </a:schemeClr>
            </a:solidFill>
            <a:ln>
              <a:noFill/>
            </a:ln>
            <a:effectLst/>
          </c:spPr>
          <c:invertIfNegative val="0"/>
          <c:dLbls>
            <c:dLbl>
              <c:idx val="1"/>
              <c:delete val="1"/>
              <c:extLst xmlns:c16r2="http://schemas.microsoft.com/office/drawing/2015/06/chart">
                <c:ext xmlns:c16="http://schemas.microsoft.com/office/drawing/2014/chart" uri="{C3380CC4-5D6E-409C-BE32-E72D297353CC}">
                  <c16:uniqueId val="{00000015-6FA8-0644-851E-4F3309009EA8}"/>
                </c:ext>
                <c:ext xmlns:c15="http://schemas.microsoft.com/office/drawing/2012/chart" uri="{CE6537A1-D6FC-4f65-9D91-7224C49458BB}"/>
              </c:extLst>
            </c:dLbl>
            <c:dLbl>
              <c:idx val="2"/>
              <c:delete val="1"/>
              <c:extLst xmlns:c16r2="http://schemas.microsoft.com/office/drawing/2015/06/chart">
                <c:ext xmlns:c16="http://schemas.microsoft.com/office/drawing/2014/chart" uri="{C3380CC4-5D6E-409C-BE32-E72D297353CC}">
                  <c16:uniqueId val="{00000016-6FA8-0644-851E-4F3309009EA8}"/>
                </c:ext>
                <c:ext xmlns:c15="http://schemas.microsoft.com/office/drawing/2012/chart" uri="{CE6537A1-D6FC-4f65-9D91-7224C49458BB}"/>
              </c:extLst>
            </c:dLbl>
            <c:spPr>
              <a:noFill/>
              <a:ln>
                <a:noFill/>
              </a:ln>
              <a:effectLst/>
            </c:spPr>
            <c:txPr>
              <a:bodyPr rot="0" spcFirstLastPara="1" vertOverflow="ellipsis" vert="horz" wrap="square" anchor="ctr" anchorCtr="1"/>
              <a:lstStyle/>
              <a:p>
                <a:pPr>
                  <a:defRPr sz="900" b="1"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in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'Cuarto Trimestre 2021'!$B$7:$D$7</c:f>
              <c:strCache>
                <c:ptCount val="3"/>
                <c:pt idx="0">
                  <c:v>Quejas</c:v>
                </c:pt>
                <c:pt idx="1">
                  <c:v>Reclamaciones</c:v>
                </c:pt>
                <c:pt idx="2">
                  <c:v>Sugerencias</c:v>
                </c:pt>
              </c:strCache>
            </c:strRef>
          </c:cat>
          <c:val>
            <c:numRef>
              <c:f>'Cuarto Trimestre 2021'!$B$16:$D$16</c:f>
              <c:numCache>
                <c:formatCode>General</c:formatCode>
                <c:ptCount val="3"/>
                <c:pt idx="0">
                  <c:v>1</c:v>
                </c:pt>
                <c:pt idx="1">
                  <c:v>0</c:v>
                </c:pt>
                <c:pt idx="2">
                  <c:v>0</c:v>
                </c:pt>
              </c:numCache>
            </c:numRef>
          </c:val>
          <c:extLst xmlns:c16r2="http://schemas.microsoft.com/office/drawing/2015/06/chart">
            <c:ext xmlns:c16="http://schemas.microsoft.com/office/drawing/2014/chart" uri="{C3380CC4-5D6E-409C-BE32-E72D297353CC}">
              <c16:uniqueId val="{00000017-6FA8-0644-851E-4F3309009EA8}"/>
            </c:ext>
          </c:extLst>
        </c:ser>
        <c:ser>
          <c:idx val="9"/>
          <c:order val="9"/>
          <c:tx>
            <c:strRef>
              <c:f>'Cuarto Trimestre 2021'!$A$17</c:f>
              <c:strCache>
                <c:ptCount val="1"/>
                <c:pt idx="0">
                  <c:v>Octubre</c:v>
                </c:pt>
              </c:strCache>
            </c:strRef>
          </c:tx>
          <c:spPr>
            <a:solidFill>
              <a:srgbClr val="7030A0"/>
            </a:solidFill>
            <a:ln>
              <a:noFill/>
            </a:ln>
            <a:effectLst/>
          </c:spPr>
          <c:invertIfNegative val="0"/>
          <c:dLbls>
            <c:delete val="1"/>
          </c:dLbls>
          <c:cat>
            <c:strRef>
              <c:f>'Cuarto Trimestre 2021'!$B$7:$D$7</c:f>
              <c:strCache>
                <c:ptCount val="3"/>
                <c:pt idx="0">
                  <c:v>Quejas</c:v>
                </c:pt>
                <c:pt idx="1">
                  <c:v>Reclamaciones</c:v>
                </c:pt>
                <c:pt idx="2">
                  <c:v>Sugerencias</c:v>
                </c:pt>
              </c:strCache>
            </c:strRef>
          </c:cat>
          <c:val>
            <c:numRef>
              <c:f>'Cuarto Trimestre 2021'!$B$17:$D$17</c:f>
              <c:numCache>
                <c:formatCode>General</c:formatCode>
                <c:ptCount val="3"/>
                <c:pt idx="0">
                  <c:v>0</c:v>
                </c:pt>
                <c:pt idx="1">
                  <c:v>1</c:v>
                </c:pt>
                <c:pt idx="2">
                  <c:v>0</c:v>
                </c:pt>
              </c:numCache>
            </c:numRef>
          </c:val>
          <c:extLst xmlns:c16r2="http://schemas.microsoft.com/office/drawing/2015/06/chart">
            <c:ext xmlns:c16="http://schemas.microsoft.com/office/drawing/2014/chart" uri="{C3380CC4-5D6E-409C-BE32-E72D297353CC}">
              <c16:uniqueId val="{0000001A-6FA8-0644-851E-4F3309009EA8}"/>
            </c:ext>
          </c:extLst>
        </c:ser>
        <c:ser>
          <c:idx val="10"/>
          <c:order val="10"/>
          <c:tx>
            <c:strRef>
              <c:f>'Cuarto Trimestre 2021'!$A$18</c:f>
              <c:strCache>
                <c:ptCount val="1"/>
                <c:pt idx="0">
                  <c:v>Noviembre</c:v>
                </c:pt>
              </c:strCache>
            </c:strRef>
          </c:tx>
          <c:spPr>
            <a:solidFill>
              <a:srgbClr val="FF0000"/>
            </a:solidFill>
            <a:ln>
              <a:noFill/>
            </a:ln>
            <a:effectLst/>
          </c:spPr>
          <c:invertIfNegative val="0"/>
          <c:dLbls>
            <c:delete val="1"/>
          </c:dLbls>
          <c:cat>
            <c:strRef>
              <c:f>'Cuarto Trimestre 2021'!$B$7:$D$7</c:f>
              <c:strCache>
                <c:ptCount val="3"/>
                <c:pt idx="0">
                  <c:v>Quejas</c:v>
                </c:pt>
                <c:pt idx="1">
                  <c:v>Reclamaciones</c:v>
                </c:pt>
                <c:pt idx="2">
                  <c:v>Sugerencias</c:v>
                </c:pt>
              </c:strCache>
            </c:strRef>
          </c:cat>
          <c:val>
            <c:numRef>
              <c:f>'Cuarto Trimestre 2021'!$B$18:$D$18</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1B-6FA8-0644-851E-4F3309009EA8}"/>
            </c:ext>
          </c:extLst>
        </c:ser>
        <c:ser>
          <c:idx val="11"/>
          <c:order val="11"/>
          <c:tx>
            <c:strRef>
              <c:f>'Cuarto Trimestre 2021'!$A$19</c:f>
              <c:strCache>
                <c:ptCount val="1"/>
                <c:pt idx="0">
                  <c:v>Diciembre</c:v>
                </c:pt>
              </c:strCache>
            </c:strRef>
          </c:tx>
          <c:spPr>
            <a:solidFill>
              <a:srgbClr val="FFFF00"/>
            </a:solidFill>
            <a:ln>
              <a:noFill/>
            </a:ln>
            <a:effectLst/>
          </c:spPr>
          <c:invertIfNegative val="0"/>
          <c:dLbls>
            <c:delete val="1"/>
          </c:dLbls>
          <c:cat>
            <c:strRef>
              <c:f>'Cuarto Trimestre 2021'!$B$7:$D$7</c:f>
              <c:strCache>
                <c:ptCount val="3"/>
                <c:pt idx="0">
                  <c:v>Quejas</c:v>
                </c:pt>
                <c:pt idx="1">
                  <c:v>Reclamaciones</c:v>
                </c:pt>
                <c:pt idx="2">
                  <c:v>Sugerencias</c:v>
                </c:pt>
              </c:strCache>
            </c:strRef>
          </c:cat>
          <c:val>
            <c:numRef>
              <c:f>'Cuarto Trimestre 2021'!$B$19:$D$19</c:f>
              <c:numCache>
                <c:formatCode>General</c:formatCode>
                <c:ptCount val="3"/>
                <c:pt idx="0">
                  <c:v>0</c:v>
                </c:pt>
                <c:pt idx="1">
                  <c:v>0</c:v>
                </c:pt>
                <c:pt idx="2">
                  <c:v>0</c:v>
                </c:pt>
              </c:numCache>
            </c:numRef>
          </c:val>
          <c:extLst xmlns:c16r2="http://schemas.microsoft.com/office/drawing/2015/06/chart">
            <c:ext xmlns:c16="http://schemas.microsoft.com/office/drawing/2014/chart" uri="{C3380CC4-5D6E-409C-BE32-E72D297353CC}">
              <c16:uniqueId val="{0000001C-6FA8-0644-851E-4F3309009EA8}"/>
            </c:ext>
          </c:extLst>
        </c:ser>
        <c:dLbls>
          <c:dLblPos val="inEnd"/>
          <c:showLegendKey val="0"/>
          <c:showVal val="1"/>
          <c:showCatName val="0"/>
          <c:showSerName val="0"/>
          <c:showPercent val="0"/>
          <c:showBubbleSize val="0"/>
        </c:dLbls>
        <c:gapWidth val="219"/>
        <c:overlap val="-27"/>
        <c:axId val="365542848"/>
        <c:axId val="365544808"/>
      </c:barChart>
      <c:catAx>
        <c:axId val="365542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5544808"/>
        <c:crosses val="autoZero"/>
        <c:auto val="1"/>
        <c:lblAlgn val="ctr"/>
        <c:lblOffset val="100"/>
        <c:noMultiLvlLbl val="0"/>
      </c:catAx>
      <c:valAx>
        <c:axId val="365544808"/>
        <c:scaling>
          <c:orientation val="minMax"/>
        </c:scaling>
        <c:delete val="0"/>
        <c:axPos val="l"/>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365542848"/>
        <c:crosses val="autoZero"/>
        <c:crossBetween val="between"/>
      </c:valAx>
      <c:spPr>
        <a:noFill/>
        <a:ln>
          <a:noFill/>
        </a:ln>
        <a:effectLst/>
      </c:spPr>
    </c:plotArea>
    <c:legend>
      <c:legendPos val="b"/>
      <c:legendEntry>
        <c:idx val="11"/>
        <c:delete val="1"/>
      </c:legendEntry>
      <c:layout>
        <c:manualLayout>
          <c:xMode val="edge"/>
          <c:yMode val="edge"/>
          <c:x val="4.999996029240672E-2"/>
          <c:y val="0.91165513401733878"/>
          <c:w val="0.91008564927871161"/>
          <c:h val="8.4304461942257214E-2"/>
        </c:manualLayout>
      </c:layout>
      <c:overlay val="0"/>
      <c:spPr>
        <a:noFill/>
        <a:ln>
          <a:noFill/>
        </a:ln>
        <a:effectLst/>
      </c:spPr>
      <c:txPr>
        <a:bodyPr rot="0" spcFirstLastPara="1" vertOverflow="ellipsis" vert="horz" wrap="square" anchor="ctr" anchorCtr="1"/>
        <a:lstStyle/>
        <a:p>
          <a:pPr>
            <a:defRPr sz="900" b="0" i="0" u="none" strike="noStrike" kern="1200" baseline="0">
              <a:solidFill>
                <a:srgbClr val="767171"/>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no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defRPr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Evaluación del Portal de Transparencia </a:t>
            </a:r>
          </a:p>
          <a:p>
            <a:pPr>
              <a:defRPr sz="1200">
                <a:latin typeface="Times New Roman" panose="02020603050405020304" pitchFamily="18" charset="0"/>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Enero - noviembre de 2022</a:t>
            </a:r>
          </a:p>
        </c:rich>
      </c:tx>
      <c:overlay val="0"/>
      <c:spPr>
        <a:noFill/>
        <a:ln>
          <a:noFill/>
        </a:ln>
        <a:effectLst/>
      </c:spPr>
      <c:txPr>
        <a:bodyPr rot="0" spcFirstLastPara="1" vertOverflow="ellipsis" vert="horz" wrap="square" anchor="ctr" anchorCtr="1"/>
        <a:lstStyle/>
        <a:p>
          <a:pPr>
            <a:defRPr sz="1200" b="1" i="0" u="none" strike="noStrike" kern="1200" baseline="0">
              <a:solidFill>
                <a:schemeClr val="bg1">
                  <a:lumMod val="50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'[Memoria DIGEIG.xlsx]Evaluaciones DIGEIG 2022'!$C$5</c:f>
              <c:strCache>
                <c:ptCount val="1"/>
                <c:pt idx="0">
                  <c:v>Puntuacion</c:v>
                </c:pt>
              </c:strCache>
            </c:strRef>
          </c:tx>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c:spPr>
          <c:invertIfNegative val="0"/>
          <c:dPt>
            <c:idx val="0"/>
            <c:invertIfNegative val="0"/>
            <c:bubble3D val="0"/>
            <c:extLst xmlns:c16r2="http://schemas.microsoft.com/office/drawing/2015/06/chart">
              <c:ext xmlns:c16="http://schemas.microsoft.com/office/drawing/2014/chart" uri="{C3380CC4-5D6E-409C-BE32-E72D297353CC}">
                <c16:uniqueId val="{00000001-2FC5-B947-AF21-98CE9967B4B6}"/>
              </c:ext>
            </c:extLst>
          </c:dPt>
          <c:dPt>
            <c:idx val="1"/>
            <c:invertIfNegative val="0"/>
            <c:bubble3D val="0"/>
            <c:extLst xmlns:c16r2="http://schemas.microsoft.com/office/drawing/2015/06/chart">
              <c:ext xmlns:c16="http://schemas.microsoft.com/office/drawing/2014/chart" uri="{C3380CC4-5D6E-409C-BE32-E72D297353CC}">
                <c16:uniqueId val="{00000003-2FC5-B947-AF21-98CE9967B4B6}"/>
              </c:ext>
            </c:extLst>
          </c:dPt>
          <c:dPt>
            <c:idx val="2"/>
            <c:invertIfNegative val="0"/>
            <c:bubble3D val="0"/>
            <c:extLst xmlns:c16r2="http://schemas.microsoft.com/office/drawing/2015/06/chart">
              <c:ext xmlns:c16="http://schemas.microsoft.com/office/drawing/2014/chart" uri="{C3380CC4-5D6E-409C-BE32-E72D297353CC}">
                <c16:uniqueId val="{00000005-2FC5-B947-AF21-98CE9967B4B6}"/>
              </c:ext>
            </c:extLst>
          </c:dPt>
          <c:dPt>
            <c:idx val="3"/>
            <c:invertIfNegative val="0"/>
            <c:bubble3D val="0"/>
            <c:extLst xmlns:c16r2="http://schemas.microsoft.com/office/drawing/2015/06/chart">
              <c:ext xmlns:c16="http://schemas.microsoft.com/office/drawing/2014/chart" uri="{C3380CC4-5D6E-409C-BE32-E72D297353CC}">
                <c16:uniqueId val="{00000007-2FC5-B947-AF21-98CE9967B4B6}"/>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rgbClr val="4C4747"/>
                    </a:solidFill>
                    <a:latin typeface="+mn-lt"/>
                    <a:ea typeface="+mn-ea"/>
                    <a:cs typeface="+mn-cs"/>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'[Memoria DIGEIG.xlsx]Evaluaciones DIGEIG 2022'!$B$6:$B$16</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'[Memoria DIGEIG.xlsx]Evaluaciones DIGEIG 2022'!$C$6:$C$16</c:f>
              <c:numCache>
                <c:formatCode>0.0%</c:formatCode>
                <c:ptCount val="11"/>
                <c:pt idx="0">
                  <c:v>0.98499999999999999</c:v>
                </c:pt>
                <c:pt idx="1">
                  <c:v>0.98499999999999999</c:v>
                </c:pt>
                <c:pt idx="2">
                  <c:v>0.96</c:v>
                </c:pt>
                <c:pt idx="3">
                  <c:v>0.95</c:v>
                </c:pt>
                <c:pt idx="4">
                  <c:v>0.98</c:v>
                </c:pt>
                <c:pt idx="5">
                  <c:v>0.95</c:v>
                </c:pt>
                <c:pt idx="6" formatCode="0.00%">
                  <c:v>0.92749999999999999</c:v>
                </c:pt>
                <c:pt idx="7" formatCode="0.00%">
                  <c:v>0.94750000000000001</c:v>
                </c:pt>
                <c:pt idx="8" formatCode="0.00%">
                  <c:v>0.94750000000000001</c:v>
                </c:pt>
                <c:pt idx="9" formatCode="0.00%">
                  <c:v>0</c:v>
                </c:pt>
                <c:pt idx="10" formatCode="0.00%">
                  <c:v>0</c:v>
                </c:pt>
              </c:numCache>
            </c:numRef>
          </c:val>
          <c:extLst xmlns:c16r2="http://schemas.microsoft.com/office/drawing/2015/06/chart">
            <c:ext xmlns:c16="http://schemas.microsoft.com/office/drawing/2014/chart" uri="{C3380CC4-5D6E-409C-BE32-E72D297353CC}">
              <c16:uniqueId val="{00000008-2FC5-B947-AF21-98CE9967B4B6}"/>
            </c:ext>
          </c:extLst>
        </c:ser>
        <c:dLbls>
          <c:dLblPos val="outEnd"/>
          <c:showLegendKey val="0"/>
          <c:showVal val="1"/>
          <c:showCatName val="0"/>
          <c:showSerName val="0"/>
          <c:showPercent val="0"/>
          <c:showBubbleSize val="0"/>
        </c:dLbls>
        <c:gapWidth val="100"/>
        <c:overlap val="-24"/>
        <c:axId val="365544416"/>
        <c:axId val="365543632"/>
      </c:barChart>
      <c:catAx>
        <c:axId val="365544416"/>
        <c:scaling>
          <c:orientation val="minMax"/>
        </c:scaling>
        <c:delete val="0"/>
        <c:axPos val="b"/>
        <c:numFmt formatCode="General" sourceLinked="1"/>
        <c:majorTickMark val="none"/>
        <c:minorTickMark val="none"/>
        <c:tickLblPos val="nextTo"/>
        <c:spPr>
          <a:noFill/>
          <a:ln w="12700"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crossAx val="365543632"/>
        <c:crosses val="autoZero"/>
        <c:auto val="1"/>
        <c:lblAlgn val="ctr"/>
        <c:lblOffset val="100"/>
        <c:noMultiLvlLbl val="0"/>
      </c:catAx>
      <c:valAx>
        <c:axId val="365543632"/>
        <c:scaling>
          <c:orientation val="minMax"/>
          <c:max val="1"/>
        </c:scaling>
        <c:delete val="0"/>
        <c:axPos val="l"/>
        <c:majorGridlines>
          <c:spPr>
            <a:ln w="9525" cap="flat" cmpd="sng" algn="ctr">
              <a:solidFill>
                <a:schemeClr val="tx1">
                  <a:lumMod val="15000"/>
                  <a:lumOff val="85000"/>
                </a:schemeClr>
              </a:solidFill>
              <a:round/>
            </a:ln>
            <a:effectLst/>
          </c:spPr>
        </c:majorGridlines>
        <c:numFmt formatCode="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bg1">
                    <a:lumMod val="50000"/>
                  </a:schemeClr>
                </a:solidFill>
                <a:latin typeface="+mn-lt"/>
                <a:ea typeface="+mn-ea"/>
                <a:cs typeface="+mn-cs"/>
              </a:defRPr>
            </a:pPr>
            <a:endParaRPr lang="en-US"/>
          </a:p>
        </c:txPr>
        <c:crossAx val="365544416"/>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solidFill>
            <a:schemeClr val="bg1">
              <a:lumMod val="50000"/>
            </a:schemeClr>
          </a:solidFill>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3"/>
    </mc:Choice>
    <mc:Fallback>
      <c:style val="3"/>
    </mc:Fallback>
  </mc:AlternateContent>
  <c:chart>
    <c:title>
      <c:tx>
        <c:rich>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200"/>
              <a:t>Distrubución de Casos de</a:t>
            </a:r>
            <a:r>
              <a:rPr lang="en-US" sz="1200" baseline="0"/>
              <a:t> Comprobaciones</a:t>
            </a:r>
            <a:r>
              <a:rPr lang="en-US" sz="1200"/>
              <a:t>                                  </a:t>
            </a:r>
            <a:br>
              <a:rPr lang="en-US" sz="1200"/>
            </a:br>
            <a:r>
              <a:rPr lang="en-US" sz="1200"/>
              <a:t>Enero - Noviembre de 2022</a:t>
            </a:r>
            <a:endParaRPr lang="es-DO" sz="1200"/>
          </a:p>
          <a:p>
            <a:pPr algn="ctr" rtl="0">
              <a:defRPr/>
            </a:pPr>
            <a:endParaRPr lang="en-US"/>
          </a:p>
        </c:rich>
      </c:tx>
      <c:overlay val="0"/>
      <c:spPr>
        <a:noFill/>
        <a:ln>
          <a:noFill/>
        </a:ln>
        <a:effectLst/>
      </c:spPr>
      <c:txPr>
        <a:bodyPr rot="0" spcFirstLastPara="1" vertOverflow="ellipsis" vert="horz" wrap="square" anchor="ctr" anchorCtr="1"/>
        <a:lstStyle/>
        <a:p>
          <a:pPr algn="ctr" rtl="0">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pieChart>
        <c:varyColors val="1"/>
        <c:ser>
          <c:idx val="0"/>
          <c:order val="0"/>
          <c:tx>
            <c:strRef>
              <c:f>Hoja1!$B$1</c:f>
              <c:strCache>
                <c:ptCount val="1"/>
                <c:pt idx="0">
                  <c:v>Ventas</c:v>
                </c:pt>
              </c:strCache>
            </c:strRef>
          </c:tx>
          <c:dPt>
            <c:idx val="0"/>
            <c:bubble3D val="0"/>
            <c:spPr>
              <a:solidFill>
                <a:schemeClr val="accent1">
                  <a:shade val="50000"/>
                </a:schemeClr>
              </a:solidFill>
              <a:ln w="19050">
                <a:solidFill>
                  <a:schemeClr val="lt1"/>
                </a:solidFill>
              </a:ln>
              <a:effectLst/>
            </c:spPr>
          </c:dPt>
          <c:dPt>
            <c:idx val="1"/>
            <c:bubble3D val="0"/>
            <c:spPr>
              <a:solidFill>
                <a:schemeClr val="accent1">
                  <a:shade val="70000"/>
                </a:schemeClr>
              </a:solidFill>
              <a:ln w="19050">
                <a:solidFill>
                  <a:schemeClr val="lt1"/>
                </a:solidFill>
              </a:ln>
              <a:effectLst/>
            </c:spPr>
          </c:dPt>
          <c:dPt>
            <c:idx val="2"/>
            <c:bubble3D val="0"/>
            <c:spPr>
              <a:solidFill>
                <a:schemeClr val="accent1">
                  <a:shade val="90000"/>
                </a:schemeClr>
              </a:solidFill>
              <a:ln w="19050">
                <a:solidFill>
                  <a:schemeClr val="lt1"/>
                </a:solidFill>
              </a:ln>
              <a:effectLst/>
            </c:spPr>
          </c:dPt>
          <c:dPt>
            <c:idx val="3"/>
            <c:bubble3D val="0"/>
            <c:spPr>
              <a:solidFill>
                <a:schemeClr val="accent1">
                  <a:tint val="90000"/>
                </a:schemeClr>
              </a:solidFill>
              <a:ln w="19050">
                <a:solidFill>
                  <a:schemeClr val="lt1"/>
                </a:solidFill>
              </a:ln>
              <a:effectLst/>
            </c:spPr>
          </c:dPt>
          <c:dPt>
            <c:idx val="4"/>
            <c:bubble3D val="0"/>
            <c:spPr>
              <a:solidFill>
                <a:schemeClr val="accent1">
                  <a:tint val="70000"/>
                </a:schemeClr>
              </a:solidFill>
              <a:ln w="19050">
                <a:solidFill>
                  <a:schemeClr val="lt1"/>
                </a:solidFill>
              </a:ln>
              <a:effectLst/>
            </c:spPr>
          </c:dPt>
          <c:dPt>
            <c:idx val="5"/>
            <c:bubble3D val="0"/>
            <c:spPr>
              <a:solidFill>
                <a:schemeClr val="accent1">
                  <a:tint val="50000"/>
                </a:schemeClr>
              </a:solidFill>
              <a:ln w="19050">
                <a:solidFill>
                  <a:schemeClr val="lt1"/>
                </a:solidFill>
              </a:ln>
              <a:effectLst/>
            </c:spPr>
          </c:dPt>
          <c:dLbls>
            <c:dLbl>
              <c:idx val="0"/>
              <c:layout>
                <c:manualLayout>
                  <c:x val="3.4253360375407618E-2"/>
                  <c:y val="-0.10027937864016109"/>
                </c:manualLayout>
              </c:layout>
              <c:tx>
                <c:rich>
                  <a:bodyPr/>
                  <a:lstStyle/>
                  <a:p>
                    <a:fld id="{C7F3814E-CE75-4A2B-B518-BE948320D152}" type="CELLRANGE">
                      <a:rPr lang="en-US" baseline="0"/>
                      <a:pPr/>
                      <a:t>[CELLRANGE]</a:t>
                    </a:fld>
                    <a:r>
                      <a:rPr lang="en-US" baseline="0"/>
                      <a:t>; </a:t>
                    </a:r>
                    <a:fld id="{40FD86A1-8A0A-4EE7-8644-C6ACAC8CC82D}"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Lst>
            </c:dLbl>
            <c:dLbl>
              <c:idx val="1"/>
              <c:tx>
                <c:rich>
                  <a:bodyPr/>
                  <a:lstStyle/>
                  <a:p>
                    <a:fld id="{BAFD6764-D5AE-43CF-A307-55762C6FEF15}" type="CELLRANGE">
                      <a:rPr lang="en-US"/>
                      <a:pPr/>
                      <a:t>[CELLRANGE]</a:t>
                    </a:fld>
                    <a:r>
                      <a:rPr lang="en-US" baseline="0"/>
                      <a:t>; </a:t>
                    </a:r>
                    <a:fld id="{02E83830-B248-4A68-8B79-7FEAD6AC452F}"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Lst>
            </c:dLbl>
            <c:dLbl>
              <c:idx val="2"/>
              <c:layout>
                <c:manualLayout>
                  <c:x val="-1.6803865425912671E-2"/>
                  <c:y val="1.5769774787068629E-2"/>
                </c:manualLayout>
              </c:layout>
              <c:tx>
                <c:rich>
                  <a:bodyPr/>
                  <a:lstStyle/>
                  <a:p>
                    <a:fld id="{F66D463C-46F8-43A4-929E-C2296D6EA188}" type="CELLRANGE">
                      <a:rPr lang="en-US" baseline="0"/>
                      <a:pPr/>
                      <a:t>[CELLRANGE]</a:t>
                    </a:fld>
                    <a:r>
                      <a:rPr lang="en-US" baseline="0"/>
                      <a:t>; </a:t>
                    </a:r>
                    <a:fld id="{8B6FAD2D-A085-4418-9493-1E32B764367D}"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Lst>
            </c:dLbl>
            <c:dLbl>
              <c:idx val="3"/>
              <c:layout>
                <c:manualLayout>
                  <c:x val="-3.0562713751690142E-2"/>
                  <c:y val="9.6243506739853973E-3"/>
                </c:manualLayout>
              </c:layout>
              <c:tx>
                <c:rich>
                  <a:bodyPr/>
                  <a:lstStyle/>
                  <a:p>
                    <a:fld id="{9B520D64-20F7-43DE-B7EF-A16BA8F9D974}" type="CELLRANGE">
                      <a:rPr lang="en-US" baseline="0"/>
                      <a:pPr/>
                      <a:t>[CELLRANGE]</a:t>
                    </a:fld>
                    <a:r>
                      <a:rPr lang="en-US" baseline="0"/>
                      <a:t>; </a:t>
                    </a:r>
                    <a:fld id="{88173A53-0AA8-4940-AF23-46BBEF1F353F}"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Lst>
            </c:dLbl>
            <c:dLbl>
              <c:idx val="4"/>
              <c:layout>
                <c:manualLayout>
                  <c:x val="-2.4787839020122486E-2"/>
                  <c:y val="-4.6392482257135324E-3"/>
                </c:manualLayout>
              </c:layout>
              <c:tx>
                <c:rich>
                  <a:bodyPr/>
                  <a:lstStyle/>
                  <a:p>
                    <a:fld id="{7996F001-2F58-474C-80CD-D370E6E6751D}" type="CELLRANGE">
                      <a:rPr lang="en-US" baseline="0"/>
                      <a:pPr/>
                      <a:t>[CELLRANGE]</a:t>
                    </a:fld>
                    <a:r>
                      <a:rPr lang="en-US" baseline="0"/>
                      <a:t>; </a:t>
                    </a:r>
                    <a:fld id="{48A28A6F-5307-432B-8BFF-18CA2DD2F6B9}"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Lst>
            </c:dLbl>
            <c:dLbl>
              <c:idx val="5"/>
              <c:tx>
                <c:rich>
                  <a:bodyPr/>
                  <a:lstStyle/>
                  <a:p>
                    <a:fld id="{DD8FA54B-73AC-4984-8756-6442650F9201}" type="CELLRANGE">
                      <a:rPr lang="en-US"/>
                      <a:pPr/>
                      <a:t>[CELLRANGE]</a:t>
                    </a:fld>
                    <a:r>
                      <a:rPr lang="en-US" baseline="0"/>
                      <a:t>; </a:t>
                    </a:r>
                    <a:fld id="{EEA1ECD7-6D25-4F82-9B3E-DBD759C325DB}" type="VALUE">
                      <a:rPr lang="en-US" baseline="0"/>
                      <a:pPr/>
                      <a:t>[VALOR]</a:t>
                    </a:fld>
                    <a:endParaRPr lang="en-US" baseline="0"/>
                  </a:p>
                </c:rich>
              </c:tx>
              <c:dLblPos val="bestFit"/>
              <c:showLegendKey val="0"/>
              <c:showVal val="1"/>
              <c:showCatName val="0"/>
              <c:showSerName val="0"/>
              <c:showPercent val="0"/>
              <c:showBubbleSize val="0"/>
              <c:extLst>
                <c:ext xmlns:c15="http://schemas.microsoft.com/office/drawing/2012/chart" uri="{CE6537A1-D6FC-4f65-9D91-7224C49458BB}">
                  <c15:dlblFieldTable/>
                  <c15:showDataLabelsRange val="1"/>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bestFit"/>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15:showDataLabelsRange val="1"/>
              </c:ext>
            </c:extLst>
          </c:dLbls>
          <c:cat>
            <c:strRef>
              <c:f>Hoja1!$A$2:$A$7</c:f>
              <c:strCache>
                <c:ptCount val="6"/>
                <c:pt idx="0">
                  <c:v>Telefónicas</c:v>
                </c:pt>
                <c:pt idx="1">
                  <c:v>Radiocomunicación</c:v>
                </c:pt>
                <c:pt idx="2">
                  <c:v>Radiodifusión Televisiva</c:v>
                </c:pt>
                <c:pt idx="3">
                  <c:v>Radiodifusión Sonora AM</c:v>
                </c:pt>
                <c:pt idx="4">
                  <c:v>Radiodifusión Sonora FM</c:v>
                </c:pt>
                <c:pt idx="5">
                  <c:v>Entidades Estatales</c:v>
                </c:pt>
              </c:strCache>
            </c:strRef>
          </c:cat>
          <c:val>
            <c:numRef>
              <c:f>Hoja1!$B$2:$B$7</c:f>
              <c:numCache>
                <c:formatCode>General</c:formatCode>
                <c:ptCount val="6"/>
                <c:pt idx="0">
                  <c:v>80</c:v>
                </c:pt>
                <c:pt idx="1">
                  <c:v>8</c:v>
                </c:pt>
                <c:pt idx="2">
                  <c:v>12</c:v>
                </c:pt>
                <c:pt idx="3">
                  <c:v>4</c:v>
                </c:pt>
                <c:pt idx="4">
                  <c:v>88</c:v>
                </c:pt>
                <c:pt idx="5">
                  <c:v>6</c:v>
                </c:pt>
              </c:numCache>
            </c:numRef>
          </c:val>
          <c:extLst>
            <c:ext xmlns:c15="http://schemas.microsoft.com/office/drawing/2012/chart" uri="{02D57815-91ED-43cb-92C2-25804820EDAC}">
              <c15:datalabelsRange>
                <c15:f>Hoja1!$A$2:$A$7</c15:f>
                <c15:dlblRangeCache>
                  <c:ptCount val="6"/>
                  <c:pt idx="0">
                    <c:v>Telefónicas</c:v>
                  </c:pt>
                  <c:pt idx="1">
                    <c:v>Radiocomunicación</c:v>
                  </c:pt>
                  <c:pt idx="2">
                    <c:v>Radiodifusión Televisiva</c:v>
                  </c:pt>
                  <c:pt idx="3">
                    <c:v>Radiodifusión Sonora AM</c:v>
                  </c:pt>
                  <c:pt idx="4">
                    <c:v>Radiodifusión Sonora FM</c:v>
                  </c:pt>
                  <c:pt idx="5">
                    <c:v>Entidades Estatales</c:v>
                  </c:pt>
                </c15:dlblRangeCache>
              </c15:datalabelsRange>
            </c:ext>
          </c:extLst>
        </c:ser>
        <c:dLbls>
          <c:showLegendKey val="0"/>
          <c:showVal val="0"/>
          <c:showCatName val="0"/>
          <c:showSerName val="0"/>
          <c:showPercent val="0"/>
          <c:showBubbleSize val="0"/>
          <c:showLeaderLines val="1"/>
        </c:dLbls>
        <c:firstSliceAng val="0"/>
      </c:pieChart>
      <c:spPr>
        <a:noFill/>
        <a:ln>
          <a:noFill/>
        </a:ln>
        <a:effectLst/>
      </c:spPr>
    </c:plotArea>
    <c:legend>
      <c:legendPos val="b"/>
      <c:layout>
        <c:manualLayout>
          <c:xMode val="edge"/>
          <c:yMode val="edge"/>
          <c:x val="2.7915441292729961E-2"/>
          <c:y val="0.91485757101731235"/>
          <c:w val="0.95822518420137237"/>
          <c:h val="7.1786836328263645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Tipo de solicitud </a:t>
            </a:r>
          </a:p>
          <a:p>
            <a:pPr algn="ctr">
              <a:defRPr/>
            </a:pPr>
            <a:r>
              <a:rPr lang="es-DO"/>
              <a:t>Enero - Noviembre de 2022 </a:t>
            </a:r>
          </a:p>
        </c:rich>
      </c:tx>
      <c:layout>
        <c:manualLayout>
          <c:xMode val="edge"/>
          <c:yMode val="edge"/>
          <c:x val="0.36436355156869743"/>
          <c:y val="2.1145374449339206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1.7127284782241962E-2"/>
          <c:y val="0.13423788546255511"/>
          <c:w val="0.96574543043551608"/>
          <c:h val="0.71627541711471088"/>
        </c:manualLayout>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Hoja2!$A$2:$A$8</c:f>
              <c:strCache>
                <c:ptCount val="7"/>
                <c:pt idx="0">
                  <c:v>Casos de Información</c:v>
                </c:pt>
                <c:pt idx="1">
                  <c:v>Casos de Pre-Formalización</c:v>
                </c:pt>
                <c:pt idx="2">
                  <c:v>Casos de Quejas</c:v>
                </c:pt>
                <c:pt idx="3">
                  <c:v>Casos de Denuncia</c:v>
                </c:pt>
                <c:pt idx="4">
                  <c:v>Recursos de Quejas</c:v>
                </c:pt>
                <c:pt idx="5">
                  <c:v>Referidos a Prestadoras</c:v>
                </c:pt>
                <c:pt idx="6">
                  <c:v>Verificación Estado de Casos</c:v>
                </c:pt>
              </c:strCache>
            </c:strRef>
          </c:cat>
          <c:val>
            <c:numRef>
              <c:f>Hoja2!$B$2:$B$8</c:f>
              <c:numCache>
                <c:formatCode>General</c:formatCode>
                <c:ptCount val="7"/>
                <c:pt idx="0">
                  <c:v>4365</c:v>
                </c:pt>
                <c:pt idx="1">
                  <c:v>42</c:v>
                </c:pt>
                <c:pt idx="2">
                  <c:v>12</c:v>
                </c:pt>
                <c:pt idx="3">
                  <c:v>200</c:v>
                </c:pt>
                <c:pt idx="4">
                  <c:v>7</c:v>
                </c:pt>
                <c:pt idx="5">
                  <c:v>1926</c:v>
                </c:pt>
                <c:pt idx="6">
                  <c:v>76</c:v>
                </c:pt>
              </c:numCache>
            </c:numRef>
          </c:val>
        </c:ser>
        <c:dLbls>
          <c:dLblPos val="outEnd"/>
          <c:showLegendKey val="0"/>
          <c:showVal val="1"/>
          <c:showCatName val="0"/>
          <c:showSerName val="0"/>
          <c:showPercent val="0"/>
          <c:showBubbleSize val="0"/>
        </c:dLbls>
        <c:gapWidth val="219"/>
        <c:overlap val="-27"/>
        <c:axId val="542510576"/>
        <c:axId val="542508616"/>
      </c:barChart>
      <c:catAx>
        <c:axId val="54251057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508616"/>
        <c:crosses val="autoZero"/>
        <c:auto val="1"/>
        <c:lblAlgn val="ctr"/>
        <c:lblOffset val="100"/>
        <c:noMultiLvlLbl val="0"/>
      </c:catAx>
      <c:valAx>
        <c:axId val="542508616"/>
        <c:scaling>
          <c:orientation val="minMax"/>
        </c:scaling>
        <c:delete val="1"/>
        <c:axPos val="l"/>
        <c:numFmt formatCode="General" sourceLinked="1"/>
        <c:majorTickMark val="out"/>
        <c:minorTickMark val="none"/>
        <c:tickLblPos val="nextTo"/>
        <c:crossAx val="542510576"/>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Vía de Solicitud</a:t>
            </a:r>
          </a:p>
          <a:p>
            <a:pPr algn="ctr">
              <a:defRPr/>
            </a:pPr>
            <a:r>
              <a:rPr lang="es-DO"/>
              <a:t>Enero - Noviembre 2022</a:t>
            </a:r>
          </a:p>
        </c:rich>
      </c:tx>
      <c:layout>
        <c:manualLayout>
          <c:xMode val="edge"/>
          <c:yMode val="edge"/>
          <c:x val="0.36936473938419428"/>
          <c:y val="1.3422818791946308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Hoja2!$A$12:$A$18</c:f>
              <c:strCache>
                <c:ptCount val="7"/>
                <c:pt idx="0">
                  <c:v>Correo Electronico</c:v>
                </c:pt>
                <c:pt idx="1">
                  <c:v>Correspondencia</c:v>
                </c:pt>
                <c:pt idx="2">
                  <c:v>Formulario Web</c:v>
                </c:pt>
                <c:pt idx="3">
                  <c:v>Live Chat</c:v>
                </c:pt>
                <c:pt idx="4">
                  <c:v>Personal</c:v>
                </c:pt>
                <c:pt idx="5">
                  <c:v>Redes Sociales</c:v>
                </c:pt>
                <c:pt idx="6">
                  <c:v>Teléfono</c:v>
                </c:pt>
              </c:strCache>
            </c:strRef>
          </c:cat>
          <c:val>
            <c:numRef>
              <c:f>Hoja2!$B$12:$B$18</c:f>
              <c:numCache>
                <c:formatCode>General</c:formatCode>
                <c:ptCount val="7"/>
                <c:pt idx="0">
                  <c:v>9</c:v>
                </c:pt>
                <c:pt idx="1">
                  <c:v>3</c:v>
                </c:pt>
                <c:pt idx="2">
                  <c:v>908</c:v>
                </c:pt>
                <c:pt idx="3">
                  <c:v>66</c:v>
                </c:pt>
                <c:pt idx="4">
                  <c:v>627</c:v>
                </c:pt>
                <c:pt idx="5">
                  <c:v>136</c:v>
                </c:pt>
                <c:pt idx="6">
                  <c:v>4879</c:v>
                </c:pt>
              </c:numCache>
            </c:numRef>
          </c:val>
        </c:ser>
        <c:dLbls>
          <c:dLblPos val="outEnd"/>
          <c:showLegendKey val="0"/>
          <c:showVal val="1"/>
          <c:showCatName val="0"/>
          <c:showSerName val="0"/>
          <c:showPercent val="0"/>
          <c:showBubbleSize val="0"/>
        </c:dLbls>
        <c:gapWidth val="219"/>
        <c:overlap val="-27"/>
        <c:axId val="542506656"/>
        <c:axId val="542505088"/>
      </c:barChart>
      <c:catAx>
        <c:axId val="54250665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505088"/>
        <c:crosses val="autoZero"/>
        <c:auto val="1"/>
        <c:lblAlgn val="ctr"/>
        <c:lblOffset val="100"/>
        <c:noMultiLvlLbl val="0"/>
      </c:catAx>
      <c:valAx>
        <c:axId val="542505088"/>
        <c:scaling>
          <c:orientation val="minMax"/>
        </c:scaling>
        <c:delete val="1"/>
        <c:axPos val="l"/>
        <c:numFmt formatCode="General" sourceLinked="1"/>
        <c:majorTickMark val="none"/>
        <c:minorTickMark val="none"/>
        <c:tickLblPos val="nextTo"/>
        <c:crossAx val="542506656"/>
        <c:crosses val="autoZero"/>
        <c:crossBetween val="between"/>
      </c:valAx>
      <c:spPr>
        <a:noFill/>
        <a:ln>
          <a:noFill/>
        </a:ln>
        <a:effectLst/>
      </c:spPr>
    </c:plotArea>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7"/>
    </mc:Choice>
    <mc:Fallback>
      <c:style val="7"/>
    </mc:Fallback>
  </mc:AlternateContent>
  <c:chart>
    <c:title>
      <c:tx>
        <c:rich>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1100"/>
              <a:t>Motivos de reclamos </a:t>
            </a:r>
          </a:p>
          <a:p>
            <a:pPr>
              <a:defRPr sz="1100"/>
            </a:pPr>
            <a:r>
              <a:rPr lang="en-US" sz="1100"/>
              <a:t>Enero-noviembre 2022</a:t>
            </a:r>
          </a:p>
        </c:rich>
      </c:tx>
      <c:overlay val="0"/>
      <c:spPr>
        <a:noFill/>
        <a:ln>
          <a:noFill/>
        </a:ln>
        <a:effectLst/>
      </c:spPr>
      <c:txPr>
        <a:bodyPr rot="0" spcFirstLastPara="1" vertOverflow="ellipsis" vert="horz" wrap="square" anchor="ctr" anchorCtr="1"/>
        <a:lstStyle/>
        <a:p>
          <a:pPr>
            <a:defRPr sz="11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0.24739992866645635"/>
          <c:y val="0.20043810036146043"/>
          <c:w val="0.75260007133354367"/>
          <c:h val="0.36900357038898446"/>
        </c:manualLayout>
      </c:layout>
      <c:barChart>
        <c:barDir val="col"/>
        <c:grouping val="clustered"/>
        <c:varyColors val="0"/>
        <c:ser>
          <c:idx val="0"/>
          <c:order val="0"/>
          <c:tx>
            <c:strRef>
              <c:f>Hoja1!$A$3</c:f>
              <c:strCache>
                <c:ptCount val="1"/>
                <c:pt idx="0">
                  <c:v>Averia </c:v>
                </c:pt>
              </c:strCache>
            </c:strRef>
          </c:tx>
          <c:spPr>
            <a:solidFill>
              <a:schemeClr val="accent5">
                <a:tint val="50000"/>
              </a:schemeClr>
            </a:solidFill>
            <a:ln>
              <a:noFill/>
            </a:ln>
            <a:effectLst/>
          </c:spPr>
          <c:invertIfNegative val="0"/>
          <c:cat>
            <c:strRef>
              <c:f>Hoja1!$B$2:$L$2</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Hoja1!$B$3:$L$3</c:f>
              <c:numCache>
                <c:formatCode>General</c:formatCode>
                <c:ptCount val="11"/>
                <c:pt idx="0">
                  <c:v>39</c:v>
                </c:pt>
                <c:pt idx="1">
                  <c:v>33</c:v>
                </c:pt>
                <c:pt idx="2">
                  <c:v>43</c:v>
                </c:pt>
                <c:pt idx="3">
                  <c:v>27</c:v>
                </c:pt>
                <c:pt idx="4">
                  <c:v>27</c:v>
                </c:pt>
                <c:pt idx="5">
                  <c:v>35</c:v>
                </c:pt>
                <c:pt idx="6">
                  <c:v>41</c:v>
                </c:pt>
                <c:pt idx="7">
                  <c:v>21</c:v>
                </c:pt>
                <c:pt idx="8">
                  <c:v>11</c:v>
                </c:pt>
                <c:pt idx="9">
                  <c:v>41</c:v>
                </c:pt>
                <c:pt idx="10">
                  <c:v>33</c:v>
                </c:pt>
              </c:numCache>
            </c:numRef>
          </c:val>
        </c:ser>
        <c:ser>
          <c:idx val="1"/>
          <c:order val="1"/>
          <c:tx>
            <c:strRef>
              <c:f>Hoja1!$A$4</c:f>
              <c:strCache>
                <c:ptCount val="1"/>
                <c:pt idx="0">
                  <c:v>Cargos de penalidad </c:v>
                </c:pt>
              </c:strCache>
            </c:strRef>
          </c:tx>
          <c:spPr>
            <a:solidFill>
              <a:schemeClr val="accent5">
                <a:tint val="70000"/>
              </a:schemeClr>
            </a:solidFill>
            <a:ln>
              <a:noFill/>
            </a:ln>
            <a:effectLst/>
          </c:spPr>
          <c:invertIfNegative val="0"/>
          <c:cat>
            <c:strRef>
              <c:f>Hoja1!$B$2:$L$2</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Hoja1!$B$4:$L$4</c:f>
              <c:numCache>
                <c:formatCode>General</c:formatCode>
                <c:ptCount val="11"/>
                <c:pt idx="0">
                  <c:v>120</c:v>
                </c:pt>
                <c:pt idx="1">
                  <c:v>87</c:v>
                </c:pt>
                <c:pt idx="2">
                  <c:v>64</c:v>
                </c:pt>
                <c:pt idx="3">
                  <c:v>45</c:v>
                </c:pt>
                <c:pt idx="4">
                  <c:v>55</c:v>
                </c:pt>
                <c:pt idx="5">
                  <c:v>53</c:v>
                </c:pt>
                <c:pt idx="6">
                  <c:v>57</c:v>
                </c:pt>
                <c:pt idx="7">
                  <c:v>26</c:v>
                </c:pt>
                <c:pt idx="8">
                  <c:v>11</c:v>
                </c:pt>
                <c:pt idx="9">
                  <c:v>54</c:v>
                </c:pt>
                <c:pt idx="10">
                  <c:v>52</c:v>
                </c:pt>
              </c:numCache>
            </c:numRef>
          </c:val>
        </c:ser>
        <c:ser>
          <c:idx val="2"/>
          <c:order val="2"/>
          <c:tx>
            <c:strRef>
              <c:f>Hoja1!$A$5</c:f>
              <c:strCache>
                <c:ptCount val="1"/>
                <c:pt idx="0">
                  <c:v>Cancelación </c:v>
                </c:pt>
              </c:strCache>
            </c:strRef>
          </c:tx>
          <c:spPr>
            <a:solidFill>
              <a:schemeClr val="accent5">
                <a:tint val="90000"/>
              </a:schemeClr>
            </a:solidFill>
            <a:ln>
              <a:noFill/>
            </a:ln>
            <a:effectLst/>
          </c:spPr>
          <c:invertIfNegative val="0"/>
          <c:cat>
            <c:strRef>
              <c:f>Hoja1!$B$2:$L$2</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Hoja1!$B$5:$L$5</c:f>
              <c:numCache>
                <c:formatCode>General</c:formatCode>
                <c:ptCount val="11"/>
                <c:pt idx="0">
                  <c:v>6</c:v>
                </c:pt>
                <c:pt idx="1">
                  <c:v>10</c:v>
                </c:pt>
                <c:pt idx="2">
                  <c:v>4</c:v>
                </c:pt>
                <c:pt idx="3">
                  <c:v>4</c:v>
                </c:pt>
                <c:pt idx="4">
                  <c:v>14</c:v>
                </c:pt>
                <c:pt idx="5">
                  <c:v>15</c:v>
                </c:pt>
                <c:pt idx="6">
                  <c:v>18</c:v>
                </c:pt>
                <c:pt idx="7">
                  <c:v>8</c:v>
                </c:pt>
                <c:pt idx="8">
                  <c:v>6</c:v>
                </c:pt>
                <c:pt idx="9">
                  <c:v>14</c:v>
                </c:pt>
                <c:pt idx="10">
                  <c:v>16</c:v>
                </c:pt>
              </c:numCache>
            </c:numRef>
          </c:val>
        </c:ser>
        <c:ser>
          <c:idx val="3"/>
          <c:order val="3"/>
          <c:tx>
            <c:strRef>
              <c:f>Hoja1!$A$6</c:f>
              <c:strCache>
                <c:ptCount val="1"/>
                <c:pt idx="0">
                  <c:v>Facturación del servicio </c:v>
                </c:pt>
              </c:strCache>
            </c:strRef>
          </c:tx>
          <c:spPr>
            <a:solidFill>
              <a:schemeClr val="accent5">
                <a:shade val="90000"/>
              </a:schemeClr>
            </a:solidFill>
            <a:ln>
              <a:noFill/>
            </a:ln>
            <a:effectLst/>
          </c:spPr>
          <c:invertIfNegative val="0"/>
          <c:cat>
            <c:strRef>
              <c:f>Hoja1!$B$2:$L$2</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Hoja1!$B$6:$L$6</c:f>
              <c:numCache>
                <c:formatCode>General</c:formatCode>
                <c:ptCount val="11"/>
                <c:pt idx="0">
                  <c:v>15</c:v>
                </c:pt>
                <c:pt idx="1">
                  <c:v>33</c:v>
                </c:pt>
                <c:pt idx="2">
                  <c:v>29</c:v>
                </c:pt>
                <c:pt idx="3">
                  <c:v>31</c:v>
                </c:pt>
                <c:pt idx="4">
                  <c:v>11</c:v>
                </c:pt>
                <c:pt idx="5">
                  <c:v>12</c:v>
                </c:pt>
                <c:pt idx="6">
                  <c:v>18</c:v>
                </c:pt>
                <c:pt idx="7">
                  <c:v>15</c:v>
                </c:pt>
                <c:pt idx="8">
                  <c:v>11</c:v>
                </c:pt>
                <c:pt idx="9">
                  <c:v>23</c:v>
                </c:pt>
                <c:pt idx="10">
                  <c:v>20</c:v>
                </c:pt>
              </c:numCache>
            </c:numRef>
          </c:val>
        </c:ser>
        <c:ser>
          <c:idx val="4"/>
          <c:order val="4"/>
          <c:tx>
            <c:strRef>
              <c:f>Hoja1!$A$7</c:f>
              <c:strCache>
                <c:ptCount val="1"/>
                <c:pt idx="0">
                  <c:v>Calidad de servicio </c:v>
                </c:pt>
              </c:strCache>
            </c:strRef>
          </c:tx>
          <c:spPr>
            <a:solidFill>
              <a:schemeClr val="accent5">
                <a:shade val="70000"/>
              </a:schemeClr>
            </a:solidFill>
            <a:ln>
              <a:noFill/>
            </a:ln>
            <a:effectLst/>
          </c:spPr>
          <c:invertIfNegative val="0"/>
          <c:cat>
            <c:strRef>
              <c:f>Hoja1!$B$2:$L$2</c:f>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f>Hoja1!$B$7:$L$7</c:f>
              <c:numCache>
                <c:formatCode>General</c:formatCode>
                <c:ptCount val="11"/>
                <c:pt idx="0">
                  <c:v>30</c:v>
                </c:pt>
                <c:pt idx="1">
                  <c:v>20</c:v>
                </c:pt>
                <c:pt idx="2">
                  <c:v>33</c:v>
                </c:pt>
                <c:pt idx="3">
                  <c:v>18</c:v>
                </c:pt>
                <c:pt idx="4">
                  <c:v>19</c:v>
                </c:pt>
                <c:pt idx="5">
                  <c:v>25</c:v>
                </c:pt>
                <c:pt idx="6">
                  <c:v>36</c:v>
                </c:pt>
                <c:pt idx="7">
                  <c:v>7</c:v>
                </c:pt>
                <c:pt idx="8">
                  <c:v>10</c:v>
                </c:pt>
                <c:pt idx="9">
                  <c:v>20</c:v>
                </c:pt>
                <c:pt idx="10">
                  <c:v>23</c:v>
                </c:pt>
              </c:numCache>
            </c:numRef>
          </c:val>
        </c:ser>
        <c:dLbls>
          <c:showLegendKey val="0"/>
          <c:showVal val="0"/>
          <c:showCatName val="0"/>
          <c:showSerName val="0"/>
          <c:showPercent val="0"/>
          <c:showBubbleSize val="0"/>
        </c:dLbls>
        <c:gapWidth val="150"/>
        <c:axId val="542511360"/>
        <c:axId val="542510184"/>
        <c:extLst>
          <c:ext xmlns:c15="http://schemas.microsoft.com/office/drawing/2012/chart" uri="{02D57815-91ED-43cb-92C2-25804820EDAC}">
            <c15:filteredBarSeries>
              <c15:ser>
                <c:idx val="5"/>
                <c:order val="5"/>
                <c:tx>
                  <c:strRef>
                    <c:extLst>
                      <c:ext uri="{02D57815-91ED-43cb-92C2-25804820EDAC}">
                        <c15:formulaRef>
                          <c15:sqref>Hoja1!#REF!</c15:sqref>
                        </c15:formulaRef>
                      </c:ext>
                    </c:extLst>
                    <c:strCache>
                      <c:ptCount val="1"/>
                      <c:pt idx="0">
                        <c:v>#REF!</c:v>
                      </c:pt>
                    </c:strCache>
                  </c:strRef>
                </c:tx>
                <c:spPr>
                  <a:solidFill>
                    <a:schemeClr val="accent5">
                      <a:shade val="50000"/>
                    </a:schemeClr>
                  </a:solidFill>
                  <a:ln>
                    <a:noFill/>
                  </a:ln>
                  <a:effectLst/>
                </c:spPr>
                <c:invertIfNegative val="0"/>
                <c:cat>
                  <c:strRef>
                    <c:extLst>
                      <c:ext uri="{02D57815-91ED-43cb-92C2-25804820EDAC}">
                        <c15:formulaRef>
                          <c15:sqref>Hoja1!$B$2:$L$2</c15:sqref>
                        </c15:formulaRef>
                      </c:ext>
                    </c:extLst>
                    <c:strCache>
                      <c:ptCount val="11"/>
                      <c:pt idx="0">
                        <c:v>Ene</c:v>
                      </c:pt>
                      <c:pt idx="1">
                        <c:v>Feb</c:v>
                      </c:pt>
                      <c:pt idx="2">
                        <c:v>Mar</c:v>
                      </c:pt>
                      <c:pt idx="3">
                        <c:v>Apr</c:v>
                      </c:pt>
                      <c:pt idx="4">
                        <c:v>May</c:v>
                      </c:pt>
                      <c:pt idx="5">
                        <c:v>Jun</c:v>
                      </c:pt>
                      <c:pt idx="6">
                        <c:v>Jul</c:v>
                      </c:pt>
                      <c:pt idx="7">
                        <c:v>Aug</c:v>
                      </c:pt>
                      <c:pt idx="8">
                        <c:v>Sep</c:v>
                      </c:pt>
                      <c:pt idx="9">
                        <c:v>Oct</c:v>
                      </c:pt>
                      <c:pt idx="10">
                        <c:v>Nov</c:v>
                      </c:pt>
                    </c:strCache>
                  </c:strRef>
                </c:cat>
                <c:val>
                  <c:numRef>
                    <c:extLst>
                      <c:ext uri="{02D57815-91ED-43cb-92C2-25804820EDAC}">
                        <c15:formulaRef>
                          <c15:sqref>Hoja1!#REF!</c15:sqref>
                        </c15:formulaRef>
                      </c:ext>
                    </c:extLst>
                    <c:numCache>
                      <c:formatCode>General</c:formatCode>
                      <c:ptCount val="1"/>
                      <c:pt idx="0">
                        <c:v>1</c:v>
                      </c:pt>
                    </c:numCache>
                  </c:numRef>
                </c:val>
              </c15:ser>
            </c15:filteredBarSeries>
          </c:ext>
        </c:extLst>
      </c:barChart>
      <c:catAx>
        <c:axId val="542511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510184"/>
        <c:crosses val="autoZero"/>
        <c:auto val="1"/>
        <c:lblAlgn val="ctr"/>
        <c:lblOffset val="100"/>
        <c:noMultiLvlLbl val="0"/>
      </c:catAx>
      <c:valAx>
        <c:axId val="54251018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511360"/>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9525"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Casos de Pre-formalización</a:t>
            </a:r>
          </a:p>
          <a:p>
            <a:pPr algn="ctr">
              <a:defRPr/>
            </a:pPr>
            <a:r>
              <a:rPr lang="es-DO"/>
              <a:t>Enero - noviembre 2022</a:t>
            </a:r>
          </a:p>
        </c:rich>
      </c:tx>
      <c:layout>
        <c:manualLayout>
          <c:xMode val="edge"/>
          <c:yMode val="edge"/>
          <c:x val="0.30846247919222214"/>
          <c:y val="3.0183830367660737E-2"/>
        </c:manualLayout>
      </c:layout>
      <c:overlay val="0"/>
      <c:spPr>
        <a:noFill/>
        <a:ln>
          <a:noFill/>
        </a:ln>
        <a:effectLst/>
      </c:spPr>
      <c:txPr>
        <a:bodyPr rot="0" spcFirstLastPara="1" vertOverflow="ellipsis" vert="horz" wrap="square" anchor="ctr" anchorCtr="1"/>
        <a:lstStyle/>
        <a:p>
          <a:pPr algn="ct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Hoja2!$A$72</c:f>
              <c:strCache>
                <c:ptCount val="1"/>
                <c:pt idx="0">
                  <c:v>Recibidos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Hoja2!$B$71:$L$71</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Hoja2!$B$72:$L$72</c:f>
              <c:numCache>
                <c:formatCode>General</c:formatCode>
                <c:ptCount val="11"/>
                <c:pt idx="0">
                  <c:v>26</c:v>
                </c:pt>
                <c:pt idx="1">
                  <c:v>2</c:v>
                </c:pt>
                <c:pt idx="2">
                  <c:v>1</c:v>
                </c:pt>
                <c:pt idx="3">
                  <c:v>1</c:v>
                </c:pt>
                <c:pt idx="4">
                  <c:v>1</c:v>
                </c:pt>
                <c:pt idx="5">
                  <c:v>0</c:v>
                </c:pt>
                <c:pt idx="6">
                  <c:v>0</c:v>
                </c:pt>
                <c:pt idx="7">
                  <c:v>3</c:v>
                </c:pt>
                <c:pt idx="8">
                  <c:v>0</c:v>
                </c:pt>
                <c:pt idx="9">
                  <c:v>4</c:v>
                </c:pt>
                <c:pt idx="10">
                  <c:v>3</c:v>
                </c:pt>
              </c:numCache>
            </c:numRef>
          </c:val>
        </c:ser>
        <c:ser>
          <c:idx val="1"/>
          <c:order val="1"/>
          <c:tx>
            <c:strRef>
              <c:f>Hoja2!$A$73</c:f>
              <c:strCache>
                <c:ptCount val="1"/>
                <c:pt idx="0">
                  <c:v>Concluidos </c:v>
                </c:pt>
              </c:strCache>
            </c:strRef>
          </c:tx>
          <c:spPr>
            <a:solidFill>
              <a:schemeClr val="accent1">
                <a:lumMod val="5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Hoja2!$B$71:$L$71</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Hoja2!$B$73:$L$73</c:f>
              <c:numCache>
                <c:formatCode>General</c:formatCode>
                <c:ptCount val="11"/>
                <c:pt idx="0">
                  <c:v>22</c:v>
                </c:pt>
                <c:pt idx="1">
                  <c:v>6</c:v>
                </c:pt>
                <c:pt idx="2">
                  <c:v>1</c:v>
                </c:pt>
                <c:pt idx="3">
                  <c:v>1</c:v>
                </c:pt>
                <c:pt idx="4">
                  <c:v>1</c:v>
                </c:pt>
                <c:pt idx="5">
                  <c:v>0</c:v>
                </c:pt>
                <c:pt idx="6">
                  <c:v>0</c:v>
                </c:pt>
                <c:pt idx="7">
                  <c:v>3</c:v>
                </c:pt>
                <c:pt idx="8">
                  <c:v>0</c:v>
                </c:pt>
                <c:pt idx="9">
                  <c:v>4</c:v>
                </c:pt>
                <c:pt idx="10">
                  <c:v>3</c:v>
                </c:pt>
              </c:numCache>
            </c:numRef>
          </c:val>
        </c:ser>
        <c:ser>
          <c:idx val="2"/>
          <c:order val="2"/>
          <c:tx>
            <c:strRef>
              <c:f>Hoja2!$A$74</c:f>
              <c:strCache>
                <c:ptCount val="1"/>
                <c:pt idx="0">
                  <c:v>En Proceso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Hoja2!$B$71:$L$71</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Hoja2!$B$74:$L$74</c:f>
              <c:numCache>
                <c:formatCode>General</c:formatCode>
                <c:ptCount val="11"/>
                <c:pt idx="0">
                  <c:v>4</c:v>
                </c:pt>
                <c:pt idx="1">
                  <c:v>0</c:v>
                </c:pt>
                <c:pt idx="2">
                  <c:v>0</c:v>
                </c:pt>
                <c:pt idx="3">
                  <c:v>0</c:v>
                </c:pt>
                <c:pt idx="4">
                  <c:v>0</c:v>
                </c:pt>
                <c:pt idx="5">
                  <c:v>0</c:v>
                </c:pt>
                <c:pt idx="6">
                  <c:v>0</c:v>
                </c:pt>
                <c:pt idx="7">
                  <c:v>0</c:v>
                </c:pt>
                <c:pt idx="8">
                  <c:v>0</c:v>
                </c:pt>
                <c:pt idx="9">
                  <c:v>0</c:v>
                </c:pt>
                <c:pt idx="10">
                  <c:v>0</c:v>
                </c:pt>
              </c:numCache>
            </c:numRef>
          </c:val>
        </c:ser>
        <c:dLbls>
          <c:dLblPos val="outEnd"/>
          <c:showLegendKey val="0"/>
          <c:showVal val="1"/>
          <c:showCatName val="0"/>
          <c:showSerName val="0"/>
          <c:showPercent val="0"/>
          <c:showBubbleSize val="0"/>
        </c:dLbls>
        <c:gapWidth val="219"/>
        <c:overlap val="-27"/>
        <c:axId val="542512144"/>
        <c:axId val="542505480"/>
      </c:barChart>
      <c:catAx>
        <c:axId val="54251214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42505480"/>
        <c:crosses val="autoZero"/>
        <c:auto val="1"/>
        <c:lblAlgn val="ctr"/>
        <c:lblOffset val="100"/>
        <c:noMultiLvlLbl val="0"/>
      </c:catAx>
      <c:valAx>
        <c:axId val="542505480"/>
        <c:scaling>
          <c:orientation val="minMax"/>
        </c:scaling>
        <c:delete val="1"/>
        <c:axPos val="l"/>
        <c:numFmt formatCode="General" sourceLinked="1"/>
        <c:majorTickMark val="out"/>
        <c:minorTickMark val="none"/>
        <c:tickLblPos val="nextTo"/>
        <c:crossAx val="542512144"/>
        <c:crosses val="autoZero"/>
        <c:crossBetween val="between"/>
      </c:valAx>
      <c:spPr>
        <a:noFill/>
        <a:ln>
          <a:solidFill>
            <a:schemeClr val="bg1">
              <a:lumMod val="50000"/>
            </a:scheme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Casos de Denuncias </a:t>
            </a:r>
          </a:p>
          <a:p>
            <a:pPr>
              <a:defRPr>
                <a:latin typeface="Times New Roman" panose="02020603050405020304" pitchFamily="18" charset="0"/>
                <a:cs typeface="Times New Roman" panose="02020603050405020304" pitchFamily="18" charset="0"/>
              </a:defRPr>
            </a:pPr>
            <a:r>
              <a:rPr lang="es-DO" sz="1200">
                <a:latin typeface="Times New Roman" panose="02020603050405020304" pitchFamily="18" charset="0"/>
                <a:cs typeface="Times New Roman" panose="02020603050405020304" pitchFamily="18" charset="0"/>
              </a:rPr>
              <a:t>Enero - noviembre de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Hoja2!$A$55</c:f>
              <c:strCache>
                <c:ptCount val="1"/>
                <c:pt idx="0">
                  <c:v>Recibidos</c:v>
                </c:pt>
              </c:strCache>
            </c:strRef>
          </c:tx>
          <c:spPr>
            <a:solidFill>
              <a:schemeClr val="accent1"/>
            </a:solidFill>
            <a:ln>
              <a:noFill/>
            </a:ln>
            <a:effectLst/>
          </c:spPr>
          <c:invertIfNegative val="0"/>
          <c:cat>
            <c:strRef>
              <c:f>Hoja2!$B$54:$L$54</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Hoja2!$B$55:$L$55</c:f>
              <c:numCache>
                <c:formatCode>General</c:formatCode>
                <c:ptCount val="11"/>
                <c:pt idx="0">
                  <c:v>10</c:v>
                </c:pt>
                <c:pt idx="1">
                  <c:v>14</c:v>
                </c:pt>
                <c:pt idx="2">
                  <c:v>28</c:v>
                </c:pt>
                <c:pt idx="3">
                  <c:v>13</c:v>
                </c:pt>
                <c:pt idx="4">
                  <c:v>16</c:v>
                </c:pt>
                <c:pt idx="5">
                  <c:v>16</c:v>
                </c:pt>
                <c:pt idx="6">
                  <c:v>27</c:v>
                </c:pt>
                <c:pt idx="7">
                  <c:v>12</c:v>
                </c:pt>
                <c:pt idx="8">
                  <c:v>6</c:v>
                </c:pt>
                <c:pt idx="9">
                  <c:v>27</c:v>
                </c:pt>
                <c:pt idx="10">
                  <c:v>28</c:v>
                </c:pt>
              </c:numCache>
            </c:numRef>
          </c:val>
        </c:ser>
        <c:ser>
          <c:idx val="1"/>
          <c:order val="1"/>
          <c:tx>
            <c:strRef>
              <c:f>Hoja2!$A$56</c:f>
              <c:strCache>
                <c:ptCount val="1"/>
                <c:pt idx="0">
                  <c:v>Concluidos </c:v>
                </c:pt>
              </c:strCache>
            </c:strRef>
          </c:tx>
          <c:spPr>
            <a:solidFill>
              <a:schemeClr val="tx2">
                <a:lumMod val="40000"/>
                <a:lumOff val="60000"/>
              </a:schemeClr>
            </a:solidFill>
            <a:ln>
              <a:noFill/>
            </a:ln>
            <a:effectLst/>
          </c:spPr>
          <c:invertIfNegative val="0"/>
          <c:cat>
            <c:strRef>
              <c:f>Hoja2!$B$54:$L$54</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Hoja2!$B$56:$L$56</c:f>
              <c:numCache>
                <c:formatCode>General</c:formatCode>
                <c:ptCount val="11"/>
                <c:pt idx="0">
                  <c:v>6</c:v>
                </c:pt>
                <c:pt idx="1">
                  <c:v>16</c:v>
                </c:pt>
                <c:pt idx="2">
                  <c:v>16</c:v>
                </c:pt>
                <c:pt idx="3">
                  <c:v>19</c:v>
                </c:pt>
                <c:pt idx="4">
                  <c:v>19</c:v>
                </c:pt>
                <c:pt idx="5">
                  <c:v>18</c:v>
                </c:pt>
                <c:pt idx="6">
                  <c:v>20</c:v>
                </c:pt>
                <c:pt idx="7">
                  <c:v>19</c:v>
                </c:pt>
                <c:pt idx="8">
                  <c:v>3</c:v>
                </c:pt>
                <c:pt idx="9">
                  <c:v>21</c:v>
                </c:pt>
                <c:pt idx="10">
                  <c:v>32</c:v>
                </c:pt>
              </c:numCache>
            </c:numRef>
          </c:val>
        </c:ser>
        <c:ser>
          <c:idx val="2"/>
          <c:order val="2"/>
          <c:tx>
            <c:strRef>
              <c:f>Hoja2!$A$57</c:f>
              <c:strCache>
                <c:ptCount val="1"/>
                <c:pt idx="0">
                  <c:v>En Proceso</c:v>
                </c:pt>
              </c:strCache>
            </c:strRef>
          </c:tx>
          <c:spPr>
            <a:solidFill>
              <a:schemeClr val="accent1">
                <a:lumMod val="20000"/>
                <a:lumOff val="80000"/>
              </a:schemeClr>
            </a:solidFill>
            <a:ln>
              <a:noFill/>
            </a:ln>
            <a:effectLst/>
          </c:spPr>
          <c:invertIfNegative val="0"/>
          <c:cat>
            <c:strRef>
              <c:f>Hoja2!$B$54:$L$54</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Hoja2!$B$57:$L$57</c:f>
              <c:numCache>
                <c:formatCode>General</c:formatCode>
                <c:ptCount val="11"/>
                <c:pt idx="0">
                  <c:v>4</c:v>
                </c:pt>
                <c:pt idx="1">
                  <c:v>2</c:v>
                </c:pt>
                <c:pt idx="2">
                  <c:v>14</c:v>
                </c:pt>
                <c:pt idx="3">
                  <c:v>8</c:v>
                </c:pt>
                <c:pt idx="4">
                  <c:v>5</c:v>
                </c:pt>
                <c:pt idx="5">
                  <c:v>3</c:v>
                </c:pt>
                <c:pt idx="6">
                  <c:v>10</c:v>
                </c:pt>
                <c:pt idx="7">
                  <c:v>3</c:v>
                </c:pt>
                <c:pt idx="8">
                  <c:v>6</c:v>
                </c:pt>
                <c:pt idx="9">
                  <c:v>12</c:v>
                </c:pt>
                <c:pt idx="10">
                  <c:v>8</c:v>
                </c:pt>
              </c:numCache>
            </c:numRef>
          </c:val>
        </c:ser>
        <c:dLbls>
          <c:showLegendKey val="0"/>
          <c:showVal val="0"/>
          <c:showCatName val="0"/>
          <c:showSerName val="0"/>
          <c:showPercent val="0"/>
          <c:showBubbleSize val="0"/>
        </c:dLbls>
        <c:gapWidth val="219"/>
        <c:overlap val="-27"/>
        <c:axId val="228378816"/>
        <c:axId val="228375680"/>
      </c:barChart>
      <c:catAx>
        <c:axId val="228378816"/>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228375680"/>
        <c:crosses val="autoZero"/>
        <c:auto val="1"/>
        <c:lblAlgn val="ctr"/>
        <c:lblOffset val="100"/>
        <c:noMultiLvlLbl val="0"/>
      </c:catAx>
      <c:valAx>
        <c:axId val="228375680"/>
        <c:scaling>
          <c:orientation val="minMax"/>
        </c:scaling>
        <c:delete val="1"/>
        <c:axPos val="l"/>
        <c:numFmt formatCode="General" sourceLinked="1"/>
        <c:majorTickMark val="out"/>
        <c:minorTickMark val="none"/>
        <c:tickLblPos val="nextTo"/>
        <c:crossAx val="228378816"/>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a:pPr>
      <a:endParaRPr lang="en-US"/>
    </a:p>
  </c:txPr>
  <c:externalData r:id="rId3">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solidFill>
                  <a:srgbClr val="4C4747"/>
                </a:solidFill>
              </a:rPr>
              <a:t>Casos de Quejas </a:t>
            </a:r>
          </a:p>
          <a:p>
            <a:pPr>
              <a:defRPr/>
            </a:pPr>
            <a:r>
              <a:rPr lang="es-DO">
                <a:solidFill>
                  <a:srgbClr val="4C4747"/>
                </a:solidFill>
              </a:rPr>
              <a:t>Enero - noviembre 2022</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manualLayout>
          <c:layoutTarget val="inner"/>
          <c:xMode val="edge"/>
          <c:yMode val="edge"/>
          <c:x val="1.5117157974300832E-2"/>
          <c:y val="0.1877974683544304"/>
          <c:w val="0.96674225245653822"/>
          <c:h val="0.57891956543406753"/>
        </c:manualLayout>
      </c:layout>
      <c:barChart>
        <c:barDir val="col"/>
        <c:grouping val="clustered"/>
        <c:varyColors val="0"/>
        <c:ser>
          <c:idx val="0"/>
          <c:order val="0"/>
          <c:tx>
            <c:strRef>
              <c:f>Hoja2!$A$78</c:f>
              <c:strCache>
                <c:ptCount val="1"/>
                <c:pt idx="0">
                  <c:v>Recibidos </c:v>
                </c:pt>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Hoja2!$B$77:$L$77</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Hoja2!$B$78:$L$78</c:f>
              <c:numCache>
                <c:formatCode>General</c:formatCode>
                <c:ptCount val="11"/>
                <c:pt idx="0">
                  <c:v>1</c:v>
                </c:pt>
                <c:pt idx="1">
                  <c:v>3</c:v>
                </c:pt>
                <c:pt idx="2">
                  <c:v>2</c:v>
                </c:pt>
                <c:pt idx="3">
                  <c:v>2</c:v>
                </c:pt>
                <c:pt idx="4">
                  <c:v>0</c:v>
                </c:pt>
                <c:pt idx="5">
                  <c:v>0</c:v>
                </c:pt>
                <c:pt idx="6">
                  <c:v>2</c:v>
                </c:pt>
                <c:pt idx="7">
                  <c:v>0</c:v>
                </c:pt>
                <c:pt idx="8">
                  <c:v>0</c:v>
                </c:pt>
                <c:pt idx="9">
                  <c:v>0</c:v>
                </c:pt>
                <c:pt idx="10">
                  <c:v>1</c:v>
                </c:pt>
              </c:numCache>
            </c:numRef>
          </c:val>
        </c:ser>
        <c:ser>
          <c:idx val="1"/>
          <c:order val="1"/>
          <c:tx>
            <c:strRef>
              <c:f>Hoja2!$A$79</c:f>
              <c:strCache>
                <c:ptCount val="1"/>
                <c:pt idx="0">
                  <c:v>Concluidos </c:v>
                </c:pt>
              </c:strCache>
            </c:strRef>
          </c:tx>
          <c:spPr>
            <a:solidFill>
              <a:schemeClr val="tx2">
                <a:lumMod val="40000"/>
                <a:lumOff val="60000"/>
              </a:schemeClr>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Hoja2!$B$77:$L$77</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Hoja2!$B$79:$L$79</c:f>
              <c:numCache>
                <c:formatCode>General</c:formatCode>
                <c:ptCount val="11"/>
                <c:pt idx="0">
                  <c:v>1</c:v>
                </c:pt>
                <c:pt idx="1">
                  <c:v>3</c:v>
                </c:pt>
                <c:pt idx="2">
                  <c:v>2</c:v>
                </c:pt>
                <c:pt idx="3">
                  <c:v>2</c:v>
                </c:pt>
                <c:pt idx="4">
                  <c:v>0</c:v>
                </c:pt>
                <c:pt idx="5">
                  <c:v>0</c:v>
                </c:pt>
                <c:pt idx="6">
                  <c:v>2</c:v>
                </c:pt>
                <c:pt idx="7">
                  <c:v>0</c:v>
                </c:pt>
                <c:pt idx="8">
                  <c:v>0</c:v>
                </c:pt>
                <c:pt idx="9">
                  <c:v>0</c:v>
                </c:pt>
                <c:pt idx="10">
                  <c:v>1</c:v>
                </c:pt>
              </c:numCache>
            </c:numRef>
          </c:val>
        </c:ser>
        <c:ser>
          <c:idx val="2"/>
          <c:order val="2"/>
          <c:tx>
            <c:strRef>
              <c:f>Hoja2!$A$80</c:f>
              <c:strCache>
                <c:ptCount val="1"/>
                <c:pt idx="0">
                  <c:v>En Proceso</c:v>
                </c:pt>
              </c:strCache>
            </c:strRef>
          </c:tx>
          <c:spPr>
            <a:solidFill>
              <a:schemeClr val="accent3"/>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Hoja2!$B$77:$L$77</c:f>
              <c:strCache>
                <c:ptCount val="11"/>
                <c:pt idx="0">
                  <c:v>Enero</c:v>
                </c:pt>
                <c:pt idx="1">
                  <c:v>Febrero</c:v>
                </c:pt>
                <c:pt idx="2">
                  <c:v>Marzo</c:v>
                </c:pt>
                <c:pt idx="3">
                  <c:v>Abril</c:v>
                </c:pt>
                <c:pt idx="4">
                  <c:v>Mayo</c:v>
                </c:pt>
                <c:pt idx="5">
                  <c:v>Junio</c:v>
                </c:pt>
                <c:pt idx="6">
                  <c:v>Julio</c:v>
                </c:pt>
                <c:pt idx="7">
                  <c:v>Agosto</c:v>
                </c:pt>
                <c:pt idx="8">
                  <c:v>Septiembre</c:v>
                </c:pt>
                <c:pt idx="9">
                  <c:v>Octubre</c:v>
                </c:pt>
                <c:pt idx="10">
                  <c:v>Noviembre</c:v>
                </c:pt>
              </c:strCache>
            </c:strRef>
          </c:cat>
          <c:val>
            <c:numRef>
              <c:f>Hoja2!$B$80:$L$80</c:f>
              <c:numCache>
                <c:formatCode>General</c:formatCode>
                <c:ptCount val="11"/>
                <c:pt idx="0">
                  <c:v>0</c:v>
                </c:pt>
                <c:pt idx="1">
                  <c:v>0</c:v>
                </c:pt>
                <c:pt idx="2">
                  <c:v>0</c:v>
                </c:pt>
                <c:pt idx="3">
                  <c:v>0</c:v>
                </c:pt>
                <c:pt idx="4">
                  <c:v>0</c:v>
                </c:pt>
                <c:pt idx="5">
                  <c:v>0</c:v>
                </c:pt>
                <c:pt idx="6">
                  <c:v>0</c:v>
                </c:pt>
                <c:pt idx="7">
                  <c:v>0</c:v>
                </c:pt>
                <c:pt idx="8">
                  <c:v>0</c:v>
                </c:pt>
                <c:pt idx="9">
                  <c:v>0</c:v>
                </c:pt>
                <c:pt idx="10">
                  <c:v>0</c:v>
                </c:pt>
              </c:numCache>
            </c:numRef>
          </c:val>
        </c:ser>
        <c:dLbls>
          <c:dLblPos val="outEnd"/>
          <c:showLegendKey val="0"/>
          <c:showVal val="1"/>
          <c:showCatName val="0"/>
          <c:showSerName val="0"/>
          <c:showPercent val="0"/>
          <c:showBubbleSize val="0"/>
        </c:dLbls>
        <c:gapWidth val="219"/>
        <c:overlap val="-27"/>
        <c:axId val="228379992"/>
        <c:axId val="228381168"/>
      </c:barChart>
      <c:catAx>
        <c:axId val="228379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8381168"/>
        <c:crosses val="autoZero"/>
        <c:auto val="1"/>
        <c:lblAlgn val="ctr"/>
        <c:lblOffset val="100"/>
        <c:noMultiLvlLbl val="0"/>
      </c:catAx>
      <c:valAx>
        <c:axId val="228381168"/>
        <c:scaling>
          <c:orientation val="minMax"/>
        </c:scaling>
        <c:delete val="1"/>
        <c:axPos val="l"/>
        <c:numFmt formatCode="General" sourceLinked="1"/>
        <c:majorTickMark val="none"/>
        <c:minorTickMark val="none"/>
        <c:tickLblPos val="nextTo"/>
        <c:crossAx val="228379992"/>
        <c:crosses val="autoZero"/>
        <c:crossBetween val="between"/>
      </c:valAx>
      <c:spPr>
        <a:noFill/>
        <a:ln>
          <a:solidFill>
            <a:schemeClr val="bg1">
              <a:lumMod val="50000"/>
            </a:schemeClr>
          </a:solidFill>
        </a:ln>
        <a:effectLst/>
      </c:spPr>
    </c:plotArea>
    <c:legend>
      <c:legendPos val="b"/>
      <c:layout>
        <c:manualLayout>
          <c:xMode val="edge"/>
          <c:yMode val="edge"/>
          <c:x val="0.31119400577721079"/>
          <c:y val="0.88597265285182125"/>
          <c:w val="0.38188522107813444"/>
          <c:h val="0.1008372758305122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es-E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s-DO"/>
              <a:t>RDQ´S Concluidos</a:t>
            </a:r>
          </a:p>
          <a:p>
            <a:pPr>
              <a:defRPr/>
            </a:pPr>
            <a:r>
              <a:rPr lang="es-DO"/>
              <a:t>Enero- noviembre</a:t>
            </a:r>
            <a:r>
              <a:rPr lang="es-DO" baseline="0"/>
              <a:t> </a:t>
            </a:r>
            <a:r>
              <a:rPr lang="es-DO"/>
              <a:t>2022 </a:t>
            </a:r>
          </a:p>
        </c:rich>
      </c:tx>
      <c:overlay val="0"/>
      <c:spPr>
        <a:noFill/>
        <a:ln>
          <a:noFill/>
        </a:ln>
        <a:effectLst/>
      </c:spPr>
      <c:txPr>
        <a:bodyPr rot="0" spcFirstLastPara="1" vertOverflow="ellipsis" vert="horz" wrap="square" anchor="ctr" anchorCtr="1"/>
        <a:lstStyle/>
        <a:p>
          <a:pPr>
            <a:defRPr sz="1080" b="0" i="0" u="none" strike="noStrike" kern="1200" spc="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Hoja2!$B$41</c:f>
              <c:strCache>
                <c:ptCount val="1"/>
                <c:pt idx="0">
                  <c:v>Recibidos en Conciliación</c:v>
                </c:pt>
              </c:strCache>
            </c:strRef>
          </c:tx>
          <c:spPr>
            <a:solidFill>
              <a:schemeClr val="accent1"/>
            </a:solidFill>
            <a:ln>
              <a:noFill/>
            </a:ln>
            <a:effectLst/>
          </c:spPr>
          <c:invertIfNegative val="0"/>
          <c:cat>
            <c:strRef>
              <c:f>Hoja2!$A$42:$A$52</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Hoja2!$B$42:$B$52</c:f>
              <c:numCache>
                <c:formatCode>General</c:formatCode>
                <c:ptCount val="11"/>
                <c:pt idx="0">
                  <c:v>5</c:v>
                </c:pt>
                <c:pt idx="1">
                  <c:v>0</c:v>
                </c:pt>
                <c:pt idx="2">
                  <c:v>1</c:v>
                </c:pt>
                <c:pt idx="3">
                  <c:v>1</c:v>
                </c:pt>
                <c:pt idx="4">
                  <c:v>1</c:v>
                </c:pt>
                <c:pt idx="5">
                  <c:v>0</c:v>
                </c:pt>
                <c:pt idx="6">
                  <c:v>0</c:v>
                </c:pt>
                <c:pt idx="7">
                  <c:v>0</c:v>
                </c:pt>
                <c:pt idx="8">
                  <c:v>0</c:v>
                </c:pt>
                <c:pt idx="9">
                  <c:v>0</c:v>
                </c:pt>
                <c:pt idx="10">
                  <c:v>0</c:v>
                </c:pt>
              </c:numCache>
            </c:numRef>
          </c:val>
        </c:ser>
        <c:ser>
          <c:idx val="1"/>
          <c:order val="1"/>
          <c:tx>
            <c:strRef>
              <c:f>Hoja2!$C$41</c:f>
              <c:strCache>
                <c:ptCount val="1"/>
                <c:pt idx="0">
                  <c:v>Concluidos en Conciliación</c:v>
                </c:pt>
              </c:strCache>
            </c:strRef>
          </c:tx>
          <c:spPr>
            <a:solidFill>
              <a:schemeClr val="tx2">
                <a:lumMod val="40000"/>
                <a:lumOff val="60000"/>
              </a:schemeClr>
            </a:solidFill>
            <a:ln>
              <a:noFill/>
            </a:ln>
            <a:effectLst/>
          </c:spPr>
          <c:invertIfNegative val="0"/>
          <c:cat>
            <c:strRef>
              <c:f>Hoja2!$A$42:$A$52</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Hoja2!$C$42:$C$52</c:f>
              <c:numCache>
                <c:formatCode>General</c:formatCode>
                <c:ptCount val="11"/>
                <c:pt idx="0">
                  <c:v>6</c:v>
                </c:pt>
                <c:pt idx="1">
                  <c:v>1</c:v>
                </c:pt>
                <c:pt idx="2">
                  <c:v>1</c:v>
                </c:pt>
                <c:pt idx="3">
                  <c:v>1</c:v>
                </c:pt>
                <c:pt idx="4">
                  <c:v>1</c:v>
                </c:pt>
                <c:pt idx="5">
                  <c:v>0</c:v>
                </c:pt>
                <c:pt idx="6">
                  <c:v>0</c:v>
                </c:pt>
                <c:pt idx="7">
                  <c:v>0</c:v>
                </c:pt>
                <c:pt idx="8">
                  <c:v>0</c:v>
                </c:pt>
                <c:pt idx="9">
                  <c:v>0</c:v>
                </c:pt>
                <c:pt idx="10">
                  <c:v>0</c:v>
                </c:pt>
              </c:numCache>
            </c:numRef>
          </c:val>
        </c:ser>
        <c:ser>
          <c:idx val="2"/>
          <c:order val="2"/>
          <c:tx>
            <c:strRef>
              <c:f>Hoja2!$D$41</c:f>
              <c:strCache>
                <c:ptCount val="1"/>
                <c:pt idx="0">
                  <c:v>Remitidos a Cuerpos Colegiados</c:v>
                </c:pt>
              </c:strCache>
            </c:strRef>
          </c:tx>
          <c:spPr>
            <a:solidFill>
              <a:schemeClr val="accent1">
                <a:lumMod val="20000"/>
                <a:lumOff val="80000"/>
              </a:schemeClr>
            </a:solidFill>
            <a:ln>
              <a:noFill/>
            </a:ln>
            <a:effectLst/>
          </c:spPr>
          <c:invertIfNegative val="0"/>
          <c:cat>
            <c:strRef>
              <c:f>Hoja2!$A$42:$A$52</c:f>
              <c:strCache>
                <c:ptCount val="11"/>
                <c:pt idx="0">
                  <c:v>Ene</c:v>
                </c:pt>
                <c:pt idx="1">
                  <c:v>Feb</c:v>
                </c:pt>
                <c:pt idx="2">
                  <c:v>Mar</c:v>
                </c:pt>
                <c:pt idx="3">
                  <c:v>Abr</c:v>
                </c:pt>
                <c:pt idx="4">
                  <c:v>May</c:v>
                </c:pt>
                <c:pt idx="5">
                  <c:v>Jun</c:v>
                </c:pt>
                <c:pt idx="6">
                  <c:v>Jul</c:v>
                </c:pt>
                <c:pt idx="7">
                  <c:v>Ago</c:v>
                </c:pt>
                <c:pt idx="8">
                  <c:v>Sep</c:v>
                </c:pt>
                <c:pt idx="9">
                  <c:v>Oct</c:v>
                </c:pt>
                <c:pt idx="10">
                  <c:v>Nov</c:v>
                </c:pt>
              </c:strCache>
            </c:strRef>
          </c:cat>
          <c:val>
            <c:numRef>
              <c:f>Hoja2!$D$42:$D$52</c:f>
              <c:numCache>
                <c:formatCode>General</c:formatCode>
                <c:ptCount val="11"/>
                <c:pt idx="0">
                  <c:v>1</c:v>
                </c:pt>
                <c:pt idx="1">
                  <c:v>0</c:v>
                </c:pt>
                <c:pt idx="2">
                  <c:v>0</c:v>
                </c:pt>
                <c:pt idx="3">
                  <c:v>0</c:v>
                </c:pt>
                <c:pt idx="4">
                  <c:v>0</c:v>
                </c:pt>
                <c:pt idx="5">
                  <c:v>0</c:v>
                </c:pt>
                <c:pt idx="6">
                  <c:v>0</c:v>
                </c:pt>
                <c:pt idx="7">
                  <c:v>0</c:v>
                </c:pt>
                <c:pt idx="8">
                  <c:v>0</c:v>
                </c:pt>
                <c:pt idx="9">
                  <c:v>0</c:v>
                </c:pt>
                <c:pt idx="10">
                  <c:v>0</c:v>
                </c:pt>
              </c:numCache>
            </c:numRef>
          </c:val>
        </c:ser>
        <c:dLbls>
          <c:showLegendKey val="0"/>
          <c:showVal val="0"/>
          <c:showCatName val="0"/>
          <c:showSerName val="0"/>
          <c:showPercent val="0"/>
          <c:showBubbleSize val="0"/>
        </c:dLbls>
        <c:gapWidth val="219"/>
        <c:overlap val="-27"/>
        <c:axId val="308925352"/>
        <c:axId val="301541808"/>
      </c:barChart>
      <c:catAx>
        <c:axId val="308925352"/>
        <c:scaling>
          <c:orientation val="minMax"/>
        </c:scaling>
        <c:delete val="1"/>
        <c:axPos val="b"/>
        <c:numFmt formatCode="General" sourceLinked="1"/>
        <c:majorTickMark val="out"/>
        <c:minorTickMark val="none"/>
        <c:tickLblPos val="nextTo"/>
        <c:crossAx val="301541808"/>
        <c:crosses val="autoZero"/>
        <c:auto val="1"/>
        <c:lblAlgn val="ctr"/>
        <c:lblOffset val="100"/>
        <c:noMultiLvlLbl val="0"/>
      </c:catAx>
      <c:valAx>
        <c:axId val="301541808"/>
        <c:scaling>
          <c:orientation val="minMax"/>
        </c:scaling>
        <c:delete val="1"/>
        <c:axPos val="l"/>
        <c:numFmt formatCode="General" sourceLinked="1"/>
        <c:majorTickMark val="out"/>
        <c:minorTickMark val="none"/>
        <c:tickLblPos val="nextTo"/>
        <c:crossAx val="308925352"/>
        <c:crosses val="autoZero"/>
        <c:crossBetween val="between"/>
      </c:valAx>
      <c:dTable>
        <c:showHorzBorder val="1"/>
        <c:showVertBorder val="1"/>
        <c:showOutline val="1"/>
        <c:showKeys val="1"/>
        <c:spPr>
          <a:noFill/>
          <a:ln w="9525" cap="flat" cmpd="sng" algn="ctr">
            <a:solidFill>
              <a:schemeClr val="tx1">
                <a:lumMod val="15000"/>
                <a:lumOff val="85000"/>
              </a:schemeClr>
            </a:solidFill>
            <a:round/>
          </a:ln>
          <a:effectLst/>
        </c:spPr>
        <c:txPr>
          <a:bodyPr rot="0" spcFirstLastPara="1" vertOverflow="ellipsis" vert="horz" wrap="square" anchor="ctr" anchorCtr="1"/>
          <a:lstStyle/>
          <a:p>
            <a:pPr rtl="0">
              <a:defRPr sz="900" b="0" i="0" u="none" strike="noStrike" kern="1200" baseline="0">
                <a:solidFill>
                  <a:srgbClr val="4C4747"/>
                </a:solidFill>
                <a:latin typeface="Times New Roman" panose="02020603050405020304" pitchFamily="18" charset="0"/>
                <a:ea typeface="+mn-ea"/>
                <a:cs typeface="Times New Roman" panose="02020603050405020304" pitchFamily="18" charset="0"/>
              </a:defRPr>
            </a:pPr>
            <a:endParaRPr lang="en-US"/>
          </a:p>
        </c:txPr>
      </c:dTable>
      <c:spPr>
        <a:noFill/>
        <a:ln>
          <a:noFill/>
        </a:ln>
        <a:effectLst/>
      </c:spPr>
    </c:plotArea>
    <c:plotVisOnly val="1"/>
    <c:dispBlanksAs val="gap"/>
    <c:showDLblsOverMax val="0"/>
  </c:chart>
  <c:spPr>
    <a:solidFill>
      <a:schemeClr val="bg1"/>
    </a:solidFill>
    <a:ln w="12700" cap="flat" cmpd="sng" algn="ctr">
      <a:solidFill>
        <a:schemeClr val="bg1">
          <a:lumMod val="50000"/>
        </a:schemeClr>
      </a:solidFill>
      <a:round/>
    </a:ln>
    <a:effectLst/>
  </c:spPr>
  <c:txPr>
    <a:bodyPr/>
    <a:lstStyle/>
    <a:p>
      <a:pPr>
        <a:defRPr sz="900">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withinLinearReversed" id="25">
  <a:schemeClr val="accent5"/>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withinLinearReversed" id="25">
  <a:schemeClr val="accent5"/>
</cs:colorStyle>
</file>

<file path=word/charts/colors12.xml><?xml version="1.0" encoding="utf-8"?>
<cs:colorStyle xmlns:cs="http://schemas.microsoft.com/office/drawing/2012/chartStyle" xmlns:a="http://schemas.openxmlformats.org/drawingml/2006/main" meth="withinLinear" id="18">
  <a:schemeClr val="accent5"/>
</cs:colorStyle>
</file>

<file path=word/charts/colors1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7.xml><?xml version="1.0" encoding="utf-8"?>
<cs:colorStyle xmlns:cs="http://schemas.microsoft.com/office/drawing/2012/chartStyle" xmlns:a="http://schemas.openxmlformats.org/drawingml/2006/main" meth="withinLinear" id="14">
  <a:schemeClr val="accent1"/>
</cs:colorStyle>
</file>

<file path=word/charts/colors2.xml><?xml version="1.0" encoding="utf-8"?>
<cs:colorStyle xmlns:cs="http://schemas.microsoft.com/office/drawing/2012/chartStyle" xmlns:a="http://schemas.openxmlformats.org/drawingml/2006/main" meth="withinLinear" id="14">
  <a:schemeClr val="accent1"/>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withinLinearReversed" id="25">
  <a:schemeClr val="accent5"/>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0.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4.xml><?xml version="1.0" encoding="utf-8"?>
<cs:chartStyle xmlns:cs="http://schemas.microsoft.com/office/drawing/2012/chartStyle" xmlns:a="http://schemas.openxmlformats.org/drawingml/2006/main" id="256">
  <cs:axisTitle>
    <cs:lnRef idx="0"/>
    <cs:fillRef idx="0"/>
    <cs:effectRef idx="0"/>
    <cs:fontRef idx="minor">
      <a:schemeClr val="dk1">
        <a:lumMod val="65000"/>
        <a:lumOff val="35000"/>
      </a:schemeClr>
    </cs:fontRef>
    <cs:defRPr sz="900" b="1" kern="1200"/>
  </cs:axisTitle>
  <cs:categoryAxis>
    <cs:lnRef idx="0"/>
    <cs:fillRef idx="0"/>
    <cs:effectRef idx="0"/>
    <cs:fontRef idx="minor">
      <a:schemeClr val="dk1">
        <a:lumMod val="65000"/>
        <a:lumOff val="35000"/>
      </a:schemeClr>
    </cs:fontRef>
    <cs:defRPr sz="900" kern="1200" cap="none" spc="0" normalizeH="0" baseline="0"/>
  </cs:categoryAxis>
  <cs:chartArea>
    <cs:lnRef idx="0"/>
    <cs:fillRef idx="0"/>
    <cs:effectRef idx="0"/>
    <cs:fontRef idx="minor">
      <a:schemeClr val="dk1"/>
    </cs:fontRef>
    <cs:spPr>
      <a:pattFill prst="dkDnDiag">
        <a:fgClr>
          <a:schemeClr val="lt1"/>
        </a:fgClr>
        <a:bgClr>
          <a:schemeClr val="dk1">
            <a:lumMod val="10000"/>
            <a:lumOff val="90000"/>
          </a:schemeClr>
        </a:bgClr>
      </a:pattFill>
      <a:ln w="9525" cap="flat" cmpd="sng" algn="ctr">
        <a:solidFill>
          <a:schemeClr val="dk1">
            <a:lumMod val="15000"/>
            <a:lumOff val="85000"/>
          </a:schemeClr>
        </a:solidFill>
        <a:round/>
      </a:ln>
    </cs:spPr>
    <cs:defRPr sz="900" kern="1200"/>
  </cs:chartArea>
  <cs:dataLabel>
    <cs:lnRef idx="0"/>
    <cs:fillRef idx="0"/>
    <cs:effectRef idx="0"/>
    <cs:fontRef idx="minor">
      <a:schemeClr val="dk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alpha val="75000"/>
        </a:schemeClr>
      </a:solidFill>
      <a:ln w="9525">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19050">
        <a:solidFill>
          <a:schemeClr val="lt1"/>
        </a:solidFill>
      </a:ln>
    </cs:spPr>
  </cs:dataPoint>
  <cs:dataPoint3D>
    <cs:lnRef idx="0"/>
    <cs:fillRef idx="0">
      <cs:styleClr val="auto"/>
    </cs:fillRef>
    <cs:effectRef idx="0"/>
    <cs:fontRef idx="minor">
      <a:schemeClr val="tx1"/>
    </cs:fontRef>
    <cs:spPr>
      <a:gradFill>
        <a:gsLst>
          <a:gs pos="100000">
            <a:schemeClr val="phClr">
              <a:lumMod val="60000"/>
              <a:lumOff val="40000"/>
            </a:schemeClr>
          </a:gs>
          <a:gs pos="0">
            <a:schemeClr val="phClr"/>
          </a:gs>
        </a:gsLst>
        <a:lin ang="5400000" scaled="0"/>
      </a:gradFill>
      <a:ln w="50800">
        <a:solidFill>
          <a:schemeClr val="lt1"/>
        </a:solidFill>
      </a:ln>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lt1"/>
      </a:solidFill>
      <a:ln w="15875">
        <a:solidFill>
          <a:schemeClr val="phClr"/>
        </a:solidFill>
        <a:round/>
      </a:ln>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65000"/>
        <a:lumOff val="35000"/>
      </a:schemeClr>
    </cs:fontRef>
    <cs:spPr>
      <a:ln w="9525" cap="flat" cmpd="sng" algn="ctr">
        <a:solidFill>
          <a:schemeClr val="dk1">
            <a:lumMod val="15000"/>
            <a:lumOff val="85000"/>
          </a:schemeClr>
        </a:solidFill>
        <a:round/>
      </a:ln>
    </cs:spPr>
    <cs:defRPr sz="800" kern="1200"/>
  </cs:dataTable>
  <cs:downBar>
    <cs:lnRef idx="0"/>
    <cs:fillRef idx="0"/>
    <cs:effectRef idx="0"/>
    <cs:fontRef idx="minor">
      <a:schemeClr val="dk1"/>
    </cs:fontRef>
    <cs:spPr>
      <a:solidFill>
        <a:schemeClr val="dk1">
          <a:lumMod val="75000"/>
          <a:lumOff val="25000"/>
        </a:schemeClr>
      </a:solidFill>
      <a:ln w="9525" cap="flat" cmpd="sng" algn="ctr">
        <a:solidFill>
          <a:schemeClr val="dk1">
            <a:lumMod val="50000"/>
            <a:lumOff val="50000"/>
          </a:schemeClr>
        </a:solidFill>
        <a:round/>
      </a:ln>
    </cs:spPr>
  </cs:downBar>
  <cs:dropLine>
    <cs:lnRef idx="0"/>
    <cs:fillRef idx="0"/>
    <cs:effectRef idx="0"/>
    <cs:fontRef idx="minor">
      <a:schemeClr val="dk1"/>
    </cs:fontRef>
    <cs:spPr>
      <a:ln w="9525" cap="flat" cmpd="sng" algn="ctr">
        <a:solidFill>
          <a:schemeClr val="dk1">
            <a:lumMod val="35000"/>
            <a:lumOff val="65000"/>
          </a:schemeClr>
        </a:solidFill>
        <a:round/>
      </a:ln>
    </cs:spPr>
  </cs:dropLine>
  <cs:errorBar>
    <cs:lnRef idx="0"/>
    <cs:fillRef idx="0"/>
    <cs:effectRef idx="0"/>
    <cs:fontRef idx="minor">
      <a:schemeClr val="dk1"/>
    </cs:fontRef>
    <cs:spPr>
      <a:ln w="9525" cap="flat" cmpd="sng" algn="ctr">
        <a:solidFill>
          <a:schemeClr val="dk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dk1">
            <a:lumMod val="15000"/>
            <a:lumOff val="85000"/>
          </a:schemeClr>
        </a:solidFill>
        <a:round/>
      </a:ln>
    </cs:spPr>
  </cs:gridlineMajor>
  <cs:gridlineMinor>
    <cs:lnRef idx="0"/>
    <cs:fillRef idx="0"/>
    <cs:effectRef idx="0"/>
    <cs:fontRef idx="minor">
      <a:schemeClr val="dk1"/>
    </cs:fontRef>
    <cs:spPr>
      <a:ln w="9525" cap="flat" cmpd="sng" algn="ctr">
        <a:solidFill>
          <a:schemeClr val="dk1">
            <a:lumMod val="5000"/>
            <a:lumOff val="95000"/>
          </a:schemeClr>
        </a:solidFill>
        <a:round/>
      </a:ln>
    </cs:spPr>
  </cs:gridlineMinor>
  <cs:hiLoLine>
    <cs:lnRef idx="0"/>
    <cs:fillRef idx="0"/>
    <cs:effectRef idx="0"/>
    <cs:fontRef idx="minor">
      <a:schemeClr val="dk1"/>
    </cs:fontRef>
    <cs:spPr>
      <a:ln w="9525" cap="flat" cmpd="sng" algn="ctr">
        <a:solidFill>
          <a:schemeClr val="dk1">
            <a:lumMod val="35000"/>
            <a:lumOff val="65000"/>
          </a:schemeClr>
        </a:solidFill>
        <a:round/>
      </a:ln>
    </cs:spPr>
  </cs:hiLoLine>
  <cs:leaderLine>
    <cs:lnRef idx="0"/>
    <cs:fillRef idx="0"/>
    <cs:effectRef idx="0"/>
    <cs:fontRef idx="minor">
      <a:schemeClr val="dk1"/>
    </cs:fontRef>
    <cs:spPr>
      <a:ln w="9525" cap="flat" cmpd="sng" algn="ctr">
        <a:solidFill>
          <a:schemeClr val="dk1">
            <a:lumMod val="35000"/>
            <a:lumOff val="65000"/>
          </a:schemeClr>
        </a:solidFill>
        <a:round/>
      </a:ln>
    </cs:spPr>
  </cs:leaderLine>
  <cs:legend>
    <cs:lnRef idx="0"/>
    <cs:fillRef idx="0"/>
    <cs:effectRef idx="0"/>
    <cs:fontRef idx="minor">
      <a:schemeClr val="dk1">
        <a:lumMod val="65000"/>
        <a:lumOff val="35000"/>
      </a:schemeClr>
    </cs:fontRef>
    <cs:spPr>
      <a:solidFill>
        <a:schemeClr val="lt1">
          <a:alpha val="50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65000"/>
        <a:lumOff val="35000"/>
      </a:schemeClr>
    </cs:fontRef>
    <cs:defRPr sz="900" kern="1200"/>
  </cs:seriesAxis>
  <cs:seriesLine>
    <cs:lnRef idx="0"/>
    <cs:fillRef idx="0"/>
    <cs:effectRef idx="0"/>
    <cs:fontRef idx="minor">
      <a:schemeClr val="dk1"/>
    </cs:fontRef>
    <cs:spPr>
      <a:ln w="9525" cap="flat" cmpd="sng" algn="ctr">
        <a:solidFill>
          <a:schemeClr val="dk1">
            <a:lumMod val="35000"/>
            <a:lumOff val="65000"/>
          </a:schemeClr>
        </a:solidFill>
        <a:round/>
      </a:ln>
    </cs:spPr>
  </cs:seriesLine>
  <cs:title>
    <cs:lnRef idx="0"/>
    <cs:fillRef idx="0"/>
    <cs:effectRef idx="0"/>
    <cs:fontRef idx="major">
      <a:schemeClr val="dk1">
        <a:lumMod val="50000"/>
        <a:lumOff val="50000"/>
      </a:schemeClr>
    </cs:fontRef>
    <cs:defRPr sz="1600" b="1" kern="1200" spc="0" normalizeH="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65000"/>
        <a:lumOff val="35000"/>
      </a:schemeClr>
    </cs:fontRef>
    <cs:defRPr sz="900" kern="1200"/>
  </cs:trendlineLabel>
  <cs:upBar>
    <cs:lnRef idx="0"/>
    <cs:fillRef idx="0"/>
    <cs:effectRef idx="0"/>
    <cs:fontRef idx="minor">
      <a:schemeClr val="dk1"/>
    </cs:fontRef>
    <cs:spPr>
      <a:solidFill>
        <a:schemeClr val="lt1"/>
      </a:solidFill>
      <a:ln w="9525" cap="flat" cmpd="sng" algn="ctr">
        <a:solidFill>
          <a:schemeClr val="dk1">
            <a:lumMod val="50000"/>
            <a:lumOff val="50000"/>
          </a:schemeClr>
        </a:solidFill>
        <a:round/>
      </a:ln>
    </cs:spPr>
  </cs:upBar>
  <cs:valueAxis>
    <cs:lnRef idx="0"/>
    <cs:fillRef idx="0"/>
    <cs:effectRef idx="0"/>
    <cs:fontRef idx="minor">
      <a:schemeClr val="dk1">
        <a:lumMod val="65000"/>
        <a:lumOff val="35000"/>
      </a:schemeClr>
    </cs:fontRef>
    <cs:defRPr sz="900" kern="1200"/>
  </cs:valueAxis>
  <cs:wall>
    <cs:lnRef idx="0"/>
    <cs:fillRef idx="0"/>
    <cs:effectRef idx="0"/>
    <cs:fontRef idx="minor">
      <a:schemeClr val="dk1"/>
    </cs:fontRef>
  </cs:wall>
</cs:chartStyle>
</file>

<file path=word/charts/style1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17.xml><?xml version="1.0" encoding="utf-8"?>
<cs:chartStyle xmlns:cs="http://schemas.microsoft.com/office/drawing/2012/chartStyle" xmlns:a="http://schemas.openxmlformats.org/drawingml/2006/main" id="340">
  <cs:axisTitle>
    <cs:lnRef idx="0"/>
    <cs:fillRef idx="0"/>
    <cs:effectRef idx="0"/>
    <cs:fontRef idx="minor">
      <a:schemeClr val="tx1">
        <a:lumMod val="65000"/>
        <a:lumOff val="35000"/>
      </a:schemeClr>
    </cs:fontRef>
    <cs:defRPr sz="900" kern="1200"/>
  </cs:axisTitle>
  <cs:category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lt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tx1">
        <a:lumMod val="65000"/>
        <a:lumOff val="35000"/>
      </a:schemeClr>
    </cs:fontRef>
    <cs:spPr>
      <a:ln w="12700" cap="flat" cmpd="sng" algn="ctr">
        <a:solidFill>
          <a:schemeClr val="tx1">
            <a:lumMod val="15000"/>
            <a:lumOff val="85000"/>
          </a:schemeClr>
        </a:solidFill>
        <a:round/>
      </a:ln>
    </cs:spPr>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baseline="0"/>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lt1"/>
    </cs:fontRef>
  </cs:wall>
</cs:chartStyle>
</file>

<file path=word/charts/style2.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8.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9.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rawings/drawing1.xml><?xml version="1.0" encoding="utf-8"?>
<c:userShapes xmlns:c="http://schemas.openxmlformats.org/drawingml/2006/chart">
  <cdr:relSizeAnchor xmlns:cdr="http://schemas.openxmlformats.org/drawingml/2006/chartDrawing">
    <cdr:from>
      <cdr:x>0.36012</cdr:x>
      <cdr:y>0.27422</cdr:y>
    </cdr:from>
    <cdr:to>
      <cdr:x>0.36022</cdr:x>
      <cdr:y>0.79695</cdr:y>
    </cdr:to>
    <cdr:cxnSp macro="">
      <cdr:nvCxnSpPr>
        <cdr:cNvPr id="4" name="Conector recto 3">
          <a:extLst xmlns:a="http://schemas.openxmlformats.org/drawingml/2006/main">
            <a:ext uri="{FF2B5EF4-FFF2-40B4-BE49-F238E27FC236}">
              <a16:creationId xmlns="" xmlns:a16="http://schemas.microsoft.com/office/drawing/2014/main" id="{4179B2E8-32CA-6EFE-0582-2F507C2C53BA}"/>
            </a:ext>
          </a:extLst>
        </cdr:cNvPr>
        <cdr:cNvCxnSpPr/>
      </cdr:nvCxnSpPr>
      <cdr:spPr>
        <a:xfrm xmlns:a="http://schemas.openxmlformats.org/drawingml/2006/main" flipV="1">
          <a:off x="2466273" y="795338"/>
          <a:ext cx="703" cy="1516107"/>
        </a:xfrm>
        <a:prstGeom xmlns:a="http://schemas.openxmlformats.org/drawingml/2006/main" prst="line">
          <a:avLst/>
        </a:prstGeom>
        <a:ln xmlns:a="http://schemas.openxmlformats.org/drawingml/2006/main" w="19050">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0.67733</cdr:x>
      <cdr:y>0.27422</cdr:y>
    </cdr:from>
    <cdr:to>
      <cdr:x>0.67872</cdr:x>
      <cdr:y>0.79967</cdr:y>
    </cdr:to>
    <cdr:cxnSp macro="">
      <cdr:nvCxnSpPr>
        <cdr:cNvPr id="5" name="Conector recto 4">
          <a:extLst xmlns:a="http://schemas.openxmlformats.org/drawingml/2006/main">
            <a:ext uri="{FF2B5EF4-FFF2-40B4-BE49-F238E27FC236}">
              <a16:creationId xmlns="" xmlns:a16="http://schemas.microsoft.com/office/drawing/2014/main" id="{7416A092-D389-5957-0E7E-88178FB0F667}"/>
            </a:ext>
          </a:extLst>
        </cdr:cNvPr>
        <cdr:cNvCxnSpPr/>
      </cdr:nvCxnSpPr>
      <cdr:spPr>
        <a:xfrm xmlns:a="http://schemas.openxmlformats.org/drawingml/2006/main" flipV="1">
          <a:off x="4638676" y="795339"/>
          <a:ext cx="9526" cy="1523999"/>
        </a:xfrm>
        <a:prstGeom xmlns:a="http://schemas.openxmlformats.org/drawingml/2006/main" prst="line">
          <a:avLst/>
        </a:prstGeom>
        <a:ln xmlns:a="http://schemas.openxmlformats.org/drawingml/2006/main" w="19050">
          <a:solidFill>
            <a:sysClr val="windowText" lastClr="000000"/>
          </a:solidFill>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0.57489</cdr:x>
      <cdr:y>0.57143</cdr:y>
    </cdr:from>
    <cdr:to>
      <cdr:x>0.60514</cdr:x>
      <cdr:y>0.6414</cdr:y>
    </cdr:to>
    <cdr:sp macro="" textlink="">
      <cdr:nvSpPr>
        <cdr:cNvPr id="6" name="Cuadro de texto 5"/>
        <cdr:cNvSpPr txBox="1"/>
      </cdr:nvSpPr>
      <cdr:spPr>
        <a:xfrm xmlns:a="http://schemas.openxmlformats.org/drawingml/2006/main">
          <a:off x="3619501" y="1866900"/>
          <a:ext cx="190500" cy="228600"/>
        </a:xfrm>
        <a:prstGeom xmlns:a="http://schemas.openxmlformats.org/drawingml/2006/main" prst="rect">
          <a:avLst/>
        </a:prstGeom>
      </cdr:spPr>
      <cdr:txBody>
        <a:bodyPr xmlns:a="http://schemas.openxmlformats.org/drawingml/2006/main" vertOverflow="clip" wrap="square" rtlCol="0"/>
        <a:lstStyle xmlns:a="http://schemas.openxmlformats.org/drawingml/2006/main"/>
        <a:p xmlns:a="http://schemas.openxmlformats.org/drawingml/2006/main">
          <a:pPr algn="ctr" rtl="0">
            <a:defRPr sz="900" b="1" i="0" u="none" strike="noStrike" kern="1200" baseline="0">
              <a:solidFill>
                <a:sysClr val="window" lastClr="FFFFFF"/>
              </a:solidFill>
              <a:latin typeface="Times New Roman" panose="02020603050405020304" pitchFamily="18" charset="0"/>
              <a:ea typeface="+mn-ea"/>
              <a:cs typeface="Times New Roman" panose="02020603050405020304" pitchFamily="18" charset="0"/>
            </a:defRPr>
          </a:pPr>
          <a:fld id="{B86F5A58-EF0C-4C0A-A44E-BC4067CC8FE0}" type="VALUE">
            <a:rPr lang="en-US" sz="1100"/>
            <a:pPr algn="ctr" rtl="0">
              <a:defRPr sz="900" b="1" i="0" u="none" strike="noStrike" kern="1200" baseline="0">
                <a:solidFill>
                  <a:sysClr val="window" lastClr="FFFFFF"/>
                </a:solidFill>
                <a:latin typeface="Times New Roman" panose="02020603050405020304" pitchFamily="18" charset="0"/>
                <a:ea typeface="+mn-ea"/>
                <a:cs typeface="Times New Roman" panose="02020603050405020304" pitchFamily="18" charset="0"/>
              </a:defRPr>
            </a:pPr>
            <a:t>1</a:t>
          </a:fld>
          <a:endParaRPr lang="en-US" sz="1100"/>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213EFB9-1341-49D5-AAF8-EC2CCCF0DE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210</Pages>
  <Words>36215</Words>
  <Characters>206429</Characters>
  <Application>Microsoft Office Word</Application>
  <DocSecurity>0</DocSecurity>
  <Lines>1720</Lines>
  <Paragraphs>484</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242160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Peña</dc:creator>
  <cp:keywords/>
  <dc:description/>
  <cp:lastModifiedBy>Pamela Turbi Herrera</cp:lastModifiedBy>
  <cp:revision>2</cp:revision>
  <cp:lastPrinted>2022-07-21T15:44:00Z</cp:lastPrinted>
  <dcterms:created xsi:type="dcterms:W3CDTF">2022-12-20T14:42:00Z</dcterms:created>
  <dcterms:modified xsi:type="dcterms:W3CDTF">2022-12-20T14:42:00Z</dcterms:modified>
</cp:coreProperties>
</file>