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footer5.xml" ContentType="application/vnd.openxmlformats-officedocument.wordprocessingml.footer+xml"/>
  <Override PartName="/word/footer6.xml" ContentType="application/vnd.openxmlformats-officedocument.wordprocessingml.footer+xml"/>
  <Override PartName="/word/charts/chart9.xml" ContentType="application/vnd.openxmlformats-officedocument.drawingml.chart+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7C59D1" w14:textId="28CEE447" w:rsidR="00F74FEA" w:rsidRPr="00A86972" w:rsidRDefault="00462712" w:rsidP="00D270CA">
      <w:pPr>
        <w:spacing w:before="20" w:line="360" w:lineRule="auto"/>
        <w:ind w:left="14"/>
        <w:rPr>
          <w:rFonts w:ascii="Times New Roman" w:hAnsi="Times New Roman" w:cs="Times New Roman"/>
          <w:b/>
          <w:bCs/>
          <w:color w:val="D4AF37"/>
          <w:spacing w:val="9"/>
          <w:kern w:val="24"/>
          <w:sz w:val="20"/>
          <w:szCs w:val="20"/>
        </w:rPr>
      </w:pPr>
      <w:bookmarkStart w:id="0" w:name="_Hlk91229332"/>
      <w:r w:rsidRPr="00A86972">
        <w:rPr>
          <w:rFonts w:ascii="Times New Roman" w:hAnsi="Times New Roman" w:cs="Times New Roman"/>
          <w:b/>
          <w:bCs/>
          <w:noProof/>
          <w:color w:val="D4AF37"/>
          <w:spacing w:val="9"/>
          <w:kern w:val="24"/>
          <w:sz w:val="20"/>
          <w:szCs w:val="20"/>
          <w:lang w:val="en-US"/>
        </w:rPr>
        <w:drawing>
          <wp:anchor distT="0" distB="0" distL="114300" distR="114300" simplePos="0" relativeHeight="251661312" behindDoc="0" locked="0" layoutInCell="1" allowOverlap="1" wp14:anchorId="315560BB" wp14:editId="71958113">
            <wp:simplePos x="0" y="0"/>
            <wp:positionH relativeFrom="margin">
              <wp:posOffset>1802883</wp:posOffset>
            </wp:positionH>
            <wp:positionV relativeFrom="page">
              <wp:posOffset>795640</wp:posOffset>
            </wp:positionV>
            <wp:extent cx="1270635" cy="1284605"/>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7815" t="27198" r="48325" b="29894"/>
                    <a:stretch/>
                  </pic:blipFill>
                  <pic:spPr bwMode="auto">
                    <a:xfrm>
                      <a:off x="0" y="0"/>
                      <a:ext cx="1270635" cy="12846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278AAAC" w14:textId="77777777" w:rsidR="00F74FEA" w:rsidRPr="00A86972" w:rsidRDefault="00F74FEA" w:rsidP="00F74FEA">
      <w:pPr>
        <w:spacing w:before="20"/>
        <w:ind w:left="14"/>
        <w:rPr>
          <w:rFonts w:ascii="Times New Roman" w:hAnsi="Times New Roman" w:cs="Times New Roman"/>
          <w:b/>
          <w:bCs/>
          <w:color w:val="D4AF37"/>
          <w:spacing w:val="9"/>
          <w:kern w:val="24"/>
          <w:sz w:val="20"/>
          <w:szCs w:val="20"/>
        </w:rPr>
      </w:pPr>
    </w:p>
    <w:p w14:paraId="1EF0CF4B" w14:textId="24184FB0" w:rsidR="00DA664C" w:rsidRPr="00E11754" w:rsidRDefault="00F74FEA" w:rsidP="00F74FEA">
      <w:pPr>
        <w:spacing w:before="20"/>
        <w:ind w:left="14"/>
        <w:rPr>
          <w:rFonts w:ascii="Times New Roman" w:hAnsi="Times New Roman" w:cs="Times New Roman"/>
          <w:b/>
          <w:bCs/>
          <w:color w:val="D5B788"/>
          <w:spacing w:val="9"/>
          <w:kern w:val="24"/>
          <w:sz w:val="20"/>
          <w:szCs w:val="20"/>
        </w:rPr>
      </w:pPr>
      <w:r w:rsidRPr="00A86972">
        <w:rPr>
          <w:rFonts w:ascii="Times New Roman" w:hAnsi="Times New Roman" w:cs="Times New Roman"/>
          <w:b/>
          <w:bCs/>
          <w:color w:val="D4AF37"/>
          <w:spacing w:val="9"/>
          <w:kern w:val="24"/>
          <w:sz w:val="20"/>
          <w:szCs w:val="20"/>
        </w:rPr>
        <w:t xml:space="preserve">                                           </w:t>
      </w:r>
      <w:r w:rsidR="00DA664C" w:rsidRPr="00E11754">
        <w:rPr>
          <w:rFonts w:ascii="Times New Roman" w:hAnsi="Times New Roman" w:cs="Times New Roman"/>
          <w:b/>
          <w:bCs/>
          <w:color w:val="D5B788"/>
          <w:spacing w:val="9"/>
          <w:kern w:val="24"/>
          <w:sz w:val="20"/>
          <w:szCs w:val="20"/>
        </w:rPr>
        <w:t>REPÚBLICA DOMINICANA</w:t>
      </w:r>
    </w:p>
    <w:p w14:paraId="174D3B8D" w14:textId="77777777" w:rsidR="00DA664C" w:rsidRDefault="00DA664C" w:rsidP="00DA664C">
      <w:pPr>
        <w:rPr>
          <w:b/>
          <w:bCs/>
        </w:rPr>
      </w:pPr>
    </w:p>
    <w:p w14:paraId="08F258C2" w14:textId="4B3D9A3B" w:rsidR="00DA664C" w:rsidRDefault="00DA664C" w:rsidP="00DA664C">
      <w:pPr>
        <w:rPr>
          <w:b/>
          <w:bCs/>
        </w:rPr>
      </w:pPr>
      <w:bookmarkStart w:id="1" w:name="_Hlk90306929"/>
      <w:bookmarkEnd w:id="1"/>
    </w:p>
    <w:p w14:paraId="5443B75C" w14:textId="652F70A3" w:rsidR="00DA664C" w:rsidRDefault="00DA664C" w:rsidP="00DA664C">
      <w:pPr>
        <w:rPr>
          <w:b/>
          <w:bCs/>
        </w:rPr>
      </w:pPr>
    </w:p>
    <w:p w14:paraId="44DE16B1" w14:textId="77777777" w:rsidR="00DA664C" w:rsidRDefault="00DA664C" w:rsidP="00DA664C">
      <w:pPr>
        <w:rPr>
          <w:b/>
          <w:bCs/>
        </w:rPr>
      </w:pPr>
    </w:p>
    <w:p w14:paraId="17196F14" w14:textId="586113DD" w:rsidR="00DA664C" w:rsidRDefault="00DA664C" w:rsidP="00DA664C">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45C6FF86" w14:textId="34A6E50D" w:rsidR="00DA664C" w:rsidRPr="009C1882" w:rsidRDefault="00DA664C" w:rsidP="004D24E4">
      <w:pPr>
        <w:spacing w:after="0"/>
        <w:jc w:val="center"/>
        <w:rPr>
          <w:rFonts w:ascii="Times New Roman" w:hAnsi="Times New Roman" w:cs="Times New Roman"/>
          <w:b/>
          <w:bCs/>
          <w:color w:val="D7B688"/>
          <w:spacing w:val="60"/>
          <w:kern w:val="24"/>
          <w:sz w:val="56"/>
          <w:szCs w:val="56"/>
        </w:rPr>
      </w:pPr>
      <w:r w:rsidRPr="009C1882">
        <w:rPr>
          <w:rFonts w:ascii="Times New Roman" w:hAnsi="Times New Roman" w:cs="Times New Roman"/>
          <w:b/>
          <w:bCs/>
          <w:color w:val="D7B688"/>
          <w:spacing w:val="60"/>
          <w:kern w:val="24"/>
          <w:sz w:val="56"/>
          <w:szCs w:val="56"/>
        </w:rPr>
        <w:t>MEMORIA</w:t>
      </w:r>
    </w:p>
    <w:p w14:paraId="7E45866D" w14:textId="585D4F07" w:rsidR="00DA664C" w:rsidRPr="009C1882" w:rsidRDefault="00DA664C" w:rsidP="004D24E4">
      <w:pPr>
        <w:spacing w:after="0"/>
        <w:jc w:val="center"/>
        <w:rPr>
          <w:rFonts w:ascii="Times New Roman" w:hAnsi="Times New Roman" w:cs="Times New Roman"/>
          <w:b/>
          <w:bCs/>
          <w:color w:val="D7B688"/>
          <w:spacing w:val="60"/>
          <w:kern w:val="24"/>
          <w:sz w:val="56"/>
          <w:szCs w:val="56"/>
        </w:rPr>
      </w:pPr>
      <w:r w:rsidRPr="009C1882">
        <w:rPr>
          <w:rFonts w:ascii="Times New Roman" w:hAnsi="Times New Roman" w:cs="Times New Roman"/>
          <w:b/>
          <w:bCs/>
          <w:color w:val="D7B688"/>
          <w:spacing w:val="60"/>
          <w:kern w:val="24"/>
          <w:sz w:val="56"/>
          <w:szCs w:val="56"/>
        </w:rPr>
        <w:t>INSTITUCIONAL</w:t>
      </w:r>
    </w:p>
    <w:p w14:paraId="4C430021" w14:textId="0EADA4A0" w:rsidR="00DA664C" w:rsidRPr="009C1882" w:rsidRDefault="00A82C02" w:rsidP="004D24E4">
      <w:pPr>
        <w:spacing w:after="0"/>
        <w:jc w:val="center"/>
        <w:rPr>
          <w:rFonts w:ascii="Times New Roman" w:hAnsi="Times New Roman" w:cs="Times New Roman"/>
          <w:b/>
          <w:bCs/>
          <w:color w:val="D7B688"/>
          <w:spacing w:val="60"/>
          <w:kern w:val="24"/>
          <w:sz w:val="40"/>
          <w:szCs w:val="40"/>
        </w:rPr>
      </w:pPr>
      <w:r w:rsidRPr="009C1882">
        <w:rPr>
          <w:rFonts w:ascii="Times New Roman" w:hAnsi="Times New Roman" w:cs="Times New Roman"/>
          <w:b/>
          <w:bCs/>
          <w:noProof/>
          <w:color w:val="D7B688"/>
          <w:spacing w:val="60"/>
          <w:kern w:val="24"/>
          <w:sz w:val="32"/>
          <w:szCs w:val="32"/>
        </w:rPr>
        <mc:AlternateContent>
          <mc:Choice Requires="wps">
            <w:drawing>
              <wp:anchor distT="0" distB="0" distL="114300" distR="114300" simplePos="0" relativeHeight="251659264" behindDoc="0" locked="0" layoutInCell="1" allowOverlap="1" wp14:anchorId="6BD279F2" wp14:editId="5EBC0380">
                <wp:simplePos x="0" y="0"/>
                <wp:positionH relativeFrom="margin">
                  <wp:posOffset>2228850</wp:posOffset>
                </wp:positionH>
                <wp:positionV relativeFrom="paragraph">
                  <wp:posOffset>125730</wp:posOffset>
                </wp:positionV>
                <wp:extent cx="391795" cy="0"/>
                <wp:effectExtent l="0" t="19050" r="27305" b="19050"/>
                <wp:wrapNone/>
                <wp:docPr id="11" name="Conector recto 4"/>
                <wp:cNvGraphicFramePr/>
                <a:graphic xmlns:a="http://schemas.openxmlformats.org/drawingml/2006/main">
                  <a:graphicData uri="http://schemas.microsoft.com/office/word/2010/wordprocessingShape">
                    <wps:wsp>
                      <wps:cNvCnPr/>
                      <wps:spPr>
                        <a:xfrm flipV="1">
                          <a:off x="0" y="0"/>
                          <a:ext cx="391795" cy="0"/>
                        </a:xfrm>
                        <a:prstGeom prst="line">
                          <a:avLst/>
                        </a:prstGeom>
                        <a:noFill/>
                        <a:ln w="38100" cap="flat" cmpd="sng" algn="ctr">
                          <a:solidFill>
                            <a:srgbClr val="D4AF37">
                              <a:alpha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9879F6" id="Conector recto 4"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5.5pt,9.9pt" to="206.3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" strokecolor="#d4af37" strokeweight="3pt">
                <v:stroke opacity="26214f" joinstyle="miter"/>
                <w10:wrap anchorx="margin"/>
              </v:line>
            </w:pict>
          </mc:Fallback>
        </mc:AlternateContent>
      </w:r>
    </w:p>
    <w:p w14:paraId="4168C7A2" w14:textId="2E6539F2" w:rsidR="00DA664C" w:rsidRPr="009C1882" w:rsidRDefault="00CA4F6D" w:rsidP="00CA4F6D">
      <w:pPr>
        <w:spacing w:after="0"/>
        <w:rPr>
          <w:rFonts w:ascii="Times New Roman" w:hAnsi="Times New Roman" w:cs="Times New Roman"/>
          <w:b/>
          <w:bCs/>
          <w:color w:val="D7B688"/>
          <w:spacing w:val="60"/>
          <w:kern w:val="24"/>
          <w:sz w:val="28"/>
          <w:szCs w:val="28"/>
        </w:rPr>
      </w:pPr>
      <w:bookmarkStart w:id="2" w:name="_Hlk91169175"/>
      <w:r w:rsidRPr="009C1882">
        <w:rPr>
          <w:rFonts w:ascii="Times New Roman" w:hAnsi="Times New Roman" w:cs="Times New Roman"/>
          <w:b/>
          <w:bCs/>
          <w:color w:val="D7B688"/>
          <w:spacing w:val="60"/>
          <w:kern w:val="24"/>
          <w:sz w:val="28"/>
          <w:szCs w:val="28"/>
        </w:rPr>
        <w:t xml:space="preserve">                       </w:t>
      </w:r>
      <w:r w:rsidR="00DA664C" w:rsidRPr="009C1882">
        <w:rPr>
          <w:rFonts w:ascii="Times New Roman" w:hAnsi="Times New Roman" w:cs="Times New Roman"/>
          <w:b/>
          <w:bCs/>
          <w:color w:val="D7B688"/>
          <w:spacing w:val="60"/>
          <w:kern w:val="24"/>
          <w:sz w:val="28"/>
          <w:szCs w:val="28"/>
        </w:rPr>
        <w:t>AÑO 202</w:t>
      </w:r>
      <w:r w:rsidR="00281ADB" w:rsidRPr="009C1882">
        <w:rPr>
          <w:rFonts w:ascii="Times New Roman" w:hAnsi="Times New Roman" w:cs="Times New Roman"/>
          <w:b/>
          <w:bCs/>
          <w:color w:val="D7B688"/>
          <w:spacing w:val="60"/>
          <w:kern w:val="24"/>
          <w:sz w:val="28"/>
          <w:szCs w:val="28"/>
        </w:rPr>
        <w:t>3</w:t>
      </w:r>
    </w:p>
    <w:bookmarkEnd w:id="2"/>
    <w:p w14:paraId="6BBF5CED" w14:textId="77777777" w:rsidR="00DA664C" w:rsidRPr="00CA4F6D" w:rsidRDefault="00DA664C" w:rsidP="00CA4F6D">
      <w:pPr>
        <w:pStyle w:val="NoSpacing"/>
        <w:jc w:val="center"/>
        <w:rPr>
          <w:rFonts w:ascii="Artifex CF Extra Light" w:hAnsi="Artifex CF Extra Light"/>
          <w:color w:val="8E6C00"/>
          <w:spacing w:val="40"/>
          <w:sz w:val="28"/>
          <w:szCs w:val="28"/>
          <w14:textFill>
            <w14:solidFill>
              <w14:srgbClr w14:val="8E6C00">
                <w14:alpha w14:val="50000"/>
              </w14:srgbClr>
            </w14:solidFill>
          </w14:textFill>
        </w:rPr>
      </w:pPr>
    </w:p>
    <w:p w14:paraId="275CF074" w14:textId="77777777" w:rsidR="00DA664C" w:rsidRDefault="00DA664C"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190C2834" w14:textId="319E2EE6" w:rsidR="004D24E4" w:rsidRDefault="004D24E4">
      <w:pPr>
        <w:rPr>
          <w:rFonts w:ascii="Artifex CF Extra Light" w:hAnsi="Artifex CF Extra Light"/>
          <w:color w:val="8E6C00"/>
          <w:spacing w:val="40"/>
          <w:sz w:val="20"/>
          <w:szCs w:val="20"/>
          <w14:textFill>
            <w14:solidFill>
              <w14:srgbClr w14:val="8E6C00">
                <w14:alpha w14:val="50000"/>
              </w14:srgbClr>
            </w14:solidFill>
          </w14:textFill>
        </w:rPr>
      </w:pPr>
    </w:p>
    <w:p w14:paraId="79E3A3D7" w14:textId="07B10F43" w:rsidR="004D24E4" w:rsidRDefault="004D24E4">
      <w:pPr>
        <w:rPr>
          <w:rFonts w:ascii="Artifex CF Extra Light" w:hAnsi="Artifex CF Extra Light"/>
          <w:color w:val="8E6C00"/>
          <w:spacing w:val="40"/>
          <w:sz w:val="20"/>
          <w:szCs w:val="20"/>
          <w14:textFill>
            <w14:solidFill>
              <w14:srgbClr w14:val="8E6C00">
                <w14:alpha w14:val="50000"/>
              </w14:srgbClr>
            </w14:solidFill>
          </w14:textFill>
        </w:rPr>
      </w:pPr>
    </w:p>
    <w:p w14:paraId="113B6EB4" w14:textId="4F409B9A" w:rsidR="004D24E4" w:rsidRDefault="004D24E4">
      <w:pPr>
        <w:rPr>
          <w:rFonts w:ascii="Artifex CF Extra Light" w:hAnsi="Artifex CF Extra Light"/>
          <w:color w:val="8E6C00"/>
          <w:spacing w:val="40"/>
          <w:sz w:val="20"/>
          <w:szCs w:val="20"/>
          <w14:textFill>
            <w14:solidFill>
              <w14:srgbClr w14:val="8E6C00">
                <w14:alpha w14:val="50000"/>
              </w14:srgbClr>
            </w14:solidFill>
          </w14:textFill>
        </w:rPr>
      </w:pPr>
    </w:p>
    <w:p w14:paraId="54F39C59" w14:textId="5288CEE3" w:rsidR="004D24E4" w:rsidRDefault="004D24E4">
      <w:pPr>
        <w:rPr>
          <w:rFonts w:ascii="Artifex CF Extra Light" w:hAnsi="Artifex CF Extra Light"/>
          <w:color w:val="8E6C00"/>
          <w:spacing w:val="40"/>
          <w:sz w:val="20"/>
          <w:szCs w:val="20"/>
          <w14:textFill>
            <w14:solidFill>
              <w14:srgbClr w14:val="8E6C00">
                <w14:alpha w14:val="50000"/>
              </w14:srgbClr>
            </w14:solidFill>
          </w14:textFill>
        </w:rPr>
      </w:pPr>
    </w:p>
    <w:p w14:paraId="4808B714" w14:textId="40F16084" w:rsidR="004D24E4" w:rsidRDefault="004D24E4">
      <w:pPr>
        <w:rPr>
          <w:rFonts w:ascii="Artifex CF Extra Light" w:hAnsi="Artifex CF Extra Light"/>
          <w:color w:val="8E6C00"/>
          <w:spacing w:val="40"/>
          <w:sz w:val="20"/>
          <w:szCs w:val="20"/>
          <w14:textFill>
            <w14:solidFill>
              <w14:srgbClr w14:val="8E6C00">
                <w14:alpha w14:val="50000"/>
              </w14:srgbClr>
            </w14:solidFill>
          </w14:textFill>
        </w:rPr>
      </w:pPr>
    </w:p>
    <w:p w14:paraId="51F5763A" w14:textId="0D214945" w:rsidR="004D24E4" w:rsidRDefault="004D24E4">
      <w:pPr>
        <w:rPr>
          <w:rFonts w:ascii="Artifex CF Extra Light" w:hAnsi="Artifex CF Extra Light"/>
          <w:color w:val="8E6C00"/>
          <w:spacing w:val="40"/>
          <w:sz w:val="20"/>
          <w:szCs w:val="20"/>
          <w14:textFill>
            <w14:solidFill>
              <w14:srgbClr w14:val="8E6C00">
                <w14:alpha w14:val="50000"/>
              </w14:srgbClr>
            </w14:solidFill>
          </w14:textFill>
        </w:rPr>
      </w:pPr>
    </w:p>
    <w:p w14:paraId="440839C5" w14:textId="204ADB17" w:rsidR="004D24E4" w:rsidRDefault="004D24E4">
      <w:pPr>
        <w:rPr>
          <w:rFonts w:ascii="Artifex CF Extra Light" w:hAnsi="Artifex CF Extra Light"/>
          <w:color w:val="8E6C00"/>
          <w:spacing w:val="40"/>
          <w:sz w:val="20"/>
          <w:szCs w:val="20"/>
          <w14:textFill>
            <w14:solidFill>
              <w14:srgbClr w14:val="8E6C00">
                <w14:alpha w14:val="50000"/>
              </w14:srgbClr>
            </w14:solidFill>
          </w14:textFill>
        </w:rPr>
      </w:pPr>
    </w:p>
    <w:p w14:paraId="451C62DC" w14:textId="3FE299F5" w:rsidR="004D24E4" w:rsidRDefault="004D24E4">
      <w:pPr>
        <w:rPr>
          <w:rFonts w:ascii="Artifex CF Extra Light" w:hAnsi="Artifex CF Extra Light"/>
          <w:color w:val="8E6C00"/>
          <w:spacing w:val="40"/>
          <w:sz w:val="20"/>
          <w:szCs w:val="20"/>
          <w14:textFill>
            <w14:solidFill>
              <w14:srgbClr w14:val="8E6C00">
                <w14:alpha w14:val="50000"/>
              </w14:srgbClr>
            </w14:solidFill>
          </w14:textFill>
        </w:rPr>
      </w:pPr>
    </w:p>
    <w:p w14:paraId="1FF32CEF" w14:textId="5AE702C1" w:rsidR="004D24E4" w:rsidRDefault="004D24E4">
      <w:pPr>
        <w:rPr>
          <w:rFonts w:ascii="Artifex CF Extra Light" w:hAnsi="Artifex CF Extra Light"/>
          <w:color w:val="8E6C00"/>
          <w:spacing w:val="40"/>
          <w:sz w:val="20"/>
          <w:szCs w:val="20"/>
          <w14:textFill>
            <w14:solidFill>
              <w14:srgbClr w14:val="8E6C00">
                <w14:alpha w14:val="50000"/>
              </w14:srgbClr>
            </w14:solidFill>
          </w14:textFill>
        </w:rPr>
      </w:pPr>
    </w:p>
    <w:p w14:paraId="07B4D219" w14:textId="59A1682E" w:rsidR="0028711C" w:rsidRPr="0028711C" w:rsidRDefault="000D23EE">
      <w:pPr>
        <w:rPr>
          <w:rFonts w:ascii="Artifex CF Extra Light" w:eastAsiaTheme="minorEastAsia" w:hAnsi="Artifex CF Extra Light"/>
          <w:color w:val="8E6C00"/>
          <w:spacing w:val="40"/>
          <w:sz w:val="20"/>
          <w:szCs w:val="20"/>
          <w:lang w:eastAsia="es-DO"/>
          <w14:textFill>
            <w14:solidFill>
              <w14:srgbClr w14:val="8E6C00">
                <w14:alpha w14:val="50000"/>
              </w14:srgbClr>
            </w14:solidFill>
          </w14:textFill>
        </w:rPr>
      </w:pPr>
      <w:r>
        <w:rPr>
          <w:noProof/>
        </w:rPr>
        <w:drawing>
          <wp:anchor distT="0" distB="0" distL="114300" distR="114300" simplePos="0" relativeHeight="251762688" behindDoc="1" locked="0" layoutInCell="1" allowOverlap="1" wp14:anchorId="5F1CD27A" wp14:editId="39CDFCAF">
            <wp:simplePos x="0" y="0"/>
            <wp:positionH relativeFrom="margin">
              <wp:posOffset>4359910</wp:posOffset>
            </wp:positionH>
            <wp:positionV relativeFrom="page">
              <wp:posOffset>8993164</wp:posOffset>
            </wp:positionV>
            <wp:extent cx="1856740" cy="581660"/>
            <wp:effectExtent l="0" t="0" r="0" b="8890"/>
            <wp:wrapThrough wrapText="bothSides">
              <wp:wrapPolygon edited="0">
                <wp:start x="0" y="0"/>
                <wp:lineTo x="0" y="21223"/>
                <wp:lineTo x="7313" y="21223"/>
                <wp:lineTo x="11302" y="20515"/>
                <wp:lineTo x="18837" y="15563"/>
                <wp:lineTo x="18616" y="12734"/>
                <wp:lineTo x="21275" y="12026"/>
                <wp:lineTo x="21053" y="6367"/>
                <wp:lineTo x="731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56740" cy="581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EE442CD" wp14:editId="64008B46">
            <wp:simplePos x="0" y="0"/>
            <wp:positionH relativeFrom="page">
              <wp:posOffset>81649</wp:posOffset>
            </wp:positionH>
            <wp:positionV relativeFrom="page">
              <wp:posOffset>8697737</wp:posOffset>
            </wp:positionV>
            <wp:extent cx="2290445" cy="1005840"/>
            <wp:effectExtent l="0" t="0" r="0" b="3810"/>
            <wp:wrapThrough wrapText="bothSides">
              <wp:wrapPolygon edited="0">
                <wp:start x="0" y="0"/>
                <wp:lineTo x="0" y="21273"/>
                <wp:lineTo x="21378" y="21273"/>
                <wp:lineTo x="2137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90445" cy="1005840"/>
                    </a:xfrm>
                    <a:prstGeom prst="rect">
                      <a:avLst/>
                    </a:prstGeom>
                  </pic:spPr>
                </pic:pic>
              </a:graphicData>
            </a:graphic>
            <wp14:sizeRelH relativeFrom="margin">
              <wp14:pctWidth>0</wp14:pctWidth>
            </wp14:sizeRelH>
            <wp14:sizeRelV relativeFrom="margin">
              <wp14:pctHeight>0</wp14:pctHeight>
            </wp14:sizeRelV>
          </wp:anchor>
        </w:drawing>
      </w:r>
      <w:r w:rsidR="004D24E4">
        <w:rPr>
          <w:rFonts w:ascii="Artifex CF Extra Light" w:hAnsi="Artifex CF Extra Light"/>
          <w:color w:val="8E6C00"/>
          <w:spacing w:val="40"/>
          <w:sz w:val="20"/>
          <w:szCs w:val="20"/>
          <w14:textFill>
            <w14:solidFill>
              <w14:srgbClr w14:val="8E6C00">
                <w14:alpha w14:val="50000"/>
              </w14:srgbClr>
            </w14:solidFill>
          </w14:textFill>
        </w:rPr>
        <w:br w:type="page"/>
      </w:r>
    </w:p>
    <w:p w14:paraId="5BF46536" w14:textId="02B4CEC4" w:rsidR="0028711C" w:rsidRDefault="0028711C">
      <w:pPr>
        <w:rPr>
          <w:rFonts w:ascii="Times New Roman" w:hAnsi="Times New Roman" w:cs="Times New Roman"/>
          <w:b/>
          <w:bCs/>
          <w:color w:val="D5B788"/>
          <w:spacing w:val="60"/>
          <w:kern w:val="24"/>
          <w:sz w:val="40"/>
          <w:szCs w:val="40"/>
        </w:rPr>
      </w:pPr>
    </w:p>
    <w:p w14:paraId="7D01DE89" w14:textId="65432522" w:rsidR="00640B85" w:rsidRDefault="00640B85">
      <w:pPr>
        <w:rPr>
          <w:rFonts w:ascii="Times New Roman" w:hAnsi="Times New Roman" w:cs="Times New Roman"/>
          <w:b/>
          <w:bCs/>
          <w:color w:val="D5B788"/>
          <w:spacing w:val="60"/>
          <w:kern w:val="24"/>
          <w:sz w:val="40"/>
          <w:szCs w:val="40"/>
        </w:rPr>
        <w:sectPr w:rsidR="00640B85" w:rsidSect="007208B2">
          <w:headerReference w:type="default" r:id="rId14"/>
          <w:footerReference w:type="even" r:id="rId15"/>
          <w:footerReference w:type="default" r:id="rId16"/>
          <w:footerReference w:type="first" r:id="rId17"/>
          <w:pgSz w:w="12240" w:h="15840"/>
          <w:pgMar w:top="1440" w:right="2160" w:bottom="1440" w:left="2160" w:header="2160" w:footer="432" w:gutter="0"/>
          <w:cols w:space="720"/>
          <w:docGrid w:linePitch="360"/>
        </w:sectPr>
      </w:pPr>
    </w:p>
    <w:p w14:paraId="36CADBCC" w14:textId="77777777" w:rsidR="007208B2" w:rsidRDefault="007208B2">
      <w:pPr>
        <w:rPr>
          <w:rFonts w:ascii="Times New Roman" w:hAnsi="Times New Roman" w:cs="Times New Roman"/>
          <w:b/>
          <w:bCs/>
          <w:color w:val="D5B788"/>
          <w:spacing w:val="60"/>
          <w:kern w:val="24"/>
          <w:sz w:val="40"/>
          <w:szCs w:val="40"/>
        </w:rPr>
        <w:sectPr w:rsidR="007208B2" w:rsidSect="00A24C6D">
          <w:footerReference w:type="default" r:id="rId18"/>
          <w:pgSz w:w="12240" w:h="15840"/>
          <w:pgMar w:top="1440" w:right="2160" w:bottom="1440" w:left="2160" w:header="2160" w:footer="144" w:gutter="0"/>
          <w:pgNumType w:fmt="numberInDash" w:start="3"/>
          <w:cols w:space="720"/>
          <w:docGrid w:linePitch="360"/>
        </w:sectPr>
      </w:pPr>
    </w:p>
    <w:p w14:paraId="12A6C728" w14:textId="4CAD7E15" w:rsidR="00A24C6D" w:rsidRDefault="00A24C6D">
      <w:pPr>
        <w:rPr>
          <w:rFonts w:ascii="Times New Roman" w:hAnsi="Times New Roman" w:cs="Times New Roman"/>
          <w:b/>
          <w:bCs/>
          <w:color w:val="D5B788"/>
          <w:spacing w:val="60"/>
          <w:kern w:val="24"/>
          <w:sz w:val="40"/>
          <w:szCs w:val="40"/>
        </w:rPr>
        <w:sectPr w:rsidR="00A24C6D" w:rsidSect="007208B2">
          <w:type w:val="continuous"/>
          <w:pgSz w:w="12240" w:h="15840"/>
          <w:pgMar w:top="1440" w:right="2160" w:bottom="1440" w:left="2160" w:header="2160" w:footer="144" w:gutter="0"/>
          <w:pgNumType w:fmt="numberInDash" w:start="3"/>
          <w:cols w:space="720"/>
          <w:docGrid w:linePitch="360"/>
        </w:sectPr>
      </w:pPr>
    </w:p>
    <w:p w14:paraId="17B9D896" w14:textId="51A3C419" w:rsidR="004A583A" w:rsidRDefault="004A583A">
      <w:pPr>
        <w:rPr>
          <w:rFonts w:ascii="Times New Roman" w:hAnsi="Times New Roman" w:cs="Times New Roman"/>
          <w:b/>
          <w:bCs/>
          <w:color w:val="D5B788"/>
          <w:spacing w:val="60"/>
          <w:kern w:val="24"/>
          <w:sz w:val="40"/>
          <w:szCs w:val="40"/>
        </w:rPr>
      </w:pPr>
    </w:p>
    <w:p w14:paraId="598BE13D" w14:textId="1D7EFB48" w:rsidR="004D24E4" w:rsidRDefault="004D24E4" w:rsidP="004D24E4">
      <w:pPr>
        <w:spacing w:after="0"/>
        <w:jc w:val="center"/>
        <w:rPr>
          <w:rFonts w:ascii="Times New Roman" w:hAnsi="Times New Roman" w:cs="Times New Roman"/>
          <w:b/>
          <w:bCs/>
          <w:color w:val="D5B788"/>
          <w:spacing w:val="60"/>
          <w:kern w:val="24"/>
          <w:sz w:val="40"/>
          <w:szCs w:val="40"/>
        </w:rPr>
      </w:pPr>
    </w:p>
    <w:p w14:paraId="1E98AC95" w14:textId="28129CFB" w:rsidR="004A583A" w:rsidRDefault="004A583A" w:rsidP="004D24E4">
      <w:pPr>
        <w:spacing w:after="0"/>
        <w:jc w:val="center"/>
        <w:rPr>
          <w:rFonts w:ascii="Times New Roman" w:hAnsi="Times New Roman" w:cs="Times New Roman"/>
          <w:b/>
          <w:bCs/>
          <w:color w:val="D5B788"/>
          <w:spacing w:val="60"/>
          <w:kern w:val="24"/>
          <w:sz w:val="40"/>
          <w:szCs w:val="40"/>
        </w:rPr>
      </w:pPr>
    </w:p>
    <w:p w14:paraId="08300984" w14:textId="21F6B88C" w:rsidR="00F73DB6" w:rsidRDefault="00F73DB6" w:rsidP="007208B2">
      <w:pPr>
        <w:spacing w:after="0"/>
        <w:rPr>
          <w:rFonts w:ascii="Times New Roman" w:hAnsi="Times New Roman" w:cs="Times New Roman"/>
          <w:b/>
          <w:bCs/>
          <w:color w:val="D5B788"/>
          <w:spacing w:val="60"/>
          <w:kern w:val="24"/>
          <w:sz w:val="40"/>
          <w:szCs w:val="40"/>
        </w:rPr>
      </w:pPr>
    </w:p>
    <w:p w14:paraId="28238C10" w14:textId="1E643EF1" w:rsidR="004D24E4" w:rsidRPr="00CC2AC2" w:rsidRDefault="004D24E4" w:rsidP="004D24E4">
      <w:pPr>
        <w:spacing w:after="0"/>
        <w:jc w:val="center"/>
        <w:rPr>
          <w:rFonts w:ascii="Times New Roman" w:hAnsi="Times New Roman" w:cs="Times New Roman"/>
          <w:b/>
          <w:bCs/>
          <w:color w:val="D5B788"/>
          <w:spacing w:val="60"/>
          <w:kern w:val="24"/>
          <w:sz w:val="28"/>
          <w:szCs w:val="28"/>
        </w:rPr>
      </w:pPr>
    </w:p>
    <w:p w14:paraId="3301005C" w14:textId="61BC4503" w:rsidR="00F73DB6" w:rsidRDefault="00F73DB6" w:rsidP="004D24E4">
      <w:pPr>
        <w:spacing w:after="0"/>
        <w:jc w:val="center"/>
        <w:rPr>
          <w:rFonts w:ascii="Times New Roman" w:hAnsi="Times New Roman" w:cs="Times New Roman"/>
          <w:b/>
          <w:bCs/>
          <w:color w:val="D5B788"/>
          <w:spacing w:val="60"/>
          <w:kern w:val="24"/>
          <w:sz w:val="32"/>
          <w:szCs w:val="32"/>
        </w:rPr>
      </w:pPr>
    </w:p>
    <w:p w14:paraId="75095826" w14:textId="3803E68C" w:rsidR="004D24E4" w:rsidRPr="009C1882" w:rsidRDefault="004D24E4" w:rsidP="004D24E4">
      <w:pPr>
        <w:spacing w:after="0"/>
        <w:jc w:val="center"/>
        <w:rPr>
          <w:rFonts w:ascii="Times New Roman" w:hAnsi="Times New Roman" w:cs="Times New Roman"/>
          <w:b/>
          <w:bCs/>
          <w:color w:val="D7B688"/>
          <w:spacing w:val="60"/>
          <w:kern w:val="24"/>
          <w:sz w:val="56"/>
          <w:szCs w:val="56"/>
        </w:rPr>
      </w:pPr>
      <w:bookmarkStart w:id="3" w:name="_GoBack"/>
      <w:r w:rsidRPr="009C1882">
        <w:rPr>
          <w:rFonts w:ascii="Times New Roman" w:hAnsi="Times New Roman" w:cs="Times New Roman"/>
          <w:b/>
          <w:bCs/>
          <w:color w:val="D7B688"/>
          <w:spacing w:val="60"/>
          <w:kern w:val="24"/>
          <w:sz w:val="56"/>
          <w:szCs w:val="56"/>
        </w:rPr>
        <w:t xml:space="preserve">MEMORIA </w:t>
      </w:r>
    </w:p>
    <w:p w14:paraId="02879F39" w14:textId="14CB33B7" w:rsidR="004D24E4" w:rsidRPr="009C1882" w:rsidRDefault="004D24E4" w:rsidP="004D24E4">
      <w:pPr>
        <w:spacing w:after="0"/>
        <w:jc w:val="center"/>
        <w:rPr>
          <w:rFonts w:ascii="Times New Roman" w:hAnsi="Times New Roman" w:cs="Times New Roman"/>
          <w:b/>
          <w:bCs/>
          <w:color w:val="D7B688"/>
          <w:spacing w:val="60"/>
          <w:kern w:val="24"/>
          <w:sz w:val="56"/>
          <w:szCs w:val="56"/>
        </w:rPr>
      </w:pPr>
      <w:r w:rsidRPr="009C1882">
        <w:rPr>
          <w:rFonts w:ascii="Times New Roman" w:hAnsi="Times New Roman" w:cs="Times New Roman"/>
          <w:b/>
          <w:bCs/>
          <w:color w:val="D7B688"/>
          <w:spacing w:val="60"/>
          <w:kern w:val="24"/>
          <w:sz w:val="56"/>
          <w:szCs w:val="56"/>
        </w:rPr>
        <w:t>INSTITUCIONAL</w:t>
      </w:r>
    </w:p>
    <w:p w14:paraId="4F9F4190" w14:textId="6C9F3049" w:rsidR="004D24E4" w:rsidRPr="009C1882" w:rsidRDefault="00F73DB6" w:rsidP="00DA664C">
      <w:pPr>
        <w:pStyle w:val="NoSpacing"/>
        <w:jc w:val="center"/>
        <w:rPr>
          <w:rFonts w:ascii="Artifex CF Extra Light" w:hAnsi="Artifex CF Extra Light"/>
          <w:color w:val="D7B688"/>
          <w:spacing w:val="40"/>
          <w:sz w:val="28"/>
          <w:szCs w:val="28"/>
        </w:rPr>
      </w:pPr>
      <w:r w:rsidRPr="009C1882">
        <w:rPr>
          <w:noProof/>
          <w:color w:val="D7B688"/>
          <w:sz w:val="28"/>
          <w:szCs w:val="28"/>
        </w:rPr>
        <mc:AlternateContent>
          <mc:Choice Requires="wps">
            <w:drawing>
              <wp:anchor distT="0" distB="0" distL="114300" distR="114300" simplePos="0" relativeHeight="251710464" behindDoc="0" locked="0" layoutInCell="1" allowOverlap="1" wp14:anchorId="20C26DCF" wp14:editId="0CD9051B">
                <wp:simplePos x="0" y="0"/>
                <wp:positionH relativeFrom="column">
                  <wp:posOffset>2038350</wp:posOffset>
                </wp:positionH>
                <wp:positionV relativeFrom="paragraph">
                  <wp:posOffset>28575</wp:posOffset>
                </wp:positionV>
                <wp:extent cx="763905" cy="122555"/>
                <wp:effectExtent l="0" t="0" r="0" b="0"/>
                <wp:wrapNone/>
                <wp:docPr id="15" name="Minus Sign 15"/>
                <wp:cNvGraphicFramePr/>
                <a:graphic xmlns:a="http://schemas.openxmlformats.org/drawingml/2006/main">
                  <a:graphicData uri="http://schemas.microsoft.com/office/word/2010/wordprocessingShape">
                    <wps:wsp>
                      <wps:cNvSpPr/>
                      <wps:spPr>
                        <a:xfrm>
                          <a:off x="0" y="0"/>
                          <a:ext cx="763905" cy="122555"/>
                        </a:xfrm>
                        <a:prstGeom prst="mathMinus">
                          <a:avLst/>
                        </a:prstGeom>
                        <a:solidFill>
                          <a:srgbClr val="D1B886"/>
                        </a:solidFill>
                        <a:ln w="12700" cap="flat" cmpd="sng" algn="ctr">
                          <a:solidFill>
                            <a:srgbClr val="D1B88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7DC52C" id="Minus Sign 15" o:spid="_x0000_s1026" style="position:absolute;margin-left:160.5pt;margin-top:2.25pt;width:60.15pt;height:9.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63905,122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" path="m101256,46865r561393,l662649,75690r-561393,l101256,46865xe" fillcolor="#d1b886" strokecolor="#d1b886" strokeweight="1pt">
                <v:stroke joinstyle="miter"/>
                <v:path arrowok="t" o:connecttype="custom" o:connectlocs="101256,46865;662649,46865;662649,75690;101256,75690;101256,46865" o:connectangles="0,0,0,0,0"/>
              </v:shape>
            </w:pict>
          </mc:Fallback>
        </mc:AlternateContent>
      </w:r>
    </w:p>
    <w:p w14:paraId="1A24737A" w14:textId="56C1E614" w:rsidR="004D24E4" w:rsidRPr="009C1882" w:rsidRDefault="004D24E4" w:rsidP="00DA664C">
      <w:pPr>
        <w:pStyle w:val="NoSpacing"/>
        <w:jc w:val="center"/>
        <w:rPr>
          <w:rFonts w:ascii="Artifex CF Extra Light" w:hAnsi="Artifex CF Extra Light"/>
          <w:color w:val="D7B688"/>
          <w:spacing w:val="40"/>
          <w:sz w:val="28"/>
          <w:szCs w:val="28"/>
        </w:rPr>
      </w:pPr>
    </w:p>
    <w:p w14:paraId="4BB42587" w14:textId="28DEEE49" w:rsidR="004D24E4" w:rsidRPr="009C1882" w:rsidRDefault="00F73DB6" w:rsidP="00F73DB6">
      <w:pPr>
        <w:spacing w:after="0"/>
        <w:rPr>
          <w:rFonts w:ascii="Times New Roman" w:hAnsi="Times New Roman" w:cs="Times New Roman"/>
          <w:b/>
          <w:bCs/>
          <w:color w:val="D7B688"/>
          <w:spacing w:val="60"/>
          <w:kern w:val="24"/>
          <w:sz w:val="28"/>
          <w:szCs w:val="28"/>
        </w:rPr>
      </w:pPr>
      <w:r w:rsidRPr="009C1882">
        <w:rPr>
          <w:rFonts w:ascii="Times New Roman" w:hAnsi="Times New Roman" w:cs="Times New Roman"/>
          <w:b/>
          <w:bCs/>
          <w:color w:val="D7B688"/>
          <w:spacing w:val="60"/>
          <w:kern w:val="24"/>
          <w:sz w:val="20"/>
          <w:szCs w:val="20"/>
        </w:rPr>
        <w:t xml:space="preserve">                         </w:t>
      </w:r>
      <w:r w:rsidR="00C24C06" w:rsidRPr="009C1882">
        <w:rPr>
          <w:rFonts w:ascii="Times New Roman" w:hAnsi="Times New Roman" w:cs="Times New Roman"/>
          <w:b/>
          <w:bCs/>
          <w:color w:val="D7B688"/>
          <w:spacing w:val="60"/>
          <w:kern w:val="24"/>
          <w:sz w:val="20"/>
          <w:szCs w:val="20"/>
        </w:rPr>
        <w:t xml:space="preserve"> </w:t>
      </w:r>
      <w:r w:rsidRPr="009C1882">
        <w:rPr>
          <w:rFonts w:ascii="Times New Roman" w:hAnsi="Times New Roman" w:cs="Times New Roman"/>
          <w:b/>
          <w:bCs/>
          <w:color w:val="D7B688"/>
          <w:spacing w:val="60"/>
          <w:kern w:val="24"/>
          <w:sz w:val="20"/>
          <w:szCs w:val="20"/>
        </w:rPr>
        <w:t xml:space="preserve"> </w:t>
      </w:r>
      <w:r w:rsidR="004D24E4" w:rsidRPr="009C1882">
        <w:rPr>
          <w:rFonts w:ascii="Times New Roman" w:hAnsi="Times New Roman" w:cs="Times New Roman"/>
          <w:b/>
          <w:bCs/>
          <w:color w:val="D7B688"/>
          <w:spacing w:val="60"/>
          <w:kern w:val="24"/>
          <w:sz w:val="28"/>
          <w:szCs w:val="28"/>
        </w:rPr>
        <w:t>AÑO 202</w:t>
      </w:r>
      <w:r w:rsidR="00281ADB" w:rsidRPr="009C1882">
        <w:rPr>
          <w:rFonts w:ascii="Times New Roman" w:hAnsi="Times New Roman" w:cs="Times New Roman"/>
          <w:b/>
          <w:bCs/>
          <w:color w:val="D7B688"/>
          <w:spacing w:val="60"/>
          <w:kern w:val="24"/>
          <w:sz w:val="28"/>
          <w:szCs w:val="28"/>
        </w:rPr>
        <w:t>3</w:t>
      </w:r>
    </w:p>
    <w:bookmarkEnd w:id="3"/>
    <w:p w14:paraId="6C9EF8BC" w14:textId="6E1F8CA5" w:rsidR="004D24E4" w:rsidRPr="006017D7" w:rsidRDefault="004D24E4" w:rsidP="00DA664C">
      <w:pPr>
        <w:pStyle w:val="NoSpacing"/>
        <w:jc w:val="center"/>
        <w:rPr>
          <w:rFonts w:ascii="Artifex CF Extra Light" w:hAnsi="Artifex CF Extra Light"/>
          <w:color w:val="D4AF37"/>
          <w:spacing w:val="40"/>
          <w:sz w:val="20"/>
          <w:szCs w:val="20"/>
        </w:rPr>
      </w:pPr>
    </w:p>
    <w:p w14:paraId="435A961D" w14:textId="6FD891D2"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2856DF0F" w14:textId="27B81CAA"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5D3073E8" w14:textId="47978887"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4C5B2A0F" w14:textId="10C35E9F"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45DFCC0B" w14:textId="00D81EA2"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6313B617" w14:textId="16705B67"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7FC9132F" w14:textId="36C3724C"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5D339EC8" w14:textId="68393F66"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0168C1E8" w14:textId="539A47CB"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76841705" w14:textId="0644F7E4"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332DE842" w14:textId="0333FDCD"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7C9C626F" w14:textId="11A959D5"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411A3210" w14:textId="79CFE7C1"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77D242D3" w14:textId="05EE1109"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2675FD95" w14:textId="1C0002F0"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3C59D036" w14:textId="1513DFCC"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6FCD8914" w14:textId="17624664"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09295124" w14:textId="367D4703" w:rsidR="004D24E4" w:rsidRDefault="000D23EE"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r>
        <w:rPr>
          <w:noProof/>
        </w:rPr>
        <w:drawing>
          <wp:anchor distT="0" distB="0" distL="114300" distR="114300" simplePos="0" relativeHeight="251712512" behindDoc="0" locked="0" layoutInCell="1" allowOverlap="1" wp14:anchorId="54221F20" wp14:editId="3E77334D">
            <wp:simplePos x="0" y="0"/>
            <wp:positionH relativeFrom="column">
              <wp:posOffset>-1333500</wp:posOffset>
            </wp:positionH>
            <wp:positionV relativeFrom="page">
              <wp:posOffset>8738784</wp:posOffset>
            </wp:positionV>
            <wp:extent cx="2319020" cy="1017905"/>
            <wp:effectExtent l="0" t="0" r="508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9020" cy="1017905"/>
                    </a:xfrm>
                    <a:prstGeom prst="rect">
                      <a:avLst/>
                    </a:prstGeom>
                  </pic:spPr>
                </pic:pic>
              </a:graphicData>
            </a:graphic>
            <wp14:sizeRelH relativeFrom="margin">
              <wp14:pctWidth>0</wp14:pctWidth>
            </wp14:sizeRelH>
            <wp14:sizeRelV relativeFrom="margin">
              <wp14:pctHeight>0</wp14:pctHeight>
            </wp14:sizeRelV>
          </wp:anchor>
        </w:drawing>
      </w:r>
    </w:p>
    <w:p w14:paraId="41740AE8" w14:textId="5AC8F2C6" w:rsidR="004D24E4" w:rsidRDefault="004D24E4" w:rsidP="00DA664C">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193201EE" w14:textId="027E0F41" w:rsidR="0028711C" w:rsidRDefault="0028711C" w:rsidP="00A24C6D">
      <w:pPr>
        <w:pStyle w:val="NoSpacing"/>
        <w:rPr>
          <w:rFonts w:ascii="Artifex CF Extra Light" w:hAnsi="Artifex CF Extra Light"/>
          <w:color w:val="8E6C00"/>
          <w:spacing w:val="40"/>
          <w:sz w:val="20"/>
          <w:szCs w:val="20"/>
          <w14:textFill>
            <w14:solidFill>
              <w14:srgbClr w14:val="8E6C00">
                <w14:alpha w14:val="50000"/>
              </w14:srgbClr>
            </w14:solidFill>
          </w14:textFill>
        </w:rPr>
      </w:pPr>
    </w:p>
    <w:p w14:paraId="4A3CD9D3" w14:textId="108ECCEE" w:rsidR="00ED3488" w:rsidRPr="004F7482" w:rsidRDefault="000D23EE" w:rsidP="004D24E4">
      <w:pPr>
        <w:pStyle w:val="NoSpacing"/>
        <w:rPr>
          <w:rFonts w:ascii="Artifex CF Extra Light" w:hAnsi="Artifex CF Extra Light"/>
          <w:color w:val="8E6C00"/>
          <w:spacing w:val="40"/>
          <w:sz w:val="20"/>
          <w:szCs w:val="20"/>
          <w14:textFill>
            <w14:solidFill>
              <w14:srgbClr w14:val="8E6C00">
                <w14:alpha w14:val="50000"/>
              </w14:srgbClr>
            </w14:solidFill>
          </w14:textFill>
        </w:rPr>
      </w:pPr>
      <w:r>
        <w:rPr>
          <w:noProof/>
        </w:rPr>
        <w:drawing>
          <wp:anchor distT="0" distB="0" distL="114300" distR="114300" simplePos="0" relativeHeight="251763712" behindDoc="1" locked="0" layoutInCell="1" allowOverlap="1" wp14:anchorId="76D87BBF" wp14:editId="58CEE7F5">
            <wp:simplePos x="0" y="0"/>
            <wp:positionH relativeFrom="column">
              <wp:posOffset>4263750</wp:posOffset>
            </wp:positionH>
            <wp:positionV relativeFrom="page">
              <wp:posOffset>9047774</wp:posOffset>
            </wp:positionV>
            <wp:extent cx="1914525" cy="600075"/>
            <wp:effectExtent l="0" t="0" r="9525" b="9525"/>
            <wp:wrapThrough wrapText="bothSides">
              <wp:wrapPolygon edited="0">
                <wp:start x="0" y="0"/>
                <wp:lineTo x="0" y="21257"/>
                <wp:lineTo x="7307" y="21257"/>
                <wp:lineTo x="18699" y="15086"/>
                <wp:lineTo x="19343" y="12343"/>
                <wp:lineTo x="21493" y="11657"/>
                <wp:lineTo x="21278" y="6857"/>
                <wp:lineTo x="7307"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4525" cy="600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64C">
        <w:rPr>
          <w:rFonts w:ascii="Artifex CF Extra Light" w:hAnsi="Artifex CF Extra Light"/>
          <w:color w:val="8E6C00"/>
          <w:spacing w:val="40"/>
          <w:sz w:val="20"/>
          <w:szCs w:val="20"/>
          <w14:textFill>
            <w14:solidFill>
              <w14:srgbClr w14:val="8E6C00">
                <w14:alpha w14:val="50000"/>
              </w14:srgbClr>
            </w14:solidFill>
          </w14:textFill>
        </w:rPr>
        <w:t xml:space="preserve">                  </w:t>
      </w:r>
    </w:p>
    <w:bookmarkEnd w:id="0" w:displacedByCustomXml="next"/>
    <w:bookmarkStart w:id="4" w:name="_Hlk91669686" w:displacedByCustomXml="next"/>
    <w:bookmarkStart w:id="5" w:name="_Hlk91663476" w:displacedByCustomXml="next"/>
    <w:sdt>
      <w:sdtPr>
        <w:rPr>
          <w:rFonts w:asciiTheme="minorHAnsi" w:eastAsiaTheme="minorHAnsi" w:hAnsiTheme="minorHAnsi" w:cstheme="minorBidi"/>
          <w:color w:val="auto"/>
          <w:sz w:val="22"/>
          <w:szCs w:val="22"/>
          <w:lang w:val="es-DO"/>
        </w:rPr>
        <w:id w:val="84814188"/>
        <w:docPartObj>
          <w:docPartGallery w:val="Table of Contents"/>
          <w:docPartUnique/>
        </w:docPartObj>
      </w:sdtPr>
      <w:sdtEndPr>
        <w:rPr>
          <w:b/>
          <w:bCs/>
          <w:noProof/>
        </w:rPr>
      </w:sdtEndPr>
      <w:sdtContent>
        <w:bookmarkStart w:id="6" w:name="_Hlk59029396" w:displacedByCustomXml="prev"/>
        <w:p w14:paraId="14125DD5" w14:textId="02D7F2AF" w:rsidR="008C104F" w:rsidRPr="004D24E4" w:rsidRDefault="007208B2" w:rsidP="008C104F">
          <w:pPr>
            <w:pStyle w:val="TOCHeading"/>
            <w:spacing w:line="480" w:lineRule="auto"/>
            <w:jc w:val="center"/>
            <w:rPr>
              <w:rFonts w:ascii="Times New Roman" w:hAnsi="Times New Roman" w:cs="Times New Roman"/>
              <w:color w:val="4C4747"/>
              <w:spacing w:val="30"/>
              <w:kern w:val="38"/>
              <w:sz w:val="28"/>
              <w:szCs w:val="28"/>
              <w:lang w:val="es-DO" w:eastAsia="es-DO"/>
            </w:rPr>
          </w:pPr>
          <w:r w:rsidRPr="008C104F">
            <w:rPr>
              <w:rFonts w:ascii="Times New Roman" w:hAnsi="Times New Roman" w:cs="Times New Roman"/>
              <w:noProof/>
              <w:color w:val="4C4747"/>
              <w:spacing w:val="30"/>
              <w:kern w:val="38"/>
              <w:sz w:val="28"/>
              <w:szCs w:val="28"/>
              <w:lang w:eastAsia="es-DO"/>
            </w:rPr>
            <mc:AlternateContent>
              <mc:Choice Requires="wps">
                <w:drawing>
                  <wp:anchor distT="0" distB="0" distL="114300" distR="114300" simplePos="0" relativeHeight="251708416" behindDoc="0" locked="0" layoutInCell="1" allowOverlap="1" wp14:anchorId="190A4245" wp14:editId="0F455A50">
                    <wp:simplePos x="0" y="0"/>
                    <wp:positionH relativeFrom="column">
                      <wp:posOffset>2094865</wp:posOffset>
                    </wp:positionH>
                    <wp:positionV relativeFrom="paragraph">
                      <wp:posOffset>259080</wp:posOffset>
                    </wp:positionV>
                    <wp:extent cx="540000" cy="0"/>
                    <wp:effectExtent l="0" t="19050" r="31750" b="19050"/>
                    <wp:wrapNone/>
                    <wp:docPr id="14"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86523A" id="Conector recto 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95pt,20.4pt" to="207.4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" strokecolor="red" strokeweight="2.5pt">
                    <v:stroke joinstyle="miter"/>
                  </v:line>
                </w:pict>
              </mc:Fallback>
            </mc:AlternateContent>
          </w:r>
          <w:r w:rsidR="008C104F" w:rsidRPr="004D24E4">
            <w:rPr>
              <w:rFonts w:ascii="Times New Roman" w:hAnsi="Times New Roman" w:cs="Times New Roman"/>
              <w:color w:val="4C4747"/>
              <w:spacing w:val="30"/>
              <w:kern w:val="38"/>
              <w:sz w:val="28"/>
              <w:szCs w:val="28"/>
              <w:lang w:val="es-DO" w:eastAsia="es-DO"/>
            </w:rPr>
            <w:t>ÍNDICE DE CONTENIDO</w:t>
          </w:r>
          <w:bookmarkEnd w:id="6"/>
        </w:p>
        <w:p w14:paraId="2666E287" w14:textId="22700007" w:rsidR="007918B1" w:rsidRPr="00AA5B4B" w:rsidRDefault="007918B1" w:rsidP="007918B1">
          <w:pPr>
            <w:jc w:val="center"/>
            <w:rPr>
              <w:rFonts w:ascii="Times New Roman" w:hAnsi="Times New Roman"/>
              <w:color w:val="4C4747"/>
              <w:spacing w:val="20"/>
              <w:sz w:val="24"/>
              <w:szCs w:val="24"/>
            </w:rPr>
          </w:pPr>
          <w:bookmarkStart w:id="7" w:name="_Hlk119922882"/>
          <w:r w:rsidRPr="007918B1">
            <w:rPr>
              <w:rFonts w:ascii="Times New Roman" w:hAnsi="Times New Roman"/>
              <w:color w:val="4C4747"/>
              <w:spacing w:val="20"/>
              <w:sz w:val="24"/>
              <w:szCs w:val="24"/>
            </w:rPr>
            <w:t xml:space="preserve">Memoria </w:t>
          </w:r>
          <w:r w:rsidR="00E50010">
            <w:rPr>
              <w:rFonts w:ascii="Times New Roman" w:hAnsi="Times New Roman"/>
              <w:color w:val="4C4747"/>
              <w:spacing w:val="20"/>
              <w:sz w:val="24"/>
              <w:szCs w:val="24"/>
            </w:rPr>
            <w:t>I</w:t>
          </w:r>
          <w:r w:rsidRPr="007918B1">
            <w:rPr>
              <w:rFonts w:ascii="Times New Roman" w:hAnsi="Times New Roman"/>
              <w:color w:val="4C4747"/>
              <w:spacing w:val="20"/>
              <w:sz w:val="24"/>
              <w:szCs w:val="24"/>
            </w:rPr>
            <w:t>nstitucional</w:t>
          </w:r>
          <w:r w:rsidRPr="007918B1">
            <w:rPr>
              <w:rFonts w:ascii="Times New Roman" w:hAnsi="Times New Roman"/>
              <w:color w:val="767171"/>
              <w:spacing w:val="20"/>
              <w:sz w:val="24"/>
              <w:szCs w:val="24"/>
            </w:rPr>
            <w:t xml:space="preserve"> </w:t>
          </w:r>
          <w:r w:rsidRPr="00AA5B4B">
            <w:rPr>
              <w:rFonts w:ascii="Times New Roman" w:hAnsi="Times New Roman"/>
              <w:color w:val="4C4747"/>
              <w:spacing w:val="20"/>
              <w:sz w:val="24"/>
              <w:szCs w:val="24"/>
            </w:rPr>
            <w:t>202</w:t>
          </w:r>
          <w:r w:rsidR="00281ADB">
            <w:rPr>
              <w:rFonts w:ascii="Times New Roman" w:hAnsi="Times New Roman"/>
              <w:color w:val="4C4747"/>
              <w:spacing w:val="20"/>
              <w:sz w:val="24"/>
              <w:szCs w:val="24"/>
            </w:rPr>
            <w:t>3</w:t>
          </w:r>
        </w:p>
        <w:bookmarkEnd w:id="7"/>
        <w:p w14:paraId="79F3D401" w14:textId="1E26F61D" w:rsidR="000B3D4B" w:rsidRPr="005E7B85" w:rsidRDefault="008C104F">
          <w:pPr>
            <w:pStyle w:val="TOC1"/>
            <w:rPr>
              <w:rFonts w:eastAsiaTheme="minorEastAsia"/>
              <w:b w:val="0"/>
              <w:color w:val="4C4747"/>
              <w:lang w:eastAsia="es-DO"/>
            </w:rPr>
          </w:pPr>
          <w:r w:rsidRPr="005E7B85">
            <w:rPr>
              <w:color w:val="4C4747"/>
            </w:rPr>
            <w:fldChar w:fldCharType="begin"/>
          </w:r>
          <w:r w:rsidRPr="005E7B85">
            <w:rPr>
              <w:color w:val="4C4747"/>
            </w:rPr>
            <w:instrText xml:space="preserve"> TOC \o "1-3" \h \z \u </w:instrText>
          </w:r>
          <w:r w:rsidRPr="005E7B85">
            <w:rPr>
              <w:color w:val="4C4747"/>
            </w:rPr>
            <w:fldChar w:fldCharType="separate"/>
          </w:r>
          <w:hyperlink w:anchor="_Toc155259657" w:history="1">
            <w:r w:rsidR="000B3D4B" w:rsidRPr="005E7B85">
              <w:rPr>
                <w:rStyle w:val="Hyperlink"/>
                <w:color w:val="4C4747"/>
              </w:rPr>
              <w:t>RESUMEN EJECUTIVO</w:t>
            </w:r>
            <w:r w:rsidR="000B3D4B" w:rsidRPr="005E7B85">
              <w:rPr>
                <w:webHidden/>
                <w:color w:val="4C4747"/>
              </w:rPr>
              <w:tab/>
            </w:r>
            <w:r w:rsidR="000B3D4B" w:rsidRPr="005E7B85">
              <w:rPr>
                <w:webHidden/>
                <w:color w:val="4C4747"/>
              </w:rPr>
              <w:fldChar w:fldCharType="begin"/>
            </w:r>
            <w:r w:rsidR="000B3D4B" w:rsidRPr="005E7B85">
              <w:rPr>
                <w:webHidden/>
                <w:color w:val="4C4747"/>
              </w:rPr>
              <w:instrText xml:space="preserve"> PAGEREF _Toc155259657 \h </w:instrText>
            </w:r>
            <w:r w:rsidR="000B3D4B" w:rsidRPr="005E7B85">
              <w:rPr>
                <w:webHidden/>
                <w:color w:val="4C4747"/>
              </w:rPr>
            </w:r>
            <w:r w:rsidR="000B3D4B" w:rsidRPr="005E7B85">
              <w:rPr>
                <w:webHidden/>
                <w:color w:val="4C4747"/>
              </w:rPr>
              <w:fldChar w:fldCharType="separate"/>
            </w:r>
            <w:r w:rsidR="000B3D4B" w:rsidRPr="005E7B85">
              <w:rPr>
                <w:webHidden/>
                <w:color w:val="4C4747"/>
              </w:rPr>
              <w:t>5</w:t>
            </w:r>
            <w:r w:rsidR="000B3D4B" w:rsidRPr="005E7B85">
              <w:rPr>
                <w:webHidden/>
                <w:color w:val="4C4747"/>
              </w:rPr>
              <w:fldChar w:fldCharType="end"/>
            </w:r>
          </w:hyperlink>
        </w:p>
        <w:p w14:paraId="1A1920C1" w14:textId="592BB3EF" w:rsidR="000B3D4B" w:rsidRPr="005E7B85" w:rsidRDefault="009C1882">
          <w:pPr>
            <w:pStyle w:val="TOC1"/>
            <w:rPr>
              <w:rFonts w:eastAsiaTheme="minorEastAsia"/>
              <w:b w:val="0"/>
              <w:color w:val="4C4747"/>
              <w:lang w:eastAsia="es-DO"/>
            </w:rPr>
          </w:pPr>
          <w:hyperlink w:anchor="_Toc155259658" w:history="1">
            <w:r w:rsidR="000B3D4B" w:rsidRPr="005E7B85">
              <w:rPr>
                <w:rStyle w:val="Hyperlink"/>
                <w:color w:val="4C4747"/>
              </w:rPr>
              <w:t>II. INFORMACIÓN INSTITUCIONAL</w:t>
            </w:r>
            <w:r w:rsidR="000B3D4B" w:rsidRPr="005E7B85">
              <w:rPr>
                <w:webHidden/>
                <w:color w:val="4C4747"/>
              </w:rPr>
              <w:tab/>
            </w:r>
            <w:r w:rsidR="000B3D4B" w:rsidRPr="005E7B85">
              <w:rPr>
                <w:webHidden/>
                <w:color w:val="4C4747"/>
              </w:rPr>
              <w:fldChar w:fldCharType="begin"/>
            </w:r>
            <w:r w:rsidR="000B3D4B" w:rsidRPr="005E7B85">
              <w:rPr>
                <w:webHidden/>
                <w:color w:val="4C4747"/>
              </w:rPr>
              <w:instrText xml:space="preserve"> PAGEREF _Toc155259658 \h </w:instrText>
            </w:r>
            <w:r w:rsidR="000B3D4B" w:rsidRPr="005E7B85">
              <w:rPr>
                <w:webHidden/>
                <w:color w:val="4C4747"/>
              </w:rPr>
            </w:r>
            <w:r w:rsidR="000B3D4B" w:rsidRPr="005E7B85">
              <w:rPr>
                <w:webHidden/>
                <w:color w:val="4C4747"/>
              </w:rPr>
              <w:fldChar w:fldCharType="separate"/>
            </w:r>
            <w:r w:rsidR="000B3D4B" w:rsidRPr="005E7B85">
              <w:rPr>
                <w:webHidden/>
                <w:color w:val="4C4747"/>
              </w:rPr>
              <w:t>14</w:t>
            </w:r>
            <w:r w:rsidR="000B3D4B" w:rsidRPr="005E7B85">
              <w:rPr>
                <w:webHidden/>
                <w:color w:val="4C4747"/>
              </w:rPr>
              <w:fldChar w:fldCharType="end"/>
            </w:r>
          </w:hyperlink>
        </w:p>
        <w:p w14:paraId="510A3F4A" w14:textId="3320F1D6" w:rsidR="000B3D4B" w:rsidRPr="005E7B85" w:rsidRDefault="009C1882" w:rsidP="000B3D4B">
          <w:pPr>
            <w:pStyle w:val="TOC2"/>
            <w:rPr>
              <w:rFonts w:eastAsiaTheme="minorEastAsia"/>
              <w:lang w:eastAsia="es-DO"/>
            </w:rPr>
          </w:pPr>
          <w:hyperlink w:anchor="_Toc155259659" w:history="1">
            <w:r w:rsidR="000B3D4B" w:rsidRPr="005E7B85">
              <w:rPr>
                <w:rStyle w:val="Hyperlink"/>
                <w:b/>
                <w:color w:val="4C4747"/>
              </w:rPr>
              <w:t>2.1 Marco filosófico institucional</w:t>
            </w:r>
            <w:r w:rsidR="000B3D4B" w:rsidRPr="005E7B85">
              <w:rPr>
                <w:webHidden/>
              </w:rPr>
              <w:tab/>
            </w:r>
            <w:r w:rsidR="000B3D4B" w:rsidRPr="005E7B85">
              <w:rPr>
                <w:webHidden/>
              </w:rPr>
              <w:fldChar w:fldCharType="begin"/>
            </w:r>
            <w:r w:rsidR="000B3D4B" w:rsidRPr="005E7B85">
              <w:rPr>
                <w:webHidden/>
              </w:rPr>
              <w:instrText xml:space="preserve"> PAGEREF _Toc155259659 \h </w:instrText>
            </w:r>
            <w:r w:rsidR="000B3D4B" w:rsidRPr="005E7B85">
              <w:rPr>
                <w:webHidden/>
              </w:rPr>
            </w:r>
            <w:r w:rsidR="000B3D4B" w:rsidRPr="005E7B85">
              <w:rPr>
                <w:webHidden/>
              </w:rPr>
              <w:fldChar w:fldCharType="separate"/>
            </w:r>
            <w:r w:rsidR="000B3D4B" w:rsidRPr="005E7B85">
              <w:rPr>
                <w:webHidden/>
              </w:rPr>
              <w:t>14</w:t>
            </w:r>
            <w:r w:rsidR="000B3D4B" w:rsidRPr="005E7B85">
              <w:rPr>
                <w:webHidden/>
              </w:rPr>
              <w:fldChar w:fldCharType="end"/>
            </w:r>
          </w:hyperlink>
        </w:p>
        <w:p w14:paraId="112AD60C" w14:textId="61A993BC" w:rsidR="000B3D4B" w:rsidRPr="005E7B85" w:rsidRDefault="009C1882">
          <w:pPr>
            <w:pStyle w:val="TOC3"/>
            <w:tabs>
              <w:tab w:val="right" w:leader="dot" w:pos="7910"/>
            </w:tabs>
            <w:rPr>
              <w:rFonts w:ascii="Times New Roman" w:eastAsiaTheme="minorEastAsia" w:hAnsi="Times New Roman" w:cs="Times New Roman"/>
              <w:noProof/>
              <w:color w:val="4C4747"/>
              <w:sz w:val="24"/>
              <w:szCs w:val="24"/>
              <w:lang w:eastAsia="es-DO"/>
            </w:rPr>
          </w:pPr>
          <w:hyperlink w:anchor="_Toc155259660" w:history="1">
            <w:r w:rsidR="000B3D4B" w:rsidRPr="005E7B85">
              <w:rPr>
                <w:rStyle w:val="Hyperlink"/>
                <w:rFonts w:ascii="Times New Roman" w:hAnsi="Times New Roman" w:cs="Times New Roman"/>
                <w:noProof/>
                <w:color w:val="4C4747"/>
                <w:sz w:val="24"/>
                <w:szCs w:val="24"/>
              </w:rPr>
              <w:t>2.1.1 Misión</w:t>
            </w:r>
            <w:r w:rsidR="000B3D4B" w:rsidRPr="005E7B85">
              <w:rPr>
                <w:rFonts w:ascii="Times New Roman" w:hAnsi="Times New Roman" w:cs="Times New Roman"/>
                <w:noProof/>
                <w:webHidden/>
                <w:color w:val="4C4747"/>
                <w:sz w:val="24"/>
                <w:szCs w:val="24"/>
              </w:rPr>
              <w:tab/>
            </w:r>
            <w:r w:rsidR="000B3D4B" w:rsidRPr="005E7B85">
              <w:rPr>
                <w:rFonts w:ascii="Times New Roman" w:hAnsi="Times New Roman" w:cs="Times New Roman"/>
                <w:noProof/>
                <w:webHidden/>
                <w:color w:val="4C4747"/>
                <w:sz w:val="24"/>
                <w:szCs w:val="24"/>
              </w:rPr>
              <w:fldChar w:fldCharType="begin"/>
            </w:r>
            <w:r w:rsidR="000B3D4B" w:rsidRPr="005E7B85">
              <w:rPr>
                <w:rFonts w:ascii="Times New Roman" w:hAnsi="Times New Roman" w:cs="Times New Roman"/>
                <w:noProof/>
                <w:webHidden/>
                <w:color w:val="4C4747"/>
                <w:sz w:val="24"/>
                <w:szCs w:val="24"/>
              </w:rPr>
              <w:instrText xml:space="preserve"> PAGEREF _Toc155259660 \h </w:instrText>
            </w:r>
            <w:r w:rsidR="000B3D4B" w:rsidRPr="005E7B85">
              <w:rPr>
                <w:rFonts w:ascii="Times New Roman" w:hAnsi="Times New Roman" w:cs="Times New Roman"/>
                <w:noProof/>
                <w:webHidden/>
                <w:color w:val="4C4747"/>
                <w:sz w:val="24"/>
                <w:szCs w:val="24"/>
              </w:rPr>
            </w:r>
            <w:r w:rsidR="000B3D4B" w:rsidRPr="005E7B85">
              <w:rPr>
                <w:rFonts w:ascii="Times New Roman" w:hAnsi="Times New Roman" w:cs="Times New Roman"/>
                <w:noProof/>
                <w:webHidden/>
                <w:color w:val="4C4747"/>
                <w:sz w:val="24"/>
                <w:szCs w:val="24"/>
              </w:rPr>
              <w:fldChar w:fldCharType="separate"/>
            </w:r>
            <w:r w:rsidR="000B3D4B" w:rsidRPr="005E7B85">
              <w:rPr>
                <w:rFonts w:ascii="Times New Roman" w:hAnsi="Times New Roman" w:cs="Times New Roman"/>
                <w:noProof/>
                <w:webHidden/>
                <w:color w:val="4C4747"/>
                <w:sz w:val="24"/>
                <w:szCs w:val="24"/>
              </w:rPr>
              <w:t>14</w:t>
            </w:r>
            <w:r w:rsidR="000B3D4B" w:rsidRPr="005E7B85">
              <w:rPr>
                <w:rFonts w:ascii="Times New Roman" w:hAnsi="Times New Roman" w:cs="Times New Roman"/>
                <w:noProof/>
                <w:webHidden/>
                <w:color w:val="4C4747"/>
                <w:sz w:val="24"/>
                <w:szCs w:val="24"/>
              </w:rPr>
              <w:fldChar w:fldCharType="end"/>
            </w:r>
          </w:hyperlink>
        </w:p>
        <w:p w14:paraId="33624DDF" w14:textId="1548BB55" w:rsidR="000B3D4B" w:rsidRPr="005E7B85" w:rsidRDefault="009C1882">
          <w:pPr>
            <w:pStyle w:val="TOC3"/>
            <w:tabs>
              <w:tab w:val="right" w:leader="dot" w:pos="7910"/>
            </w:tabs>
            <w:rPr>
              <w:rFonts w:ascii="Times New Roman" w:eastAsiaTheme="minorEastAsia" w:hAnsi="Times New Roman" w:cs="Times New Roman"/>
              <w:noProof/>
              <w:color w:val="4C4747"/>
              <w:sz w:val="24"/>
              <w:szCs w:val="24"/>
              <w:lang w:eastAsia="es-DO"/>
            </w:rPr>
          </w:pPr>
          <w:hyperlink w:anchor="_Toc155259661" w:history="1">
            <w:r w:rsidR="000B3D4B" w:rsidRPr="005E7B85">
              <w:rPr>
                <w:rStyle w:val="Hyperlink"/>
                <w:rFonts w:ascii="Times New Roman" w:hAnsi="Times New Roman" w:cs="Times New Roman"/>
                <w:noProof/>
                <w:color w:val="4C4747"/>
                <w:sz w:val="24"/>
                <w:szCs w:val="24"/>
              </w:rPr>
              <w:t>2.1.2 Visión</w:t>
            </w:r>
            <w:r w:rsidR="000B3D4B" w:rsidRPr="005E7B85">
              <w:rPr>
                <w:rFonts w:ascii="Times New Roman" w:hAnsi="Times New Roman" w:cs="Times New Roman"/>
                <w:noProof/>
                <w:webHidden/>
                <w:color w:val="4C4747"/>
                <w:sz w:val="24"/>
                <w:szCs w:val="24"/>
              </w:rPr>
              <w:tab/>
            </w:r>
            <w:r w:rsidR="000B3D4B" w:rsidRPr="005E7B85">
              <w:rPr>
                <w:rFonts w:ascii="Times New Roman" w:hAnsi="Times New Roman" w:cs="Times New Roman"/>
                <w:noProof/>
                <w:webHidden/>
                <w:color w:val="4C4747"/>
                <w:sz w:val="24"/>
                <w:szCs w:val="24"/>
              </w:rPr>
              <w:fldChar w:fldCharType="begin"/>
            </w:r>
            <w:r w:rsidR="000B3D4B" w:rsidRPr="005E7B85">
              <w:rPr>
                <w:rFonts w:ascii="Times New Roman" w:hAnsi="Times New Roman" w:cs="Times New Roman"/>
                <w:noProof/>
                <w:webHidden/>
                <w:color w:val="4C4747"/>
                <w:sz w:val="24"/>
                <w:szCs w:val="24"/>
              </w:rPr>
              <w:instrText xml:space="preserve"> PAGEREF _Toc155259661 \h </w:instrText>
            </w:r>
            <w:r w:rsidR="000B3D4B" w:rsidRPr="005E7B85">
              <w:rPr>
                <w:rFonts w:ascii="Times New Roman" w:hAnsi="Times New Roman" w:cs="Times New Roman"/>
                <w:noProof/>
                <w:webHidden/>
                <w:color w:val="4C4747"/>
                <w:sz w:val="24"/>
                <w:szCs w:val="24"/>
              </w:rPr>
            </w:r>
            <w:r w:rsidR="000B3D4B" w:rsidRPr="005E7B85">
              <w:rPr>
                <w:rFonts w:ascii="Times New Roman" w:hAnsi="Times New Roman" w:cs="Times New Roman"/>
                <w:noProof/>
                <w:webHidden/>
                <w:color w:val="4C4747"/>
                <w:sz w:val="24"/>
                <w:szCs w:val="24"/>
              </w:rPr>
              <w:fldChar w:fldCharType="separate"/>
            </w:r>
            <w:r w:rsidR="000B3D4B" w:rsidRPr="005E7B85">
              <w:rPr>
                <w:rFonts w:ascii="Times New Roman" w:hAnsi="Times New Roman" w:cs="Times New Roman"/>
                <w:noProof/>
                <w:webHidden/>
                <w:color w:val="4C4747"/>
                <w:sz w:val="24"/>
                <w:szCs w:val="24"/>
              </w:rPr>
              <w:t>14</w:t>
            </w:r>
            <w:r w:rsidR="000B3D4B" w:rsidRPr="005E7B85">
              <w:rPr>
                <w:rFonts w:ascii="Times New Roman" w:hAnsi="Times New Roman" w:cs="Times New Roman"/>
                <w:noProof/>
                <w:webHidden/>
                <w:color w:val="4C4747"/>
                <w:sz w:val="24"/>
                <w:szCs w:val="24"/>
              </w:rPr>
              <w:fldChar w:fldCharType="end"/>
            </w:r>
          </w:hyperlink>
        </w:p>
        <w:p w14:paraId="5D5230BD" w14:textId="42C1A4D5" w:rsidR="000B3D4B" w:rsidRPr="005E7B85" w:rsidRDefault="009C1882">
          <w:pPr>
            <w:pStyle w:val="TOC3"/>
            <w:tabs>
              <w:tab w:val="right" w:leader="dot" w:pos="7910"/>
            </w:tabs>
            <w:rPr>
              <w:rFonts w:ascii="Times New Roman" w:eastAsiaTheme="minorEastAsia" w:hAnsi="Times New Roman" w:cs="Times New Roman"/>
              <w:noProof/>
              <w:color w:val="4C4747"/>
              <w:sz w:val="24"/>
              <w:szCs w:val="24"/>
              <w:lang w:eastAsia="es-DO"/>
            </w:rPr>
          </w:pPr>
          <w:hyperlink w:anchor="_Toc155259662" w:history="1">
            <w:r w:rsidR="000B3D4B" w:rsidRPr="005E7B85">
              <w:rPr>
                <w:rStyle w:val="Hyperlink"/>
                <w:rFonts w:ascii="Times New Roman" w:hAnsi="Times New Roman" w:cs="Times New Roman"/>
                <w:noProof/>
                <w:color w:val="4C4747"/>
                <w:sz w:val="24"/>
                <w:szCs w:val="24"/>
              </w:rPr>
              <w:t>2.1.3   Valores</w:t>
            </w:r>
            <w:r w:rsidR="000B3D4B" w:rsidRPr="005E7B85">
              <w:rPr>
                <w:rFonts w:ascii="Times New Roman" w:hAnsi="Times New Roman" w:cs="Times New Roman"/>
                <w:noProof/>
                <w:webHidden/>
                <w:color w:val="4C4747"/>
                <w:sz w:val="24"/>
                <w:szCs w:val="24"/>
              </w:rPr>
              <w:tab/>
            </w:r>
            <w:r w:rsidR="000B3D4B" w:rsidRPr="005E7B85">
              <w:rPr>
                <w:rFonts w:ascii="Times New Roman" w:hAnsi="Times New Roman" w:cs="Times New Roman"/>
                <w:noProof/>
                <w:webHidden/>
                <w:color w:val="4C4747"/>
                <w:sz w:val="24"/>
                <w:szCs w:val="24"/>
              </w:rPr>
              <w:fldChar w:fldCharType="begin"/>
            </w:r>
            <w:r w:rsidR="000B3D4B" w:rsidRPr="005E7B85">
              <w:rPr>
                <w:rFonts w:ascii="Times New Roman" w:hAnsi="Times New Roman" w:cs="Times New Roman"/>
                <w:noProof/>
                <w:webHidden/>
                <w:color w:val="4C4747"/>
                <w:sz w:val="24"/>
                <w:szCs w:val="24"/>
              </w:rPr>
              <w:instrText xml:space="preserve"> PAGEREF _Toc155259662 \h </w:instrText>
            </w:r>
            <w:r w:rsidR="000B3D4B" w:rsidRPr="005E7B85">
              <w:rPr>
                <w:rFonts w:ascii="Times New Roman" w:hAnsi="Times New Roman" w:cs="Times New Roman"/>
                <w:noProof/>
                <w:webHidden/>
                <w:color w:val="4C4747"/>
                <w:sz w:val="24"/>
                <w:szCs w:val="24"/>
              </w:rPr>
            </w:r>
            <w:r w:rsidR="000B3D4B" w:rsidRPr="005E7B85">
              <w:rPr>
                <w:rFonts w:ascii="Times New Roman" w:hAnsi="Times New Roman" w:cs="Times New Roman"/>
                <w:noProof/>
                <w:webHidden/>
                <w:color w:val="4C4747"/>
                <w:sz w:val="24"/>
                <w:szCs w:val="24"/>
              </w:rPr>
              <w:fldChar w:fldCharType="separate"/>
            </w:r>
            <w:r w:rsidR="000B3D4B" w:rsidRPr="005E7B85">
              <w:rPr>
                <w:rFonts w:ascii="Times New Roman" w:hAnsi="Times New Roman" w:cs="Times New Roman"/>
                <w:noProof/>
                <w:webHidden/>
                <w:color w:val="4C4747"/>
                <w:sz w:val="24"/>
                <w:szCs w:val="24"/>
              </w:rPr>
              <w:t>14</w:t>
            </w:r>
            <w:r w:rsidR="000B3D4B" w:rsidRPr="005E7B85">
              <w:rPr>
                <w:rFonts w:ascii="Times New Roman" w:hAnsi="Times New Roman" w:cs="Times New Roman"/>
                <w:noProof/>
                <w:webHidden/>
                <w:color w:val="4C4747"/>
                <w:sz w:val="24"/>
                <w:szCs w:val="24"/>
              </w:rPr>
              <w:fldChar w:fldCharType="end"/>
            </w:r>
          </w:hyperlink>
        </w:p>
        <w:p w14:paraId="35249C80" w14:textId="2329026C" w:rsidR="000B3D4B" w:rsidRPr="005E7B85" w:rsidRDefault="009C1882" w:rsidP="000B3D4B">
          <w:pPr>
            <w:pStyle w:val="TOC2"/>
            <w:rPr>
              <w:rFonts w:eastAsiaTheme="minorEastAsia"/>
              <w:lang w:eastAsia="es-DO"/>
            </w:rPr>
          </w:pPr>
          <w:hyperlink w:anchor="_Toc155259663" w:history="1">
            <w:r w:rsidR="000B3D4B" w:rsidRPr="005E7B85">
              <w:rPr>
                <w:rStyle w:val="Hyperlink"/>
                <w:b/>
                <w:color w:val="4C4747"/>
              </w:rPr>
              <w:t>2.3 Marco legal</w:t>
            </w:r>
            <w:r w:rsidR="000B3D4B" w:rsidRPr="005E7B85">
              <w:rPr>
                <w:webHidden/>
              </w:rPr>
              <w:tab/>
            </w:r>
            <w:r w:rsidR="000B3D4B" w:rsidRPr="005E7B85">
              <w:rPr>
                <w:webHidden/>
              </w:rPr>
              <w:fldChar w:fldCharType="begin"/>
            </w:r>
            <w:r w:rsidR="000B3D4B" w:rsidRPr="005E7B85">
              <w:rPr>
                <w:webHidden/>
              </w:rPr>
              <w:instrText xml:space="preserve"> PAGEREF _Toc155259663 \h </w:instrText>
            </w:r>
            <w:r w:rsidR="000B3D4B" w:rsidRPr="005E7B85">
              <w:rPr>
                <w:webHidden/>
              </w:rPr>
            </w:r>
            <w:r w:rsidR="000B3D4B" w:rsidRPr="005E7B85">
              <w:rPr>
                <w:webHidden/>
              </w:rPr>
              <w:fldChar w:fldCharType="separate"/>
            </w:r>
            <w:r w:rsidR="000B3D4B" w:rsidRPr="005E7B85">
              <w:rPr>
                <w:webHidden/>
              </w:rPr>
              <w:t>20</w:t>
            </w:r>
            <w:r w:rsidR="000B3D4B" w:rsidRPr="005E7B85">
              <w:rPr>
                <w:webHidden/>
              </w:rPr>
              <w:fldChar w:fldCharType="end"/>
            </w:r>
          </w:hyperlink>
        </w:p>
        <w:p w14:paraId="5894AC2C" w14:textId="1DBB76FA" w:rsidR="000B3D4B" w:rsidRPr="005E7B85" w:rsidRDefault="009C1882" w:rsidP="000B3D4B">
          <w:pPr>
            <w:pStyle w:val="TOC2"/>
            <w:rPr>
              <w:rFonts w:eastAsiaTheme="minorEastAsia"/>
              <w:lang w:eastAsia="es-DO"/>
            </w:rPr>
          </w:pPr>
          <w:hyperlink w:anchor="_Toc155259664" w:history="1">
            <w:r w:rsidR="000B3D4B" w:rsidRPr="005E7B85">
              <w:rPr>
                <w:rStyle w:val="Hyperlink"/>
                <w:color w:val="4C4747"/>
              </w:rPr>
              <w:t>Estructura Organizativa</w:t>
            </w:r>
            <w:r w:rsidR="000B3D4B" w:rsidRPr="005E7B85">
              <w:rPr>
                <w:webHidden/>
              </w:rPr>
              <w:tab/>
            </w:r>
            <w:r w:rsidR="000B3D4B" w:rsidRPr="005E7B85">
              <w:rPr>
                <w:webHidden/>
              </w:rPr>
              <w:fldChar w:fldCharType="begin"/>
            </w:r>
            <w:r w:rsidR="000B3D4B" w:rsidRPr="005E7B85">
              <w:rPr>
                <w:webHidden/>
              </w:rPr>
              <w:instrText xml:space="preserve"> PAGEREF _Toc155259664 \h </w:instrText>
            </w:r>
            <w:r w:rsidR="000B3D4B" w:rsidRPr="005E7B85">
              <w:rPr>
                <w:webHidden/>
              </w:rPr>
            </w:r>
            <w:r w:rsidR="000B3D4B" w:rsidRPr="005E7B85">
              <w:rPr>
                <w:webHidden/>
              </w:rPr>
              <w:fldChar w:fldCharType="separate"/>
            </w:r>
            <w:r w:rsidR="000B3D4B" w:rsidRPr="005E7B85">
              <w:rPr>
                <w:webHidden/>
              </w:rPr>
              <w:t>24</w:t>
            </w:r>
            <w:r w:rsidR="000B3D4B" w:rsidRPr="005E7B85">
              <w:rPr>
                <w:webHidden/>
              </w:rPr>
              <w:fldChar w:fldCharType="end"/>
            </w:r>
          </w:hyperlink>
        </w:p>
        <w:p w14:paraId="5A9DED5F" w14:textId="6734B273" w:rsidR="000B3D4B" w:rsidRPr="005E7B85" w:rsidRDefault="009C1882" w:rsidP="000B3D4B">
          <w:pPr>
            <w:pStyle w:val="TOC2"/>
            <w:rPr>
              <w:rFonts w:eastAsiaTheme="minorEastAsia"/>
              <w:lang w:eastAsia="es-DO"/>
            </w:rPr>
          </w:pPr>
          <w:hyperlink w:anchor="_Toc155259665" w:history="1">
            <w:r w:rsidR="000B3D4B" w:rsidRPr="005E7B85">
              <w:rPr>
                <w:rStyle w:val="Hyperlink"/>
                <w:b/>
                <w:color w:val="4C4747"/>
              </w:rPr>
              <w:t>2.5 Planificación estratégica institucional</w:t>
            </w:r>
            <w:r w:rsidR="000B3D4B" w:rsidRPr="005E7B85">
              <w:rPr>
                <w:webHidden/>
              </w:rPr>
              <w:tab/>
            </w:r>
            <w:r w:rsidR="000B3D4B" w:rsidRPr="005E7B85">
              <w:rPr>
                <w:webHidden/>
              </w:rPr>
              <w:fldChar w:fldCharType="begin"/>
            </w:r>
            <w:r w:rsidR="000B3D4B" w:rsidRPr="005E7B85">
              <w:rPr>
                <w:webHidden/>
              </w:rPr>
              <w:instrText xml:space="preserve"> PAGEREF _Toc155259665 \h </w:instrText>
            </w:r>
            <w:r w:rsidR="000B3D4B" w:rsidRPr="005E7B85">
              <w:rPr>
                <w:webHidden/>
              </w:rPr>
            </w:r>
            <w:r w:rsidR="000B3D4B" w:rsidRPr="005E7B85">
              <w:rPr>
                <w:webHidden/>
              </w:rPr>
              <w:fldChar w:fldCharType="separate"/>
            </w:r>
            <w:r w:rsidR="000B3D4B" w:rsidRPr="005E7B85">
              <w:rPr>
                <w:webHidden/>
              </w:rPr>
              <w:t>25</w:t>
            </w:r>
            <w:r w:rsidR="000B3D4B" w:rsidRPr="005E7B85">
              <w:rPr>
                <w:webHidden/>
              </w:rPr>
              <w:fldChar w:fldCharType="end"/>
            </w:r>
          </w:hyperlink>
        </w:p>
        <w:p w14:paraId="77A84A19" w14:textId="5AE66586" w:rsidR="000B3D4B" w:rsidRPr="005E7B85" w:rsidRDefault="009C1882">
          <w:pPr>
            <w:pStyle w:val="TOC1"/>
            <w:rPr>
              <w:rFonts w:eastAsiaTheme="minorEastAsia"/>
              <w:b w:val="0"/>
              <w:color w:val="4C4747"/>
              <w:lang w:eastAsia="es-DO"/>
            </w:rPr>
          </w:pPr>
          <w:hyperlink w:anchor="_Toc155259666" w:history="1">
            <w:r w:rsidR="000B3D4B" w:rsidRPr="005E7B85">
              <w:rPr>
                <w:rStyle w:val="Hyperlink"/>
                <w:color w:val="4C4747"/>
              </w:rPr>
              <w:t>III. RESULTADOS MISIONALES</w:t>
            </w:r>
            <w:r w:rsidR="000B3D4B" w:rsidRPr="005E7B85">
              <w:rPr>
                <w:webHidden/>
                <w:color w:val="4C4747"/>
              </w:rPr>
              <w:tab/>
            </w:r>
            <w:r w:rsidR="000B3D4B" w:rsidRPr="005E7B85">
              <w:rPr>
                <w:webHidden/>
                <w:color w:val="4C4747"/>
              </w:rPr>
              <w:fldChar w:fldCharType="begin"/>
            </w:r>
            <w:r w:rsidR="000B3D4B" w:rsidRPr="005E7B85">
              <w:rPr>
                <w:webHidden/>
                <w:color w:val="4C4747"/>
              </w:rPr>
              <w:instrText xml:space="preserve"> PAGEREF _Toc155259666 \h </w:instrText>
            </w:r>
            <w:r w:rsidR="000B3D4B" w:rsidRPr="005E7B85">
              <w:rPr>
                <w:webHidden/>
                <w:color w:val="4C4747"/>
              </w:rPr>
            </w:r>
            <w:r w:rsidR="000B3D4B" w:rsidRPr="005E7B85">
              <w:rPr>
                <w:webHidden/>
                <w:color w:val="4C4747"/>
              </w:rPr>
              <w:fldChar w:fldCharType="separate"/>
            </w:r>
            <w:r w:rsidR="000B3D4B" w:rsidRPr="005E7B85">
              <w:rPr>
                <w:webHidden/>
                <w:color w:val="4C4747"/>
              </w:rPr>
              <w:t>26</w:t>
            </w:r>
            <w:r w:rsidR="000B3D4B" w:rsidRPr="005E7B85">
              <w:rPr>
                <w:webHidden/>
                <w:color w:val="4C4747"/>
              </w:rPr>
              <w:fldChar w:fldCharType="end"/>
            </w:r>
          </w:hyperlink>
        </w:p>
        <w:p w14:paraId="0E2F9334" w14:textId="5D7129B1" w:rsidR="000B3D4B" w:rsidRPr="005E7B85" w:rsidRDefault="009C1882" w:rsidP="000B3D4B">
          <w:pPr>
            <w:pStyle w:val="TOC2"/>
            <w:rPr>
              <w:rFonts w:eastAsiaTheme="minorEastAsia"/>
              <w:lang w:eastAsia="es-DO"/>
            </w:rPr>
          </w:pPr>
          <w:hyperlink w:anchor="_Toc155259667" w:history="1">
            <w:r w:rsidR="000B3D4B" w:rsidRPr="005E7B85">
              <w:rPr>
                <w:rStyle w:val="Hyperlink"/>
                <w:color w:val="4C4747"/>
              </w:rPr>
              <w:t>3.1</w:t>
            </w:r>
            <w:r w:rsidR="000B3D4B" w:rsidRPr="005E7B85">
              <w:rPr>
                <w:rFonts w:eastAsiaTheme="minorEastAsia"/>
                <w:lang w:eastAsia="es-DO"/>
              </w:rPr>
              <w:t xml:space="preserve"> </w:t>
            </w:r>
            <w:r w:rsidR="000B3D4B" w:rsidRPr="005E7B85">
              <w:rPr>
                <w:rStyle w:val="Hyperlink"/>
                <w:color w:val="4C4747"/>
              </w:rPr>
              <w:t>Información cuantitativa, cualitativa e indicadores de los procesos Misionales</w:t>
            </w:r>
            <w:r w:rsidR="000B3D4B" w:rsidRPr="005E7B85">
              <w:rPr>
                <w:webHidden/>
              </w:rPr>
              <w:tab/>
            </w:r>
            <w:r w:rsidR="000B3D4B" w:rsidRPr="005E7B85">
              <w:rPr>
                <w:webHidden/>
              </w:rPr>
              <w:fldChar w:fldCharType="begin"/>
            </w:r>
            <w:r w:rsidR="000B3D4B" w:rsidRPr="005E7B85">
              <w:rPr>
                <w:webHidden/>
              </w:rPr>
              <w:instrText xml:space="preserve"> PAGEREF _Toc155259667 \h </w:instrText>
            </w:r>
            <w:r w:rsidR="000B3D4B" w:rsidRPr="005E7B85">
              <w:rPr>
                <w:webHidden/>
              </w:rPr>
            </w:r>
            <w:r w:rsidR="000B3D4B" w:rsidRPr="005E7B85">
              <w:rPr>
                <w:webHidden/>
              </w:rPr>
              <w:fldChar w:fldCharType="separate"/>
            </w:r>
            <w:r w:rsidR="000B3D4B" w:rsidRPr="005E7B85">
              <w:rPr>
                <w:webHidden/>
              </w:rPr>
              <w:t>26</w:t>
            </w:r>
            <w:r w:rsidR="000B3D4B" w:rsidRPr="005E7B85">
              <w:rPr>
                <w:webHidden/>
              </w:rPr>
              <w:fldChar w:fldCharType="end"/>
            </w:r>
          </w:hyperlink>
        </w:p>
        <w:p w14:paraId="522ED794" w14:textId="04792186" w:rsidR="000B3D4B" w:rsidRPr="005E7B85" w:rsidRDefault="009C1882" w:rsidP="000B3D4B">
          <w:pPr>
            <w:pStyle w:val="TOC2"/>
            <w:rPr>
              <w:rFonts w:eastAsiaTheme="minorEastAsia"/>
              <w:lang w:eastAsia="es-DO"/>
            </w:rPr>
          </w:pPr>
          <w:hyperlink w:anchor="_Toc155259668" w:history="1">
            <w:r w:rsidR="000B3D4B" w:rsidRPr="005E7B85">
              <w:rPr>
                <w:rStyle w:val="Hyperlink"/>
                <w:b/>
                <w:color w:val="4C4747"/>
              </w:rPr>
              <w:t>Logros institucionales en el 2023</w:t>
            </w:r>
            <w:r w:rsidR="000B3D4B" w:rsidRPr="005E7B85">
              <w:rPr>
                <w:webHidden/>
              </w:rPr>
              <w:tab/>
            </w:r>
            <w:r w:rsidR="000B3D4B" w:rsidRPr="005E7B85">
              <w:rPr>
                <w:webHidden/>
              </w:rPr>
              <w:fldChar w:fldCharType="begin"/>
            </w:r>
            <w:r w:rsidR="000B3D4B" w:rsidRPr="005E7B85">
              <w:rPr>
                <w:webHidden/>
              </w:rPr>
              <w:instrText xml:space="preserve"> PAGEREF _Toc155259668 \h </w:instrText>
            </w:r>
            <w:r w:rsidR="000B3D4B" w:rsidRPr="005E7B85">
              <w:rPr>
                <w:webHidden/>
              </w:rPr>
            </w:r>
            <w:r w:rsidR="000B3D4B" w:rsidRPr="005E7B85">
              <w:rPr>
                <w:webHidden/>
              </w:rPr>
              <w:fldChar w:fldCharType="separate"/>
            </w:r>
            <w:r w:rsidR="000B3D4B" w:rsidRPr="005E7B85">
              <w:rPr>
                <w:webHidden/>
              </w:rPr>
              <w:t>28</w:t>
            </w:r>
            <w:r w:rsidR="000B3D4B" w:rsidRPr="005E7B85">
              <w:rPr>
                <w:webHidden/>
              </w:rPr>
              <w:fldChar w:fldCharType="end"/>
            </w:r>
          </w:hyperlink>
        </w:p>
        <w:p w14:paraId="6A11309D" w14:textId="3CCE6115" w:rsidR="000B3D4B" w:rsidRPr="005E7B85" w:rsidRDefault="009C1882">
          <w:pPr>
            <w:pStyle w:val="TOC1"/>
            <w:rPr>
              <w:rFonts w:eastAsiaTheme="minorEastAsia"/>
              <w:b w:val="0"/>
              <w:color w:val="4C4747"/>
              <w:lang w:eastAsia="es-DO"/>
            </w:rPr>
          </w:pPr>
          <w:hyperlink w:anchor="_Toc155259669" w:history="1">
            <w:r w:rsidR="000B3D4B" w:rsidRPr="005E7B85">
              <w:rPr>
                <w:rStyle w:val="Hyperlink"/>
                <w:color w:val="4C4747"/>
              </w:rPr>
              <w:t>IV. RESULTADOS ÁREAS TRANSVERSALES Y DE APOYO</w:t>
            </w:r>
            <w:r w:rsidR="000B3D4B" w:rsidRPr="005E7B85">
              <w:rPr>
                <w:webHidden/>
                <w:color w:val="4C4747"/>
              </w:rPr>
              <w:tab/>
            </w:r>
            <w:r w:rsidR="000B3D4B" w:rsidRPr="005E7B85">
              <w:rPr>
                <w:webHidden/>
                <w:color w:val="4C4747"/>
              </w:rPr>
              <w:fldChar w:fldCharType="begin"/>
            </w:r>
            <w:r w:rsidR="000B3D4B" w:rsidRPr="005E7B85">
              <w:rPr>
                <w:webHidden/>
                <w:color w:val="4C4747"/>
              </w:rPr>
              <w:instrText xml:space="preserve"> PAGEREF _Toc155259669 \h </w:instrText>
            </w:r>
            <w:r w:rsidR="000B3D4B" w:rsidRPr="005E7B85">
              <w:rPr>
                <w:webHidden/>
                <w:color w:val="4C4747"/>
              </w:rPr>
            </w:r>
            <w:r w:rsidR="000B3D4B" w:rsidRPr="005E7B85">
              <w:rPr>
                <w:webHidden/>
                <w:color w:val="4C4747"/>
              </w:rPr>
              <w:fldChar w:fldCharType="separate"/>
            </w:r>
            <w:r w:rsidR="000B3D4B" w:rsidRPr="005E7B85">
              <w:rPr>
                <w:webHidden/>
                <w:color w:val="4C4747"/>
              </w:rPr>
              <w:t>32</w:t>
            </w:r>
            <w:r w:rsidR="000B3D4B" w:rsidRPr="005E7B85">
              <w:rPr>
                <w:webHidden/>
                <w:color w:val="4C4747"/>
              </w:rPr>
              <w:fldChar w:fldCharType="end"/>
            </w:r>
          </w:hyperlink>
        </w:p>
        <w:p w14:paraId="3082EDCC" w14:textId="3BA72208" w:rsidR="000B3D4B" w:rsidRPr="005E7B85" w:rsidRDefault="009C1882" w:rsidP="000B3D4B">
          <w:pPr>
            <w:pStyle w:val="TOC2"/>
            <w:rPr>
              <w:rFonts w:eastAsiaTheme="minorEastAsia"/>
              <w:lang w:eastAsia="es-DO"/>
            </w:rPr>
          </w:pPr>
          <w:hyperlink w:anchor="_Toc155259670" w:history="1">
            <w:r w:rsidR="000B3D4B" w:rsidRPr="005E7B85">
              <w:rPr>
                <w:rStyle w:val="Hyperlink"/>
                <w:color w:val="4C4747"/>
              </w:rPr>
              <w:t>4.1 Desempeño</w:t>
            </w:r>
            <w:r w:rsidR="000B3D4B" w:rsidRPr="005E7B85">
              <w:rPr>
                <w:rStyle w:val="Hyperlink"/>
                <w:b/>
                <w:color w:val="4C4747"/>
              </w:rPr>
              <w:t xml:space="preserve"> </w:t>
            </w:r>
            <w:r w:rsidR="000B3D4B" w:rsidRPr="005E7B85">
              <w:rPr>
                <w:rStyle w:val="Hyperlink"/>
                <w:color w:val="4C4747"/>
              </w:rPr>
              <w:t>Área Administrativa y Financiera</w:t>
            </w:r>
            <w:r w:rsidR="000B3D4B" w:rsidRPr="005E7B85">
              <w:rPr>
                <w:webHidden/>
              </w:rPr>
              <w:tab/>
            </w:r>
            <w:r w:rsidR="000B3D4B" w:rsidRPr="005E7B85">
              <w:rPr>
                <w:webHidden/>
              </w:rPr>
              <w:fldChar w:fldCharType="begin"/>
            </w:r>
            <w:r w:rsidR="000B3D4B" w:rsidRPr="005E7B85">
              <w:rPr>
                <w:webHidden/>
              </w:rPr>
              <w:instrText xml:space="preserve"> PAGEREF _Toc155259670 \h </w:instrText>
            </w:r>
            <w:r w:rsidR="000B3D4B" w:rsidRPr="005E7B85">
              <w:rPr>
                <w:webHidden/>
              </w:rPr>
            </w:r>
            <w:r w:rsidR="000B3D4B" w:rsidRPr="005E7B85">
              <w:rPr>
                <w:webHidden/>
              </w:rPr>
              <w:fldChar w:fldCharType="separate"/>
            </w:r>
            <w:r w:rsidR="000B3D4B" w:rsidRPr="005E7B85">
              <w:rPr>
                <w:webHidden/>
              </w:rPr>
              <w:t>32</w:t>
            </w:r>
            <w:r w:rsidR="000B3D4B" w:rsidRPr="005E7B85">
              <w:rPr>
                <w:webHidden/>
              </w:rPr>
              <w:fldChar w:fldCharType="end"/>
            </w:r>
          </w:hyperlink>
        </w:p>
        <w:p w14:paraId="29E98121" w14:textId="54C35973" w:rsidR="000B3D4B" w:rsidRPr="005E7B85" w:rsidRDefault="009C1882" w:rsidP="000B3D4B">
          <w:pPr>
            <w:pStyle w:val="TOC2"/>
            <w:rPr>
              <w:rFonts w:eastAsiaTheme="minorEastAsia"/>
              <w:lang w:eastAsia="es-DO"/>
            </w:rPr>
          </w:pPr>
          <w:hyperlink w:anchor="_Toc155259671" w:history="1">
            <w:r w:rsidR="000B3D4B" w:rsidRPr="005E7B85">
              <w:rPr>
                <w:rStyle w:val="Hyperlink"/>
                <w:color w:val="4C4747"/>
              </w:rPr>
              <w:t>4.2</w:t>
            </w:r>
            <w:r w:rsidR="000B3D4B" w:rsidRPr="005E7B85">
              <w:rPr>
                <w:rFonts w:eastAsiaTheme="minorEastAsia"/>
                <w:lang w:eastAsia="es-DO"/>
              </w:rPr>
              <w:t xml:space="preserve"> </w:t>
            </w:r>
            <w:r w:rsidR="000B3D4B" w:rsidRPr="005E7B85">
              <w:rPr>
                <w:rStyle w:val="Hyperlink"/>
                <w:color w:val="4C4747"/>
              </w:rPr>
              <w:t>Desempeño de los Recursos Humanos</w:t>
            </w:r>
            <w:r w:rsidR="000B3D4B" w:rsidRPr="005E7B85">
              <w:rPr>
                <w:webHidden/>
              </w:rPr>
              <w:tab/>
            </w:r>
            <w:r w:rsidR="000B3D4B" w:rsidRPr="005E7B85">
              <w:rPr>
                <w:webHidden/>
              </w:rPr>
              <w:fldChar w:fldCharType="begin"/>
            </w:r>
            <w:r w:rsidR="000B3D4B" w:rsidRPr="005E7B85">
              <w:rPr>
                <w:webHidden/>
              </w:rPr>
              <w:instrText xml:space="preserve"> PAGEREF _Toc155259671 \h </w:instrText>
            </w:r>
            <w:r w:rsidR="000B3D4B" w:rsidRPr="005E7B85">
              <w:rPr>
                <w:webHidden/>
              </w:rPr>
            </w:r>
            <w:r w:rsidR="000B3D4B" w:rsidRPr="005E7B85">
              <w:rPr>
                <w:webHidden/>
              </w:rPr>
              <w:fldChar w:fldCharType="separate"/>
            </w:r>
            <w:r w:rsidR="000B3D4B" w:rsidRPr="005E7B85">
              <w:rPr>
                <w:webHidden/>
              </w:rPr>
              <w:t>38</w:t>
            </w:r>
            <w:r w:rsidR="000B3D4B" w:rsidRPr="005E7B85">
              <w:rPr>
                <w:webHidden/>
              </w:rPr>
              <w:fldChar w:fldCharType="end"/>
            </w:r>
          </w:hyperlink>
        </w:p>
        <w:p w14:paraId="7E0B968B" w14:textId="0F0AD997" w:rsidR="000B3D4B" w:rsidRPr="005E7B85" w:rsidRDefault="009C1882" w:rsidP="000B3D4B">
          <w:pPr>
            <w:pStyle w:val="TOC2"/>
            <w:rPr>
              <w:rFonts w:eastAsiaTheme="minorEastAsia"/>
              <w:lang w:eastAsia="es-DO"/>
            </w:rPr>
          </w:pPr>
          <w:hyperlink w:anchor="_Toc155259672" w:history="1">
            <w:r w:rsidR="000B3D4B" w:rsidRPr="005E7B85">
              <w:rPr>
                <w:rStyle w:val="Hyperlink"/>
                <w:color w:val="4C4747"/>
              </w:rPr>
              <w:t>4.3 Desempeño de los Procesos Jurídicos</w:t>
            </w:r>
            <w:r w:rsidR="000B3D4B" w:rsidRPr="005E7B85">
              <w:rPr>
                <w:webHidden/>
              </w:rPr>
              <w:tab/>
            </w:r>
            <w:r w:rsidR="000B3D4B" w:rsidRPr="005E7B85">
              <w:rPr>
                <w:webHidden/>
              </w:rPr>
              <w:fldChar w:fldCharType="begin"/>
            </w:r>
            <w:r w:rsidR="000B3D4B" w:rsidRPr="005E7B85">
              <w:rPr>
                <w:webHidden/>
              </w:rPr>
              <w:instrText xml:space="preserve"> PAGEREF _Toc155259672 \h </w:instrText>
            </w:r>
            <w:r w:rsidR="000B3D4B" w:rsidRPr="005E7B85">
              <w:rPr>
                <w:webHidden/>
              </w:rPr>
            </w:r>
            <w:r w:rsidR="000B3D4B" w:rsidRPr="005E7B85">
              <w:rPr>
                <w:webHidden/>
              </w:rPr>
              <w:fldChar w:fldCharType="separate"/>
            </w:r>
            <w:r w:rsidR="000B3D4B" w:rsidRPr="005E7B85">
              <w:rPr>
                <w:webHidden/>
              </w:rPr>
              <w:t>53</w:t>
            </w:r>
            <w:r w:rsidR="000B3D4B" w:rsidRPr="005E7B85">
              <w:rPr>
                <w:webHidden/>
              </w:rPr>
              <w:fldChar w:fldCharType="end"/>
            </w:r>
          </w:hyperlink>
        </w:p>
        <w:p w14:paraId="1D9B3E3F" w14:textId="215838E3" w:rsidR="000B3D4B" w:rsidRPr="005E7B85" w:rsidRDefault="009C1882" w:rsidP="000B3D4B">
          <w:pPr>
            <w:pStyle w:val="TOC2"/>
            <w:rPr>
              <w:rFonts w:eastAsiaTheme="minorEastAsia"/>
              <w:lang w:eastAsia="es-DO"/>
            </w:rPr>
          </w:pPr>
          <w:hyperlink w:anchor="_Toc155259673" w:history="1">
            <w:r w:rsidR="000B3D4B" w:rsidRPr="005E7B85">
              <w:rPr>
                <w:rStyle w:val="Hyperlink"/>
                <w:color w:val="4C4747"/>
              </w:rPr>
              <w:t>4.4 Desempeño</w:t>
            </w:r>
            <w:r w:rsidR="000B3D4B" w:rsidRPr="005E7B85">
              <w:rPr>
                <w:rStyle w:val="Hyperlink"/>
                <w:b/>
                <w:color w:val="4C4747"/>
              </w:rPr>
              <w:t xml:space="preserve"> </w:t>
            </w:r>
            <w:r w:rsidR="000B3D4B" w:rsidRPr="005E7B85">
              <w:rPr>
                <w:rStyle w:val="Hyperlink"/>
                <w:color w:val="4C4747"/>
              </w:rPr>
              <w:t>de la Tecnología</w:t>
            </w:r>
            <w:r w:rsidR="000B3D4B" w:rsidRPr="005E7B85">
              <w:rPr>
                <w:webHidden/>
              </w:rPr>
              <w:tab/>
            </w:r>
            <w:r w:rsidR="000B3D4B" w:rsidRPr="005E7B85">
              <w:rPr>
                <w:webHidden/>
              </w:rPr>
              <w:fldChar w:fldCharType="begin"/>
            </w:r>
            <w:r w:rsidR="000B3D4B" w:rsidRPr="005E7B85">
              <w:rPr>
                <w:webHidden/>
              </w:rPr>
              <w:instrText xml:space="preserve"> PAGEREF _Toc155259673 \h </w:instrText>
            </w:r>
            <w:r w:rsidR="000B3D4B" w:rsidRPr="005E7B85">
              <w:rPr>
                <w:webHidden/>
              </w:rPr>
            </w:r>
            <w:r w:rsidR="000B3D4B" w:rsidRPr="005E7B85">
              <w:rPr>
                <w:webHidden/>
              </w:rPr>
              <w:fldChar w:fldCharType="separate"/>
            </w:r>
            <w:r w:rsidR="000B3D4B" w:rsidRPr="005E7B85">
              <w:rPr>
                <w:webHidden/>
              </w:rPr>
              <w:t>60</w:t>
            </w:r>
            <w:r w:rsidR="000B3D4B" w:rsidRPr="005E7B85">
              <w:rPr>
                <w:webHidden/>
              </w:rPr>
              <w:fldChar w:fldCharType="end"/>
            </w:r>
          </w:hyperlink>
        </w:p>
        <w:p w14:paraId="67AFB227" w14:textId="485B2331" w:rsidR="000B3D4B" w:rsidRPr="005E7B85" w:rsidRDefault="009C1882" w:rsidP="000B3D4B">
          <w:pPr>
            <w:pStyle w:val="TOC2"/>
            <w:rPr>
              <w:rFonts w:eastAsiaTheme="minorEastAsia"/>
              <w:lang w:eastAsia="es-DO"/>
            </w:rPr>
          </w:pPr>
          <w:hyperlink w:anchor="_Toc155259674" w:history="1">
            <w:r w:rsidR="000B3D4B" w:rsidRPr="005E7B85">
              <w:rPr>
                <w:rStyle w:val="Hyperlink"/>
                <w:color w:val="4C4747"/>
              </w:rPr>
              <w:t>4.4.1 Seguridad</w:t>
            </w:r>
            <w:r w:rsidR="000B3D4B" w:rsidRPr="005E7B85">
              <w:rPr>
                <w:rStyle w:val="Hyperlink"/>
                <w:b/>
                <w:color w:val="4C4747"/>
              </w:rPr>
              <w:t xml:space="preserve"> </w:t>
            </w:r>
            <w:r w:rsidR="000B3D4B" w:rsidRPr="005E7B85">
              <w:rPr>
                <w:rStyle w:val="Hyperlink"/>
                <w:color w:val="4C4747"/>
              </w:rPr>
              <w:t>Cibernética y de la Información</w:t>
            </w:r>
            <w:r w:rsidR="000B3D4B" w:rsidRPr="005E7B85">
              <w:rPr>
                <w:webHidden/>
              </w:rPr>
              <w:tab/>
            </w:r>
            <w:r w:rsidR="000B3D4B" w:rsidRPr="005E7B85">
              <w:rPr>
                <w:webHidden/>
              </w:rPr>
              <w:fldChar w:fldCharType="begin"/>
            </w:r>
            <w:r w:rsidR="000B3D4B" w:rsidRPr="005E7B85">
              <w:rPr>
                <w:webHidden/>
              </w:rPr>
              <w:instrText xml:space="preserve"> PAGEREF _Toc155259674 \h </w:instrText>
            </w:r>
            <w:r w:rsidR="000B3D4B" w:rsidRPr="005E7B85">
              <w:rPr>
                <w:webHidden/>
              </w:rPr>
            </w:r>
            <w:r w:rsidR="000B3D4B" w:rsidRPr="005E7B85">
              <w:rPr>
                <w:webHidden/>
              </w:rPr>
              <w:fldChar w:fldCharType="separate"/>
            </w:r>
            <w:r w:rsidR="000B3D4B" w:rsidRPr="005E7B85">
              <w:rPr>
                <w:webHidden/>
              </w:rPr>
              <w:t>69</w:t>
            </w:r>
            <w:r w:rsidR="000B3D4B" w:rsidRPr="005E7B85">
              <w:rPr>
                <w:webHidden/>
              </w:rPr>
              <w:fldChar w:fldCharType="end"/>
            </w:r>
          </w:hyperlink>
        </w:p>
        <w:p w14:paraId="5A527601" w14:textId="5ED958E7" w:rsidR="000B3D4B" w:rsidRPr="005E7B85" w:rsidRDefault="009C1882" w:rsidP="000B3D4B">
          <w:pPr>
            <w:pStyle w:val="TOC2"/>
            <w:rPr>
              <w:rFonts w:eastAsiaTheme="minorEastAsia"/>
              <w:lang w:eastAsia="es-DO"/>
            </w:rPr>
          </w:pPr>
          <w:hyperlink w:anchor="_Toc155259675" w:history="1">
            <w:r w:rsidR="000B3D4B" w:rsidRPr="005E7B85">
              <w:rPr>
                <w:rStyle w:val="Hyperlink"/>
                <w:color w:val="4C4747"/>
              </w:rPr>
              <w:t>4.5 Desempeño del Sistema de Planificación y Desarrollo Institucional</w:t>
            </w:r>
            <w:r w:rsidR="000B3D4B" w:rsidRPr="005E7B85">
              <w:rPr>
                <w:webHidden/>
              </w:rPr>
              <w:tab/>
            </w:r>
            <w:r w:rsidR="000B3D4B" w:rsidRPr="005E7B85">
              <w:rPr>
                <w:webHidden/>
              </w:rPr>
              <w:fldChar w:fldCharType="begin"/>
            </w:r>
            <w:r w:rsidR="000B3D4B" w:rsidRPr="005E7B85">
              <w:rPr>
                <w:webHidden/>
              </w:rPr>
              <w:instrText xml:space="preserve"> PAGEREF _Toc155259675 \h </w:instrText>
            </w:r>
            <w:r w:rsidR="000B3D4B" w:rsidRPr="005E7B85">
              <w:rPr>
                <w:webHidden/>
              </w:rPr>
            </w:r>
            <w:r w:rsidR="000B3D4B" w:rsidRPr="005E7B85">
              <w:rPr>
                <w:webHidden/>
              </w:rPr>
              <w:fldChar w:fldCharType="separate"/>
            </w:r>
            <w:r w:rsidR="000B3D4B" w:rsidRPr="005E7B85">
              <w:rPr>
                <w:webHidden/>
              </w:rPr>
              <w:t>73</w:t>
            </w:r>
            <w:r w:rsidR="000B3D4B" w:rsidRPr="005E7B85">
              <w:rPr>
                <w:webHidden/>
              </w:rPr>
              <w:fldChar w:fldCharType="end"/>
            </w:r>
          </w:hyperlink>
        </w:p>
        <w:p w14:paraId="2885FD86" w14:textId="3B8C44D5" w:rsidR="000B3D4B" w:rsidRPr="005E7B85" w:rsidRDefault="009C1882" w:rsidP="000B3D4B">
          <w:pPr>
            <w:pStyle w:val="TOC2"/>
            <w:rPr>
              <w:rFonts w:eastAsiaTheme="minorEastAsia"/>
              <w:lang w:eastAsia="es-DO"/>
            </w:rPr>
          </w:pPr>
          <w:hyperlink w:anchor="_Toc155259676" w:history="1">
            <w:r w:rsidR="000B3D4B" w:rsidRPr="005E7B85">
              <w:rPr>
                <w:rStyle w:val="Hyperlink"/>
                <w:rFonts w:eastAsia="Artifex CF Extra Light"/>
                <w:b/>
                <w:color w:val="4C4747"/>
                <w:lang w:val="es-ES"/>
              </w:rPr>
              <w:t>I</w:t>
            </w:r>
            <w:r w:rsidR="000B3D4B" w:rsidRPr="005E7B85">
              <w:rPr>
                <w:rStyle w:val="Hyperlink"/>
                <w:rFonts w:eastAsia="Artifex CF Extra Light"/>
                <w:color w:val="4C4747"/>
                <w:lang w:val="es-ES"/>
              </w:rPr>
              <w:t>niciativas POA 2023</w:t>
            </w:r>
            <w:r w:rsidR="000B3D4B" w:rsidRPr="005E7B85">
              <w:rPr>
                <w:webHidden/>
              </w:rPr>
              <w:tab/>
            </w:r>
            <w:r w:rsidR="000B3D4B" w:rsidRPr="005E7B85">
              <w:rPr>
                <w:webHidden/>
              </w:rPr>
              <w:fldChar w:fldCharType="begin"/>
            </w:r>
            <w:r w:rsidR="000B3D4B" w:rsidRPr="005E7B85">
              <w:rPr>
                <w:webHidden/>
              </w:rPr>
              <w:instrText xml:space="preserve"> PAGEREF _Toc155259676 \h </w:instrText>
            </w:r>
            <w:r w:rsidR="000B3D4B" w:rsidRPr="005E7B85">
              <w:rPr>
                <w:webHidden/>
              </w:rPr>
            </w:r>
            <w:r w:rsidR="000B3D4B" w:rsidRPr="005E7B85">
              <w:rPr>
                <w:webHidden/>
              </w:rPr>
              <w:fldChar w:fldCharType="separate"/>
            </w:r>
            <w:r w:rsidR="000B3D4B" w:rsidRPr="005E7B85">
              <w:rPr>
                <w:webHidden/>
              </w:rPr>
              <w:t>74</w:t>
            </w:r>
            <w:r w:rsidR="000B3D4B" w:rsidRPr="005E7B85">
              <w:rPr>
                <w:webHidden/>
              </w:rPr>
              <w:fldChar w:fldCharType="end"/>
            </w:r>
          </w:hyperlink>
        </w:p>
        <w:p w14:paraId="375BCC81" w14:textId="32F1DC63" w:rsidR="000B3D4B" w:rsidRPr="005E7B85" w:rsidRDefault="009C1882" w:rsidP="000B3D4B">
          <w:pPr>
            <w:pStyle w:val="TOC2"/>
            <w:rPr>
              <w:rFonts w:eastAsiaTheme="minorEastAsia"/>
              <w:lang w:eastAsia="es-DO"/>
            </w:rPr>
          </w:pPr>
          <w:hyperlink w:anchor="_Toc155259677" w:history="1">
            <w:r w:rsidR="000B3D4B" w:rsidRPr="005E7B85">
              <w:rPr>
                <w:rStyle w:val="Hyperlink"/>
                <w:color w:val="4C4747"/>
              </w:rPr>
              <w:t>4.6 Desempeño del Área Comunicaciones</w:t>
            </w:r>
            <w:r w:rsidR="000B3D4B" w:rsidRPr="005E7B85">
              <w:rPr>
                <w:webHidden/>
              </w:rPr>
              <w:tab/>
            </w:r>
            <w:r w:rsidR="000B3D4B" w:rsidRPr="005E7B85">
              <w:rPr>
                <w:webHidden/>
              </w:rPr>
              <w:fldChar w:fldCharType="begin"/>
            </w:r>
            <w:r w:rsidR="000B3D4B" w:rsidRPr="005E7B85">
              <w:rPr>
                <w:webHidden/>
              </w:rPr>
              <w:instrText xml:space="preserve"> PAGEREF _Toc155259677 \h </w:instrText>
            </w:r>
            <w:r w:rsidR="000B3D4B" w:rsidRPr="005E7B85">
              <w:rPr>
                <w:webHidden/>
              </w:rPr>
            </w:r>
            <w:r w:rsidR="000B3D4B" w:rsidRPr="005E7B85">
              <w:rPr>
                <w:webHidden/>
              </w:rPr>
              <w:fldChar w:fldCharType="separate"/>
            </w:r>
            <w:r w:rsidR="000B3D4B" w:rsidRPr="005E7B85">
              <w:rPr>
                <w:webHidden/>
              </w:rPr>
              <w:t>82</w:t>
            </w:r>
            <w:r w:rsidR="000B3D4B" w:rsidRPr="005E7B85">
              <w:rPr>
                <w:webHidden/>
              </w:rPr>
              <w:fldChar w:fldCharType="end"/>
            </w:r>
          </w:hyperlink>
        </w:p>
        <w:p w14:paraId="57C14DFF" w14:textId="1C53DDE5" w:rsidR="000B3D4B" w:rsidRPr="005E7B85" w:rsidRDefault="009C1882">
          <w:pPr>
            <w:pStyle w:val="TOC1"/>
            <w:tabs>
              <w:tab w:val="left" w:pos="660"/>
            </w:tabs>
            <w:rPr>
              <w:rFonts w:eastAsiaTheme="minorEastAsia"/>
              <w:b w:val="0"/>
              <w:color w:val="4C4747"/>
              <w:lang w:eastAsia="es-DO"/>
            </w:rPr>
          </w:pPr>
          <w:hyperlink w:anchor="_Toc155259678" w:history="1">
            <w:r w:rsidR="000B3D4B" w:rsidRPr="005E7B85">
              <w:rPr>
                <w:rStyle w:val="Hyperlink"/>
                <w:color w:val="4C4747"/>
              </w:rPr>
              <w:t>V.</w:t>
            </w:r>
            <w:r w:rsidR="000B3D4B" w:rsidRPr="005E7B85">
              <w:rPr>
                <w:rFonts w:eastAsiaTheme="minorEastAsia"/>
                <w:b w:val="0"/>
                <w:color w:val="4C4747"/>
                <w:lang w:eastAsia="es-DO"/>
              </w:rPr>
              <w:t xml:space="preserve"> </w:t>
            </w:r>
            <w:r w:rsidR="000B3D4B" w:rsidRPr="005E7B85">
              <w:rPr>
                <w:rStyle w:val="Hyperlink"/>
                <w:bCs/>
                <w:color w:val="4C4747"/>
                <w:spacing w:val="20"/>
              </w:rPr>
              <w:t>SERVICIO AL CIUDADANO Y TRANSPARENCIA INSTITUCIONAL</w:t>
            </w:r>
            <w:r w:rsidR="000B3D4B" w:rsidRPr="005E7B85">
              <w:rPr>
                <w:webHidden/>
                <w:color w:val="4C4747"/>
              </w:rPr>
              <w:tab/>
            </w:r>
            <w:r w:rsidR="000B3D4B" w:rsidRPr="005E7B85">
              <w:rPr>
                <w:webHidden/>
                <w:color w:val="4C4747"/>
              </w:rPr>
              <w:fldChar w:fldCharType="begin"/>
            </w:r>
            <w:r w:rsidR="000B3D4B" w:rsidRPr="005E7B85">
              <w:rPr>
                <w:webHidden/>
                <w:color w:val="4C4747"/>
              </w:rPr>
              <w:instrText xml:space="preserve"> PAGEREF _Toc155259678 \h </w:instrText>
            </w:r>
            <w:r w:rsidR="000B3D4B" w:rsidRPr="005E7B85">
              <w:rPr>
                <w:webHidden/>
                <w:color w:val="4C4747"/>
              </w:rPr>
            </w:r>
            <w:r w:rsidR="000B3D4B" w:rsidRPr="005E7B85">
              <w:rPr>
                <w:webHidden/>
                <w:color w:val="4C4747"/>
              </w:rPr>
              <w:fldChar w:fldCharType="separate"/>
            </w:r>
            <w:r w:rsidR="000B3D4B" w:rsidRPr="005E7B85">
              <w:rPr>
                <w:webHidden/>
                <w:color w:val="4C4747"/>
              </w:rPr>
              <w:t>85</w:t>
            </w:r>
            <w:r w:rsidR="000B3D4B" w:rsidRPr="005E7B85">
              <w:rPr>
                <w:webHidden/>
                <w:color w:val="4C4747"/>
              </w:rPr>
              <w:fldChar w:fldCharType="end"/>
            </w:r>
          </w:hyperlink>
        </w:p>
        <w:p w14:paraId="2DDA2760" w14:textId="63D497E8" w:rsidR="000B3D4B" w:rsidRPr="005E7B85" w:rsidRDefault="009C1882" w:rsidP="000B3D4B">
          <w:pPr>
            <w:pStyle w:val="TOC2"/>
            <w:rPr>
              <w:rFonts w:eastAsiaTheme="minorEastAsia"/>
              <w:lang w:eastAsia="es-DO"/>
            </w:rPr>
          </w:pPr>
          <w:hyperlink w:anchor="_Toc155259679" w:history="1">
            <w:r w:rsidR="000B3D4B" w:rsidRPr="005E7B85">
              <w:rPr>
                <w:rStyle w:val="Hyperlink"/>
                <w:color w:val="4C4747"/>
              </w:rPr>
              <w:t>5.1Nivel de cumplimiento acceso a la información</w:t>
            </w:r>
            <w:r w:rsidR="000B3D4B" w:rsidRPr="005E7B85">
              <w:rPr>
                <w:webHidden/>
              </w:rPr>
              <w:tab/>
            </w:r>
            <w:r w:rsidR="000B3D4B" w:rsidRPr="005E7B85">
              <w:rPr>
                <w:webHidden/>
              </w:rPr>
              <w:fldChar w:fldCharType="begin"/>
            </w:r>
            <w:r w:rsidR="000B3D4B" w:rsidRPr="005E7B85">
              <w:rPr>
                <w:webHidden/>
              </w:rPr>
              <w:instrText xml:space="preserve"> PAGEREF _Toc155259679 \h </w:instrText>
            </w:r>
            <w:r w:rsidR="000B3D4B" w:rsidRPr="005E7B85">
              <w:rPr>
                <w:webHidden/>
              </w:rPr>
            </w:r>
            <w:r w:rsidR="000B3D4B" w:rsidRPr="005E7B85">
              <w:rPr>
                <w:webHidden/>
              </w:rPr>
              <w:fldChar w:fldCharType="separate"/>
            </w:r>
            <w:r w:rsidR="000B3D4B" w:rsidRPr="005E7B85">
              <w:rPr>
                <w:webHidden/>
              </w:rPr>
              <w:t>85</w:t>
            </w:r>
            <w:r w:rsidR="000B3D4B" w:rsidRPr="005E7B85">
              <w:rPr>
                <w:webHidden/>
              </w:rPr>
              <w:fldChar w:fldCharType="end"/>
            </w:r>
          </w:hyperlink>
        </w:p>
        <w:p w14:paraId="25254B65" w14:textId="7290BBA3" w:rsidR="000B3D4B" w:rsidRPr="005E7B85" w:rsidRDefault="009C1882" w:rsidP="000B3D4B">
          <w:pPr>
            <w:pStyle w:val="TOC2"/>
            <w:rPr>
              <w:rFonts w:eastAsiaTheme="minorEastAsia"/>
              <w:lang w:eastAsia="es-DO"/>
            </w:rPr>
          </w:pPr>
          <w:hyperlink w:anchor="_Toc155259680" w:history="1">
            <w:r w:rsidR="000B3D4B" w:rsidRPr="005E7B85">
              <w:rPr>
                <w:rStyle w:val="Hyperlink"/>
                <w:rFonts w:eastAsia="Times New Roman"/>
                <w:color w:val="4C4747"/>
              </w:rPr>
              <w:t>5.2</w:t>
            </w:r>
            <w:r w:rsidR="000B3D4B" w:rsidRPr="005E7B85">
              <w:rPr>
                <w:rFonts w:eastAsiaTheme="minorEastAsia"/>
                <w:lang w:eastAsia="es-DO"/>
              </w:rPr>
              <w:t xml:space="preserve"> </w:t>
            </w:r>
            <w:r w:rsidR="000B3D4B" w:rsidRPr="005E7B85">
              <w:rPr>
                <w:rStyle w:val="Hyperlink"/>
                <w:rFonts w:eastAsia="Times New Roman"/>
                <w:color w:val="4C4747"/>
              </w:rPr>
              <w:t>Transparencia institucional</w:t>
            </w:r>
            <w:r w:rsidR="000B3D4B" w:rsidRPr="005E7B85">
              <w:rPr>
                <w:webHidden/>
              </w:rPr>
              <w:tab/>
            </w:r>
            <w:r w:rsidR="000B3D4B" w:rsidRPr="005E7B85">
              <w:rPr>
                <w:webHidden/>
              </w:rPr>
              <w:fldChar w:fldCharType="begin"/>
            </w:r>
            <w:r w:rsidR="000B3D4B" w:rsidRPr="005E7B85">
              <w:rPr>
                <w:webHidden/>
              </w:rPr>
              <w:instrText xml:space="preserve"> PAGEREF _Toc155259680 \h </w:instrText>
            </w:r>
            <w:r w:rsidR="000B3D4B" w:rsidRPr="005E7B85">
              <w:rPr>
                <w:webHidden/>
              </w:rPr>
            </w:r>
            <w:r w:rsidR="000B3D4B" w:rsidRPr="005E7B85">
              <w:rPr>
                <w:webHidden/>
              </w:rPr>
              <w:fldChar w:fldCharType="separate"/>
            </w:r>
            <w:r w:rsidR="000B3D4B" w:rsidRPr="005E7B85">
              <w:rPr>
                <w:webHidden/>
              </w:rPr>
              <w:t>90</w:t>
            </w:r>
            <w:r w:rsidR="000B3D4B" w:rsidRPr="005E7B85">
              <w:rPr>
                <w:webHidden/>
              </w:rPr>
              <w:fldChar w:fldCharType="end"/>
            </w:r>
          </w:hyperlink>
        </w:p>
        <w:p w14:paraId="22CA1A0A" w14:textId="44FD0EC4" w:rsidR="000B3D4B" w:rsidRPr="005E7B85" w:rsidRDefault="009C1882">
          <w:pPr>
            <w:pStyle w:val="TOC1"/>
            <w:rPr>
              <w:rFonts w:eastAsiaTheme="minorEastAsia"/>
              <w:b w:val="0"/>
              <w:color w:val="4C4747"/>
              <w:lang w:eastAsia="es-DO"/>
            </w:rPr>
          </w:pPr>
          <w:hyperlink w:anchor="_Toc155259681" w:history="1">
            <w:r w:rsidR="000B3D4B" w:rsidRPr="005E7B85">
              <w:rPr>
                <w:rStyle w:val="Hyperlink"/>
                <w:bCs/>
                <w:color w:val="4C4747"/>
                <w:spacing w:val="20"/>
              </w:rPr>
              <w:t>VI. PROYECCIONES</w:t>
            </w:r>
            <w:r w:rsidR="000B3D4B" w:rsidRPr="005E7B85">
              <w:rPr>
                <w:webHidden/>
                <w:color w:val="4C4747"/>
              </w:rPr>
              <w:tab/>
            </w:r>
            <w:r w:rsidR="000B3D4B" w:rsidRPr="005E7B85">
              <w:rPr>
                <w:webHidden/>
                <w:color w:val="4C4747"/>
              </w:rPr>
              <w:fldChar w:fldCharType="begin"/>
            </w:r>
            <w:r w:rsidR="000B3D4B" w:rsidRPr="005E7B85">
              <w:rPr>
                <w:webHidden/>
                <w:color w:val="4C4747"/>
              </w:rPr>
              <w:instrText xml:space="preserve"> PAGEREF _Toc155259681 \h </w:instrText>
            </w:r>
            <w:r w:rsidR="000B3D4B" w:rsidRPr="005E7B85">
              <w:rPr>
                <w:webHidden/>
                <w:color w:val="4C4747"/>
              </w:rPr>
            </w:r>
            <w:r w:rsidR="000B3D4B" w:rsidRPr="005E7B85">
              <w:rPr>
                <w:webHidden/>
                <w:color w:val="4C4747"/>
              </w:rPr>
              <w:fldChar w:fldCharType="separate"/>
            </w:r>
            <w:r w:rsidR="000B3D4B" w:rsidRPr="005E7B85">
              <w:rPr>
                <w:webHidden/>
                <w:color w:val="4C4747"/>
              </w:rPr>
              <w:t>92</w:t>
            </w:r>
            <w:r w:rsidR="000B3D4B" w:rsidRPr="005E7B85">
              <w:rPr>
                <w:webHidden/>
                <w:color w:val="4C4747"/>
              </w:rPr>
              <w:fldChar w:fldCharType="end"/>
            </w:r>
          </w:hyperlink>
        </w:p>
        <w:p w14:paraId="7A15CD87" w14:textId="68F2FBAF" w:rsidR="000B3D4B" w:rsidRPr="005E7B85" w:rsidRDefault="009C1882">
          <w:pPr>
            <w:pStyle w:val="TOC1"/>
            <w:rPr>
              <w:rFonts w:eastAsiaTheme="minorEastAsia"/>
              <w:b w:val="0"/>
              <w:color w:val="4C4747"/>
              <w:lang w:eastAsia="es-DO"/>
            </w:rPr>
          </w:pPr>
          <w:hyperlink w:anchor="_Toc155259682" w:history="1">
            <w:r w:rsidR="000B3D4B" w:rsidRPr="005E7B85">
              <w:rPr>
                <w:rStyle w:val="Hyperlink"/>
                <w:bCs/>
                <w:color w:val="4C4747"/>
                <w:spacing w:val="20"/>
              </w:rPr>
              <w:t>VII.ANEXOS</w:t>
            </w:r>
            <w:r w:rsidR="000B3D4B" w:rsidRPr="005E7B85">
              <w:rPr>
                <w:webHidden/>
                <w:color w:val="4C4747"/>
              </w:rPr>
              <w:tab/>
            </w:r>
            <w:r w:rsidR="000B3D4B" w:rsidRPr="005E7B85">
              <w:rPr>
                <w:webHidden/>
                <w:color w:val="4C4747"/>
              </w:rPr>
              <w:fldChar w:fldCharType="begin"/>
            </w:r>
            <w:r w:rsidR="000B3D4B" w:rsidRPr="005E7B85">
              <w:rPr>
                <w:webHidden/>
                <w:color w:val="4C4747"/>
              </w:rPr>
              <w:instrText xml:space="preserve"> PAGEREF _Toc155259682 \h </w:instrText>
            </w:r>
            <w:r w:rsidR="000B3D4B" w:rsidRPr="005E7B85">
              <w:rPr>
                <w:webHidden/>
                <w:color w:val="4C4747"/>
              </w:rPr>
            </w:r>
            <w:r w:rsidR="000B3D4B" w:rsidRPr="005E7B85">
              <w:rPr>
                <w:webHidden/>
                <w:color w:val="4C4747"/>
              </w:rPr>
              <w:fldChar w:fldCharType="separate"/>
            </w:r>
            <w:r w:rsidR="000B3D4B" w:rsidRPr="005E7B85">
              <w:rPr>
                <w:webHidden/>
                <w:color w:val="4C4747"/>
              </w:rPr>
              <w:t>94</w:t>
            </w:r>
            <w:r w:rsidR="000B3D4B" w:rsidRPr="005E7B85">
              <w:rPr>
                <w:webHidden/>
                <w:color w:val="4C4747"/>
              </w:rPr>
              <w:fldChar w:fldCharType="end"/>
            </w:r>
          </w:hyperlink>
        </w:p>
        <w:p w14:paraId="317A9A9F" w14:textId="0481EF58" w:rsidR="000B3D4B" w:rsidRPr="005E7B85" w:rsidRDefault="009C1882" w:rsidP="000B3D4B">
          <w:pPr>
            <w:pStyle w:val="TOC2"/>
            <w:rPr>
              <w:rFonts w:eastAsiaTheme="minorEastAsia"/>
              <w:lang w:eastAsia="es-DO"/>
            </w:rPr>
          </w:pPr>
          <w:hyperlink w:anchor="_Toc155259684" w:history="1">
            <w:r w:rsidR="000B3D4B" w:rsidRPr="005E7B85">
              <w:rPr>
                <w:rStyle w:val="Hyperlink"/>
                <w:color w:val="4C4747"/>
              </w:rPr>
              <w:t>7.1 Matriz de principales indicadores de gestión por procesos</w:t>
            </w:r>
            <w:r w:rsidR="000B3D4B" w:rsidRPr="005E7B85">
              <w:rPr>
                <w:webHidden/>
              </w:rPr>
              <w:tab/>
            </w:r>
            <w:r w:rsidR="000B3D4B" w:rsidRPr="005E7B85">
              <w:rPr>
                <w:webHidden/>
              </w:rPr>
              <w:fldChar w:fldCharType="begin"/>
            </w:r>
            <w:r w:rsidR="000B3D4B" w:rsidRPr="005E7B85">
              <w:rPr>
                <w:webHidden/>
              </w:rPr>
              <w:instrText xml:space="preserve"> PAGEREF _Toc155259684 \h </w:instrText>
            </w:r>
            <w:r w:rsidR="000B3D4B" w:rsidRPr="005E7B85">
              <w:rPr>
                <w:webHidden/>
              </w:rPr>
            </w:r>
            <w:r w:rsidR="000B3D4B" w:rsidRPr="005E7B85">
              <w:rPr>
                <w:webHidden/>
              </w:rPr>
              <w:fldChar w:fldCharType="separate"/>
            </w:r>
            <w:r w:rsidR="000B3D4B" w:rsidRPr="005E7B85">
              <w:rPr>
                <w:webHidden/>
              </w:rPr>
              <w:t>94</w:t>
            </w:r>
            <w:r w:rsidR="000B3D4B" w:rsidRPr="005E7B85">
              <w:rPr>
                <w:webHidden/>
              </w:rPr>
              <w:fldChar w:fldCharType="end"/>
            </w:r>
          </w:hyperlink>
        </w:p>
        <w:p w14:paraId="34A43D60" w14:textId="3B7C7DD7" w:rsidR="000B3D4B" w:rsidRPr="005E7B85" w:rsidRDefault="009C1882" w:rsidP="00611609">
          <w:pPr>
            <w:pStyle w:val="TOC2"/>
            <w:rPr>
              <w:rFonts w:eastAsiaTheme="minorEastAsia"/>
              <w:lang w:eastAsia="es-DO"/>
            </w:rPr>
          </w:pPr>
          <w:hyperlink w:anchor="_Toc155259686" w:history="1">
            <w:r w:rsidR="000B3D4B" w:rsidRPr="005E7B85">
              <w:rPr>
                <w:rStyle w:val="Hyperlink"/>
                <w:b/>
                <w:bCs/>
                <w:color w:val="4C4747"/>
                <w:spacing w:val="20"/>
              </w:rPr>
              <w:t>Período Enero - Diciembre 2023</w:t>
            </w:r>
            <w:r w:rsidR="000B3D4B" w:rsidRPr="005E7B85">
              <w:rPr>
                <w:webHidden/>
              </w:rPr>
              <w:tab/>
            </w:r>
            <w:r w:rsidR="000B3D4B" w:rsidRPr="005E7B85">
              <w:rPr>
                <w:webHidden/>
              </w:rPr>
              <w:fldChar w:fldCharType="begin"/>
            </w:r>
            <w:r w:rsidR="000B3D4B" w:rsidRPr="005E7B85">
              <w:rPr>
                <w:webHidden/>
              </w:rPr>
              <w:instrText xml:space="preserve"> PAGEREF _Toc155259686 \h </w:instrText>
            </w:r>
            <w:r w:rsidR="000B3D4B" w:rsidRPr="005E7B85">
              <w:rPr>
                <w:webHidden/>
              </w:rPr>
            </w:r>
            <w:r w:rsidR="000B3D4B" w:rsidRPr="005E7B85">
              <w:rPr>
                <w:webHidden/>
              </w:rPr>
              <w:fldChar w:fldCharType="separate"/>
            </w:r>
            <w:r w:rsidR="000B3D4B" w:rsidRPr="005E7B85">
              <w:rPr>
                <w:webHidden/>
              </w:rPr>
              <w:t>97</w:t>
            </w:r>
            <w:r w:rsidR="000B3D4B" w:rsidRPr="005E7B85">
              <w:rPr>
                <w:webHidden/>
              </w:rPr>
              <w:fldChar w:fldCharType="end"/>
            </w:r>
          </w:hyperlink>
        </w:p>
        <w:p w14:paraId="1FA6757E" w14:textId="21C02101" w:rsidR="008C104F" w:rsidRDefault="008C104F">
          <w:r w:rsidRPr="005E7B85">
            <w:rPr>
              <w:rFonts w:ascii="Times New Roman" w:hAnsi="Times New Roman" w:cs="Times New Roman"/>
              <w:b/>
              <w:bCs/>
              <w:noProof/>
              <w:color w:val="4C4747"/>
              <w:sz w:val="24"/>
              <w:szCs w:val="24"/>
            </w:rPr>
            <w:fldChar w:fldCharType="end"/>
          </w:r>
        </w:p>
      </w:sdtContent>
    </w:sdt>
    <w:bookmarkEnd w:id="4" w:displacedByCustomXml="prev"/>
    <w:p w14:paraId="03EDDEF5" w14:textId="77777777" w:rsidR="0075197C" w:rsidRDefault="00FB3B1E" w:rsidP="00FB3B1E">
      <w:pPr>
        <w:pStyle w:val="Heading1"/>
        <w:jc w:val="center"/>
        <w:rPr>
          <w:rFonts w:ascii="Times New Roman" w:hAnsi="Times New Roman" w:cs="Times New Roman"/>
          <w:color w:val="4C4747"/>
          <w:sz w:val="28"/>
          <w:szCs w:val="28"/>
        </w:rPr>
      </w:pPr>
      <w:r>
        <w:rPr>
          <w:rFonts w:ascii="Times New Roman" w:hAnsi="Times New Roman" w:cs="Times New Roman"/>
          <w:color w:val="4C4747"/>
          <w:sz w:val="28"/>
          <w:szCs w:val="28"/>
        </w:rPr>
        <w:t xml:space="preserve">    </w:t>
      </w:r>
    </w:p>
    <w:p w14:paraId="27A02309" w14:textId="2F7CB844" w:rsidR="0075197C" w:rsidRDefault="0075197C" w:rsidP="00FB3B1E">
      <w:pPr>
        <w:pStyle w:val="Heading1"/>
        <w:jc w:val="center"/>
        <w:rPr>
          <w:rFonts w:ascii="Times New Roman" w:hAnsi="Times New Roman" w:cs="Times New Roman"/>
          <w:color w:val="4C4747"/>
          <w:sz w:val="28"/>
          <w:szCs w:val="28"/>
        </w:rPr>
      </w:pPr>
    </w:p>
    <w:p w14:paraId="5EB5C64B" w14:textId="128A14CD" w:rsidR="004A583A" w:rsidRDefault="004A583A" w:rsidP="004A583A"/>
    <w:p w14:paraId="564CB2CB" w14:textId="57740A09" w:rsidR="00EE25AA" w:rsidRDefault="00EE25AA" w:rsidP="004A583A"/>
    <w:p w14:paraId="19B1D184" w14:textId="55BF6B0D" w:rsidR="00EE25AA" w:rsidRDefault="00EE25AA" w:rsidP="004A583A"/>
    <w:p w14:paraId="2B7AB11C" w14:textId="1CE93B6B" w:rsidR="00EE25AA" w:rsidRDefault="00EE25AA" w:rsidP="004A583A"/>
    <w:p w14:paraId="3A992CD9" w14:textId="215A446B" w:rsidR="00EE25AA" w:rsidRDefault="00EE25AA" w:rsidP="004A583A"/>
    <w:p w14:paraId="1EFF9091" w14:textId="4D59E065" w:rsidR="00EE25AA" w:rsidRDefault="00EE25AA" w:rsidP="004A583A"/>
    <w:p w14:paraId="0C0254BE" w14:textId="4CAE6973" w:rsidR="00EE25AA" w:rsidRDefault="00EE25AA" w:rsidP="004A583A"/>
    <w:p w14:paraId="5A104ACD" w14:textId="3E127523" w:rsidR="000B3D4B" w:rsidRDefault="000B3D4B" w:rsidP="004A583A"/>
    <w:p w14:paraId="6524914F" w14:textId="46E77C7C" w:rsidR="000B3D4B" w:rsidRDefault="000B3D4B" w:rsidP="004A583A"/>
    <w:p w14:paraId="399F7365" w14:textId="351AB512" w:rsidR="000B3D4B" w:rsidRDefault="000B3D4B" w:rsidP="004A583A"/>
    <w:p w14:paraId="5CA14309" w14:textId="3195A5C2" w:rsidR="000B3D4B" w:rsidRDefault="000B3D4B" w:rsidP="004A583A"/>
    <w:p w14:paraId="5504D61F" w14:textId="45A76B4A" w:rsidR="000B3D4B" w:rsidRDefault="000B3D4B" w:rsidP="004A583A"/>
    <w:p w14:paraId="42CBD5DE" w14:textId="3DBDDE5D" w:rsidR="00A210DB" w:rsidRDefault="00A210DB" w:rsidP="004A583A"/>
    <w:p w14:paraId="38087D1D" w14:textId="77777777" w:rsidR="00E50010" w:rsidRDefault="00E50010" w:rsidP="004A583A"/>
    <w:p w14:paraId="081268F9" w14:textId="77777777" w:rsidR="000B3D4B" w:rsidRDefault="000B3D4B" w:rsidP="004A583A"/>
    <w:p w14:paraId="7EF3A52B" w14:textId="77777777" w:rsidR="0075197C" w:rsidRPr="0075197C" w:rsidRDefault="0075197C" w:rsidP="0075197C"/>
    <w:p w14:paraId="2E78CA77" w14:textId="6CA685E0" w:rsidR="00D92922" w:rsidRDefault="00F03662" w:rsidP="00FB3B1E">
      <w:pPr>
        <w:pStyle w:val="Heading1"/>
        <w:jc w:val="center"/>
        <w:rPr>
          <w:rFonts w:ascii="Times New Roman" w:hAnsi="Times New Roman" w:cs="Times New Roman"/>
          <w:sz w:val="28"/>
          <w:szCs w:val="28"/>
        </w:rPr>
      </w:pPr>
      <w:bookmarkStart w:id="8" w:name="_Toc155259657"/>
      <w:r>
        <w:rPr>
          <w:rFonts w:ascii="Times New Roman" w:hAnsi="Times New Roman" w:cs="Times New Roman"/>
          <w:color w:val="4C4747"/>
          <w:sz w:val="28"/>
          <w:szCs w:val="28"/>
        </w:rPr>
        <w:lastRenderedPageBreak/>
        <w:t>R</w:t>
      </w:r>
      <w:r w:rsidRPr="00E656FF">
        <w:rPr>
          <w:rFonts w:ascii="Times New Roman" w:hAnsi="Times New Roman" w:cs="Times New Roman"/>
          <w:color w:val="4C4747"/>
          <w:sz w:val="28"/>
          <w:szCs w:val="28"/>
        </w:rPr>
        <w:t xml:space="preserve">ESUMEN </w:t>
      </w:r>
      <w:r>
        <w:rPr>
          <w:rFonts w:ascii="Times New Roman" w:hAnsi="Times New Roman" w:cs="Times New Roman"/>
          <w:color w:val="4C4747"/>
          <w:sz w:val="28"/>
          <w:szCs w:val="28"/>
        </w:rPr>
        <w:t>E</w:t>
      </w:r>
      <w:r w:rsidRPr="00E656FF">
        <w:rPr>
          <w:rFonts w:ascii="Times New Roman" w:hAnsi="Times New Roman" w:cs="Times New Roman"/>
          <w:color w:val="4C4747"/>
          <w:sz w:val="28"/>
          <w:szCs w:val="28"/>
        </w:rPr>
        <w:t>JECUTIVO</w:t>
      </w:r>
      <w:bookmarkEnd w:id="8"/>
    </w:p>
    <w:p w14:paraId="0A652A19" w14:textId="19585038" w:rsidR="00F03662" w:rsidRDefault="00E34B4E" w:rsidP="00F03662">
      <w:r w:rsidRPr="00D92922">
        <w:rPr>
          <w:rFonts w:ascii="Artifex CF Extra Light" w:hAnsi="Artifex CF Extra Light"/>
          <w:noProof/>
          <w:color w:val="1F3864" w:themeColor="accent1" w:themeShade="80"/>
          <w:sz w:val="18"/>
        </w:rPr>
        <mc:AlternateContent>
          <mc:Choice Requires="wps">
            <w:drawing>
              <wp:anchor distT="0" distB="0" distL="114300" distR="114300" simplePos="0" relativeHeight="251666432" behindDoc="0" locked="0" layoutInCell="1" allowOverlap="1" wp14:anchorId="67708F1C" wp14:editId="1A9456DA">
                <wp:simplePos x="0" y="0"/>
                <wp:positionH relativeFrom="margin">
                  <wp:align>center</wp:align>
                </wp:positionH>
                <wp:positionV relativeFrom="paragraph">
                  <wp:posOffset>95250</wp:posOffset>
                </wp:positionV>
                <wp:extent cx="540000" cy="0"/>
                <wp:effectExtent l="0" t="19050" r="31750" b="19050"/>
                <wp:wrapNone/>
                <wp:docPr id="8"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A2937E" id="Conector recto 9" o:spid="_x0000_s1026" style="position:absolute;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5pt" to="4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" strokecolor="red" strokeweight="2.5pt">
                <v:stroke joinstyle="miter"/>
                <w10:wrap anchorx="margin"/>
              </v:line>
            </w:pict>
          </mc:Fallback>
        </mc:AlternateContent>
      </w:r>
    </w:p>
    <w:p w14:paraId="3733BA3C" w14:textId="7CE1B39E" w:rsidR="00F03662" w:rsidRPr="00462712" w:rsidRDefault="00F03662" w:rsidP="00F03662">
      <w:pPr>
        <w:jc w:val="center"/>
        <w:rPr>
          <w:rFonts w:ascii="Times New Roman" w:hAnsi="Times New Roman" w:cs="Times New Roman"/>
          <w:color w:val="4C4747"/>
          <w:sz w:val="24"/>
          <w:szCs w:val="24"/>
        </w:rPr>
      </w:pPr>
      <w:bookmarkStart w:id="9" w:name="_Hlk119922401"/>
      <w:r w:rsidRPr="00462712">
        <w:rPr>
          <w:rFonts w:ascii="Times New Roman" w:hAnsi="Times New Roman" w:cs="Times New Roman"/>
          <w:color w:val="4C4747"/>
          <w:sz w:val="24"/>
          <w:szCs w:val="24"/>
        </w:rPr>
        <w:t>Memoria institucional 202</w:t>
      </w:r>
      <w:r w:rsidR="00281ADB" w:rsidRPr="00462712">
        <w:rPr>
          <w:rFonts w:ascii="Times New Roman" w:hAnsi="Times New Roman" w:cs="Times New Roman"/>
          <w:color w:val="4C4747"/>
          <w:sz w:val="24"/>
          <w:szCs w:val="24"/>
        </w:rPr>
        <w:t>3</w:t>
      </w:r>
    </w:p>
    <w:bookmarkEnd w:id="9"/>
    <w:p w14:paraId="61926372" w14:textId="62004D60" w:rsidR="00E34B4E" w:rsidRPr="00462712" w:rsidRDefault="00E34B4E" w:rsidP="00F03662">
      <w:pPr>
        <w:jc w:val="center"/>
        <w:rPr>
          <w:color w:val="4C4747"/>
        </w:rPr>
      </w:pPr>
      <w:r w:rsidRPr="00462712">
        <w:rPr>
          <w:rFonts w:ascii="Times New Roman" w:hAnsi="Times New Roman" w:cs="Times New Roman"/>
          <w:color w:val="4C4747"/>
          <w:sz w:val="24"/>
          <w:szCs w:val="24"/>
        </w:rPr>
        <w:t>Hitos del Banco Central de la República Dominicana en el año 202</w:t>
      </w:r>
      <w:r w:rsidR="003C3630" w:rsidRPr="00462712">
        <w:rPr>
          <w:rFonts w:ascii="Times New Roman" w:hAnsi="Times New Roman" w:cs="Times New Roman"/>
          <w:color w:val="4C4747"/>
          <w:sz w:val="24"/>
          <w:szCs w:val="24"/>
        </w:rPr>
        <w:t>3</w:t>
      </w:r>
    </w:p>
    <w:p w14:paraId="5F65968B" w14:textId="77777777" w:rsidR="00543A92" w:rsidRPr="00462712" w:rsidRDefault="00543A92" w:rsidP="00543A92">
      <w:pPr>
        <w:pStyle w:val="List2"/>
        <w:spacing w:before="120" w:line="360" w:lineRule="auto"/>
        <w:ind w:left="0" w:firstLine="0"/>
        <w:contextualSpacing w:val="0"/>
        <w:rPr>
          <w:rFonts w:ascii="Times New Roman" w:hAnsi="Times New Roman" w:cs="Times New Roman"/>
          <w:color w:val="4C4747"/>
          <w:sz w:val="24"/>
          <w:szCs w:val="24"/>
          <w:lang w:val="es-ES"/>
        </w:rPr>
      </w:pPr>
    </w:p>
    <w:p w14:paraId="222BA0F8" w14:textId="63CA3524" w:rsidR="00B34B08" w:rsidRPr="00462712" w:rsidRDefault="00B34B08" w:rsidP="00543A92">
      <w:pPr>
        <w:pStyle w:val="List2"/>
        <w:spacing w:before="120" w:line="360" w:lineRule="auto"/>
        <w:ind w:left="0" w:firstLine="0"/>
        <w:contextualSpacing w:val="0"/>
        <w:rPr>
          <w:rFonts w:ascii="Times New Roman" w:hAnsi="Times New Roman" w:cs="Times New Roman"/>
          <w:color w:val="4C4747"/>
          <w:sz w:val="24"/>
          <w:szCs w:val="24"/>
        </w:rPr>
      </w:pPr>
      <w:r w:rsidRPr="00462712">
        <w:rPr>
          <w:rFonts w:ascii="Times New Roman" w:hAnsi="Times New Roman" w:cs="Times New Roman"/>
          <w:color w:val="4C4747"/>
          <w:sz w:val="24"/>
          <w:szCs w:val="24"/>
        </w:rPr>
        <w:t xml:space="preserve">A </w:t>
      </w:r>
      <w:r w:rsidR="00742EB6" w:rsidRPr="00462712">
        <w:rPr>
          <w:rFonts w:ascii="Times New Roman" w:hAnsi="Times New Roman" w:cs="Times New Roman"/>
          <w:color w:val="4C4747"/>
          <w:sz w:val="24"/>
          <w:szCs w:val="24"/>
        </w:rPr>
        <w:t xml:space="preserve">partir de mayo 2023 el BCRD redujo su tasa de política monetaria (TPM) en 150 puntos básicos. De esta manera, la tasa de referencia se ubica en 7.00 % anual, mientras que la tasa de la facilidad permanente de expansión de liquidez (repos a 1 día) se ubica en 7.50 % anual. </w:t>
      </w:r>
    </w:p>
    <w:p w14:paraId="5DA6EA01" w14:textId="3EA86651" w:rsidR="00E222C9" w:rsidRPr="00462712" w:rsidRDefault="00742EB6" w:rsidP="00543A92">
      <w:pPr>
        <w:pStyle w:val="List2"/>
        <w:spacing w:before="120" w:line="360" w:lineRule="auto"/>
        <w:ind w:left="0" w:firstLine="0"/>
        <w:contextualSpacing w:val="0"/>
        <w:rPr>
          <w:rFonts w:ascii="Times New Roman" w:hAnsi="Times New Roman" w:cs="Times New Roman"/>
          <w:color w:val="4C4747"/>
          <w:sz w:val="24"/>
          <w:szCs w:val="24"/>
        </w:rPr>
      </w:pPr>
      <w:r w:rsidRPr="00462712">
        <w:rPr>
          <w:rFonts w:ascii="Times New Roman" w:hAnsi="Times New Roman" w:cs="Times New Roman"/>
          <w:color w:val="4C4747"/>
          <w:sz w:val="24"/>
          <w:szCs w:val="24"/>
        </w:rPr>
        <w:t>En adición a las medidas de reducción de TPM se dispuso la ampliación del rango inferior del corredor de tasas de facilidades permanentes del BCRD, con lo cual la tasa de depósitos remunerados (overnight) se ubica actualmente en 5.50 % anual. La ampliación del rango inferior del corredor contribuiría a la reducción del costo de financiamiento de las entidades de intermediación financiera, incidiendo en menores tasas de interés de mercado.</w:t>
      </w:r>
    </w:p>
    <w:p w14:paraId="40596195" w14:textId="5D8AABE3" w:rsidR="00B34B08" w:rsidRPr="00462712" w:rsidRDefault="00742EB6" w:rsidP="00543A92">
      <w:pPr>
        <w:pStyle w:val="List2"/>
        <w:spacing w:before="120" w:line="360" w:lineRule="auto"/>
        <w:ind w:left="0" w:firstLine="0"/>
        <w:contextualSpacing w:val="0"/>
        <w:rPr>
          <w:rFonts w:ascii="Times New Roman" w:hAnsi="Times New Roman" w:cs="Times New Roman"/>
          <w:color w:val="4C4747"/>
          <w:sz w:val="24"/>
          <w:szCs w:val="24"/>
        </w:rPr>
      </w:pPr>
      <w:r w:rsidRPr="00462712">
        <w:rPr>
          <w:rFonts w:ascii="Times New Roman" w:hAnsi="Times New Roman" w:cs="Times New Roman"/>
          <w:color w:val="4C4747"/>
          <w:sz w:val="24"/>
          <w:szCs w:val="24"/>
        </w:rPr>
        <w:t xml:space="preserve">Adicionalmente, el BCRD dispuso el otorgamiento de liquidez a las entidades financieras por RD$205 mil millones por medio de varias facilidades, para la canalización de recursos a través de las entidades de intermediación financiera a los hogares y sectores productivos, tales como comercio y MIPYMES, consumo y vivienda, construcción, manufactura y agricultura, en su mayoría a tasas de interés no superiores del 9 % anual. </w:t>
      </w:r>
    </w:p>
    <w:p w14:paraId="702CCF7F" w14:textId="3115DD45" w:rsidR="00742EB6" w:rsidRPr="00462712" w:rsidRDefault="00072286" w:rsidP="00503E94">
      <w:pPr>
        <w:pStyle w:val="List2"/>
        <w:spacing w:before="120" w:line="360" w:lineRule="auto"/>
        <w:ind w:left="0" w:firstLine="0"/>
        <w:contextualSpacing w:val="0"/>
        <w:rPr>
          <w:rFonts w:ascii="Times New Roman" w:hAnsi="Times New Roman" w:cs="Times New Roman"/>
          <w:color w:val="4C4747"/>
          <w:sz w:val="24"/>
          <w:szCs w:val="24"/>
        </w:rPr>
      </w:pPr>
      <w:r w:rsidRPr="00462712">
        <w:rPr>
          <w:rFonts w:ascii="Times New Roman" w:hAnsi="Times New Roman" w:cs="Times New Roman"/>
          <w:color w:val="4C4747"/>
          <w:sz w:val="24"/>
          <w:szCs w:val="24"/>
        </w:rPr>
        <w:t xml:space="preserve"> </w:t>
      </w:r>
      <w:r w:rsidR="00742EB6" w:rsidRPr="00462712">
        <w:rPr>
          <w:rFonts w:ascii="Times New Roman" w:hAnsi="Times New Roman" w:cs="Times New Roman"/>
          <w:color w:val="4C4747"/>
          <w:sz w:val="24"/>
          <w:szCs w:val="24"/>
        </w:rPr>
        <w:t>La inflación interanual exhibió una tendencia descendente durante los primeros</w:t>
      </w:r>
      <w:r w:rsidRPr="00462712">
        <w:rPr>
          <w:rFonts w:ascii="Times New Roman" w:hAnsi="Times New Roman" w:cs="Times New Roman"/>
          <w:color w:val="4C4747"/>
          <w:sz w:val="24"/>
          <w:szCs w:val="24"/>
        </w:rPr>
        <w:t xml:space="preserve"> </w:t>
      </w:r>
      <w:r w:rsidR="00742EB6" w:rsidRPr="00462712">
        <w:rPr>
          <w:rFonts w:ascii="Times New Roman" w:hAnsi="Times New Roman" w:cs="Times New Roman"/>
          <w:color w:val="4C4747"/>
          <w:sz w:val="24"/>
          <w:szCs w:val="24"/>
        </w:rPr>
        <w:t>meses de 2023, hasta alcanzar el rango meta en el mes de mayo. Al cierre de octubre la tasa interanual de inflación se ubicó en 4.35 %. La evolución de la inflación en 2023 ha esta incidida por la reducción de los precios de</w:t>
      </w:r>
      <w:r w:rsidR="00503E94" w:rsidRPr="00462712">
        <w:rPr>
          <w:rFonts w:ascii="Times New Roman" w:hAnsi="Times New Roman" w:cs="Times New Roman"/>
          <w:color w:val="4C4747"/>
          <w:sz w:val="24"/>
          <w:szCs w:val="24"/>
        </w:rPr>
        <w:t xml:space="preserve"> </w:t>
      </w:r>
      <w:r w:rsidR="00742EB6" w:rsidRPr="00462712">
        <w:rPr>
          <w:rFonts w:ascii="Times New Roman" w:hAnsi="Times New Roman" w:cs="Times New Roman"/>
          <w:color w:val="4C4747"/>
          <w:sz w:val="24"/>
          <w:szCs w:val="24"/>
        </w:rPr>
        <w:t>combustibles y alimentos.</w:t>
      </w:r>
      <w:r w:rsidR="00742EB6" w:rsidRPr="006149E1">
        <w:rPr>
          <w:rFonts w:ascii="Times New Roman" w:hAnsi="Times New Roman" w:cs="Times New Roman"/>
          <w:color w:val="4C4747"/>
          <w:sz w:val="24"/>
          <w:szCs w:val="24"/>
        </w:rPr>
        <w:t xml:space="preserve"> </w:t>
      </w:r>
      <w:r w:rsidR="00742EB6" w:rsidRPr="00462712">
        <w:rPr>
          <w:rFonts w:ascii="Times New Roman" w:hAnsi="Times New Roman" w:cs="Times New Roman"/>
          <w:color w:val="4C4747"/>
          <w:sz w:val="24"/>
          <w:szCs w:val="24"/>
        </w:rPr>
        <w:lastRenderedPageBreak/>
        <w:t>Los pronósticos más recientes contemplan que la inflación permanecerá dentro del rango meta de 4.0 % ± 1.0 % a finales de 2023 y se mantendría fluctuando en torno al centro del rango en 2024.</w:t>
      </w:r>
    </w:p>
    <w:p w14:paraId="7FEF308E" w14:textId="77777777" w:rsidR="00742EB6" w:rsidRPr="00462712" w:rsidRDefault="00742EB6" w:rsidP="00B34B08">
      <w:pPr>
        <w:spacing w:before="120" w:line="360" w:lineRule="auto"/>
        <w:jc w:val="both"/>
        <w:rPr>
          <w:rFonts w:ascii="Times New Roman" w:eastAsia="Artifex CF Extra Light" w:hAnsi="Times New Roman" w:cs="Times New Roman"/>
          <w:color w:val="4C4747"/>
          <w:sz w:val="24"/>
          <w:szCs w:val="24"/>
        </w:rPr>
      </w:pPr>
      <w:bookmarkStart w:id="10" w:name="_Hlk94707727"/>
      <w:r w:rsidRPr="00462712">
        <w:rPr>
          <w:rFonts w:ascii="Times New Roman" w:eastAsia="Artifex CF Extra Light" w:hAnsi="Times New Roman" w:cs="Times New Roman"/>
          <w:color w:val="4C4747"/>
          <w:sz w:val="24"/>
          <w:szCs w:val="24"/>
        </w:rPr>
        <w:t xml:space="preserve">Por otro lado, el sector externo ha continuado mostrando una evolución positiva, apoyada en el dinamismo del turismo, las remesas y la inversión extranjera. </w:t>
      </w:r>
      <w:bookmarkEnd w:id="10"/>
      <w:r w:rsidRPr="00462712">
        <w:rPr>
          <w:rFonts w:ascii="Times New Roman" w:eastAsia="Artifex CF Extra Light" w:hAnsi="Times New Roman" w:cs="Times New Roman"/>
          <w:color w:val="4C4747"/>
          <w:sz w:val="24"/>
          <w:szCs w:val="24"/>
        </w:rPr>
        <w:t xml:space="preserve">En el caso particular del turismo, se la llegada de pasajeros no residentes alcanzó los 8.3 millones de visitantes al mes de octubre, equivalente a un aumento del 22.6 % con respecto al mismo período de 2022. </w:t>
      </w:r>
    </w:p>
    <w:p w14:paraId="1626A9C8" w14:textId="77777777" w:rsidR="00742EB6" w:rsidRPr="00462712" w:rsidRDefault="00742EB6" w:rsidP="00B34B08">
      <w:pPr>
        <w:spacing w:before="120" w:line="360" w:lineRule="auto"/>
        <w:jc w:val="both"/>
        <w:rPr>
          <w:rFonts w:ascii="Times New Roman" w:eastAsia="Artifex CF Extra Light" w:hAnsi="Times New Roman" w:cs="Times New Roman"/>
          <w:color w:val="4C4747"/>
          <w:sz w:val="24"/>
          <w:szCs w:val="24"/>
        </w:rPr>
      </w:pPr>
      <w:r w:rsidRPr="00462712">
        <w:rPr>
          <w:rFonts w:ascii="Times New Roman" w:eastAsia="Artifex CF Extra Light" w:hAnsi="Times New Roman" w:cs="Times New Roman"/>
          <w:color w:val="4C4747"/>
          <w:sz w:val="24"/>
          <w:szCs w:val="24"/>
        </w:rPr>
        <w:t xml:space="preserve">Para el cierre del año 2023, se proyecta que los visitantes no residentes alcancen los 10 millones de turistas, mientras que los ingresos por turismo superarían los US$10,000 millones. </w:t>
      </w:r>
    </w:p>
    <w:p w14:paraId="18EDA34B" w14:textId="77777777" w:rsidR="00B34B08" w:rsidRPr="00462712" w:rsidRDefault="00742EB6" w:rsidP="00B34B08">
      <w:pPr>
        <w:spacing w:before="120" w:line="360" w:lineRule="auto"/>
        <w:jc w:val="both"/>
        <w:rPr>
          <w:rFonts w:ascii="Times New Roman" w:eastAsia="Artifex CF Extra Light" w:hAnsi="Times New Roman" w:cs="Times New Roman"/>
          <w:color w:val="4C4747"/>
          <w:sz w:val="24"/>
          <w:szCs w:val="24"/>
        </w:rPr>
      </w:pPr>
      <w:r w:rsidRPr="00462712">
        <w:rPr>
          <w:rFonts w:ascii="Times New Roman" w:eastAsia="Artifex CF Extra Light" w:hAnsi="Times New Roman" w:cs="Times New Roman"/>
          <w:color w:val="4C4747"/>
          <w:sz w:val="24"/>
          <w:szCs w:val="24"/>
        </w:rPr>
        <w:t xml:space="preserve">Asimismo, durante los primeros diez meses del 2022, las remesas recibidas alcanzaron los US$ 8,424.2 millones, manteniendo flujos mensuales por encima de lo observado previo a la pandemia. En tanto, las exportaciones totales exhiben una caída de 6.3 % en el período enero-septiembre de 2023, al ubicarse en US$ 9,847.3 millones. </w:t>
      </w:r>
    </w:p>
    <w:p w14:paraId="644C0A3D" w14:textId="05E0B788" w:rsidR="00742EB6" w:rsidRPr="00462712" w:rsidRDefault="00742EB6" w:rsidP="00B34B08">
      <w:pPr>
        <w:spacing w:before="120" w:line="360" w:lineRule="auto"/>
        <w:jc w:val="both"/>
        <w:rPr>
          <w:rFonts w:ascii="Times New Roman" w:eastAsia="Artifex CF Extra Light" w:hAnsi="Times New Roman" w:cs="Times New Roman"/>
          <w:color w:val="4C4747"/>
          <w:sz w:val="24"/>
          <w:szCs w:val="24"/>
        </w:rPr>
      </w:pPr>
      <w:r w:rsidRPr="00462712">
        <w:rPr>
          <w:rFonts w:ascii="Times New Roman" w:eastAsia="Artifex CF Extra Light" w:hAnsi="Times New Roman" w:cs="Times New Roman"/>
          <w:color w:val="4C4747"/>
          <w:sz w:val="24"/>
          <w:szCs w:val="24"/>
        </w:rPr>
        <w:t>El descenso de las exportaciones totales obedece al comportamiento de las exportaciones nacionales las cuales ascendieron a US$ 3,885.7 millones para una contracción de 15.3 % interanual, mientras que las de zonas francas se situaron en US$ 5,961.6 millones, incrementándose un 0.7 % interanual en los primeros nueve meses de 2023.</w:t>
      </w:r>
    </w:p>
    <w:p w14:paraId="5431A2EC" w14:textId="77777777" w:rsidR="00742EB6" w:rsidRPr="00462712" w:rsidRDefault="00742EB6" w:rsidP="00B34B08">
      <w:pPr>
        <w:spacing w:before="120" w:line="360" w:lineRule="auto"/>
        <w:jc w:val="both"/>
        <w:rPr>
          <w:rFonts w:ascii="Times New Roman" w:eastAsia="Artifex CF Extra Light" w:hAnsi="Times New Roman" w:cs="Times New Roman"/>
          <w:color w:val="4C4747"/>
          <w:sz w:val="24"/>
          <w:szCs w:val="24"/>
        </w:rPr>
      </w:pPr>
      <w:r w:rsidRPr="00462712">
        <w:rPr>
          <w:rFonts w:ascii="Times New Roman" w:eastAsia="Artifex CF Extra Light" w:hAnsi="Times New Roman" w:cs="Times New Roman"/>
          <w:color w:val="4C4747"/>
          <w:sz w:val="24"/>
          <w:szCs w:val="24"/>
        </w:rPr>
        <w:t xml:space="preserve">Además, se proyecta que la inversión extranjera directa (IED) ascendería a unos US$ 4,300 millones en el presente año. El mayor flujo de divisas y la entrada de capitales ha contribuido a la estabilidad relativa del tipo de cambio, con lo cual el </w:t>
      </w:r>
      <w:r w:rsidRPr="00462712">
        <w:rPr>
          <w:rFonts w:ascii="Times New Roman" w:eastAsia="Artifex CF Extra Light" w:hAnsi="Times New Roman" w:cs="Times New Roman"/>
          <w:color w:val="4C4747"/>
          <w:sz w:val="24"/>
          <w:szCs w:val="24"/>
        </w:rPr>
        <w:lastRenderedPageBreak/>
        <w:t xml:space="preserve">peso dominicano exhibe una depreciación acumulada de 1.3 % al cierre de noviembre. </w:t>
      </w:r>
    </w:p>
    <w:p w14:paraId="7BA4DFE5" w14:textId="77777777" w:rsidR="00742EB6" w:rsidRPr="00462712" w:rsidRDefault="00742EB6" w:rsidP="00742EB6">
      <w:pPr>
        <w:pStyle w:val="List2"/>
        <w:spacing w:before="120" w:line="360" w:lineRule="auto"/>
        <w:ind w:left="360" w:firstLine="0"/>
        <w:contextualSpacing w:val="0"/>
        <w:rPr>
          <w:rFonts w:ascii="Times New Roman" w:hAnsi="Times New Roman" w:cs="Times New Roman"/>
          <w:color w:val="4C4747"/>
          <w:sz w:val="24"/>
          <w:szCs w:val="24"/>
        </w:rPr>
      </w:pPr>
    </w:p>
    <w:p w14:paraId="5582C90A" w14:textId="458EB2E0" w:rsidR="004F7482" w:rsidRPr="00742EB6" w:rsidRDefault="004F7482" w:rsidP="00E34B4E"/>
    <w:p w14:paraId="0E710B07" w14:textId="46C00219" w:rsidR="004F7482" w:rsidRDefault="004F7482" w:rsidP="00E34B4E"/>
    <w:p w14:paraId="4F1D576B" w14:textId="78EF065F" w:rsidR="004F7482" w:rsidRDefault="004F7482" w:rsidP="00E34B4E"/>
    <w:p w14:paraId="04D46F83" w14:textId="2BE1C00B" w:rsidR="004F7482" w:rsidRDefault="004F7482" w:rsidP="00E34B4E"/>
    <w:p w14:paraId="0E9136EC" w14:textId="35CB62CD" w:rsidR="004F7482" w:rsidRDefault="004F7482" w:rsidP="00E34B4E"/>
    <w:p w14:paraId="569A293D" w14:textId="3885C0DA" w:rsidR="004F7482" w:rsidRDefault="004F7482" w:rsidP="00E34B4E"/>
    <w:p w14:paraId="7E442DE1" w14:textId="7AC2ADFD" w:rsidR="004F7482" w:rsidRDefault="004F7482" w:rsidP="00E34B4E"/>
    <w:p w14:paraId="1999BEEB" w14:textId="591891B3" w:rsidR="004F7482" w:rsidRDefault="004F7482" w:rsidP="00E34B4E"/>
    <w:p w14:paraId="1E9A77FD" w14:textId="2D365E73" w:rsidR="004F7482" w:rsidRDefault="004F7482" w:rsidP="00E34B4E"/>
    <w:p w14:paraId="19D23147" w14:textId="59F299B4" w:rsidR="004F7482" w:rsidRDefault="004F7482" w:rsidP="00E34B4E"/>
    <w:p w14:paraId="4AFF73EB" w14:textId="05BA3C63" w:rsidR="004F7482" w:rsidRDefault="004F7482" w:rsidP="00E34B4E"/>
    <w:p w14:paraId="54AB616E" w14:textId="201B4F41" w:rsidR="004F7482" w:rsidRDefault="004F7482" w:rsidP="00E34B4E"/>
    <w:p w14:paraId="52BC21FD" w14:textId="66A8225F" w:rsidR="004F7482" w:rsidRDefault="004F7482" w:rsidP="00E34B4E"/>
    <w:p w14:paraId="51BC82B1" w14:textId="4AF8DDE5" w:rsidR="004F7482" w:rsidRDefault="004F7482" w:rsidP="00E34B4E"/>
    <w:p w14:paraId="48658617" w14:textId="63F4B4A6" w:rsidR="00C90B50" w:rsidRDefault="00C90B50" w:rsidP="00E34B4E"/>
    <w:p w14:paraId="3DC32C88" w14:textId="03902A49" w:rsidR="00AF78D3" w:rsidRDefault="00AF78D3" w:rsidP="00E34B4E"/>
    <w:p w14:paraId="4CB2F3EE" w14:textId="03FA374D" w:rsidR="00AF78D3" w:rsidRDefault="00AF78D3" w:rsidP="00E34B4E"/>
    <w:p w14:paraId="31282784" w14:textId="397A6019" w:rsidR="00AF78D3" w:rsidRDefault="00AF78D3" w:rsidP="00E34B4E"/>
    <w:p w14:paraId="26C56810" w14:textId="56B8BE16" w:rsidR="00AF78D3" w:rsidRDefault="00AF78D3" w:rsidP="00E34B4E"/>
    <w:p w14:paraId="1B55B16C" w14:textId="1F4515EC" w:rsidR="00AF78D3" w:rsidRDefault="00AF78D3" w:rsidP="00E34B4E"/>
    <w:p w14:paraId="3866CE4F" w14:textId="6AB462B1" w:rsidR="00503E94" w:rsidRDefault="00503E94" w:rsidP="00E34B4E"/>
    <w:p w14:paraId="0DAB7FF6" w14:textId="77777777" w:rsidR="00C92B6B" w:rsidRPr="00543A92" w:rsidRDefault="00503E94" w:rsidP="00CE0874">
      <w:pPr>
        <w:rPr>
          <w:rFonts w:ascii="Times New Roman" w:hAnsi="Times New Roman" w:cs="Times New Roman"/>
          <w:b/>
          <w:color w:val="4C4747"/>
          <w:sz w:val="24"/>
          <w:szCs w:val="24"/>
        </w:rPr>
      </w:pPr>
      <w:r w:rsidRPr="00543A92">
        <w:rPr>
          <w:rFonts w:ascii="Times New Roman" w:hAnsi="Times New Roman" w:cs="Times New Roman"/>
          <w:b/>
          <w:color w:val="4C4747"/>
          <w:sz w:val="24"/>
          <w:szCs w:val="24"/>
        </w:rPr>
        <w:lastRenderedPageBreak/>
        <w:t xml:space="preserve">          </w:t>
      </w:r>
      <w:r w:rsidR="00C92B6B" w:rsidRPr="00543A92">
        <w:rPr>
          <w:b/>
        </w:rPr>
        <w:t xml:space="preserve"> </w:t>
      </w:r>
      <w:r w:rsidR="00C92B6B" w:rsidRPr="00543A92">
        <w:rPr>
          <w:rFonts w:ascii="Times New Roman" w:hAnsi="Times New Roman" w:cs="Times New Roman"/>
          <w:b/>
          <w:color w:val="4C4747"/>
          <w:sz w:val="24"/>
          <w:szCs w:val="24"/>
        </w:rPr>
        <w:t xml:space="preserve">Logros de la gestión de gobierno del </w:t>
      </w:r>
      <w:proofErr w:type="gramStart"/>
      <w:r w:rsidR="00C92B6B" w:rsidRPr="00543A92">
        <w:rPr>
          <w:rFonts w:ascii="Times New Roman" w:hAnsi="Times New Roman" w:cs="Times New Roman"/>
          <w:b/>
          <w:color w:val="4C4747"/>
          <w:sz w:val="24"/>
          <w:szCs w:val="24"/>
        </w:rPr>
        <w:t>Presidente</w:t>
      </w:r>
      <w:proofErr w:type="gramEnd"/>
      <w:r w:rsidR="00C92B6B" w:rsidRPr="00543A92">
        <w:rPr>
          <w:rFonts w:ascii="Times New Roman" w:hAnsi="Times New Roman" w:cs="Times New Roman"/>
          <w:b/>
          <w:color w:val="4C4747"/>
          <w:sz w:val="24"/>
          <w:szCs w:val="24"/>
        </w:rPr>
        <w:t xml:space="preserve"> Luis Abinader</w:t>
      </w:r>
    </w:p>
    <w:p w14:paraId="1B9201A2" w14:textId="7F0DAE33" w:rsidR="00503E94" w:rsidRPr="00543A92" w:rsidRDefault="008C67FD" w:rsidP="00CE0874">
      <w:pPr>
        <w:rPr>
          <w:rFonts w:ascii="Times New Roman" w:hAnsi="Times New Roman" w:cs="Times New Roman"/>
          <w:b/>
          <w:color w:val="4C4747"/>
          <w:sz w:val="24"/>
          <w:szCs w:val="24"/>
        </w:rPr>
      </w:pPr>
      <w:r w:rsidRPr="00543A92">
        <w:rPr>
          <w:rFonts w:ascii="Artifex CF Extra Light" w:hAnsi="Artifex CF Extra Light"/>
          <w:noProof/>
          <w:color w:val="4C4747"/>
          <w:sz w:val="18"/>
        </w:rPr>
        <mc:AlternateContent>
          <mc:Choice Requires="wps">
            <w:drawing>
              <wp:anchor distT="0" distB="0" distL="114300" distR="114300" simplePos="0" relativeHeight="251735040" behindDoc="0" locked="0" layoutInCell="1" allowOverlap="1" wp14:anchorId="071D92F2" wp14:editId="2B390B58">
                <wp:simplePos x="0" y="0"/>
                <wp:positionH relativeFrom="margin">
                  <wp:posOffset>1884045</wp:posOffset>
                </wp:positionH>
                <wp:positionV relativeFrom="paragraph">
                  <wp:posOffset>253365</wp:posOffset>
                </wp:positionV>
                <wp:extent cx="539750" cy="0"/>
                <wp:effectExtent l="0" t="19050" r="31750" b="19050"/>
                <wp:wrapNone/>
                <wp:docPr id="31"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805F08" id="Conector recto 9" o:spid="_x0000_s1026" style="position:absolute;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8.35pt,19.95pt" to="190.85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" strokecolor="red" strokeweight="2.5pt">
                <v:stroke joinstyle="miter"/>
                <w10:wrap anchorx="margin"/>
              </v:line>
            </w:pict>
          </mc:Fallback>
        </mc:AlternateContent>
      </w:r>
      <w:r w:rsidR="00C92B6B" w:rsidRPr="00543A92">
        <w:rPr>
          <w:rFonts w:ascii="Times New Roman" w:hAnsi="Times New Roman" w:cs="Times New Roman"/>
          <w:b/>
          <w:color w:val="4C4747"/>
          <w:sz w:val="24"/>
          <w:szCs w:val="24"/>
        </w:rPr>
        <w:t xml:space="preserve">                                 </w:t>
      </w:r>
      <w:r w:rsidR="00503E94" w:rsidRPr="00543A92">
        <w:rPr>
          <w:rFonts w:ascii="Times New Roman" w:hAnsi="Times New Roman" w:cs="Times New Roman"/>
          <w:b/>
          <w:color w:val="4C4747"/>
          <w:sz w:val="24"/>
          <w:szCs w:val="24"/>
        </w:rPr>
        <w:t xml:space="preserve">Agosto 2020- </w:t>
      </w:r>
      <w:proofErr w:type="gramStart"/>
      <w:r w:rsidR="00503E94" w:rsidRPr="00543A92">
        <w:rPr>
          <w:rFonts w:ascii="Times New Roman" w:hAnsi="Times New Roman" w:cs="Times New Roman"/>
          <w:b/>
          <w:color w:val="4C4747"/>
          <w:sz w:val="24"/>
          <w:szCs w:val="24"/>
        </w:rPr>
        <w:t>Diciembre</w:t>
      </w:r>
      <w:proofErr w:type="gramEnd"/>
      <w:r w:rsidR="00503E94" w:rsidRPr="00543A92">
        <w:rPr>
          <w:rFonts w:ascii="Times New Roman" w:hAnsi="Times New Roman" w:cs="Times New Roman"/>
          <w:b/>
          <w:color w:val="4C4747"/>
          <w:sz w:val="24"/>
          <w:szCs w:val="24"/>
        </w:rPr>
        <w:t xml:space="preserve"> 2023</w:t>
      </w:r>
    </w:p>
    <w:p w14:paraId="725DD045" w14:textId="750FED40" w:rsidR="00A9357E" w:rsidRPr="00543A92" w:rsidRDefault="00543A92" w:rsidP="00CE0874">
      <w:pPr>
        <w:rPr>
          <w:rFonts w:ascii="Times New Roman" w:hAnsi="Times New Roman" w:cs="Times New Roman"/>
          <w:color w:val="4C4747"/>
          <w:sz w:val="24"/>
          <w:szCs w:val="24"/>
        </w:rPr>
      </w:pPr>
      <w:r w:rsidRPr="00813D67">
        <w:rPr>
          <w:rFonts w:ascii="Times New Roman" w:hAnsi="Times New Roman" w:cs="Times New Roman"/>
          <w:noProof/>
          <w:color w:val="4C4747"/>
          <w:sz w:val="24"/>
          <w:szCs w:val="24"/>
          <w:lang w:val="en-US"/>
        </w:rPr>
        <w:drawing>
          <wp:anchor distT="0" distB="0" distL="114300" distR="114300" simplePos="0" relativeHeight="251736064" behindDoc="0" locked="0" layoutInCell="1" allowOverlap="1" wp14:anchorId="68DACAA1" wp14:editId="6EA6900D">
            <wp:simplePos x="0" y="0"/>
            <wp:positionH relativeFrom="margin">
              <wp:posOffset>178130</wp:posOffset>
            </wp:positionH>
            <wp:positionV relativeFrom="paragraph">
              <wp:posOffset>259715</wp:posOffset>
            </wp:positionV>
            <wp:extent cx="4654550" cy="2357120"/>
            <wp:effectExtent l="0" t="0" r="0" b="0"/>
            <wp:wrapThrough wrapText="bothSides">
              <wp:wrapPolygon edited="0">
                <wp:start x="5216" y="873"/>
                <wp:lineTo x="5216" y="1920"/>
                <wp:lineTo x="9548" y="4015"/>
                <wp:lineTo x="10785" y="4015"/>
                <wp:lineTo x="619" y="5935"/>
                <wp:lineTo x="265" y="6110"/>
                <wp:lineTo x="619" y="6808"/>
                <wp:lineTo x="0" y="8205"/>
                <wp:lineTo x="0" y="9427"/>
                <wp:lineTo x="2033" y="9601"/>
                <wp:lineTo x="972" y="11172"/>
                <wp:lineTo x="972" y="11696"/>
                <wp:lineTo x="2033" y="12394"/>
                <wp:lineTo x="884" y="13442"/>
                <wp:lineTo x="884" y="13966"/>
                <wp:lineTo x="2033" y="15188"/>
                <wp:lineTo x="972" y="15362"/>
                <wp:lineTo x="972" y="16060"/>
                <wp:lineTo x="1945" y="17981"/>
                <wp:lineTo x="1945" y="20948"/>
                <wp:lineTo x="20598" y="20948"/>
                <wp:lineTo x="20686" y="15188"/>
                <wp:lineTo x="21482" y="12569"/>
                <wp:lineTo x="21482" y="6983"/>
                <wp:lineTo x="21394" y="5935"/>
                <wp:lineTo x="10785" y="4015"/>
                <wp:lineTo x="12377" y="4015"/>
                <wp:lineTo x="15117" y="2269"/>
                <wp:lineTo x="15029" y="873"/>
                <wp:lineTo x="5216" y="873"/>
              </wp:wrapPolygon>
            </wp:wrapThrough>
            <wp:docPr id="690955668" name="Chart 1">
              <a:extLst xmlns:a="http://schemas.openxmlformats.org/drawingml/2006/main">
                <a:ext uri="{FF2B5EF4-FFF2-40B4-BE49-F238E27FC236}">
                  <a16:creationId xmlns:a16="http://schemas.microsoft.com/office/drawing/2014/main" id="{4314875D-D398-4C2A-9E31-3FBFD2DDCC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9013C6">
        <w:rPr>
          <w:rFonts w:ascii="Times New Roman" w:hAnsi="Times New Roman" w:cs="Times New Roman"/>
          <w:color w:val="4C4747"/>
          <w:sz w:val="24"/>
          <w:szCs w:val="24"/>
        </w:rPr>
        <w:t xml:space="preserve">                                        </w:t>
      </w:r>
      <w:r w:rsidR="00503E94" w:rsidRPr="00543A92">
        <w:rPr>
          <w:rFonts w:ascii="Times New Roman" w:hAnsi="Times New Roman" w:cs="Times New Roman"/>
          <w:color w:val="4C4747"/>
          <w:sz w:val="24"/>
          <w:szCs w:val="24"/>
        </w:rPr>
        <w:t>Memoria institucional 2023</w:t>
      </w:r>
    </w:p>
    <w:p w14:paraId="66F27B2A" w14:textId="1D1FF054" w:rsidR="00A9357E" w:rsidRPr="00C92B6B" w:rsidRDefault="00A9357E" w:rsidP="00CE0874">
      <w:pPr>
        <w:rPr>
          <w:color w:val="4C4747"/>
        </w:rPr>
      </w:pPr>
    </w:p>
    <w:p w14:paraId="34E5673B" w14:textId="1D92E80D" w:rsidR="00503E94" w:rsidRDefault="00503E94" w:rsidP="00CE0874"/>
    <w:p w14:paraId="72D5A724" w14:textId="21451EB6" w:rsidR="00503E94" w:rsidRDefault="00503E94" w:rsidP="00CE0874"/>
    <w:p w14:paraId="7899D89E" w14:textId="5702D76B" w:rsidR="00503E94" w:rsidRDefault="00503E94" w:rsidP="00CE0874"/>
    <w:p w14:paraId="2454CB17" w14:textId="085A0377" w:rsidR="00503E94" w:rsidRDefault="00503E94" w:rsidP="00CE0874"/>
    <w:p w14:paraId="4AED29D9" w14:textId="77777777" w:rsidR="0010086D" w:rsidRDefault="0010086D" w:rsidP="00CE0874">
      <w:pPr>
        <w:rPr>
          <w:color w:val="4C4747"/>
        </w:rPr>
      </w:pPr>
    </w:p>
    <w:p w14:paraId="3975A83F" w14:textId="77777777" w:rsidR="0010086D" w:rsidRDefault="0010086D" w:rsidP="00CE0874">
      <w:pPr>
        <w:rPr>
          <w:color w:val="4C4747"/>
        </w:rPr>
      </w:pPr>
    </w:p>
    <w:p w14:paraId="11F74EA5" w14:textId="77777777" w:rsidR="0010086D" w:rsidRDefault="0010086D" w:rsidP="00CE0874">
      <w:pPr>
        <w:rPr>
          <w:color w:val="4C4747"/>
        </w:rPr>
      </w:pPr>
    </w:p>
    <w:p w14:paraId="5C09039D" w14:textId="1E434077" w:rsidR="00503E94" w:rsidRPr="00CE0874" w:rsidRDefault="0010086D" w:rsidP="00CE0874">
      <w:pPr>
        <w:spacing w:line="360" w:lineRule="auto"/>
        <w:jc w:val="both"/>
        <w:rPr>
          <w:rFonts w:ascii="Times New Roman" w:eastAsia="Artifex CF Extra Light" w:hAnsi="Times New Roman" w:cs="Times New Roman"/>
          <w:color w:val="4C4747"/>
          <w:sz w:val="24"/>
          <w:szCs w:val="24"/>
        </w:rPr>
      </w:pPr>
      <w:r w:rsidRPr="00CE0874">
        <w:rPr>
          <w:rFonts w:ascii="Times New Roman" w:eastAsia="Artifex CF Extra Light" w:hAnsi="Times New Roman" w:cs="Times New Roman"/>
          <w:color w:val="4C4747"/>
          <w:sz w:val="24"/>
          <w:szCs w:val="24"/>
        </w:rPr>
        <w:t xml:space="preserve">En este contexto, tras incrementar la TPM en 150 </w:t>
      </w:r>
      <w:proofErr w:type="spellStart"/>
      <w:r w:rsidRPr="00CE0874">
        <w:rPr>
          <w:rFonts w:ascii="Times New Roman" w:eastAsia="Artifex CF Extra Light" w:hAnsi="Times New Roman" w:cs="Times New Roman"/>
          <w:color w:val="4C4747"/>
          <w:sz w:val="24"/>
          <w:szCs w:val="24"/>
        </w:rPr>
        <w:t>pbs</w:t>
      </w:r>
      <w:proofErr w:type="spellEnd"/>
      <w:r w:rsidRPr="00CE0874">
        <w:rPr>
          <w:rFonts w:ascii="Times New Roman" w:eastAsia="Artifex CF Extra Light" w:hAnsi="Times New Roman" w:cs="Times New Roman"/>
          <w:color w:val="4C4747"/>
          <w:sz w:val="24"/>
          <w:szCs w:val="24"/>
        </w:rPr>
        <w:t xml:space="preserve"> a finales de 2021, el BCRD realizó aumentos adicionales hasta situar la TPM en un 8.50 % anual en octubre de 2022. Así, la TPM acumuló un aumento de 550 </w:t>
      </w:r>
      <w:proofErr w:type="spellStart"/>
      <w:r w:rsidRPr="00CE0874">
        <w:rPr>
          <w:rFonts w:ascii="Times New Roman" w:eastAsia="Artifex CF Extra Light" w:hAnsi="Times New Roman" w:cs="Times New Roman"/>
          <w:color w:val="4C4747"/>
          <w:sz w:val="24"/>
          <w:szCs w:val="24"/>
        </w:rPr>
        <w:t>pbs</w:t>
      </w:r>
      <w:proofErr w:type="spellEnd"/>
      <w:r w:rsidRPr="00CE0874">
        <w:rPr>
          <w:rFonts w:ascii="Times New Roman" w:eastAsia="Artifex CF Extra Light" w:hAnsi="Times New Roman" w:cs="Times New Roman"/>
          <w:color w:val="4C4747"/>
          <w:sz w:val="24"/>
          <w:szCs w:val="24"/>
        </w:rPr>
        <w:t xml:space="preserve"> desde el inicio del plan de restricción monetaria. En las reuniones de noviembre y diciembre, el BCRD decidió mantener sin cambios la TPM, al estimar que se encontraba en un nivel adecuado para garantizar la convergencia de la inflación al rango meta en el año 2023. Mientras, el corredor de tasas de interés permaneció definido como la TPM ± 50 </w:t>
      </w:r>
      <w:proofErr w:type="spellStart"/>
      <w:r w:rsidRPr="00CE0874">
        <w:rPr>
          <w:rFonts w:ascii="Times New Roman" w:eastAsia="Artifex CF Extra Light" w:hAnsi="Times New Roman" w:cs="Times New Roman"/>
          <w:color w:val="4C4747"/>
          <w:sz w:val="24"/>
          <w:szCs w:val="24"/>
        </w:rPr>
        <w:t>pbs</w:t>
      </w:r>
      <w:proofErr w:type="spellEnd"/>
      <w:r w:rsidRPr="00CE0874">
        <w:rPr>
          <w:rFonts w:ascii="Times New Roman" w:eastAsia="Artifex CF Extra Light" w:hAnsi="Times New Roman" w:cs="Times New Roman"/>
          <w:color w:val="4C4747"/>
          <w:sz w:val="24"/>
          <w:szCs w:val="24"/>
        </w:rPr>
        <w:t>, con lo que, al cierre de 2022, la tasa de la facilidad permanente de expansión de liquidez (reportos a 1 día) fue del 9.00 % anual, y la tasa de depósitos remunerados (overnight) del 8.00 % anual</w:t>
      </w:r>
      <w:r w:rsidR="00462712">
        <w:rPr>
          <w:rFonts w:ascii="Times New Roman" w:eastAsia="Artifex CF Extra Light" w:hAnsi="Times New Roman" w:cs="Times New Roman"/>
          <w:color w:val="4C4747"/>
          <w:sz w:val="24"/>
          <w:szCs w:val="24"/>
        </w:rPr>
        <w:t>.</w:t>
      </w:r>
    </w:p>
    <w:p w14:paraId="0E923B35" w14:textId="5183FC89" w:rsidR="00503E94" w:rsidRPr="00CE0874" w:rsidRDefault="00503E94" w:rsidP="00CE0874">
      <w:pPr>
        <w:spacing w:line="360" w:lineRule="auto"/>
        <w:jc w:val="both"/>
        <w:rPr>
          <w:color w:val="4C4747"/>
        </w:rPr>
      </w:pPr>
    </w:p>
    <w:p w14:paraId="4F7C0031" w14:textId="0EBC71F0" w:rsidR="00503E94" w:rsidRDefault="00503E94" w:rsidP="00CE0874"/>
    <w:p w14:paraId="6E6BB291" w14:textId="1E31CF0A" w:rsidR="00503E94" w:rsidRDefault="00A9357E" w:rsidP="00CE0874">
      <w:r w:rsidRPr="00813D67">
        <w:rPr>
          <w:rFonts w:ascii="Times New Roman" w:hAnsi="Times New Roman" w:cs="Times New Roman"/>
          <w:noProof/>
          <w:color w:val="4C4747"/>
          <w:sz w:val="24"/>
          <w:szCs w:val="24"/>
          <w:lang w:val="en-US"/>
        </w:rPr>
        <w:lastRenderedPageBreak/>
        <w:drawing>
          <wp:anchor distT="0" distB="0" distL="114300" distR="114300" simplePos="0" relativeHeight="251737088" behindDoc="0" locked="0" layoutInCell="1" allowOverlap="1" wp14:anchorId="77E06C2D" wp14:editId="6F0EE1F3">
            <wp:simplePos x="0" y="0"/>
            <wp:positionH relativeFrom="column">
              <wp:posOffset>504008</wp:posOffset>
            </wp:positionH>
            <wp:positionV relativeFrom="paragraph">
              <wp:posOffset>0</wp:posOffset>
            </wp:positionV>
            <wp:extent cx="3931920" cy="2286000"/>
            <wp:effectExtent l="0" t="0" r="0" b="0"/>
            <wp:wrapThrough wrapText="bothSides">
              <wp:wrapPolygon edited="0">
                <wp:start x="0" y="0"/>
                <wp:lineTo x="0" y="21420"/>
                <wp:lineTo x="21453" y="21420"/>
                <wp:lineTo x="21453" y="0"/>
                <wp:lineTo x="0" y="0"/>
              </wp:wrapPolygon>
            </wp:wrapThrough>
            <wp:docPr id="737972738" name="Chart 1">
              <a:extLst xmlns:a="http://schemas.openxmlformats.org/drawingml/2006/main">
                <a:ext uri="{FF2B5EF4-FFF2-40B4-BE49-F238E27FC236}">
                  <a16:creationId xmlns:a16="http://schemas.microsoft.com/office/drawing/2014/main" id="{00000000-0008-0000-0200-00000F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713E452C" w14:textId="56164B78" w:rsidR="00503E94" w:rsidRDefault="00503E94" w:rsidP="00CE0874"/>
    <w:p w14:paraId="305A0C44" w14:textId="4BE533AB" w:rsidR="00503E94" w:rsidRDefault="00503E94" w:rsidP="00CE0874"/>
    <w:p w14:paraId="32FBF319" w14:textId="26757AE5" w:rsidR="00503E94" w:rsidRDefault="00503E94" w:rsidP="00CE0874"/>
    <w:p w14:paraId="03F86E46" w14:textId="6F9434CF" w:rsidR="00503E94" w:rsidRDefault="00503E94" w:rsidP="00CE0874"/>
    <w:p w14:paraId="23BADE9D" w14:textId="566A8F4E" w:rsidR="00503E94" w:rsidRDefault="00503E94" w:rsidP="00CE0874"/>
    <w:p w14:paraId="510877DB" w14:textId="5324E05A" w:rsidR="00503E94" w:rsidRDefault="00503E94" w:rsidP="00CE0874"/>
    <w:p w14:paraId="48BFCF69" w14:textId="2E69D799" w:rsidR="00503E94" w:rsidRDefault="00503E94" w:rsidP="00CE0874"/>
    <w:p w14:paraId="2D80CD84" w14:textId="016E9F24" w:rsidR="00503E94" w:rsidRDefault="00503E94" w:rsidP="00CE0874"/>
    <w:p w14:paraId="4D50715D" w14:textId="77777777" w:rsidR="00A9357E" w:rsidRPr="00A9357E" w:rsidRDefault="00A9357E" w:rsidP="00CE0874">
      <w:pPr>
        <w:rPr>
          <w:rFonts w:ascii="Times New Roman" w:hAnsi="Times New Roman" w:cs="Times New Roman"/>
          <w:color w:val="4C4747"/>
        </w:rPr>
      </w:pPr>
    </w:p>
    <w:p w14:paraId="0BDBE4EC" w14:textId="6B112E4F" w:rsidR="00503E94" w:rsidRPr="00543A92" w:rsidRDefault="00A9357E" w:rsidP="00CE0874">
      <w:pPr>
        <w:spacing w:line="360" w:lineRule="auto"/>
        <w:jc w:val="both"/>
        <w:rPr>
          <w:rFonts w:ascii="Times New Roman" w:hAnsi="Times New Roman" w:cs="Times New Roman"/>
          <w:color w:val="4C4747"/>
          <w:sz w:val="24"/>
          <w:szCs w:val="24"/>
        </w:rPr>
      </w:pPr>
      <w:r w:rsidRPr="00543A92">
        <w:rPr>
          <w:rFonts w:ascii="Times New Roman" w:hAnsi="Times New Roman" w:cs="Times New Roman"/>
          <w:color w:val="4C4747"/>
          <w:sz w:val="24"/>
          <w:szCs w:val="24"/>
        </w:rPr>
        <w:t xml:space="preserve">De esta manera, la inflación interanual fue del 7.83 % al cierre de 2022, lo que supuso una reducción de 181 </w:t>
      </w:r>
      <w:proofErr w:type="spellStart"/>
      <w:r w:rsidRPr="00543A92">
        <w:rPr>
          <w:rFonts w:ascii="Times New Roman" w:hAnsi="Times New Roman" w:cs="Times New Roman"/>
          <w:color w:val="4C4747"/>
          <w:sz w:val="24"/>
          <w:szCs w:val="24"/>
        </w:rPr>
        <w:t>pbs</w:t>
      </w:r>
      <w:proofErr w:type="spellEnd"/>
      <w:r w:rsidRPr="00543A92">
        <w:rPr>
          <w:rFonts w:ascii="Times New Roman" w:hAnsi="Times New Roman" w:cs="Times New Roman"/>
          <w:color w:val="4C4747"/>
          <w:sz w:val="24"/>
          <w:szCs w:val="24"/>
        </w:rPr>
        <w:t xml:space="preserve"> con relación al máximo del 9.64 % del mes de abril. Por su parte, la inflación subyacente mostró una tendencia a la baja, al pasar del 7.29 % en mayo al 6.56 % en diciembre de 2022. Los pronósticos más recientes contemplan que la inflación permanecerá dentro del rango meta de 4.0 % ± 1.0 % a finales de 2023 y se mantendría fluctuando en torno al centro del rango en 2024.</w:t>
      </w:r>
    </w:p>
    <w:p w14:paraId="06180261" w14:textId="284977AF" w:rsidR="00A9357E" w:rsidRDefault="00A9357E" w:rsidP="00CE0874">
      <w:pPr>
        <w:spacing w:line="360" w:lineRule="auto"/>
        <w:jc w:val="both"/>
      </w:pPr>
    </w:p>
    <w:p w14:paraId="7E96642B" w14:textId="258144E6" w:rsidR="00A9357E" w:rsidRDefault="00171152" w:rsidP="00CE0874">
      <w:r w:rsidRPr="00813D67">
        <w:rPr>
          <w:rFonts w:ascii="Times New Roman" w:hAnsi="Times New Roman" w:cs="Times New Roman"/>
          <w:noProof/>
          <w:color w:val="4C4747"/>
          <w:sz w:val="24"/>
          <w:szCs w:val="24"/>
          <w:lang w:val="en-US"/>
        </w:rPr>
        <w:lastRenderedPageBreak/>
        <w:drawing>
          <wp:anchor distT="0" distB="0" distL="114300" distR="114300" simplePos="0" relativeHeight="251738112" behindDoc="0" locked="0" layoutInCell="1" allowOverlap="1" wp14:anchorId="06465CEF" wp14:editId="2CE15331">
            <wp:simplePos x="0" y="0"/>
            <wp:positionH relativeFrom="margin">
              <wp:align>center</wp:align>
            </wp:positionH>
            <wp:positionV relativeFrom="paragraph">
              <wp:posOffset>9335</wp:posOffset>
            </wp:positionV>
            <wp:extent cx="3931920" cy="2286000"/>
            <wp:effectExtent l="0" t="0" r="0" b="0"/>
            <wp:wrapThrough wrapText="bothSides">
              <wp:wrapPolygon edited="0">
                <wp:start x="0" y="0"/>
                <wp:lineTo x="0" y="21420"/>
                <wp:lineTo x="21453" y="21420"/>
                <wp:lineTo x="21453" y="0"/>
                <wp:lineTo x="0" y="0"/>
              </wp:wrapPolygon>
            </wp:wrapThrough>
            <wp:docPr id="2009497233" name="Chart 1">
              <a:extLst xmlns:a="http://schemas.openxmlformats.org/drawingml/2006/main">
                <a:ext uri="{FF2B5EF4-FFF2-40B4-BE49-F238E27FC236}">
                  <a16:creationId xmlns:a16="http://schemas.microsoft.com/office/drawing/2014/main" id="{CB7CB56D-5978-AF4D-B46A-1B97789EBC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14:paraId="7194FFE3" w14:textId="7C298D5D" w:rsidR="00A9357E" w:rsidRDefault="00A9357E" w:rsidP="00CE0874"/>
    <w:p w14:paraId="61212A2F" w14:textId="505C4196" w:rsidR="00A9357E" w:rsidRDefault="00A9357E" w:rsidP="00CE0874"/>
    <w:p w14:paraId="7E4D02A3" w14:textId="6B6B1DAD" w:rsidR="00A9357E" w:rsidRDefault="00A9357E" w:rsidP="00CE0874"/>
    <w:p w14:paraId="075E566F" w14:textId="4926990B" w:rsidR="00A9357E" w:rsidRDefault="00A9357E" w:rsidP="00CE0874"/>
    <w:p w14:paraId="68CA2817" w14:textId="2E70E62E" w:rsidR="00A9357E" w:rsidRDefault="00A9357E" w:rsidP="00CE0874"/>
    <w:p w14:paraId="3C3B34CC" w14:textId="466557E4" w:rsidR="00A9357E" w:rsidRDefault="00A9357E" w:rsidP="00CE0874"/>
    <w:p w14:paraId="38E9A13E" w14:textId="75DB9213" w:rsidR="00A9357E" w:rsidRDefault="00A9357E" w:rsidP="00CE0874"/>
    <w:p w14:paraId="037FD8D8" w14:textId="77777777" w:rsidR="00A9357E" w:rsidRDefault="00A9357E" w:rsidP="00CE0874"/>
    <w:p w14:paraId="3B05F61D" w14:textId="4B9A7397" w:rsidR="00A9357E" w:rsidRPr="00E34B4E" w:rsidRDefault="00CE0874" w:rsidP="00CE0874">
      <w:r w:rsidRPr="00813D67">
        <w:rPr>
          <w:rFonts w:ascii="Times New Roman" w:eastAsia="Artifex CF Extra Light" w:hAnsi="Times New Roman" w:cs="Times New Roman"/>
          <w:noProof/>
          <w:color w:val="4C4747"/>
          <w:sz w:val="24"/>
          <w:szCs w:val="24"/>
        </w:rPr>
        <w:drawing>
          <wp:anchor distT="0" distB="0" distL="114300" distR="114300" simplePos="0" relativeHeight="251757568" behindDoc="0" locked="0" layoutInCell="1" allowOverlap="1" wp14:anchorId="58A05441" wp14:editId="699FA70F">
            <wp:simplePos x="0" y="0"/>
            <wp:positionH relativeFrom="column">
              <wp:posOffset>646982</wp:posOffset>
            </wp:positionH>
            <wp:positionV relativeFrom="paragraph">
              <wp:posOffset>210053</wp:posOffset>
            </wp:positionV>
            <wp:extent cx="3931920" cy="2286000"/>
            <wp:effectExtent l="0" t="0" r="0" b="0"/>
            <wp:wrapThrough wrapText="bothSides">
              <wp:wrapPolygon edited="0">
                <wp:start x="0" y="0"/>
                <wp:lineTo x="0" y="21420"/>
                <wp:lineTo x="21453" y="21420"/>
                <wp:lineTo x="21453" y="0"/>
                <wp:lineTo x="0" y="0"/>
              </wp:wrapPolygon>
            </wp:wrapThrough>
            <wp:docPr id="587423131" name="Chart 1">
              <a:extLst xmlns:a="http://schemas.openxmlformats.org/drawingml/2006/main">
                <a:ext uri="{FF2B5EF4-FFF2-40B4-BE49-F238E27FC236}">
                  <a16:creationId xmlns:a16="http://schemas.microsoft.com/office/drawing/2014/main" id="{4A2EC759-1788-478C-94D9-51DB08D9D5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5F7CD0E7" w14:textId="3CB01ECD" w:rsidR="00171152" w:rsidRDefault="00171152" w:rsidP="00CE0874">
      <w:pPr>
        <w:rPr>
          <w:rFonts w:ascii="Times New Roman" w:hAnsi="Times New Roman" w:cs="Times New Roman"/>
          <w:color w:val="4C4747"/>
          <w:sz w:val="28"/>
          <w:szCs w:val="28"/>
        </w:rPr>
      </w:pPr>
    </w:p>
    <w:p w14:paraId="553713EF" w14:textId="77777777" w:rsidR="00171152" w:rsidRDefault="00171152" w:rsidP="00CE0874">
      <w:pPr>
        <w:rPr>
          <w:rFonts w:ascii="Times New Roman" w:hAnsi="Times New Roman" w:cs="Times New Roman"/>
          <w:color w:val="4C4747"/>
          <w:sz w:val="28"/>
          <w:szCs w:val="28"/>
        </w:rPr>
      </w:pPr>
    </w:p>
    <w:p w14:paraId="1D386405" w14:textId="77777777" w:rsidR="00CE0874" w:rsidRDefault="00CE0874" w:rsidP="00CE0874">
      <w:pPr>
        <w:rPr>
          <w:rFonts w:ascii="Times New Roman" w:eastAsia="Artifex CF Extra Light" w:hAnsi="Times New Roman" w:cs="Times New Roman"/>
          <w:color w:val="4C4747"/>
          <w:sz w:val="24"/>
          <w:szCs w:val="24"/>
        </w:rPr>
      </w:pPr>
    </w:p>
    <w:p w14:paraId="21F2C2B3" w14:textId="77777777" w:rsidR="00CE0874" w:rsidRDefault="00CE0874" w:rsidP="00CE0874">
      <w:pPr>
        <w:rPr>
          <w:rFonts w:ascii="Times New Roman" w:eastAsia="Artifex CF Extra Light" w:hAnsi="Times New Roman" w:cs="Times New Roman"/>
          <w:color w:val="4C4747"/>
          <w:sz w:val="24"/>
          <w:szCs w:val="24"/>
        </w:rPr>
      </w:pPr>
    </w:p>
    <w:p w14:paraId="75E37EA5" w14:textId="77777777" w:rsidR="00CE0874" w:rsidRDefault="00CE0874" w:rsidP="00CE0874">
      <w:pPr>
        <w:rPr>
          <w:rFonts w:ascii="Times New Roman" w:eastAsia="Artifex CF Extra Light" w:hAnsi="Times New Roman" w:cs="Times New Roman"/>
          <w:color w:val="4C4747"/>
          <w:sz w:val="24"/>
          <w:szCs w:val="24"/>
        </w:rPr>
      </w:pPr>
    </w:p>
    <w:p w14:paraId="13CB0270" w14:textId="77777777" w:rsidR="00CE0874" w:rsidRDefault="00CE0874" w:rsidP="00CE0874">
      <w:pPr>
        <w:rPr>
          <w:rFonts w:ascii="Times New Roman" w:eastAsia="Artifex CF Extra Light" w:hAnsi="Times New Roman" w:cs="Times New Roman"/>
          <w:color w:val="4C4747"/>
          <w:sz w:val="24"/>
          <w:szCs w:val="24"/>
        </w:rPr>
      </w:pPr>
    </w:p>
    <w:p w14:paraId="3EADD3D1" w14:textId="77777777" w:rsidR="00CE0874" w:rsidRDefault="00CE0874" w:rsidP="00CE0874">
      <w:pPr>
        <w:rPr>
          <w:rFonts w:ascii="Times New Roman" w:eastAsia="Artifex CF Extra Light" w:hAnsi="Times New Roman" w:cs="Times New Roman"/>
          <w:color w:val="4C4747"/>
          <w:sz w:val="24"/>
          <w:szCs w:val="24"/>
        </w:rPr>
      </w:pPr>
    </w:p>
    <w:p w14:paraId="01523573" w14:textId="77777777" w:rsidR="00CE0874" w:rsidRDefault="00CE0874" w:rsidP="00CE0874">
      <w:pPr>
        <w:rPr>
          <w:rFonts w:ascii="Times New Roman" w:eastAsia="Artifex CF Extra Light" w:hAnsi="Times New Roman" w:cs="Times New Roman"/>
          <w:color w:val="4C4747"/>
          <w:sz w:val="24"/>
          <w:szCs w:val="24"/>
        </w:rPr>
      </w:pPr>
    </w:p>
    <w:p w14:paraId="291AA1F3" w14:textId="77777777" w:rsidR="00CE0874" w:rsidRDefault="00CE0874" w:rsidP="00CE0874">
      <w:pPr>
        <w:rPr>
          <w:rFonts w:ascii="Times New Roman" w:eastAsia="Artifex CF Extra Light" w:hAnsi="Times New Roman" w:cs="Times New Roman"/>
          <w:color w:val="4C4747"/>
          <w:sz w:val="24"/>
          <w:szCs w:val="24"/>
        </w:rPr>
      </w:pPr>
    </w:p>
    <w:p w14:paraId="307CFA84" w14:textId="601C9DA2" w:rsidR="00171152" w:rsidRDefault="00171152" w:rsidP="00CE0874">
      <w:pPr>
        <w:spacing w:line="360" w:lineRule="auto"/>
        <w:jc w:val="both"/>
        <w:rPr>
          <w:rFonts w:ascii="Times New Roman" w:eastAsia="Artifex CF Extra Light" w:hAnsi="Times New Roman" w:cs="Times New Roman"/>
          <w:color w:val="4C4747"/>
          <w:sz w:val="24"/>
          <w:szCs w:val="24"/>
        </w:rPr>
      </w:pPr>
      <w:r w:rsidRPr="00171152">
        <w:rPr>
          <w:rFonts w:ascii="Times New Roman" w:eastAsia="Artifex CF Extra Light" w:hAnsi="Times New Roman" w:cs="Times New Roman"/>
          <w:color w:val="4C4747"/>
          <w:sz w:val="24"/>
          <w:szCs w:val="24"/>
        </w:rPr>
        <w:t xml:space="preserve">El buen desempeño de la economía se ha visto reflejado en el mercado de trabajo, por medio de una notable creación de empleos. Es así como entre el tercer trimestre de 2022 y el tercer trimestre de 2023, se crearon 222,497 empleos, la mayoría dentro del sector formal. Con esto, la tasa de desocupación abierta se colocó en 5.4 %, al cierre de septiembre de 2023. </w:t>
      </w:r>
    </w:p>
    <w:p w14:paraId="2B10FF3F" w14:textId="5ECAFAA6" w:rsidR="00171152" w:rsidRPr="00171152" w:rsidRDefault="00CE0874" w:rsidP="00CE0874">
      <w:pPr>
        <w:rPr>
          <w:rFonts w:ascii="Times New Roman" w:eastAsia="Artifex CF Extra Light" w:hAnsi="Times New Roman" w:cs="Times New Roman"/>
          <w:color w:val="4C4747"/>
          <w:sz w:val="24"/>
          <w:szCs w:val="24"/>
        </w:rPr>
      </w:pPr>
      <w:r w:rsidRPr="00813D67">
        <w:rPr>
          <w:rFonts w:ascii="Times New Roman" w:hAnsi="Times New Roman" w:cs="Times New Roman"/>
          <w:noProof/>
          <w:color w:val="4C4747"/>
          <w:sz w:val="24"/>
          <w:szCs w:val="24"/>
          <w:lang w:val="en-US"/>
        </w:rPr>
        <w:lastRenderedPageBreak/>
        <w:drawing>
          <wp:anchor distT="0" distB="0" distL="114300" distR="114300" simplePos="0" relativeHeight="251739136" behindDoc="0" locked="0" layoutInCell="1" allowOverlap="1" wp14:anchorId="57C2A046" wp14:editId="777BF62A">
            <wp:simplePos x="0" y="0"/>
            <wp:positionH relativeFrom="margin">
              <wp:align>center</wp:align>
            </wp:positionH>
            <wp:positionV relativeFrom="paragraph">
              <wp:posOffset>83</wp:posOffset>
            </wp:positionV>
            <wp:extent cx="3931920" cy="2286000"/>
            <wp:effectExtent l="0" t="0" r="0" b="0"/>
            <wp:wrapThrough wrapText="bothSides">
              <wp:wrapPolygon edited="0">
                <wp:start x="0" y="0"/>
                <wp:lineTo x="0" y="21420"/>
                <wp:lineTo x="21453" y="21420"/>
                <wp:lineTo x="21453" y="0"/>
                <wp:lineTo x="0" y="0"/>
              </wp:wrapPolygon>
            </wp:wrapThrough>
            <wp:docPr id="707988508" name="Chart 1">
              <a:extLst xmlns:a="http://schemas.openxmlformats.org/drawingml/2006/main">
                <a:ext uri="{FF2B5EF4-FFF2-40B4-BE49-F238E27FC236}">
                  <a16:creationId xmlns:a16="http://schemas.microsoft.com/office/drawing/2014/main" id="{244A89B9-ED8B-72F9-6E08-A7D93970E3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731E5AE2" w14:textId="47BE722D" w:rsidR="00171152" w:rsidRDefault="00171152" w:rsidP="00CE0874">
      <w:pPr>
        <w:rPr>
          <w:rFonts w:ascii="Times New Roman" w:hAnsi="Times New Roman" w:cs="Times New Roman"/>
          <w:color w:val="4C4747"/>
          <w:sz w:val="28"/>
          <w:szCs w:val="28"/>
        </w:rPr>
      </w:pPr>
    </w:p>
    <w:p w14:paraId="0AB6BC3E" w14:textId="77777777" w:rsidR="00CE0874" w:rsidRDefault="00CE0874" w:rsidP="00CE0874">
      <w:pPr>
        <w:rPr>
          <w:rFonts w:ascii="Times New Roman" w:hAnsi="Times New Roman" w:cs="Times New Roman"/>
          <w:color w:val="4C4747"/>
          <w:sz w:val="24"/>
          <w:szCs w:val="24"/>
        </w:rPr>
      </w:pPr>
    </w:p>
    <w:p w14:paraId="4A4347D9" w14:textId="77777777" w:rsidR="00CE0874" w:rsidRDefault="00CE0874" w:rsidP="00CE0874">
      <w:pPr>
        <w:rPr>
          <w:rFonts w:ascii="Times New Roman" w:hAnsi="Times New Roman" w:cs="Times New Roman"/>
          <w:color w:val="4C4747"/>
          <w:sz w:val="24"/>
          <w:szCs w:val="24"/>
        </w:rPr>
      </w:pPr>
    </w:p>
    <w:p w14:paraId="285DCDF8" w14:textId="77777777" w:rsidR="00CE0874" w:rsidRDefault="00CE0874" w:rsidP="00CE0874">
      <w:pPr>
        <w:rPr>
          <w:rFonts w:ascii="Times New Roman" w:hAnsi="Times New Roman" w:cs="Times New Roman"/>
          <w:color w:val="4C4747"/>
          <w:sz w:val="24"/>
          <w:szCs w:val="24"/>
        </w:rPr>
      </w:pPr>
    </w:p>
    <w:p w14:paraId="4D87B199" w14:textId="253396D0" w:rsidR="00CE0874" w:rsidRDefault="00CE0874" w:rsidP="00CE0874">
      <w:pPr>
        <w:rPr>
          <w:rFonts w:ascii="Times New Roman" w:hAnsi="Times New Roman" w:cs="Times New Roman"/>
          <w:color w:val="4C4747"/>
          <w:sz w:val="24"/>
          <w:szCs w:val="24"/>
        </w:rPr>
      </w:pPr>
    </w:p>
    <w:p w14:paraId="661EDF66" w14:textId="259765DA" w:rsidR="00CE0874" w:rsidRDefault="00CE0874" w:rsidP="00CE0874">
      <w:pPr>
        <w:rPr>
          <w:rFonts w:ascii="Times New Roman" w:hAnsi="Times New Roman" w:cs="Times New Roman"/>
          <w:color w:val="4C4747"/>
          <w:sz w:val="24"/>
          <w:szCs w:val="24"/>
        </w:rPr>
      </w:pPr>
    </w:p>
    <w:p w14:paraId="0021DC84" w14:textId="1BA5B3C2" w:rsidR="00CE0874" w:rsidRDefault="00CE0874" w:rsidP="00CE0874">
      <w:pPr>
        <w:rPr>
          <w:rFonts w:ascii="Times New Roman" w:hAnsi="Times New Roman" w:cs="Times New Roman"/>
          <w:color w:val="4C4747"/>
          <w:sz w:val="24"/>
          <w:szCs w:val="24"/>
        </w:rPr>
      </w:pPr>
    </w:p>
    <w:p w14:paraId="5E1463D1" w14:textId="57DAF628" w:rsidR="00171152" w:rsidRPr="00543A92" w:rsidRDefault="00CE0874" w:rsidP="00462712">
      <w:pPr>
        <w:spacing w:line="360" w:lineRule="auto"/>
        <w:jc w:val="both"/>
        <w:rPr>
          <w:rFonts w:ascii="Times New Roman" w:hAnsi="Times New Roman" w:cs="Times New Roman"/>
          <w:color w:val="4C4747"/>
          <w:sz w:val="28"/>
          <w:szCs w:val="28"/>
        </w:rPr>
      </w:pPr>
      <w:r w:rsidRPr="00813D67">
        <w:rPr>
          <w:rFonts w:ascii="Times New Roman" w:hAnsi="Times New Roman" w:cs="Times New Roman"/>
          <w:noProof/>
          <w:color w:val="4C4747"/>
          <w:sz w:val="24"/>
          <w:szCs w:val="24"/>
          <w:lang w:val="en-US"/>
        </w:rPr>
        <w:drawing>
          <wp:anchor distT="0" distB="0" distL="114300" distR="114300" simplePos="0" relativeHeight="251740160" behindDoc="0" locked="0" layoutInCell="1" allowOverlap="1" wp14:anchorId="65E6D84A" wp14:editId="2CD8E9C1">
            <wp:simplePos x="0" y="0"/>
            <wp:positionH relativeFrom="margin">
              <wp:align>center</wp:align>
            </wp:positionH>
            <wp:positionV relativeFrom="paragraph">
              <wp:posOffset>1087408</wp:posOffset>
            </wp:positionV>
            <wp:extent cx="3931920" cy="2286000"/>
            <wp:effectExtent l="0" t="0" r="0" b="0"/>
            <wp:wrapThrough wrapText="bothSides">
              <wp:wrapPolygon edited="0">
                <wp:start x="0" y="0"/>
                <wp:lineTo x="0" y="21420"/>
                <wp:lineTo x="21453" y="21420"/>
                <wp:lineTo x="21453" y="0"/>
                <wp:lineTo x="0" y="0"/>
              </wp:wrapPolygon>
            </wp:wrapThrough>
            <wp:docPr id="653362258" name="Chart 1">
              <a:extLst xmlns:a="http://schemas.openxmlformats.org/drawingml/2006/main">
                <a:ext uri="{FF2B5EF4-FFF2-40B4-BE49-F238E27FC236}">
                  <a16:creationId xmlns:a16="http://schemas.microsoft.com/office/drawing/2014/main" id="{7A50CF84-54F7-8CDA-4476-C31384351F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A77A44" w:rsidRPr="00543A92">
        <w:rPr>
          <w:rFonts w:ascii="Times New Roman" w:hAnsi="Times New Roman" w:cs="Times New Roman"/>
          <w:color w:val="4C4747"/>
          <w:sz w:val="24"/>
          <w:szCs w:val="24"/>
        </w:rPr>
        <w:t xml:space="preserve">Se proyecta que la inversión extranjera directa (IED) ascendería a unos US$ 4,300 millones en el presente año. </w:t>
      </w:r>
      <w:bookmarkStart w:id="11" w:name="_Hlk120808320"/>
      <w:r w:rsidR="00A77A44" w:rsidRPr="00543A92">
        <w:rPr>
          <w:rFonts w:ascii="Times New Roman" w:hAnsi="Times New Roman" w:cs="Times New Roman"/>
          <w:color w:val="4C4747"/>
          <w:sz w:val="24"/>
          <w:szCs w:val="24"/>
        </w:rPr>
        <w:t>El mayor flujo de divisas y la entrada de capitales ha contribuido a la estabilidad relativa del tipo de cambio, con lo cual el peso dominicano exhibe una depreciación acumulada de 1.3 % al cierre de noviembre.</w:t>
      </w:r>
      <w:bookmarkEnd w:id="11"/>
    </w:p>
    <w:p w14:paraId="51A7BFC1" w14:textId="5CC89137" w:rsidR="00171152" w:rsidRDefault="00171152" w:rsidP="00CE0874">
      <w:pPr>
        <w:rPr>
          <w:rFonts w:ascii="Times New Roman" w:hAnsi="Times New Roman" w:cs="Times New Roman"/>
          <w:color w:val="4C4747"/>
          <w:sz w:val="28"/>
          <w:szCs w:val="28"/>
        </w:rPr>
      </w:pPr>
    </w:p>
    <w:p w14:paraId="20E3FADE" w14:textId="6B3D11F2" w:rsidR="00171152" w:rsidRDefault="00171152" w:rsidP="00CE0874">
      <w:pPr>
        <w:rPr>
          <w:rFonts w:ascii="Times New Roman" w:hAnsi="Times New Roman" w:cs="Times New Roman"/>
          <w:color w:val="4C4747"/>
          <w:sz w:val="28"/>
          <w:szCs w:val="28"/>
        </w:rPr>
      </w:pPr>
    </w:p>
    <w:p w14:paraId="7A648E69" w14:textId="1D0F1866" w:rsidR="00171152" w:rsidRDefault="00171152" w:rsidP="00CE0874">
      <w:pPr>
        <w:rPr>
          <w:rFonts w:ascii="Times New Roman" w:hAnsi="Times New Roman" w:cs="Times New Roman"/>
          <w:color w:val="4C4747"/>
          <w:sz w:val="28"/>
          <w:szCs w:val="28"/>
        </w:rPr>
      </w:pPr>
    </w:p>
    <w:p w14:paraId="7CAF9AF1" w14:textId="511664AF" w:rsidR="00171152" w:rsidRDefault="00171152" w:rsidP="00CE0874">
      <w:pPr>
        <w:rPr>
          <w:rFonts w:ascii="Times New Roman" w:hAnsi="Times New Roman" w:cs="Times New Roman"/>
          <w:color w:val="4C4747"/>
          <w:sz w:val="28"/>
          <w:szCs w:val="28"/>
        </w:rPr>
      </w:pPr>
    </w:p>
    <w:p w14:paraId="378DA91A" w14:textId="69D85289" w:rsidR="00171152" w:rsidRDefault="00171152" w:rsidP="00CE0874">
      <w:pPr>
        <w:rPr>
          <w:rFonts w:ascii="Times New Roman" w:hAnsi="Times New Roman" w:cs="Times New Roman"/>
          <w:color w:val="4C4747"/>
          <w:sz w:val="28"/>
          <w:szCs w:val="28"/>
        </w:rPr>
      </w:pPr>
    </w:p>
    <w:p w14:paraId="35F3684C" w14:textId="0F068CFD" w:rsidR="00171152" w:rsidRDefault="00171152" w:rsidP="00CE0874">
      <w:pPr>
        <w:rPr>
          <w:rFonts w:ascii="Times New Roman" w:hAnsi="Times New Roman" w:cs="Times New Roman"/>
          <w:color w:val="4C4747"/>
          <w:sz w:val="28"/>
          <w:szCs w:val="28"/>
        </w:rPr>
      </w:pPr>
    </w:p>
    <w:p w14:paraId="34071CA4" w14:textId="43DFB54B" w:rsidR="00171152" w:rsidRDefault="00171152" w:rsidP="00CE0874">
      <w:pPr>
        <w:rPr>
          <w:rFonts w:ascii="Times New Roman" w:hAnsi="Times New Roman" w:cs="Times New Roman"/>
          <w:color w:val="4C4747"/>
          <w:sz w:val="28"/>
          <w:szCs w:val="28"/>
        </w:rPr>
      </w:pPr>
    </w:p>
    <w:p w14:paraId="002D91B0" w14:textId="0E1032B1" w:rsidR="00171152" w:rsidRDefault="00171152" w:rsidP="00CE0874">
      <w:pPr>
        <w:rPr>
          <w:rFonts w:ascii="Times New Roman" w:hAnsi="Times New Roman" w:cs="Times New Roman"/>
          <w:color w:val="4C4747"/>
          <w:sz w:val="28"/>
          <w:szCs w:val="28"/>
        </w:rPr>
      </w:pPr>
    </w:p>
    <w:p w14:paraId="699D5CF1" w14:textId="1373F2D4" w:rsidR="00A77A44" w:rsidRDefault="00C47BE5" w:rsidP="00CE0874">
      <w:pPr>
        <w:spacing w:line="360" w:lineRule="auto"/>
        <w:jc w:val="both"/>
        <w:rPr>
          <w:rFonts w:ascii="Times New Roman" w:eastAsia="Artifex CF Extra Light" w:hAnsi="Times New Roman" w:cs="Times New Roman"/>
          <w:color w:val="4C4747"/>
          <w:sz w:val="24"/>
          <w:szCs w:val="24"/>
        </w:rPr>
      </w:pPr>
      <w:r w:rsidRPr="00813D67">
        <w:rPr>
          <w:rFonts w:ascii="Times New Roman" w:hAnsi="Times New Roman" w:cs="Times New Roman"/>
          <w:noProof/>
          <w:color w:val="4C4747"/>
          <w:sz w:val="24"/>
          <w:szCs w:val="24"/>
          <w:lang w:val="en-US"/>
        </w:rPr>
        <w:lastRenderedPageBreak/>
        <w:drawing>
          <wp:anchor distT="0" distB="0" distL="114300" distR="114300" simplePos="0" relativeHeight="251741184" behindDoc="0" locked="0" layoutInCell="1" allowOverlap="1" wp14:anchorId="5CCA50CB" wp14:editId="41CD866E">
            <wp:simplePos x="0" y="0"/>
            <wp:positionH relativeFrom="margin">
              <wp:align>right</wp:align>
            </wp:positionH>
            <wp:positionV relativeFrom="paragraph">
              <wp:posOffset>1271815</wp:posOffset>
            </wp:positionV>
            <wp:extent cx="4832985" cy="2303780"/>
            <wp:effectExtent l="0" t="0" r="5715" b="1270"/>
            <wp:wrapThrough wrapText="bothSides">
              <wp:wrapPolygon edited="0">
                <wp:start x="0" y="0"/>
                <wp:lineTo x="0" y="21433"/>
                <wp:lineTo x="21540" y="21433"/>
                <wp:lineTo x="21540" y="0"/>
                <wp:lineTo x="0" y="0"/>
              </wp:wrapPolygon>
            </wp:wrapThrough>
            <wp:docPr id="177162952" name="Chart 1">
              <a:extLst xmlns:a="http://schemas.openxmlformats.org/drawingml/2006/main">
                <a:ext uri="{FF2B5EF4-FFF2-40B4-BE49-F238E27FC236}">
                  <a16:creationId xmlns:a16="http://schemas.microsoft.com/office/drawing/2014/main" id="{4057D65C-8270-8245-71F7-39AFA253A6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A77A44" w:rsidRPr="00D270CA">
        <w:rPr>
          <w:rFonts w:ascii="Times New Roman" w:hAnsi="Times New Roman" w:cs="Times New Roman"/>
          <w:bCs/>
          <w:color w:val="555555"/>
          <w:sz w:val="24"/>
          <w:szCs w:val="24"/>
          <w:shd w:val="clear" w:color="auto" w:fill="FFFFFF"/>
        </w:rPr>
        <w:t>La acumulación de reservas internacionales, las cuales se ubicaron en torno a los US$ 15,000 millones al cierre de noviembre, equivalente a un 12.5 % del PIB y a aproximadamente 5.6 meses de importaciones, superior a los niveles recomendados</w:t>
      </w:r>
      <w:r w:rsidR="00A77A44" w:rsidRPr="00A77A44">
        <w:rPr>
          <w:rFonts w:ascii="Times New Roman" w:eastAsia="Artifex CF Extra Light" w:hAnsi="Times New Roman" w:cs="Times New Roman"/>
          <w:color w:val="4C4747"/>
          <w:sz w:val="24"/>
          <w:szCs w:val="24"/>
        </w:rPr>
        <w:t xml:space="preserve"> por el FMI. </w:t>
      </w:r>
    </w:p>
    <w:p w14:paraId="485476E7" w14:textId="62376556" w:rsidR="00942E9E" w:rsidRDefault="00CE0874" w:rsidP="00942E9E">
      <w:r w:rsidRPr="00813D67">
        <w:rPr>
          <w:rFonts w:ascii="Times New Roman" w:hAnsi="Times New Roman" w:cs="Times New Roman"/>
          <w:noProof/>
          <w:color w:val="4C4747"/>
          <w:sz w:val="24"/>
          <w:szCs w:val="24"/>
          <w:lang w:val="en-US"/>
        </w:rPr>
        <w:drawing>
          <wp:anchor distT="0" distB="0" distL="114300" distR="114300" simplePos="0" relativeHeight="251756544" behindDoc="1" locked="0" layoutInCell="1" allowOverlap="1" wp14:anchorId="0F337B89" wp14:editId="529ABEFC">
            <wp:simplePos x="0" y="0"/>
            <wp:positionH relativeFrom="margin">
              <wp:posOffset>480439</wp:posOffset>
            </wp:positionH>
            <wp:positionV relativeFrom="paragraph">
              <wp:posOffset>2669087</wp:posOffset>
            </wp:positionV>
            <wp:extent cx="3931920" cy="2286000"/>
            <wp:effectExtent l="0" t="0" r="0" b="0"/>
            <wp:wrapThrough wrapText="bothSides">
              <wp:wrapPolygon edited="0">
                <wp:start x="0" y="0"/>
                <wp:lineTo x="0" y="21420"/>
                <wp:lineTo x="21453" y="21420"/>
                <wp:lineTo x="21453" y="0"/>
                <wp:lineTo x="0" y="0"/>
              </wp:wrapPolygon>
            </wp:wrapThrough>
            <wp:docPr id="259221397" name="Chart 1">
              <a:extLst xmlns:a="http://schemas.openxmlformats.org/drawingml/2006/main">
                <a:ext uri="{FF2B5EF4-FFF2-40B4-BE49-F238E27FC236}">
                  <a16:creationId xmlns:a16="http://schemas.microsoft.com/office/drawing/2014/main" id="{4D49D7A1-0503-58DC-1117-44BBFCC21C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anchor>
        </w:drawing>
      </w:r>
    </w:p>
    <w:p w14:paraId="7A10A543" w14:textId="6BA0FCD0" w:rsidR="00CE0874" w:rsidRDefault="00CE0874" w:rsidP="00942E9E"/>
    <w:p w14:paraId="1A0FB2F9" w14:textId="4E768477" w:rsidR="00CE0874" w:rsidRDefault="00CE0874" w:rsidP="00942E9E"/>
    <w:p w14:paraId="447BF0A2" w14:textId="6FB85566" w:rsidR="00CE0874" w:rsidRDefault="00CE0874" w:rsidP="00942E9E"/>
    <w:p w14:paraId="4FAFAA4D" w14:textId="416EDFD7" w:rsidR="00CE0874" w:rsidRDefault="00CE0874" w:rsidP="00942E9E"/>
    <w:p w14:paraId="28B57369" w14:textId="5419418F" w:rsidR="00CE0874" w:rsidRDefault="00CE0874" w:rsidP="00942E9E"/>
    <w:p w14:paraId="67F4F08D" w14:textId="3ABD36C0" w:rsidR="00CE0874" w:rsidRDefault="00CE0874" w:rsidP="00942E9E"/>
    <w:p w14:paraId="07EA4250" w14:textId="40FEB361" w:rsidR="00CE0874" w:rsidRDefault="00CE0874" w:rsidP="00942E9E"/>
    <w:p w14:paraId="0634728C" w14:textId="05BADCF2" w:rsidR="00CE0874" w:rsidRDefault="00CE0874" w:rsidP="00942E9E"/>
    <w:p w14:paraId="6CBAD227" w14:textId="561D22BE" w:rsidR="00CE0874" w:rsidRDefault="00CE0874" w:rsidP="00942E9E"/>
    <w:p w14:paraId="36CAC78A" w14:textId="77777777" w:rsidR="00CE0874" w:rsidRPr="00942E9E" w:rsidRDefault="00CE0874" w:rsidP="00942E9E"/>
    <w:p w14:paraId="1E037D8F" w14:textId="607CD3ED" w:rsidR="00ED3488" w:rsidRPr="00AE4609" w:rsidRDefault="003E38E1" w:rsidP="00FB3B1E">
      <w:pPr>
        <w:pStyle w:val="Heading1"/>
        <w:jc w:val="center"/>
        <w:rPr>
          <w:rFonts w:ascii="Times New Roman" w:hAnsi="Times New Roman" w:cs="Times New Roman"/>
          <w:color w:val="4C4747"/>
          <w:sz w:val="28"/>
          <w:szCs w:val="28"/>
        </w:rPr>
      </w:pPr>
      <w:bookmarkStart w:id="12" w:name="_Toc155259658"/>
      <w:r>
        <w:rPr>
          <w:rFonts w:ascii="Times New Roman" w:hAnsi="Times New Roman" w:cs="Times New Roman"/>
          <w:color w:val="4C4747"/>
          <w:sz w:val="28"/>
          <w:szCs w:val="28"/>
        </w:rPr>
        <w:lastRenderedPageBreak/>
        <w:t xml:space="preserve">II. </w:t>
      </w:r>
      <w:r w:rsidR="00F03662" w:rsidRPr="00AE4609">
        <w:rPr>
          <w:rFonts w:ascii="Times New Roman" w:hAnsi="Times New Roman" w:cs="Times New Roman"/>
          <w:color w:val="4C4747"/>
          <w:sz w:val="28"/>
          <w:szCs w:val="28"/>
        </w:rPr>
        <w:t xml:space="preserve">INFORMACIÓN </w:t>
      </w:r>
      <w:r w:rsidR="00F03662">
        <w:rPr>
          <w:rFonts w:ascii="Times New Roman" w:hAnsi="Times New Roman" w:cs="Times New Roman"/>
          <w:color w:val="4C4747"/>
          <w:sz w:val="28"/>
          <w:szCs w:val="28"/>
        </w:rPr>
        <w:t>I</w:t>
      </w:r>
      <w:r w:rsidR="00F03662" w:rsidRPr="00AE4609">
        <w:rPr>
          <w:rFonts w:ascii="Times New Roman" w:hAnsi="Times New Roman" w:cs="Times New Roman"/>
          <w:color w:val="4C4747"/>
          <w:sz w:val="28"/>
          <w:szCs w:val="28"/>
        </w:rPr>
        <w:t>NSTITUCIONAL</w:t>
      </w:r>
      <w:bookmarkEnd w:id="12"/>
    </w:p>
    <w:p w14:paraId="3BB3EE3A" w14:textId="540EF503" w:rsidR="0093056E" w:rsidRPr="0093056E" w:rsidRDefault="001E5C18" w:rsidP="0093056E">
      <w:r w:rsidRPr="00D92922">
        <w:rPr>
          <w:rFonts w:ascii="Artifex CF Extra Light" w:hAnsi="Artifex CF Extra Light"/>
          <w:noProof/>
          <w:color w:val="1F3864" w:themeColor="accent1" w:themeShade="80"/>
          <w:sz w:val="18"/>
        </w:rPr>
        <mc:AlternateContent>
          <mc:Choice Requires="wps">
            <w:drawing>
              <wp:anchor distT="0" distB="0" distL="114300" distR="114300" simplePos="0" relativeHeight="251668480" behindDoc="0" locked="0" layoutInCell="1" allowOverlap="1" wp14:anchorId="6B5E54A1" wp14:editId="3A4160DC">
                <wp:simplePos x="0" y="0"/>
                <wp:positionH relativeFrom="margin">
                  <wp:align>center</wp:align>
                </wp:positionH>
                <wp:positionV relativeFrom="paragraph">
                  <wp:posOffset>75565</wp:posOffset>
                </wp:positionV>
                <wp:extent cx="540000" cy="0"/>
                <wp:effectExtent l="0" t="19050" r="31750" b="19050"/>
                <wp:wrapNone/>
                <wp:docPr id="10"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381668" id="Conector recto 9" o:spid="_x0000_s1026" style="position:absolute;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95pt" to="42.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" strokecolor="red" strokeweight="2.5pt">
                <v:stroke joinstyle="miter"/>
                <w10:wrap anchorx="margin"/>
              </v:line>
            </w:pict>
          </mc:Fallback>
        </mc:AlternateContent>
      </w:r>
    </w:p>
    <w:p w14:paraId="5B0D9B85" w14:textId="49D9F8FD" w:rsidR="00F03662" w:rsidRPr="00F03662" w:rsidRDefault="00F03662" w:rsidP="00F03662">
      <w:pPr>
        <w:jc w:val="center"/>
        <w:rPr>
          <w:rFonts w:ascii="Times New Roman" w:hAnsi="Times New Roman" w:cs="Times New Roman"/>
          <w:color w:val="4C4747"/>
          <w:sz w:val="24"/>
          <w:szCs w:val="24"/>
        </w:rPr>
      </w:pPr>
      <w:r w:rsidRPr="00F03662">
        <w:rPr>
          <w:rFonts w:ascii="Times New Roman" w:hAnsi="Times New Roman" w:cs="Times New Roman"/>
          <w:color w:val="4C4747"/>
          <w:sz w:val="24"/>
          <w:szCs w:val="24"/>
        </w:rPr>
        <w:t>Memoria institucional 202</w:t>
      </w:r>
      <w:r w:rsidR="003C3630">
        <w:rPr>
          <w:rFonts w:ascii="Times New Roman" w:hAnsi="Times New Roman" w:cs="Times New Roman"/>
          <w:color w:val="4C4747"/>
          <w:sz w:val="24"/>
          <w:szCs w:val="24"/>
        </w:rPr>
        <w:t>3</w:t>
      </w:r>
    </w:p>
    <w:p w14:paraId="5080F433" w14:textId="77777777" w:rsidR="00F03662" w:rsidRDefault="00F03662" w:rsidP="00F03662">
      <w:pPr>
        <w:pStyle w:val="Heading2"/>
        <w:rPr>
          <w:rFonts w:ascii="Times New Roman" w:hAnsi="Times New Roman" w:cs="Times New Roman"/>
          <w:color w:val="4C4747"/>
          <w:sz w:val="24"/>
          <w:szCs w:val="24"/>
        </w:rPr>
      </w:pPr>
    </w:p>
    <w:p w14:paraId="400B7814" w14:textId="7F49E271" w:rsidR="00BA7408" w:rsidRPr="00AD0E8C" w:rsidRDefault="003E38E1" w:rsidP="00F03662">
      <w:pPr>
        <w:pStyle w:val="Heading2"/>
        <w:rPr>
          <w:rFonts w:ascii="Times New Roman" w:hAnsi="Times New Roman" w:cs="Times New Roman"/>
          <w:b/>
          <w:color w:val="4C4747"/>
          <w:sz w:val="24"/>
          <w:szCs w:val="24"/>
        </w:rPr>
      </w:pPr>
      <w:bookmarkStart w:id="13" w:name="_Toc155259659"/>
      <w:r w:rsidRPr="00AD0E8C">
        <w:rPr>
          <w:rFonts w:ascii="Times New Roman" w:hAnsi="Times New Roman" w:cs="Times New Roman"/>
          <w:b/>
          <w:color w:val="4C4747"/>
          <w:sz w:val="24"/>
          <w:szCs w:val="24"/>
        </w:rPr>
        <w:t xml:space="preserve">2.1 </w:t>
      </w:r>
      <w:r w:rsidR="00ED3488" w:rsidRPr="00AD0E8C">
        <w:rPr>
          <w:rFonts w:ascii="Times New Roman" w:hAnsi="Times New Roman" w:cs="Times New Roman"/>
          <w:b/>
          <w:color w:val="4C4747"/>
          <w:sz w:val="24"/>
          <w:szCs w:val="24"/>
        </w:rPr>
        <w:t>Marco filosófico institucional</w:t>
      </w:r>
      <w:bookmarkEnd w:id="13"/>
    </w:p>
    <w:p w14:paraId="1A5A5194" w14:textId="21E062C1" w:rsidR="003E38E1" w:rsidRPr="003E38E1" w:rsidRDefault="003E38E1" w:rsidP="003E38E1"/>
    <w:p w14:paraId="7455945D" w14:textId="4F7DF497" w:rsidR="005678E9" w:rsidRDefault="003E38E1" w:rsidP="005678E9">
      <w:pPr>
        <w:pStyle w:val="Heading3"/>
        <w:rPr>
          <w:rFonts w:ascii="Times New Roman" w:hAnsi="Times New Roman" w:cs="Times New Roman"/>
          <w:color w:val="4C4747"/>
        </w:rPr>
      </w:pPr>
      <w:bookmarkStart w:id="14" w:name="_Toc155259660"/>
      <w:r>
        <w:rPr>
          <w:rFonts w:ascii="Times New Roman" w:hAnsi="Times New Roman" w:cs="Times New Roman"/>
          <w:color w:val="4C4747"/>
        </w:rPr>
        <w:t xml:space="preserve">2.1.1 </w:t>
      </w:r>
      <w:r w:rsidR="00ED3488" w:rsidRPr="00CA3896">
        <w:rPr>
          <w:rFonts w:ascii="Times New Roman" w:hAnsi="Times New Roman" w:cs="Times New Roman"/>
          <w:color w:val="4C4747"/>
        </w:rPr>
        <w:t>Misión</w:t>
      </w:r>
      <w:bookmarkEnd w:id="14"/>
    </w:p>
    <w:p w14:paraId="7C0B5761" w14:textId="77777777" w:rsidR="005678E9" w:rsidRDefault="005678E9" w:rsidP="005678E9"/>
    <w:p w14:paraId="76FE9874" w14:textId="7B09423D" w:rsidR="003C3630" w:rsidRDefault="003C3630" w:rsidP="003C3630">
      <w:pPr>
        <w:spacing w:line="360" w:lineRule="auto"/>
        <w:jc w:val="both"/>
        <w:rPr>
          <w:rFonts w:ascii="Times New Roman" w:hAnsi="Times New Roman" w:cs="Times New Roman"/>
          <w:bCs/>
          <w:color w:val="555555"/>
          <w:sz w:val="24"/>
          <w:szCs w:val="24"/>
          <w:shd w:val="clear" w:color="auto" w:fill="FFFFFF"/>
        </w:rPr>
      </w:pPr>
      <w:r w:rsidRPr="003C3630">
        <w:rPr>
          <w:rFonts w:ascii="Times New Roman" w:hAnsi="Times New Roman" w:cs="Times New Roman"/>
          <w:bCs/>
          <w:color w:val="555555"/>
          <w:sz w:val="24"/>
          <w:szCs w:val="24"/>
          <w:shd w:val="clear" w:color="auto" w:fill="FFFFFF"/>
        </w:rPr>
        <w:t>Ser el ente emisor, velar por la estabilidad de precios y garantizar la regulación del sistema ﬁnanciero, así como promover la eﬁciencia y seguridad de los sistemas de pagos, actuando como ejecutor de las políticas monetaria, cambiaria y ﬁnanciera, para coadyuvar a la estabilidad y el crecimiento de la economía nacional.</w:t>
      </w:r>
    </w:p>
    <w:p w14:paraId="749B7090" w14:textId="36924C98" w:rsidR="000F7FB4" w:rsidRDefault="003E38E1" w:rsidP="005678E9">
      <w:pPr>
        <w:pStyle w:val="Heading3"/>
        <w:rPr>
          <w:rFonts w:ascii="Times New Roman" w:hAnsi="Times New Roman" w:cs="Times New Roman"/>
          <w:color w:val="4C4747"/>
        </w:rPr>
      </w:pPr>
      <w:bookmarkStart w:id="15" w:name="_Toc155259661"/>
      <w:r>
        <w:rPr>
          <w:rFonts w:ascii="Times New Roman" w:hAnsi="Times New Roman" w:cs="Times New Roman"/>
          <w:color w:val="4C4747"/>
        </w:rPr>
        <w:t xml:space="preserve">2.1.2 </w:t>
      </w:r>
      <w:r w:rsidR="00ED3488" w:rsidRPr="00CA3896">
        <w:rPr>
          <w:rFonts w:ascii="Times New Roman" w:hAnsi="Times New Roman" w:cs="Times New Roman"/>
          <w:color w:val="4C4747"/>
        </w:rPr>
        <w:t>Visión</w:t>
      </w:r>
      <w:bookmarkEnd w:id="15"/>
    </w:p>
    <w:p w14:paraId="259125AF" w14:textId="77777777" w:rsidR="005678E9" w:rsidRPr="005678E9" w:rsidRDefault="005678E9" w:rsidP="005678E9"/>
    <w:p w14:paraId="3FD673A0" w14:textId="596D2799" w:rsidR="005678E9" w:rsidRPr="005678E9" w:rsidRDefault="003C3630" w:rsidP="005678E9">
      <w:pPr>
        <w:spacing w:line="360" w:lineRule="auto"/>
        <w:jc w:val="both"/>
        <w:rPr>
          <w:rFonts w:ascii="Times New Roman" w:hAnsi="Times New Roman" w:cs="Times New Roman"/>
          <w:bCs/>
          <w:color w:val="555555"/>
          <w:sz w:val="24"/>
          <w:szCs w:val="24"/>
          <w:shd w:val="clear" w:color="auto" w:fill="FFFFFF"/>
        </w:rPr>
      </w:pPr>
      <w:r w:rsidRPr="003C3630">
        <w:rPr>
          <w:rFonts w:ascii="Times New Roman" w:hAnsi="Times New Roman" w:cs="Times New Roman"/>
          <w:bCs/>
          <w:color w:val="555555"/>
          <w:sz w:val="24"/>
          <w:szCs w:val="24"/>
          <w:shd w:val="clear" w:color="auto" w:fill="FFFFFF"/>
        </w:rPr>
        <w:t>Ser una institución dinámica y transparente, reconocida por su credibilidad, eﬁciencia y liderazgo, y sustentada en su autonomía, gobernabilidad, capital humano y capacidad tecnológica.</w:t>
      </w:r>
      <w:r>
        <w:rPr>
          <w:rFonts w:ascii="Times New Roman" w:hAnsi="Times New Roman" w:cs="Times New Roman"/>
          <w:bCs/>
          <w:color w:val="555555"/>
          <w:sz w:val="24"/>
          <w:szCs w:val="24"/>
          <w:shd w:val="clear" w:color="auto" w:fill="FFFFFF"/>
        </w:rPr>
        <w:t xml:space="preserve"> </w:t>
      </w:r>
    </w:p>
    <w:p w14:paraId="16CC7FB1" w14:textId="72982668" w:rsidR="003E38E1" w:rsidRDefault="003E38E1" w:rsidP="003E38E1">
      <w:pPr>
        <w:pStyle w:val="Heading3"/>
        <w:rPr>
          <w:rFonts w:ascii="Times New Roman" w:hAnsi="Times New Roman" w:cs="Times New Roman"/>
          <w:color w:val="4C4747"/>
        </w:rPr>
      </w:pPr>
      <w:bookmarkStart w:id="16" w:name="_Toc155259662"/>
      <w:r>
        <w:rPr>
          <w:rFonts w:ascii="Times New Roman" w:hAnsi="Times New Roman" w:cs="Times New Roman"/>
          <w:color w:val="4C4747"/>
        </w:rPr>
        <w:t xml:space="preserve">2.1.3   </w:t>
      </w:r>
      <w:r w:rsidR="00ED3488" w:rsidRPr="00CA3896">
        <w:rPr>
          <w:rFonts w:ascii="Times New Roman" w:hAnsi="Times New Roman" w:cs="Times New Roman"/>
          <w:color w:val="4C4747"/>
        </w:rPr>
        <w:t>Valores</w:t>
      </w:r>
      <w:bookmarkEnd w:id="16"/>
    </w:p>
    <w:p w14:paraId="52066302" w14:textId="77777777" w:rsidR="003E38E1" w:rsidRPr="003C3630" w:rsidRDefault="003E38E1" w:rsidP="003E38E1">
      <w:pPr>
        <w:rPr>
          <w:rFonts w:ascii="Times New Roman" w:hAnsi="Times New Roman" w:cs="Times New Roman"/>
          <w:bCs/>
          <w:color w:val="555555"/>
          <w:sz w:val="24"/>
          <w:szCs w:val="24"/>
          <w:shd w:val="clear" w:color="auto" w:fill="FFFFFF"/>
        </w:rPr>
      </w:pPr>
    </w:p>
    <w:p w14:paraId="058F3A76" w14:textId="77777777" w:rsidR="0093056E" w:rsidRPr="003C3630" w:rsidRDefault="0093056E" w:rsidP="00776E7D">
      <w:pPr>
        <w:pStyle w:val="ListParagraph"/>
        <w:numPr>
          <w:ilvl w:val="0"/>
          <w:numId w:val="2"/>
        </w:numPr>
        <w:rPr>
          <w:rFonts w:ascii="Times New Roman" w:hAnsi="Times New Roman" w:cs="Times New Roman"/>
          <w:bCs/>
          <w:color w:val="555555"/>
          <w:sz w:val="24"/>
          <w:szCs w:val="24"/>
          <w:shd w:val="clear" w:color="auto" w:fill="FFFFFF"/>
        </w:rPr>
      </w:pPr>
      <w:r w:rsidRPr="003C3630">
        <w:rPr>
          <w:rFonts w:ascii="Times New Roman" w:hAnsi="Times New Roman" w:cs="Times New Roman"/>
          <w:bCs/>
          <w:color w:val="555555"/>
          <w:sz w:val="24"/>
          <w:szCs w:val="24"/>
          <w:shd w:val="clear" w:color="auto" w:fill="FFFFFF"/>
        </w:rPr>
        <w:t>Integridad</w:t>
      </w:r>
    </w:p>
    <w:p w14:paraId="62C27670" w14:textId="77777777" w:rsidR="0093056E" w:rsidRPr="003C3630" w:rsidRDefault="0093056E" w:rsidP="00776E7D">
      <w:pPr>
        <w:pStyle w:val="ListParagraph"/>
        <w:numPr>
          <w:ilvl w:val="0"/>
          <w:numId w:val="2"/>
        </w:numPr>
        <w:rPr>
          <w:rFonts w:ascii="Times New Roman" w:hAnsi="Times New Roman" w:cs="Times New Roman"/>
          <w:bCs/>
          <w:color w:val="555555"/>
          <w:sz w:val="24"/>
          <w:szCs w:val="24"/>
          <w:shd w:val="clear" w:color="auto" w:fill="FFFFFF"/>
        </w:rPr>
      </w:pPr>
      <w:r w:rsidRPr="003C3630">
        <w:rPr>
          <w:rFonts w:ascii="Times New Roman" w:hAnsi="Times New Roman" w:cs="Times New Roman"/>
          <w:bCs/>
          <w:color w:val="555555"/>
          <w:sz w:val="24"/>
          <w:szCs w:val="24"/>
          <w:shd w:val="clear" w:color="auto" w:fill="FFFFFF"/>
        </w:rPr>
        <w:t>Transparencia</w:t>
      </w:r>
    </w:p>
    <w:p w14:paraId="5946A205" w14:textId="77777777" w:rsidR="0093056E" w:rsidRPr="003C3630" w:rsidRDefault="0093056E" w:rsidP="00776E7D">
      <w:pPr>
        <w:pStyle w:val="ListParagraph"/>
        <w:numPr>
          <w:ilvl w:val="0"/>
          <w:numId w:val="2"/>
        </w:numPr>
        <w:rPr>
          <w:rFonts w:ascii="Times New Roman" w:hAnsi="Times New Roman" w:cs="Times New Roman"/>
          <w:bCs/>
          <w:color w:val="555555"/>
          <w:sz w:val="24"/>
          <w:szCs w:val="24"/>
          <w:shd w:val="clear" w:color="auto" w:fill="FFFFFF"/>
        </w:rPr>
      </w:pPr>
      <w:r w:rsidRPr="003C3630">
        <w:rPr>
          <w:rFonts w:ascii="Times New Roman" w:hAnsi="Times New Roman" w:cs="Times New Roman"/>
          <w:bCs/>
          <w:color w:val="555555"/>
          <w:sz w:val="24"/>
          <w:szCs w:val="24"/>
          <w:shd w:val="clear" w:color="auto" w:fill="FFFFFF"/>
        </w:rPr>
        <w:t>Lealtad</w:t>
      </w:r>
    </w:p>
    <w:p w14:paraId="05C272E9" w14:textId="77777777" w:rsidR="0093056E" w:rsidRPr="003C3630" w:rsidRDefault="0093056E" w:rsidP="00776E7D">
      <w:pPr>
        <w:pStyle w:val="ListParagraph"/>
        <w:numPr>
          <w:ilvl w:val="0"/>
          <w:numId w:val="2"/>
        </w:numPr>
        <w:rPr>
          <w:rFonts w:ascii="Times New Roman" w:hAnsi="Times New Roman" w:cs="Times New Roman"/>
          <w:bCs/>
          <w:color w:val="555555"/>
          <w:sz w:val="24"/>
          <w:szCs w:val="24"/>
          <w:shd w:val="clear" w:color="auto" w:fill="FFFFFF"/>
        </w:rPr>
      </w:pPr>
      <w:r w:rsidRPr="003C3630">
        <w:rPr>
          <w:rFonts w:ascii="Times New Roman" w:hAnsi="Times New Roman" w:cs="Times New Roman"/>
          <w:bCs/>
          <w:color w:val="555555"/>
          <w:sz w:val="24"/>
          <w:szCs w:val="24"/>
          <w:shd w:val="clear" w:color="auto" w:fill="FFFFFF"/>
        </w:rPr>
        <w:t>Productividad</w:t>
      </w:r>
    </w:p>
    <w:p w14:paraId="0FBF0700" w14:textId="77777777" w:rsidR="0093056E" w:rsidRPr="003C3630" w:rsidRDefault="0093056E" w:rsidP="00776E7D">
      <w:pPr>
        <w:pStyle w:val="ListParagraph"/>
        <w:numPr>
          <w:ilvl w:val="0"/>
          <w:numId w:val="2"/>
        </w:numPr>
        <w:rPr>
          <w:rFonts w:ascii="Times New Roman" w:hAnsi="Times New Roman" w:cs="Times New Roman"/>
          <w:bCs/>
          <w:color w:val="555555"/>
          <w:sz w:val="24"/>
          <w:szCs w:val="24"/>
          <w:shd w:val="clear" w:color="auto" w:fill="FFFFFF"/>
        </w:rPr>
      </w:pPr>
      <w:r w:rsidRPr="003C3630">
        <w:rPr>
          <w:rFonts w:ascii="Times New Roman" w:hAnsi="Times New Roman" w:cs="Times New Roman"/>
          <w:bCs/>
          <w:color w:val="555555"/>
          <w:sz w:val="24"/>
          <w:szCs w:val="24"/>
          <w:shd w:val="clear" w:color="auto" w:fill="FFFFFF"/>
        </w:rPr>
        <w:t>Excelencia</w:t>
      </w:r>
    </w:p>
    <w:p w14:paraId="51FBA66D" w14:textId="4FF46448" w:rsidR="003E6DED" w:rsidRPr="003C3630" w:rsidRDefault="0093056E" w:rsidP="00776E7D">
      <w:pPr>
        <w:pStyle w:val="ListParagraph"/>
        <w:numPr>
          <w:ilvl w:val="0"/>
          <w:numId w:val="2"/>
        </w:numPr>
        <w:rPr>
          <w:rFonts w:ascii="Times New Roman" w:hAnsi="Times New Roman" w:cs="Times New Roman"/>
          <w:bCs/>
          <w:color w:val="555555"/>
          <w:sz w:val="24"/>
          <w:szCs w:val="24"/>
          <w:shd w:val="clear" w:color="auto" w:fill="FFFFFF"/>
        </w:rPr>
      </w:pPr>
      <w:r w:rsidRPr="003C3630">
        <w:rPr>
          <w:rFonts w:ascii="Times New Roman" w:hAnsi="Times New Roman" w:cs="Times New Roman"/>
          <w:bCs/>
          <w:color w:val="555555"/>
          <w:sz w:val="24"/>
          <w:szCs w:val="24"/>
          <w:shd w:val="clear" w:color="auto" w:fill="FFFFFF"/>
        </w:rPr>
        <w:t>Compromiso</w:t>
      </w:r>
    </w:p>
    <w:p w14:paraId="6DB7F465" w14:textId="77777777" w:rsidR="003E6DED" w:rsidRPr="003C3630" w:rsidRDefault="003E6DED" w:rsidP="0093056E">
      <w:pPr>
        <w:rPr>
          <w:rFonts w:ascii="Times New Roman" w:hAnsi="Times New Roman" w:cs="Times New Roman"/>
          <w:bCs/>
          <w:color w:val="555555"/>
          <w:sz w:val="24"/>
          <w:szCs w:val="24"/>
          <w:shd w:val="clear" w:color="auto" w:fill="FFFFFF"/>
        </w:rPr>
      </w:pPr>
    </w:p>
    <w:p w14:paraId="484DF51C" w14:textId="634E68DA" w:rsidR="004F7482" w:rsidRPr="003C3630" w:rsidRDefault="003E6DED" w:rsidP="0093056E">
      <w:pPr>
        <w:rPr>
          <w:rFonts w:ascii="Times New Roman" w:hAnsi="Times New Roman" w:cs="Times New Roman"/>
          <w:bCs/>
          <w:color w:val="555555"/>
          <w:sz w:val="24"/>
          <w:szCs w:val="24"/>
          <w:shd w:val="clear" w:color="auto" w:fill="FFFFFF"/>
        </w:rPr>
      </w:pPr>
      <w:r w:rsidRPr="003C3630">
        <w:rPr>
          <w:rFonts w:ascii="Times New Roman" w:hAnsi="Times New Roman" w:cs="Times New Roman"/>
          <w:bCs/>
          <w:color w:val="555555"/>
          <w:sz w:val="24"/>
          <w:szCs w:val="24"/>
          <w:shd w:val="clear" w:color="auto" w:fill="FFFFFF"/>
        </w:rPr>
        <w:t xml:space="preserve">Eslogan: </w:t>
      </w:r>
      <w:r w:rsidR="005678E9" w:rsidRPr="003C3630">
        <w:rPr>
          <w:rFonts w:ascii="Times New Roman" w:hAnsi="Times New Roman" w:cs="Times New Roman"/>
          <w:bCs/>
          <w:color w:val="555555"/>
          <w:sz w:val="24"/>
          <w:szCs w:val="24"/>
          <w:shd w:val="clear" w:color="auto" w:fill="FFFFFF"/>
        </w:rPr>
        <w:t>“Estabilidad y Crecimiento Económico”</w:t>
      </w:r>
    </w:p>
    <w:p w14:paraId="65A1860F" w14:textId="00A0ED95" w:rsidR="004F7482" w:rsidRDefault="004F7482" w:rsidP="0093056E">
      <w:pPr>
        <w:rPr>
          <w:rFonts w:ascii="Times New Roman" w:hAnsi="Times New Roman" w:cs="Times New Roman"/>
          <w:color w:val="4C4747"/>
          <w:sz w:val="24"/>
          <w:szCs w:val="24"/>
        </w:rPr>
      </w:pPr>
    </w:p>
    <w:p w14:paraId="63490728" w14:textId="0794F8C5" w:rsidR="00D574B9" w:rsidRPr="00462712" w:rsidRDefault="003E38E1" w:rsidP="00462712">
      <w:pPr>
        <w:spacing w:line="360" w:lineRule="auto"/>
        <w:rPr>
          <w:rFonts w:ascii="Times New Roman" w:hAnsi="Times New Roman" w:cs="Times New Roman"/>
          <w:color w:val="4C4747"/>
          <w:sz w:val="24"/>
          <w:szCs w:val="24"/>
        </w:rPr>
      </w:pPr>
      <w:r w:rsidRPr="00543A92">
        <w:rPr>
          <w:rFonts w:ascii="Times New Roman" w:hAnsi="Times New Roman" w:cs="Times New Roman"/>
          <w:color w:val="4C4747"/>
          <w:sz w:val="28"/>
          <w:szCs w:val="28"/>
        </w:rPr>
        <w:lastRenderedPageBreak/>
        <w:t xml:space="preserve">2.2 </w:t>
      </w:r>
      <w:r w:rsidR="003E6DED" w:rsidRPr="00462712">
        <w:rPr>
          <w:rFonts w:ascii="Times New Roman" w:hAnsi="Times New Roman" w:cs="Times New Roman"/>
          <w:color w:val="4C4747"/>
          <w:sz w:val="24"/>
          <w:szCs w:val="24"/>
        </w:rPr>
        <w:t xml:space="preserve">Objetivos y </w:t>
      </w:r>
      <w:r w:rsidR="00FB3B1E" w:rsidRPr="00462712">
        <w:rPr>
          <w:rFonts w:ascii="Times New Roman" w:hAnsi="Times New Roman" w:cs="Times New Roman"/>
          <w:color w:val="4C4747"/>
          <w:sz w:val="24"/>
          <w:szCs w:val="24"/>
        </w:rPr>
        <w:t>E</w:t>
      </w:r>
      <w:r w:rsidR="003E6DED" w:rsidRPr="00462712">
        <w:rPr>
          <w:rFonts w:ascii="Times New Roman" w:hAnsi="Times New Roman" w:cs="Times New Roman"/>
          <w:color w:val="4C4747"/>
          <w:sz w:val="24"/>
          <w:szCs w:val="24"/>
        </w:rPr>
        <w:t>strategias</w:t>
      </w:r>
      <w:r w:rsidR="00D574B9" w:rsidRPr="00462712">
        <w:rPr>
          <w:rFonts w:ascii="Times New Roman" w:hAnsi="Times New Roman" w:cs="Times New Roman"/>
          <w:color w:val="4C4747"/>
          <w:sz w:val="24"/>
          <w:szCs w:val="24"/>
        </w:rPr>
        <w:t xml:space="preserve"> Institucionales</w:t>
      </w:r>
    </w:p>
    <w:p w14:paraId="09043F67" w14:textId="15E559A2" w:rsidR="004D4341" w:rsidRPr="00462712" w:rsidRDefault="004D4341" w:rsidP="00462712">
      <w:pPr>
        <w:spacing w:line="360" w:lineRule="auto"/>
        <w:jc w:val="both"/>
        <w:rPr>
          <w:rFonts w:ascii="Times New Roman" w:hAnsi="Times New Roman" w:cs="Times New Roman"/>
          <w:b/>
          <w:bCs/>
          <w:color w:val="4C4747"/>
          <w:sz w:val="24"/>
          <w:szCs w:val="24"/>
        </w:rPr>
      </w:pPr>
      <w:r w:rsidRPr="00462712">
        <w:rPr>
          <w:rFonts w:ascii="Times New Roman" w:hAnsi="Times New Roman" w:cs="Times New Roman"/>
          <w:bCs/>
          <w:color w:val="4C4747"/>
          <w:sz w:val="24"/>
          <w:szCs w:val="24"/>
        </w:rPr>
        <w:t xml:space="preserve">     </w:t>
      </w:r>
      <w:r w:rsidRPr="00462712">
        <w:rPr>
          <w:rFonts w:ascii="Times New Roman" w:hAnsi="Times New Roman" w:cs="Times New Roman"/>
          <w:b/>
          <w:bCs/>
          <w:color w:val="4C4747"/>
          <w:sz w:val="24"/>
          <w:szCs w:val="24"/>
        </w:rPr>
        <w:t>Mantener la estabilidad de precios</w:t>
      </w:r>
    </w:p>
    <w:p w14:paraId="03011423" w14:textId="77777777" w:rsidR="004D4341" w:rsidRPr="00462712" w:rsidRDefault="004D4341" w:rsidP="00462712">
      <w:pPr>
        <w:numPr>
          <w:ilvl w:val="0"/>
          <w:numId w:val="3"/>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Continuar fortaleciendo el esquema de metas de inflación, incluyendo nuevos instrumentos que otorguen mayor flexibilidad a la política monetaria para reaccionar ante choques exógenos.</w:t>
      </w:r>
    </w:p>
    <w:p w14:paraId="5B6E3249" w14:textId="77777777" w:rsidR="004D4341" w:rsidRPr="00462712" w:rsidRDefault="004D4341" w:rsidP="00462712">
      <w:pPr>
        <w:numPr>
          <w:ilvl w:val="0"/>
          <w:numId w:val="3"/>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Incrementar la capacidad para generar conocimiento a través de estudios y análisis sobre los nuevos determinantes de variables macroeconómicas que impactan la política monetaria, la regulación y la compilación estadística; con énfasis en cambio climático, monedas digitales, transformación digital, y fenómenos de choque.</w:t>
      </w:r>
    </w:p>
    <w:p w14:paraId="2D8BF238" w14:textId="77777777" w:rsidR="004D4341" w:rsidRPr="00462712" w:rsidRDefault="004D4341" w:rsidP="00462712">
      <w:pPr>
        <w:numPr>
          <w:ilvl w:val="0"/>
          <w:numId w:val="3"/>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Ampliar cobertura, calidad y generación oportuna de estadísticas, indicadores e informes económicos, para facilitar la toma de decisiones de política monetaria, financiera y cambiaria.</w:t>
      </w:r>
    </w:p>
    <w:p w14:paraId="6CD80DCE" w14:textId="77777777" w:rsidR="004D4341" w:rsidRPr="00462712" w:rsidRDefault="004D4341" w:rsidP="00462712">
      <w:pPr>
        <w:numPr>
          <w:ilvl w:val="0"/>
          <w:numId w:val="3"/>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Consolidar los mecanismos formales de coordinación entre la política monetaria y la política fiscal para contribuir con la estabilidad y el crecimiento económico.</w:t>
      </w:r>
    </w:p>
    <w:p w14:paraId="37969245" w14:textId="20B51CF2" w:rsidR="004D4341" w:rsidRPr="00462712" w:rsidRDefault="004D4341" w:rsidP="00462712">
      <w:pPr>
        <w:spacing w:line="360" w:lineRule="auto"/>
        <w:jc w:val="both"/>
        <w:rPr>
          <w:rFonts w:ascii="Times New Roman" w:hAnsi="Times New Roman" w:cs="Times New Roman"/>
          <w:b/>
          <w:bCs/>
          <w:color w:val="4C4747"/>
          <w:sz w:val="24"/>
          <w:szCs w:val="24"/>
        </w:rPr>
      </w:pPr>
      <w:r w:rsidRPr="00462712">
        <w:rPr>
          <w:rFonts w:ascii="Times New Roman" w:hAnsi="Times New Roman" w:cs="Times New Roman"/>
          <w:b/>
          <w:bCs/>
          <w:color w:val="4C4747"/>
          <w:sz w:val="24"/>
          <w:szCs w:val="24"/>
        </w:rPr>
        <w:t>Procurar la estabilidad y fortalecimiento del sistema financiero y la eficiencia y    seguridad del sistema de pago.</w:t>
      </w:r>
    </w:p>
    <w:p w14:paraId="2676336A" w14:textId="77777777" w:rsidR="004D4341" w:rsidRPr="00462712" w:rsidRDefault="004D4341" w:rsidP="00462712">
      <w:pPr>
        <w:numPr>
          <w:ilvl w:val="0"/>
          <w:numId w:val="4"/>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Fortalecer el conocimiento a través de estudios y análisis para generar indicadores predictivos de alerta temprana en la evaluación de los riesgos financieros, a los fines de proponer políticas micro y macro prudenciales que reduzcan la acumulación de riesgos en el sector financiero.</w:t>
      </w:r>
    </w:p>
    <w:p w14:paraId="1F9F34E3" w14:textId="77777777" w:rsidR="004D4341" w:rsidRPr="00462712" w:rsidRDefault="004D4341" w:rsidP="00462712">
      <w:pPr>
        <w:numPr>
          <w:ilvl w:val="0"/>
          <w:numId w:val="4"/>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lastRenderedPageBreak/>
        <w:t>Promover la modificación de la Ley Monetaria y Financiera para actualizar la capacidad regulatoria y legal del BCRD a fin de poder implementar las mejores prácticas internacionales en materia de regulación y política financiera.</w:t>
      </w:r>
    </w:p>
    <w:p w14:paraId="39BCB7F7" w14:textId="77777777" w:rsidR="004D4341" w:rsidRPr="00462712" w:rsidRDefault="004D4341" w:rsidP="00462712">
      <w:pPr>
        <w:numPr>
          <w:ilvl w:val="0"/>
          <w:numId w:val="4"/>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Crear y fortalecer mecanismos de coordinación y colaboración interinstitucional con entes reguladores y supervisores del mercado financiero.</w:t>
      </w:r>
    </w:p>
    <w:p w14:paraId="17EA4DDC" w14:textId="77777777" w:rsidR="004D4341" w:rsidRPr="00462712" w:rsidRDefault="004D4341" w:rsidP="00462712">
      <w:pPr>
        <w:numPr>
          <w:ilvl w:val="0"/>
          <w:numId w:val="4"/>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Promover la inclusión financiera.</w:t>
      </w:r>
    </w:p>
    <w:p w14:paraId="12B99D35" w14:textId="77777777" w:rsidR="004D4341" w:rsidRPr="00462712" w:rsidRDefault="004D4341" w:rsidP="00462712">
      <w:pPr>
        <w:numPr>
          <w:ilvl w:val="0"/>
          <w:numId w:val="4"/>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Continuar con el proceso de ampliación y modernización de la capacidad tecnológica y operativa del Sistema de Pago.</w:t>
      </w:r>
    </w:p>
    <w:p w14:paraId="75D0BB24" w14:textId="77777777" w:rsidR="004D4341" w:rsidRPr="00462712" w:rsidRDefault="004D4341" w:rsidP="00462712">
      <w:pPr>
        <w:numPr>
          <w:ilvl w:val="0"/>
          <w:numId w:val="4"/>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Promover el fortalecimiento y la aplicación de la seguridad cibernética y de la información de las entidades que conforman el sistema financiero, el sistema de pago y de otras entidades interconectadas a los mismos.</w:t>
      </w:r>
    </w:p>
    <w:p w14:paraId="63A83974" w14:textId="77777777" w:rsidR="004D4341" w:rsidRPr="00462712" w:rsidRDefault="004D4341" w:rsidP="00462712">
      <w:pPr>
        <w:numPr>
          <w:ilvl w:val="0"/>
          <w:numId w:val="4"/>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Optimizar la gestión de efectivo, asegurando la disponibilidad de billetes y monedas, con adecuados niveles de seguridad y calidad, que permitan el normal desenvolvimiento de las transacciones económicas.</w:t>
      </w:r>
    </w:p>
    <w:p w14:paraId="47B10E34" w14:textId="66A2DE60" w:rsidR="004D4341" w:rsidRPr="00462712" w:rsidRDefault="004D4341" w:rsidP="00462712">
      <w:pPr>
        <w:spacing w:line="360" w:lineRule="auto"/>
        <w:jc w:val="both"/>
        <w:rPr>
          <w:rFonts w:ascii="Times New Roman" w:hAnsi="Times New Roman" w:cs="Times New Roman"/>
          <w:b/>
          <w:bCs/>
          <w:color w:val="4C4747"/>
          <w:sz w:val="24"/>
          <w:szCs w:val="24"/>
        </w:rPr>
      </w:pPr>
      <w:r w:rsidRPr="00462712">
        <w:rPr>
          <w:rFonts w:ascii="Times New Roman" w:hAnsi="Times New Roman" w:cs="Times New Roman"/>
          <w:b/>
          <w:bCs/>
          <w:color w:val="4C4747"/>
          <w:sz w:val="24"/>
          <w:szCs w:val="24"/>
        </w:rPr>
        <w:t>Robustecer la toma de decisiones y la ejecución de las operaciones monetarias, cambiarias y de la administración de las reservas internacionales.</w:t>
      </w:r>
    </w:p>
    <w:p w14:paraId="6E7AAC6A" w14:textId="77777777" w:rsidR="004D4341" w:rsidRPr="00462712" w:rsidRDefault="004D4341" w:rsidP="00462712">
      <w:pPr>
        <w:numPr>
          <w:ilvl w:val="0"/>
          <w:numId w:val="5"/>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Ampliar el alcance de la Plataforma Cambiaria del BCRD incorporando nuevos segmentos de mercado y modalidades de operación.</w:t>
      </w:r>
    </w:p>
    <w:p w14:paraId="7335624E" w14:textId="77777777" w:rsidR="004D4341" w:rsidRPr="00462712" w:rsidRDefault="004D4341" w:rsidP="00462712">
      <w:pPr>
        <w:numPr>
          <w:ilvl w:val="0"/>
          <w:numId w:val="5"/>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Expandir el desarrollo y fortalecer la estructura de inteligencia de mercado para sustentar la toma de decisiones de operaciones cambiarias, monetarias y de gestión de las reservas internacionales, de manera eficiente y oportuna.</w:t>
      </w:r>
    </w:p>
    <w:p w14:paraId="620937A8" w14:textId="77777777" w:rsidR="004D4341" w:rsidRPr="00462712" w:rsidRDefault="004D4341" w:rsidP="00462712">
      <w:pPr>
        <w:numPr>
          <w:ilvl w:val="0"/>
          <w:numId w:val="5"/>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lastRenderedPageBreak/>
        <w:t>Continuar fortaleciendo el marco operativo para la ejecución de las operaciones monetarias y cambiarias y su influencia en la política monetaria, cumpliendo con criterios de eficiencia, mejores prácticas y capacidad de adecuarse a un entorno globalizado y cambiante.</w:t>
      </w:r>
    </w:p>
    <w:p w14:paraId="16A90279" w14:textId="77777777" w:rsidR="004D4341" w:rsidRPr="00462712" w:rsidRDefault="004D4341" w:rsidP="00462712">
      <w:pPr>
        <w:numPr>
          <w:ilvl w:val="0"/>
          <w:numId w:val="5"/>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Ampliar el alcance de la infraestructura para la gestión de las reservas internacionales, cumpliendo con criterios para una eficiencia operativa basada en buenas prácticas, sostenibilidad ambiental y social.</w:t>
      </w:r>
    </w:p>
    <w:p w14:paraId="6CD098A6" w14:textId="77777777" w:rsidR="004D4341" w:rsidRPr="00462712" w:rsidRDefault="004D4341" w:rsidP="00462712">
      <w:pPr>
        <w:numPr>
          <w:ilvl w:val="0"/>
          <w:numId w:val="5"/>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Fortalecer la estructura de gestión integral de riesgo financiero para las operaciones monetarias y cambiarias y la gestión de las reservas internacionales.</w:t>
      </w:r>
    </w:p>
    <w:p w14:paraId="197CF717" w14:textId="2BAC5532" w:rsidR="004D4341" w:rsidRPr="00462712" w:rsidRDefault="004D4341" w:rsidP="00462712">
      <w:pPr>
        <w:spacing w:line="360" w:lineRule="auto"/>
        <w:jc w:val="both"/>
        <w:rPr>
          <w:rFonts w:ascii="Times New Roman" w:hAnsi="Times New Roman" w:cs="Times New Roman"/>
          <w:b/>
          <w:bCs/>
          <w:color w:val="4C4747"/>
          <w:sz w:val="24"/>
          <w:szCs w:val="24"/>
        </w:rPr>
      </w:pPr>
      <w:r w:rsidRPr="00462712">
        <w:rPr>
          <w:rFonts w:ascii="Times New Roman" w:hAnsi="Times New Roman" w:cs="Times New Roman"/>
          <w:b/>
          <w:bCs/>
          <w:color w:val="4C4747"/>
          <w:sz w:val="24"/>
          <w:szCs w:val="24"/>
        </w:rPr>
        <w:t>Mantener niveles efectivos de comunicación, transparencia y gobernanza institucional.</w:t>
      </w:r>
    </w:p>
    <w:p w14:paraId="6A1FFEA7" w14:textId="77777777" w:rsidR="004D4341" w:rsidRPr="00462712" w:rsidRDefault="004D4341" w:rsidP="00462712">
      <w:pPr>
        <w:numPr>
          <w:ilvl w:val="0"/>
          <w:numId w:val="6"/>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Preservar la transparencia, la rendición de cuentas y la gobernanza institucional.</w:t>
      </w:r>
    </w:p>
    <w:p w14:paraId="68792994" w14:textId="77777777" w:rsidR="004D4341" w:rsidRPr="00462712" w:rsidRDefault="004D4341" w:rsidP="00462712">
      <w:pPr>
        <w:numPr>
          <w:ilvl w:val="0"/>
          <w:numId w:val="6"/>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Fortalecer las capacidades de comunicación de las decisiones de política monetaria, cambiaria, financiera, y su razonamiento macroeconómico, así como los cambios en la regulación y sus impactos.</w:t>
      </w:r>
    </w:p>
    <w:p w14:paraId="0B3CF599" w14:textId="77777777" w:rsidR="004D4341" w:rsidRPr="00462712" w:rsidRDefault="004D4341" w:rsidP="00462712">
      <w:pPr>
        <w:numPr>
          <w:ilvl w:val="0"/>
          <w:numId w:val="6"/>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 xml:space="preserve">Fortalecer la comunicación del Banco con sus grupos de interés para contribuir al conocimiento y confianza de sus medidas y acciones, </w:t>
      </w:r>
      <w:proofErr w:type="gramStart"/>
      <w:r w:rsidRPr="00462712">
        <w:rPr>
          <w:rFonts w:ascii="Times New Roman" w:hAnsi="Times New Roman" w:cs="Times New Roman"/>
          <w:bCs/>
          <w:color w:val="4C4747"/>
          <w:sz w:val="24"/>
          <w:szCs w:val="24"/>
        </w:rPr>
        <w:t>y</w:t>
      </w:r>
      <w:proofErr w:type="gramEnd"/>
      <w:r w:rsidRPr="00462712">
        <w:rPr>
          <w:rFonts w:ascii="Times New Roman" w:hAnsi="Times New Roman" w:cs="Times New Roman"/>
          <w:bCs/>
          <w:color w:val="4C4747"/>
          <w:sz w:val="24"/>
          <w:szCs w:val="24"/>
        </w:rPr>
        <w:t xml:space="preserve"> por tanto, a una mejor toma de decisiones que tengan impacto en la economía nacional.</w:t>
      </w:r>
    </w:p>
    <w:p w14:paraId="3CA6B876" w14:textId="77777777" w:rsidR="004D4341" w:rsidRPr="00462712" w:rsidRDefault="004D4341" w:rsidP="00462712">
      <w:pPr>
        <w:numPr>
          <w:ilvl w:val="0"/>
          <w:numId w:val="6"/>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Ampliar el compromiso de la Institución con los retos de la responsabilidad social y ambiental.</w:t>
      </w:r>
    </w:p>
    <w:p w14:paraId="62FF6473" w14:textId="7D569A5C" w:rsidR="004D4341" w:rsidRPr="00462712" w:rsidRDefault="004D4341" w:rsidP="00462712">
      <w:pPr>
        <w:spacing w:line="360" w:lineRule="auto"/>
        <w:jc w:val="both"/>
        <w:rPr>
          <w:rFonts w:ascii="Times New Roman" w:hAnsi="Times New Roman" w:cs="Times New Roman"/>
          <w:b/>
          <w:bCs/>
          <w:color w:val="4C4747"/>
          <w:sz w:val="24"/>
          <w:szCs w:val="24"/>
        </w:rPr>
      </w:pPr>
      <w:r w:rsidRPr="00462712">
        <w:rPr>
          <w:rFonts w:ascii="Times New Roman" w:hAnsi="Times New Roman" w:cs="Times New Roman"/>
          <w:bCs/>
          <w:color w:val="4C4747"/>
          <w:sz w:val="24"/>
          <w:szCs w:val="24"/>
        </w:rPr>
        <w:lastRenderedPageBreak/>
        <w:t xml:space="preserve">  </w:t>
      </w:r>
      <w:r w:rsidRPr="00462712">
        <w:rPr>
          <w:rFonts w:ascii="Times New Roman" w:hAnsi="Times New Roman" w:cs="Times New Roman"/>
          <w:b/>
          <w:bCs/>
          <w:color w:val="4C4747"/>
          <w:sz w:val="24"/>
          <w:szCs w:val="24"/>
        </w:rPr>
        <w:t xml:space="preserve"> Fortalecer la Gestión Operativa.</w:t>
      </w:r>
    </w:p>
    <w:p w14:paraId="7ABD8AF5" w14:textId="77777777" w:rsidR="004D4341" w:rsidRPr="00462712" w:rsidRDefault="004D4341" w:rsidP="00462712">
      <w:pPr>
        <w:numPr>
          <w:ilvl w:val="0"/>
          <w:numId w:val="7"/>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Desarrollar la filosofía, metodologías y sistemas de gestión que guíen a la eficacia operativa, fundamentada en el liderazgo y estrategia institucional.</w:t>
      </w:r>
    </w:p>
    <w:p w14:paraId="5488CA85" w14:textId="77777777" w:rsidR="004D4341" w:rsidRPr="00462712" w:rsidRDefault="004D4341" w:rsidP="00462712">
      <w:pPr>
        <w:numPr>
          <w:ilvl w:val="0"/>
          <w:numId w:val="7"/>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Reforzar una efectiva comunicación institucional interna, que permita un mejor intercambio de información entre los niveles y dependencias, a fin de aumentar el grado de compromiso, motivación y sentimiento de pertenencia.</w:t>
      </w:r>
    </w:p>
    <w:p w14:paraId="1ECE315A" w14:textId="77777777" w:rsidR="004D4341" w:rsidRPr="00462712" w:rsidRDefault="004D4341" w:rsidP="00462712">
      <w:pPr>
        <w:numPr>
          <w:ilvl w:val="0"/>
          <w:numId w:val="7"/>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Optimizar los mecanismos de colaboración interdepartamental que permitan incrementar la sinergia y agilidad organizacionales, alineando las actividades y responsabilidades para el mejor desempeño de las funciones y proyectos del Banco.</w:t>
      </w:r>
    </w:p>
    <w:p w14:paraId="674805C9" w14:textId="77777777" w:rsidR="004D4341" w:rsidRPr="00462712" w:rsidRDefault="004D4341" w:rsidP="00462712">
      <w:pPr>
        <w:numPr>
          <w:ilvl w:val="0"/>
          <w:numId w:val="7"/>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Optimizar los procesos del Banco, apoyados en filosofías, tecnologías y adecuados niveles de control interno que aseguren su ejecución ágil, eficiente y segura.</w:t>
      </w:r>
    </w:p>
    <w:p w14:paraId="5112E3C8" w14:textId="77777777" w:rsidR="004D4341" w:rsidRPr="00462712" w:rsidRDefault="004D4341" w:rsidP="00462712">
      <w:pPr>
        <w:numPr>
          <w:ilvl w:val="0"/>
          <w:numId w:val="7"/>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Fortalecer la arquitectura de tecnología, sistemas, aplicaciones y datos para facilitar el logro de los objetivos estratégicos de la Institución.</w:t>
      </w:r>
    </w:p>
    <w:p w14:paraId="21916E5A" w14:textId="18B87764" w:rsidR="00AF78D3" w:rsidRPr="00462712" w:rsidRDefault="004D4341" w:rsidP="00AF78D3">
      <w:pPr>
        <w:numPr>
          <w:ilvl w:val="0"/>
          <w:numId w:val="7"/>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Propender hacia la madurez de la ciberseguridad tanto para proteger la integridad de la infraestructura tecnológica y el patrimonio digital del BCRD como para responder con resiliencia a incidentes de seguridad cibernética.</w:t>
      </w:r>
    </w:p>
    <w:p w14:paraId="4EEB94C7" w14:textId="52E380E4" w:rsidR="004D4341" w:rsidRPr="00462712" w:rsidRDefault="004D4341" w:rsidP="00462712">
      <w:pPr>
        <w:spacing w:line="360" w:lineRule="auto"/>
        <w:jc w:val="both"/>
        <w:rPr>
          <w:rFonts w:ascii="Times New Roman" w:hAnsi="Times New Roman" w:cs="Times New Roman"/>
          <w:b/>
          <w:bCs/>
          <w:color w:val="4C4747"/>
          <w:sz w:val="24"/>
          <w:szCs w:val="24"/>
        </w:rPr>
      </w:pPr>
      <w:r w:rsidRPr="00462712">
        <w:rPr>
          <w:rFonts w:ascii="Times New Roman" w:hAnsi="Times New Roman" w:cs="Times New Roman"/>
          <w:b/>
          <w:bCs/>
          <w:color w:val="4C4747"/>
          <w:sz w:val="24"/>
          <w:szCs w:val="24"/>
        </w:rPr>
        <w:t xml:space="preserve">    Optimizar la gestión financiera interna.</w:t>
      </w:r>
    </w:p>
    <w:p w14:paraId="3EB7730E" w14:textId="77777777" w:rsidR="004D4341" w:rsidRPr="00462712" w:rsidRDefault="004D4341" w:rsidP="00462712">
      <w:pPr>
        <w:numPr>
          <w:ilvl w:val="0"/>
          <w:numId w:val="8"/>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 xml:space="preserve">Continuar implementando medidas tendentes a mantener alineado el nivel de gasto general y administrativo, consistente con los estándares </w:t>
      </w:r>
      <w:r w:rsidRPr="00462712">
        <w:rPr>
          <w:rFonts w:ascii="Times New Roman" w:hAnsi="Times New Roman" w:cs="Times New Roman"/>
          <w:bCs/>
          <w:color w:val="4C4747"/>
          <w:sz w:val="24"/>
          <w:szCs w:val="24"/>
        </w:rPr>
        <w:lastRenderedPageBreak/>
        <w:t>internacionales reconocidos como adecuados para instituciones similares al tamaño de nuestra economía.</w:t>
      </w:r>
    </w:p>
    <w:p w14:paraId="1EC5B4FB" w14:textId="77777777" w:rsidR="004D4341" w:rsidRPr="00462712" w:rsidRDefault="004D4341" w:rsidP="00462712">
      <w:pPr>
        <w:numPr>
          <w:ilvl w:val="0"/>
          <w:numId w:val="8"/>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Optimizar los indicadores de desempeño, productividad y sostenibilidad de la gestión financiera.</w:t>
      </w:r>
    </w:p>
    <w:p w14:paraId="3EF8F6AD" w14:textId="63433441" w:rsidR="003C3630" w:rsidRPr="00462712" w:rsidRDefault="004D4341" w:rsidP="00462712">
      <w:pPr>
        <w:numPr>
          <w:ilvl w:val="0"/>
          <w:numId w:val="8"/>
        </w:numPr>
        <w:spacing w:line="360" w:lineRule="auto"/>
        <w:jc w:val="both"/>
        <w:rPr>
          <w:rFonts w:ascii="Times New Roman" w:hAnsi="Times New Roman" w:cs="Times New Roman"/>
          <w:bCs/>
          <w:color w:val="4C4747"/>
          <w:sz w:val="24"/>
          <w:szCs w:val="24"/>
        </w:rPr>
      </w:pPr>
      <w:r w:rsidRPr="00462712">
        <w:rPr>
          <w:rFonts w:ascii="Times New Roman" w:hAnsi="Times New Roman" w:cs="Times New Roman"/>
          <w:bCs/>
          <w:color w:val="4C4747"/>
          <w:sz w:val="24"/>
          <w:szCs w:val="24"/>
        </w:rPr>
        <w:t>Avanzar con el proceso de recapitalización del Banco Central</w:t>
      </w:r>
    </w:p>
    <w:p w14:paraId="24389F58" w14:textId="2B45C4DE" w:rsidR="00AF78D3" w:rsidRDefault="00AF78D3" w:rsidP="00AF78D3">
      <w:pPr>
        <w:jc w:val="both"/>
        <w:rPr>
          <w:rFonts w:ascii="Times New Roman" w:hAnsi="Times New Roman" w:cs="Times New Roman"/>
          <w:bCs/>
          <w:color w:val="767171"/>
          <w:sz w:val="24"/>
          <w:szCs w:val="24"/>
        </w:rPr>
      </w:pPr>
    </w:p>
    <w:p w14:paraId="2E9E4095" w14:textId="347E9F95" w:rsidR="00AF78D3" w:rsidRDefault="00AF78D3" w:rsidP="00AF78D3">
      <w:pPr>
        <w:jc w:val="both"/>
        <w:rPr>
          <w:rFonts w:ascii="Times New Roman" w:hAnsi="Times New Roman" w:cs="Times New Roman"/>
          <w:bCs/>
          <w:color w:val="767171"/>
          <w:sz w:val="24"/>
          <w:szCs w:val="24"/>
        </w:rPr>
      </w:pPr>
    </w:p>
    <w:p w14:paraId="78BCE08E" w14:textId="3841F3E9" w:rsidR="00AF78D3" w:rsidRDefault="00AF78D3" w:rsidP="00AF78D3">
      <w:pPr>
        <w:jc w:val="both"/>
        <w:rPr>
          <w:rFonts w:ascii="Times New Roman" w:hAnsi="Times New Roman" w:cs="Times New Roman"/>
          <w:bCs/>
          <w:color w:val="767171"/>
          <w:sz w:val="24"/>
          <w:szCs w:val="24"/>
        </w:rPr>
      </w:pPr>
    </w:p>
    <w:p w14:paraId="553708C9" w14:textId="51B20DB9" w:rsidR="00AF78D3" w:rsidRDefault="00AF78D3" w:rsidP="00AF78D3">
      <w:pPr>
        <w:jc w:val="both"/>
        <w:rPr>
          <w:rFonts w:ascii="Times New Roman" w:hAnsi="Times New Roman" w:cs="Times New Roman"/>
          <w:bCs/>
          <w:color w:val="767171"/>
          <w:sz w:val="24"/>
          <w:szCs w:val="24"/>
        </w:rPr>
      </w:pPr>
    </w:p>
    <w:p w14:paraId="36C549A6" w14:textId="5FCB1158" w:rsidR="00AF78D3" w:rsidRDefault="00AF78D3" w:rsidP="00AF78D3">
      <w:pPr>
        <w:jc w:val="both"/>
        <w:rPr>
          <w:rFonts w:ascii="Times New Roman" w:hAnsi="Times New Roman" w:cs="Times New Roman"/>
          <w:bCs/>
          <w:color w:val="767171"/>
          <w:sz w:val="24"/>
          <w:szCs w:val="24"/>
        </w:rPr>
      </w:pPr>
    </w:p>
    <w:p w14:paraId="0C654CB1" w14:textId="4AA180DA" w:rsidR="00AF78D3" w:rsidRDefault="00AF78D3" w:rsidP="00AF78D3">
      <w:pPr>
        <w:jc w:val="both"/>
        <w:rPr>
          <w:rFonts w:ascii="Times New Roman" w:hAnsi="Times New Roman" w:cs="Times New Roman"/>
          <w:bCs/>
          <w:color w:val="767171"/>
          <w:sz w:val="24"/>
          <w:szCs w:val="24"/>
        </w:rPr>
      </w:pPr>
    </w:p>
    <w:p w14:paraId="30D8FE72" w14:textId="04F9C75F" w:rsidR="00AF78D3" w:rsidRDefault="00AF78D3" w:rsidP="00AF78D3">
      <w:pPr>
        <w:jc w:val="both"/>
        <w:rPr>
          <w:rFonts w:ascii="Times New Roman" w:hAnsi="Times New Roman" w:cs="Times New Roman"/>
          <w:bCs/>
          <w:color w:val="767171"/>
          <w:sz w:val="24"/>
          <w:szCs w:val="24"/>
        </w:rPr>
      </w:pPr>
    </w:p>
    <w:p w14:paraId="7D622FE5" w14:textId="199C6C47" w:rsidR="00AF78D3" w:rsidRDefault="00AF78D3" w:rsidP="00AF78D3">
      <w:pPr>
        <w:jc w:val="both"/>
        <w:rPr>
          <w:rFonts w:ascii="Times New Roman" w:hAnsi="Times New Roman" w:cs="Times New Roman"/>
          <w:bCs/>
          <w:color w:val="767171"/>
          <w:sz w:val="24"/>
          <w:szCs w:val="24"/>
        </w:rPr>
      </w:pPr>
    </w:p>
    <w:p w14:paraId="20F2936C" w14:textId="41A82292" w:rsidR="00AF78D3" w:rsidRDefault="00AF78D3" w:rsidP="00AF78D3">
      <w:pPr>
        <w:jc w:val="both"/>
        <w:rPr>
          <w:rFonts w:ascii="Times New Roman" w:hAnsi="Times New Roman" w:cs="Times New Roman"/>
          <w:bCs/>
          <w:color w:val="767171"/>
          <w:sz w:val="24"/>
          <w:szCs w:val="24"/>
        </w:rPr>
      </w:pPr>
    </w:p>
    <w:p w14:paraId="6A4312DA" w14:textId="3A32F685" w:rsidR="00AF78D3" w:rsidRDefault="00AF78D3" w:rsidP="00AF78D3">
      <w:pPr>
        <w:jc w:val="both"/>
        <w:rPr>
          <w:rFonts w:ascii="Times New Roman" w:hAnsi="Times New Roman" w:cs="Times New Roman"/>
          <w:bCs/>
          <w:color w:val="767171"/>
          <w:sz w:val="24"/>
          <w:szCs w:val="24"/>
        </w:rPr>
      </w:pPr>
    </w:p>
    <w:p w14:paraId="50282A6D" w14:textId="53BB15F0" w:rsidR="00AF78D3" w:rsidRDefault="00AF78D3" w:rsidP="00AF78D3">
      <w:pPr>
        <w:jc w:val="both"/>
        <w:rPr>
          <w:rFonts w:ascii="Times New Roman" w:hAnsi="Times New Roman" w:cs="Times New Roman"/>
          <w:bCs/>
          <w:color w:val="767171"/>
          <w:sz w:val="24"/>
          <w:szCs w:val="24"/>
        </w:rPr>
      </w:pPr>
    </w:p>
    <w:p w14:paraId="4B458163" w14:textId="037F274F" w:rsidR="00AF78D3" w:rsidRDefault="00AF78D3" w:rsidP="00AF78D3">
      <w:pPr>
        <w:jc w:val="both"/>
        <w:rPr>
          <w:rFonts w:ascii="Times New Roman" w:hAnsi="Times New Roman" w:cs="Times New Roman"/>
          <w:bCs/>
          <w:color w:val="767171"/>
          <w:sz w:val="24"/>
          <w:szCs w:val="24"/>
        </w:rPr>
      </w:pPr>
    </w:p>
    <w:p w14:paraId="4013AE0F" w14:textId="32E02A38" w:rsidR="00AF78D3" w:rsidRDefault="00AF78D3" w:rsidP="00AF78D3">
      <w:pPr>
        <w:jc w:val="both"/>
        <w:rPr>
          <w:rFonts w:ascii="Times New Roman" w:hAnsi="Times New Roman" w:cs="Times New Roman"/>
          <w:bCs/>
          <w:color w:val="767171"/>
          <w:sz w:val="24"/>
          <w:szCs w:val="24"/>
        </w:rPr>
      </w:pPr>
    </w:p>
    <w:p w14:paraId="5CC06761" w14:textId="2125C168" w:rsidR="00AF78D3" w:rsidRDefault="00AF78D3" w:rsidP="00AF78D3">
      <w:pPr>
        <w:jc w:val="both"/>
        <w:rPr>
          <w:rFonts w:ascii="Times New Roman" w:hAnsi="Times New Roman" w:cs="Times New Roman"/>
          <w:bCs/>
          <w:color w:val="767171"/>
          <w:sz w:val="24"/>
          <w:szCs w:val="24"/>
        </w:rPr>
      </w:pPr>
    </w:p>
    <w:p w14:paraId="407966EF" w14:textId="6E849CB6" w:rsidR="00AF78D3" w:rsidRDefault="00AF78D3" w:rsidP="00AF78D3">
      <w:pPr>
        <w:jc w:val="both"/>
        <w:rPr>
          <w:rFonts w:ascii="Times New Roman" w:hAnsi="Times New Roman" w:cs="Times New Roman"/>
          <w:bCs/>
          <w:color w:val="767171"/>
          <w:sz w:val="24"/>
          <w:szCs w:val="24"/>
        </w:rPr>
      </w:pPr>
    </w:p>
    <w:p w14:paraId="7F7AD5CC" w14:textId="76880D24" w:rsidR="00E222C9" w:rsidRDefault="00E222C9" w:rsidP="00B34B08">
      <w:pPr>
        <w:pStyle w:val="Heading2"/>
        <w:rPr>
          <w:rFonts w:ascii="Times New Roman" w:eastAsiaTheme="minorHAnsi" w:hAnsi="Times New Roman" w:cs="Times New Roman"/>
          <w:bCs/>
          <w:color w:val="767171"/>
          <w:sz w:val="24"/>
          <w:szCs w:val="24"/>
        </w:rPr>
      </w:pPr>
    </w:p>
    <w:p w14:paraId="5C6D173C" w14:textId="60214E0F" w:rsidR="00B34B08" w:rsidRDefault="00B34B08" w:rsidP="00B34B08"/>
    <w:p w14:paraId="78BC798D" w14:textId="77777777" w:rsidR="00B34B08" w:rsidRPr="00B34B08" w:rsidRDefault="00B34B08" w:rsidP="00B34B08"/>
    <w:p w14:paraId="7072D0F7" w14:textId="273D8DEF" w:rsidR="00ED3488" w:rsidRPr="00B46D33" w:rsidRDefault="00ED3488" w:rsidP="00462712">
      <w:pPr>
        <w:pStyle w:val="Heading2"/>
        <w:spacing w:line="360" w:lineRule="auto"/>
        <w:rPr>
          <w:rFonts w:ascii="Times New Roman" w:hAnsi="Times New Roman" w:cs="Times New Roman"/>
          <w:b/>
          <w:color w:val="4C4747"/>
          <w:sz w:val="24"/>
          <w:szCs w:val="24"/>
        </w:rPr>
      </w:pPr>
      <w:bookmarkStart w:id="17" w:name="_Toc155259663"/>
      <w:r w:rsidRPr="00B46D33">
        <w:rPr>
          <w:rFonts w:ascii="Times New Roman" w:hAnsi="Times New Roman" w:cs="Times New Roman"/>
          <w:b/>
          <w:color w:val="4C4747"/>
          <w:sz w:val="24"/>
          <w:szCs w:val="24"/>
        </w:rPr>
        <w:lastRenderedPageBreak/>
        <w:t>2.</w:t>
      </w:r>
      <w:r w:rsidR="003E38E1" w:rsidRPr="00B46D33">
        <w:rPr>
          <w:rFonts w:ascii="Times New Roman" w:hAnsi="Times New Roman" w:cs="Times New Roman"/>
          <w:b/>
          <w:color w:val="4C4747"/>
          <w:sz w:val="24"/>
          <w:szCs w:val="24"/>
        </w:rPr>
        <w:t>3</w:t>
      </w:r>
      <w:r w:rsidR="001E5C18" w:rsidRPr="00B46D33">
        <w:rPr>
          <w:rFonts w:ascii="Times New Roman" w:hAnsi="Times New Roman" w:cs="Times New Roman"/>
          <w:b/>
          <w:color w:val="4C4747"/>
          <w:sz w:val="24"/>
          <w:szCs w:val="24"/>
        </w:rPr>
        <w:t xml:space="preserve"> </w:t>
      </w:r>
      <w:r w:rsidR="003C3630" w:rsidRPr="00B46D33">
        <w:rPr>
          <w:rFonts w:ascii="Times New Roman" w:hAnsi="Times New Roman" w:cs="Times New Roman"/>
          <w:b/>
          <w:color w:val="4C4747"/>
          <w:sz w:val="24"/>
          <w:szCs w:val="24"/>
        </w:rPr>
        <w:t>Marco</w:t>
      </w:r>
      <w:r w:rsidRPr="00B46D33">
        <w:rPr>
          <w:rFonts w:ascii="Times New Roman" w:hAnsi="Times New Roman" w:cs="Times New Roman"/>
          <w:b/>
          <w:color w:val="4C4747"/>
          <w:sz w:val="24"/>
          <w:szCs w:val="24"/>
        </w:rPr>
        <w:t xml:space="preserve"> legal</w:t>
      </w:r>
      <w:bookmarkEnd w:id="17"/>
    </w:p>
    <w:p w14:paraId="61B06219" w14:textId="306B0C38" w:rsidR="009F3279" w:rsidRPr="00462712" w:rsidRDefault="009F3279" w:rsidP="00462712">
      <w:pPr>
        <w:spacing w:line="360" w:lineRule="auto"/>
        <w:rPr>
          <w:color w:val="4C4747"/>
        </w:rPr>
      </w:pPr>
    </w:p>
    <w:p w14:paraId="19E8BEBA" w14:textId="77777777" w:rsidR="002E7B17" w:rsidRPr="00305350" w:rsidRDefault="003C3630" w:rsidP="00462712">
      <w:pPr>
        <w:spacing w:line="360" w:lineRule="auto"/>
        <w:jc w:val="both"/>
        <w:rPr>
          <w:rFonts w:ascii="Times New Roman" w:hAnsi="Times New Roman" w:cs="Times New Roman"/>
          <w:color w:val="4C4747"/>
          <w:sz w:val="24"/>
          <w:szCs w:val="24"/>
        </w:rPr>
      </w:pPr>
      <w:r w:rsidRPr="00305350">
        <w:rPr>
          <w:rFonts w:ascii="Times New Roman" w:hAnsi="Times New Roman" w:cs="Times New Roman"/>
          <w:color w:val="4C4747"/>
          <w:sz w:val="24"/>
          <w:szCs w:val="24"/>
        </w:rPr>
        <w:t>El Banco Central de la República Dominicana (BCRD), en su calidad de entidad de derecho público, opera bajo los mandatos de la Constitución de la República Dominicana y de la Ley Monetaria y Financiera, las cuales le otorgan personalidad jurídica, patrimonio propio y autono-mía, a la vez que lo facultan como el único ente emisor de billetes y monedas del país y como el organismo responsable de diseñar y ejecutar las políticas monetaria, cambiaria y financiera de la Nación.</w:t>
      </w:r>
    </w:p>
    <w:p w14:paraId="2FB01CF0" w14:textId="10E9B602" w:rsidR="003C3630" w:rsidRPr="00305350" w:rsidRDefault="003C3630" w:rsidP="00462712">
      <w:pPr>
        <w:spacing w:line="360" w:lineRule="auto"/>
        <w:jc w:val="both"/>
        <w:rPr>
          <w:rFonts w:ascii="Times New Roman" w:hAnsi="Times New Roman" w:cs="Times New Roman"/>
          <w:color w:val="4C4747"/>
          <w:sz w:val="24"/>
          <w:szCs w:val="24"/>
        </w:rPr>
      </w:pPr>
      <w:r w:rsidRPr="00305350">
        <w:rPr>
          <w:rFonts w:ascii="Times New Roman" w:hAnsi="Times New Roman" w:cs="Times New Roman"/>
          <w:color w:val="4C4747"/>
          <w:sz w:val="24"/>
          <w:szCs w:val="24"/>
        </w:rPr>
        <w:t>El BCRD funge, además, como organismo coordinador de los entes reguladores del sistema y del mercado financiero. Forma parte de la Administración Monetaria y Financiera, junto con la Superintendencia de Bancos y la Junta Monetaria (JM). La Junta Monetaria es el órgano superior de esta administración.</w:t>
      </w:r>
    </w:p>
    <w:p w14:paraId="78685928" w14:textId="2A2B32CE" w:rsidR="00EC6B6D" w:rsidRPr="00305350" w:rsidRDefault="003C3630" w:rsidP="00462712">
      <w:pPr>
        <w:spacing w:line="360" w:lineRule="auto"/>
        <w:jc w:val="both"/>
        <w:rPr>
          <w:rFonts w:ascii="Times New Roman" w:hAnsi="Times New Roman" w:cs="Times New Roman"/>
          <w:color w:val="4C4747"/>
          <w:sz w:val="24"/>
          <w:szCs w:val="24"/>
        </w:rPr>
      </w:pPr>
      <w:r w:rsidRPr="00305350">
        <w:rPr>
          <w:rFonts w:ascii="Times New Roman" w:hAnsi="Times New Roman" w:cs="Times New Roman"/>
          <w:color w:val="4C4747"/>
          <w:sz w:val="24"/>
          <w:szCs w:val="24"/>
        </w:rPr>
        <w:t>La institucionalidad del BCRD está diseñada de forma tal que facilite el cumplimiento de su función principal: mantener la estabilidad de precios para crear las condiciones que faciliten un crecimiento económico sostenido de la República Dominicana, y que permita al país trazar el camino hacia el desarrollo. El organismo emisor también es responsable de velar por el buen funcionamiento de los sistemas financiero y de pagos del país. Las atribuciones conferidas al Banco Central son irrenunciables, y solo podrán ser ejercidas de conformidad con lo dispuesto en el marco constitucional y la citada Ley Monetaria y Financiera.</w:t>
      </w:r>
    </w:p>
    <w:p w14:paraId="5648E166" w14:textId="44FBFAB8" w:rsidR="00AF78D3" w:rsidRPr="00305350" w:rsidRDefault="00AF78D3" w:rsidP="00AF78D3">
      <w:pPr>
        <w:spacing w:line="360" w:lineRule="auto"/>
        <w:jc w:val="both"/>
        <w:rPr>
          <w:rFonts w:ascii="Times New Roman" w:hAnsi="Times New Roman" w:cs="Times New Roman"/>
          <w:color w:val="4C4747"/>
          <w:sz w:val="24"/>
          <w:szCs w:val="24"/>
        </w:rPr>
      </w:pPr>
    </w:p>
    <w:p w14:paraId="11CE3791" w14:textId="2F367D89" w:rsidR="00AF78D3" w:rsidRDefault="00AF78D3" w:rsidP="00AF78D3">
      <w:pPr>
        <w:spacing w:line="360" w:lineRule="auto"/>
        <w:jc w:val="both"/>
        <w:rPr>
          <w:rFonts w:ascii="Times New Roman" w:hAnsi="Times New Roman" w:cs="Times New Roman"/>
          <w:color w:val="4C4747"/>
          <w:sz w:val="24"/>
          <w:szCs w:val="24"/>
        </w:rPr>
      </w:pPr>
    </w:p>
    <w:p w14:paraId="587AABA9" w14:textId="751869C1" w:rsidR="00AF78D3" w:rsidRDefault="00AF78D3" w:rsidP="00AF78D3">
      <w:pPr>
        <w:spacing w:line="360" w:lineRule="auto"/>
        <w:jc w:val="both"/>
        <w:rPr>
          <w:rFonts w:ascii="Times New Roman" w:hAnsi="Times New Roman" w:cs="Times New Roman"/>
          <w:color w:val="4C4747"/>
          <w:sz w:val="24"/>
          <w:szCs w:val="24"/>
        </w:rPr>
      </w:pPr>
    </w:p>
    <w:p w14:paraId="541D08A9" w14:textId="77777777" w:rsidR="00AF78D3" w:rsidRPr="00AF78D3" w:rsidRDefault="00AF78D3" w:rsidP="00AF78D3">
      <w:pPr>
        <w:spacing w:line="360" w:lineRule="auto"/>
        <w:jc w:val="both"/>
        <w:rPr>
          <w:rFonts w:ascii="Times New Roman" w:hAnsi="Times New Roman" w:cs="Times New Roman"/>
          <w:color w:val="4C4747"/>
          <w:sz w:val="24"/>
          <w:szCs w:val="24"/>
        </w:rPr>
      </w:pPr>
    </w:p>
    <w:p w14:paraId="4794E544" w14:textId="79E3F5C5" w:rsidR="004157E6" w:rsidRPr="00305350" w:rsidRDefault="00EC6B6D" w:rsidP="004157E6">
      <w:pPr>
        <w:rPr>
          <w:rFonts w:ascii="Times New Roman" w:hAnsi="Times New Roman" w:cs="Times New Roman"/>
          <w:color w:val="4C4747"/>
          <w:sz w:val="24"/>
          <w:szCs w:val="24"/>
        </w:rPr>
      </w:pPr>
      <w:r w:rsidRPr="00305350">
        <w:rPr>
          <w:color w:val="4C4747"/>
        </w:rPr>
        <w:lastRenderedPageBreak/>
        <w:t xml:space="preserve">                             </w:t>
      </w:r>
      <w:r w:rsidR="00B46D33" w:rsidRPr="00305350">
        <w:rPr>
          <w:color w:val="4C4747"/>
        </w:rPr>
        <w:t xml:space="preserve">       </w:t>
      </w:r>
      <w:r w:rsidRPr="00305350">
        <w:rPr>
          <w:color w:val="4C4747"/>
        </w:rPr>
        <w:t xml:space="preserve">  </w:t>
      </w:r>
      <w:r w:rsidR="003E38E1" w:rsidRPr="00305350">
        <w:rPr>
          <w:color w:val="4C4747"/>
        </w:rPr>
        <w:t xml:space="preserve"> </w:t>
      </w:r>
      <w:r w:rsidR="00504444" w:rsidRPr="00305350">
        <w:rPr>
          <w:rFonts w:ascii="Times New Roman" w:hAnsi="Times New Roman" w:cs="Times New Roman"/>
          <w:color w:val="4C4747"/>
          <w:sz w:val="24"/>
          <w:szCs w:val="24"/>
        </w:rPr>
        <w:t xml:space="preserve">Principales </w:t>
      </w:r>
      <w:r w:rsidR="00E656FF" w:rsidRPr="00305350">
        <w:rPr>
          <w:rFonts w:ascii="Times New Roman" w:hAnsi="Times New Roman" w:cs="Times New Roman"/>
          <w:color w:val="4C4747"/>
          <w:sz w:val="24"/>
          <w:szCs w:val="24"/>
        </w:rPr>
        <w:t>funcionarios</w:t>
      </w:r>
      <w:r w:rsidR="00504444" w:rsidRPr="00305350">
        <w:rPr>
          <w:rFonts w:ascii="Times New Roman" w:hAnsi="Times New Roman" w:cs="Times New Roman"/>
          <w:color w:val="4C4747"/>
          <w:sz w:val="24"/>
          <w:szCs w:val="24"/>
        </w:rPr>
        <w:t xml:space="preserve"> de la</w:t>
      </w:r>
      <w:r w:rsidR="00E656FF" w:rsidRPr="00305350">
        <w:rPr>
          <w:rFonts w:ascii="Times New Roman" w:hAnsi="Times New Roman" w:cs="Times New Roman"/>
          <w:color w:val="4C4747"/>
          <w:sz w:val="24"/>
          <w:szCs w:val="24"/>
        </w:rPr>
        <w:t xml:space="preserve"> </w:t>
      </w:r>
      <w:r w:rsidR="00504444" w:rsidRPr="00305350">
        <w:rPr>
          <w:rFonts w:ascii="Times New Roman" w:hAnsi="Times New Roman" w:cs="Times New Roman"/>
          <w:color w:val="4C4747"/>
          <w:sz w:val="24"/>
          <w:szCs w:val="24"/>
        </w:rPr>
        <w:t>Institución</w:t>
      </w:r>
    </w:p>
    <w:p w14:paraId="7DBB5E23" w14:textId="24B58E22" w:rsidR="003C3630" w:rsidRPr="00305350" w:rsidRDefault="00E656FF" w:rsidP="004157E6">
      <w:pPr>
        <w:rPr>
          <w:rFonts w:ascii="Times New Roman" w:hAnsi="Times New Roman" w:cs="Times New Roman"/>
          <w:color w:val="4C4747"/>
          <w:sz w:val="24"/>
          <w:szCs w:val="24"/>
        </w:rPr>
      </w:pPr>
      <w:r w:rsidRPr="00305350">
        <w:rPr>
          <w:rFonts w:ascii="Times New Roman" w:hAnsi="Times New Roman" w:cs="Times New Roman"/>
          <w:noProof/>
          <w:color w:val="4C4747"/>
          <w:sz w:val="24"/>
          <w:szCs w:val="24"/>
        </w:rPr>
        <mc:AlternateContent>
          <mc:Choice Requires="wps">
            <w:drawing>
              <wp:anchor distT="0" distB="0" distL="114300" distR="114300" simplePos="0" relativeHeight="251670528" behindDoc="0" locked="0" layoutInCell="1" allowOverlap="1" wp14:anchorId="2B0647A3" wp14:editId="599F2A92">
                <wp:simplePos x="0" y="0"/>
                <wp:positionH relativeFrom="margin">
                  <wp:posOffset>2162175</wp:posOffset>
                </wp:positionH>
                <wp:positionV relativeFrom="paragraph">
                  <wp:posOffset>28575</wp:posOffset>
                </wp:positionV>
                <wp:extent cx="539750" cy="0"/>
                <wp:effectExtent l="0" t="19050" r="31750" b="19050"/>
                <wp:wrapNone/>
                <wp:docPr id="17"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AA866CA" id="Conector recto 9"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25pt,2.25pt" to="212.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" strokecolor="red" strokeweight="2.5pt">
                <v:stroke joinstyle="miter"/>
                <w10:wrap anchorx="margin"/>
              </v:line>
            </w:pict>
          </mc:Fallback>
        </mc:AlternateContent>
      </w:r>
    </w:p>
    <w:p w14:paraId="7A07E179" w14:textId="6E98F9FD" w:rsidR="00BA7408" w:rsidRPr="00305350" w:rsidRDefault="009C1882" w:rsidP="00E656FF">
      <w:pPr>
        <w:spacing w:after="0" w:line="240" w:lineRule="auto"/>
        <w:jc w:val="center"/>
        <w:rPr>
          <w:rFonts w:ascii="Times New Roman" w:eastAsia="Calibri" w:hAnsi="Times New Roman" w:cs="Times New Roman"/>
          <w:color w:val="4C4747"/>
          <w:sz w:val="24"/>
          <w:szCs w:val="24"/>
        </w:rPr>
      </w:pPr>
      <w:hyperlink r:id="rId28" w:history="1">
        <w:r w:rsidR="00BA7408" w:rsidRPr="00305350">
          <w:rPr>
            <w:rFonts w:ascii="Times New Roman" w:eastAsia="Calibri" w:hAnsi="Times New Roman" w:cs="Times New Roman"/>
            <w:b/>
            <w:color w:val="4C4747"/>
            <w:sz w:val="24"/>
            <w:szCs w:val="24"/>
          </w:rPr>
          <w:t>Héctor Valdez Albizu</w:t>
        </w:r>
      </w:hyperlink>
      <w:r w:rsidR="00BA7408" w:rsidRPr="00305350">
        <w:rPr>
          <w:rFonts w:ascii="Times New Roman" w:eastAsia="Calibri" w:hAnsi="Times New Roman" w:cs="Times New Roman"/>
          <w:b/>
          <w:color w:val="4C4747"/>
          <w:sz w:val="24"/>
          <w:szCs w:val="24"/>
        </w:rPr>
        <w:br/>
      </w:r>
      <w:r w:rsidR="00BA7408" w:rsidRPr="00305350">
        <w:rPr>
          <w:rFonts w:ascii="Times New Roman" w:eastAsia="Calibri" w:hAnsi="Times New Roman" w:cs="Times New Roman"/>
          <w:color w:val="4C4747"/>
          <w:sz w:val="24"/>
          <w:szCs w:val="24"/>
        </w:rPr>
        <w:t>Gobernador</w:t>
      </w:r>
    </w:p>
    <w:p w14:paraId="1B61E72E" w14:textId="77777777" w:rsidR="00BA7408" w:rsidRPr="00305350" w:rsidRDefault="00BA7408" w:rsidP="00E656FF">
      <w:pPr>
        <w:spacing w:after="0" w:line="240" w:lineRule="auto"/>
        <w:jc w:val="center"/>
        <w:rPr>
          <w:rFonts w:ascii="Times New Roman" w:eastAsia="Calibri" w:hAnsi="Times New Roman" w:cs="Times New Roman"/>
          <w:color w:val="4C4747"/>
          <w:sz w:val="24"/>
          <w:szCs w:val="24"/>
        </w:rPr>
      </w:pPr>
    </w:p>
    <w:p w14:paraId="15EE8BE2" w14:textId="77777777" w:rsidR="00BA7408" w:rsidRPr="00305350" w:rsidRDefault="009C1882" w:rsidP="00E656FF">
      <w:pPr>
        <w:spacing w:after="0" w:line="240" w:lineRule="auto"/>
        <w:jc w:val="center"/>
        <w:rPr>
          <w:rFonts w:ascii="Times New Roman" w:eastAsia="Calibri" w:hAnsi="Times New Roman" w:cs="Times New Roman"/>
          <w:color w:val="4C4747"/>
          <w:sz w:val="24"/>
          <w:szCs w:val="24"/>
        </w:rPr>
      </w:pPr>
      <w:hyperlink r:id="rId29" w:history="1">
        <w:r w:rsidR="00BA7408" w:rsidRPr="00305350">
          <w:rPr>
            <w:rFonts w:ascii="Times New Roman" w:eastAsia="Calibri" w:hAnsi="Times New Roman" w:cs="Times New Roman"/>
            <w:b/>
            <w:color w:val="4C4747"/>
            <w:sz w:val="24"/>
            <w:szCs w:val="24"/>
          </w:rPr>
          <w:t>Clarissa de la Rocha de Torres</w:t>
        </w:r>
      </w:hyperlink>
      <w:r w:rsidR="00BA7408" w:rsidRPr="00305350">
        <w:rPr>
          <w:rFonts w:ascii="Times New Roman" w:eastAsia="Calibri" w:hAnsi="Times New Roman" w:cs="Times New Roman"/>
          <w:b/>
          <w:color w:val="4C4747"/>
          <w:sz w:val="24"/>
          <w:szCs w:val="24"/>
        </w:rPr>
        <w:br/>
      </w:r>
      <w:r w:rsidR="00BA7408" w:rsidRPr="00305350">
        <w:rPr>
          <w:rFonts w:ascii="Times New Roman" w:eastAsia="Calibri" w:hAnsi="Times New Roman" w:cs="Times New Roman"/>
          <w:color w:val="4C4747"/>
          <w:sz w:val="24"/>
          <w:szCs w:val="24"/>
        </w:rPr>
        <w:t>Vicegobernadora</w:t>
      </w:r>
    </w:p>
    <w:p w14:paraId="7B790B1B" w14:textId="77777777" w:rsidR="00BA7408" w:rsidRPr="00305350" w:rsidRDefault="00BA7408" w:rsidP="00E656FF">
      <w:pPr>
        <w:spacing w:after="0" w:line="240" w:lineRule="auto"/>
        <w:jc w:val="center"/>
        <w:rPr>
          <w:rFonts w:ascii="Times New Roman" w:eastAsia="Calibri" w:hAnsi="Times New Roman" w:cs="Times New Roman"/>
          <w:color w:val="4C4747"/>
          <w:sz w:val="24"/>
          <w:szCs w:val="24"/>
        </w:rPr>
      </w:pPr>
    </w:p>
    <w:p w14:paraId="6DABF8E0" w14:textId="77777777" w:rsidR="00BA7408" w:rsidRPr="00305350" w:rsidRDefault="009C1882" w:rsidP="00E656FF">
      <w:pPr>
        <w:spacing w:after="0" w:line="240" w:lineRule="auto"/>
        <w:jc w:val="center"/>
        <w:rPr>
          <w:rFonts w:ascii="Times New Roman" w:eastAsia="Calibri" w:hAnsi="Times New Roman" w:cs="Times New Roman"/>
          <w:color w:val="4C4747"/>
          <w:sz w:val="24"/>
          <w:szCs w:val="24"/>
        </w:rPr>
      </w:pPr>
      <w:hyperlink r:id="rId30" w:history="1">
        <w:r w:rsidR="00BA7408" w:rsidRPr="00305350">
          <w:rPr>
            <w:rFonts w:ascii="Times New Roman" w:eastAsia="Calibri" w:hAnsi="Times New Roman" w:cs="Times New Roman"/>
            <w:b/>
            <w:color w:val="4C4747"/>
            <w:sz w:val="24"/>
            <w:szCs w:val="24"/>
          </w:rPr>
          <w:t>Ervin Novas Bello</w:t>
        </w:r>
      </w:hyperlink>
      <w:r w:rsidR="00BA7408" w:rsidRPr="00305350">
        <w:rPr>
          <w:rFonts w:ascii="Times New Roman" w:eastAsia="Calibri" w:hAnsi="Times New Roman" w:cs="Times New Roman"/>
          <w:b/>
          <w:color w:val="4C4747"/>
          <w:sz w:val="24"/>
          <w:szCs w:val="24"/>
        </w:rPr>
        <w:br/>
      </w:r>
      <w:r w:rsidR="00BA7408" w:rsidRPr="00305350">
        <w:rPr>
          <w:rFonts w:ascii="Times New Roman" w:eastAsia="Calibri" w:hAnsi="Times New Roman" w:cs="Times New Roman"/>
          <w:color w:val="4C4747"/>
          <w:sz w:val="24"/>
          <w:szCs w:val="24"/>
        </w:rPr>
        <w:t>Gerente</w:t>
      </w:r>
    </w:p>
    <w:p w14:paraId="7977A321" w14:textId="77777777" w:rsidR="00BA7408" w:rsidRPr="00305350" w:rsidRDefault="00BA7408" w:rsidP="00E656FF">
      <w:pPr>
        <w:spacing w:after="0" w:line="240" w:lineRule="auto"/>
        <w:jc w:val="center"/>
        <w:rPr>
          <w:rFonts w:ascii="Times New Roman" w:eastAsia="Calibri" w:hAnsi="Times New Roman" w:cs="Times New Roman"/>
          <w:b/>
          <w:color w:val="4C4747"/>
          <w:sz w:val="24"/>
          <w:szCs w:val="24"/>
        </w:rPr>
      </w:pPr>
    </w:p>
    <w:p w14:paraId="7DBA2FA2" w14:textId="77777777" w:rsidR="00BA7408" w:rsidRPr="00305350" w:rsidRDefault="009C1882" w:rsidP="00E656FF">
      <w:pPr>
        <w:spacing w:after="0" w:line="240" w:lineRule="auto"/>
        <w:jc w:val="center"/>
        <w:rPr>
          <w:rFonts w:ascii="Times New Roman" w:eastAsia="Calibri" w:hAnsi="Times New Roman" w:cs="Times New Roman"/>
          <w:color w:val="4C4747"/>
          <w:sz w:val="24"/>
          <w:szCs w:val="24"/>
        </w:rPr>
      </w:pPr>
      <w:hyperlink r:id="rId31" w:history="1">
        <w:r w:rsidR="00BA7408" w:rsidRPr="00305350">
          <w:rPr>
            <w:rFonts w:ascii="Times New Roman" w:eastAsia="Calibri" w:hAnsi="Times New Roman" w:cs="Times New Roman"/>
            <w:b/>
            <w:color w:val="4C4747"/>
            <w:sz w:val="24"/>
            <w:szCs w:val="24"/>
          </w:rPr>
          <w:t>José Manuel Taveras Lay</w:t>
        </w:r>
      </w:hyperlink>
      <w:r w:rsidR="00BA7408" w:rsidRPr="00305350">
        <w:rPr>
          <w:rFonts w:ascii="Times New Roman" w:eastAsia="Calibri" w:hAnsi="Times New Roman" w:cs="Times New Roman"/>
          <w:b/>
          <w:color w:val="4C4747"/>
          <w:sz w:val="24"/>
          <w:szCs w:val="24"/>
          <w:u w:val="single"/>
        </w:rPr>
        <w:br/>
      </w:r>
      <w:r w:rsidR="00BA7408" w:rsidRPr="00305350">
        <w:rPr>
          <w:rFonts w:ascii="Times New Roman" w:eastAsia="Calibri" w:hAnsi="Times New Roman" w:cs="Times New Roman"/>
          <w:color w:val="4C4747"/>
          <w:sz w:val="24"/>
          <w:szCs w:val="24"/>
        </w:rPr>
        <w:t>Contralor</w:t>
      </w:r>
    </w:p>
    <w:p w14:paraId="6AC2436C" w14:textId="77777777" w:rsidR="00BA7408" w:rsidRPr="00305350" w:rsidRDefault="00BA7408" w:rsidP="00E656FF">
      <w:pPr>
        <w:spacing w:after="0" w:line="240" w:lineRule="auto"/>
        <w:jc w:val="center"/>
        <w:rPr>
          <w:rFonts w:ascii="Times New Roman" w:eastAsia="Calibri" w:hAnsi="Times New Roman" w:cs="Times New Roman"/>
          <w:color w:val="4C4747"/>
          <w:sz w:val="24"/>
          <w:szCs w:val="24"/>
        </w:rPr>
      </w:pPr>
    </w:p>
    <w:p w14:paraId="39A183E4" w14:textId="77777777" w:rsidR="00BA7408" w:rsidRPr="00305350" w:rsidRDefault="009C1882" w:rsidP="00E656FF">
      <w:pPr>
        <w:spacing w:after="0" w:line="240" w:lineRule="auto"/>
        <w:jc w:val="center"/>
        <w:rPr>
          <w:rFonts w:ascii="Times New Roman" w:eastAsia="Calibri" w:hAnsi="Times New Roman" w:cs="Times New Roman"/>
          <w:color w:val="4C4747"/>
          <w:sz w:val="24"/>
          <w:szCs w:val="24"/>
        </w:rPr>
      </w:pPr>
      <w:hyperlink r:id="rId32" w:history="1">
        <w:r w:rsidR="00BA7408" w:rsidRPr="00305350">
          <w:rPr>
            <w:rFonts w:ascii="Times New Roman" w:eastAsia="Calibri" w:hAnsi="Times New Roman" w:cs="Times New Roman"/>
            <w:b/>
            <w:color w:val="4C4747"/>
            <w:sz w:val="24"/>
            <w:szCs w:val="24"/>
          </w:rPr>
          <w:t>Frank A. Montaño P.</w:t>
        </w:r>
      </w:hyperlink>
      <w:r w:rsidR="00BA7408" w:rsidRPr="00305350">
        <w:rPr>
          <w:rFonts w:ascii="Times New Roman" w:eastAsia="Calibri" w:hAnsi="Times New Roman" w:cs="Times New Roman"/>
          <w:b/>
          <w:color w:val="4C4747"/>
          <w:sz w:val="24"/>
          <w:szCs w:val="24"/>
        </w:rPr>
        <w:br/>
      </w:r>
      <w:r w:rsidR="00BA7408" w:rsidRPr="00305350">
        <w:rPr>
          <w:rFonts w:ascii="Times New Roman" w:eastAsia="Calibri" w:hAnsi="Times New Roman" w:cs="Times New Roman"/>
          <w:color w:val="4C4747"/>
          <w:sz w:val="24"/>
          <w:szCs w:val="24"/>
        </w:rPr>
        <w:t>Subgerente General</w:t>
      </w:r>
    </w:p>
    <w:p w14:paraId="34634C7B" w14:textId="77777777" w:rsidR="00BA7408" w:rsidRPr="00305350" w:rsidRDefault="00BA7408" w:rsidP="00E656FF">
      <w:pPr>
        <w:spacing w:after="0" w:line="240" w:lineRule="auto"/>
        <w:jc w:val="center"/>
        <w:rPr>
          <w:rFonts w:ascii="Times New Roman" w:eastAsia="Calibri" w:hAnsi="Times New Roman" w:cs="Times New Roman"/>
          <w:b/>
          <w:color w:val="4C4747"/>
          <w:sz w:val="24"/>
          <w:szCs w:val="24"/>
        </w:rPr>
      </w:pPr>
    </w:p>
    <w:p w14:paraId="2E1DBA88" w14:textId="77777777" w:rsidR="00BA7408" w:rsidRPr="00305350" w:rsidRDefault="009C1882" w:rsidP="00E656FF">
      <w:pPr>
        <w:spacing w:after="0" w:line="240" w:lineRule="auto"/>
        <w:jc w:val="center"/>
        <w:rPr>
          <w:rFonts w:ascii="Times New Roman" w:eastAsia="Calibri" w:hAnsi="Times New Roman" w:cs="Times New Roman"/>
          <w:color w:val="4C4747"/>
          <w:sz w:val="24"/>
          <w:szCs w:val="24"/>
        </w:rPr>
      </w:pPr>
      <w:hyperlink r:id="rId33" w:history="1">
        <w:r w:rsidR="00BA7408" w:rsidRPr="00305350">
          <w:rPr>
            <w:rFonts w:ascii="Times New Roman" w:eastAsia="Calibri" w:hAnsi="Times New Roman" w:cs="Times New Roman"/>
            <w:b/>
            <w:color w:val="4C4747"/>
            <w:sz w:val="24"/>
            <w:szCs w:val="24"/>
          </w:rPr>
          <w:t xml:space="preserve">Joel Tejeda </w:t>
        </w:r>
        <w:proofErr w:type="spellStart"/>
        <w:r w:rsidR="00BA7408" w:rsidRPr="00305350">
          <w:rPr>
            <w:rFonts w:ascii="Times New Roman" w:eastAsia="Calibri" w:hAnsi="Times New Roman" w:cs="Times New Roman"/>
            <w:b/>
            <w:color w:val="4C4747"/>
            <w:sz w:val="24"/>
            <w:szCs w:val="24"/>
          </w:rPr>
          <w:t>Comprés</w:t>
        </w:r>
        <w:proofErr w:type="spellEnd"/>
      </w:hyperlink>
      <w:r w:rsidR="00BA7408" w:rsidRPr="00305350">
        <w:rPr>
          <w:rFonts w:ascii="Times New Roman" w:eastAsia="Calibri" w:hAnsi="Times New Roman" w:cs="Times New Roman"/>
          <w:color w:val="4C4747"/>
          <w:sz w:val="24"/>
          <w:szCs w:val="24"/>
          <w:u w:val="single"/>
        </w:rPr>
        <w:br/>
      </w:r>
      <w:r w:rsidR="00BA7408" w:rsidRPr="00305350">
        <w:rPr>
          <w:rFonts w:ascii="Times New Roman" w:eastAsia="Calibri" w:hAnsi="Times New Roman" w:cs="Times New Roman"/>
          <w:color w:val="4C4747"/>
          <w:sz w:val="24"/>
          <w:szCs w:val="24"/>
        </w:rPr>
        <w:t>Subgerente de Políticas Monetaria, Cambiaria y Financiera</w:t>
      </w:r>
    </w:p>
    <w:p w14:paraId="49208857" w14:textId="77777777" w:rsidR="00BA7408" w:rsidRPr="00305350" w:rsidRDefault="00BA7408" w:rsidP="00E656FF">
      <w:pPr>
        <w:spacing w:after="0" w:line="240" w:lineRule="auto"/>
        <w:jc w:val="center"/>
        <w:rPr>
          <w:rFonts w:ascii="Times New Roman" w:eastAsia="Calibri" w:hAnsi="Times New Roman" w:cs="Times New Roman"/>
          <w:color w:val="4C4747"/>
          <w:sz w:val="24"/>
          <w:szCs w:val="24"/>
          <w:u w:val="single"/>
        </w:rPr>
      </w:pPr>
    </w:p>
    <w:p w14:paraId="4EED8597" w14:textId="77777777" w:rsidR="00BA7408" w:rsidRPr="00305350" w:rsidRDefault="009C1882" w:rsidP="00E656FF">
      <w:pPr>
        <w:spacing w:after="0" w:line="240" w:lineRule="auto"/>
        <w:jc w:val="center"/>
        <w:rPr>
          <w:rFonts w:ascii="Times New Roman" w:eastAsia="Calibri" w:hAnsi="Times New Roman" w:cs="Times New Roman"/>
          <w:color w:val="4C4747"/>
          <w:sz w:val="24"/>
          <w:szCs w:val="24"/>
        </w:rPr>
      </w:pPr>
      <w:hyperlink r:id="rId34" w:history="1">
        <w:r w:rsidR="00BA7408" w:rsidRPr="00305350">
          <w:rPr>
            <w:rFonts w:ascii="Times New Roman" w:eastAsia="Calibri" w:hAnsi="Times New Roman" w:cs="Times New Roman"/>
            <w:b/>
            <w:color w:val="4C4747"/>
            <w:sz w:val="24"/>
            <w:szCs w:val="24"/>
          </w:rPr>
          <w:t xml:space="preserve">Roberto José </w:t>
        </w:r>
        <w:proofErr w:type="spellStart"/>
        <w:r w:rsidR="00BA7408" w:rsidRPr="00305350">
          <w:rPr>
            <w:rFonts w:ascii="Times New Roman" w:eastAsia="Calibri" w:hAnsi="Times New Roman" w:cs="Times New Roman"/>
            <w:b/>
            <w:color w:val="4C4747"/>
            <w:sz w:val="24"/>
            <w:szCs w:val="24"/>
          </w:rPr>
          <w:t>Pelliccione</w:t>
        </w:r>
        <w:proofErr w:type="spellEnd"/>
        <w:r w:rsidR="00BA7408" w:rsidRPr="00305350">
          <w:rPr>
            <w:rFonts w:ascii="Times New Roman" w:eastAsia="Calibri" w:hAnsi="Times New Roman" w:cs="Times New Roman"/>
            <w:b/>
            <w:color w:val="4C4747"/>
            <w:sz w:val="24"/>
            <w:szCs w:val="24"/>
          </w:rPr>
          <w:t xml:space="preserve"> Hernández</w:t>
        </w:r>
      </w:hyperlink>
      <w:r w:rsidR="00BA7408" w:rsidRPr="00305350">
        <w:rPr>
          <w:rFonts w:ascii="Times New Roman" w:eastAsia="Calibri" w:hAnsi="Times New Roman" w:cs="Times New Roman"/>
          <w:b/>
          <w:color w:val="4C4747"/>
          <w:sz w:val="24"/>
          <w:szCs w:val="24"/>
        </w:rPr>
        <w:br/>
      </w:r>
      <w:r w:rsidR="00BA7408" w:rsidRPr="00305350">
        <w:rPr>
          <w:rFonts w:ascii="Times New Roman" w:eastAsia="Calibri" w:hAnsi="Times New Roman" w:cs="Times New Roman"/>
          <w:color w:val="4C4747"/>
          <w:sz w:val="24"/>
          <w:szCs w:val="24"/>
        </w:rPr>
        <w:t>Subgerente Administrativo y de Servicios</w:t>
      </w:r>
    </w:p>
    <w:p w14:paraId="1EB411D3" w14:textId="77777777" w:rsidR="00BA7408" w:rsidRPr="00305350" w:rsidRDefault="00BA7408" w:rsidP="00E656FF">
      <w:pPr>
        <w:spacing w:after="0" w:line="240" w:lineRule="auto"/>
        <w:jc w:val="center"/>
        <w:rPr>
          <w:rFonts w:ascii="Times New Roman" w:eastAsia="Calibri" w:hAnsi="Times New Roman" w:cs="Times New Roman"/>
          <w:color w:val="4C4747"/>
          <w:sz w:val="24"/>
          <w:szCs w:val="24"/>
        </w:rPr>
      </w:pPr>
    </w:p>
    <w:p w14:paraId="4942A3EE" w14:textId="77777777" w:rsidR="00BA7408" w:rsidRPr="00305350" w:rsidRDefault="00BA7408" w:rsidP="00E656FF">
      <w:pPr>
        <w:spacing w:after="0" w:line="240" w:lineRule="auto"/>
        <w:jc w:val="center"/>
        <w:rPr>
          <w:rFonts w:ascii="Times New Roman" w:eastAsia="Calibri" w:hAnsi="Times New Roman" w:cs="Times New Roman"/>
          <w:b/>
          <w:color w:val="4C4747"/>
          <w:sz w:val="24"/>
          <w:szCs w:val="24"/>
        </w:rPr>
      </w:pPr>
      <w:r w:rsidRPr="00305350">
        <w:rPr>
          <w:rFonts w:ascii="Times New Roman" w:eastAsia="Calibri" w:hAnsi="Times New Roman" w:cs="Times New Roman"/>
          <w:b/>
          <w:color w:val="4C4747"/>
          <w:sz w:val="24"/>
          <w:szCs w:val="24"/>
        </w:rPr>
        <w:t>Fabiola Herrera de Valdez</w:t>
      </w:r>
    </w:p>
    <w:p w14:paraId="1C97CD36" w14:textId="77777777" w:rsidR="00BA7408" w:rsidRPr="00305350" w:rsidRDefault="00BA7408" w:rsidP="00E656FF">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Subgerente de Sistemas e Innovación Tecnológica</w:t>
      </w:r>
    </w:p>
    <w:p w14:paraId="260165F8" w14:textId="77777777" w:rsidR="00BA7408" w:rsidRPr="00305350" w:rsidRDefault="00BA7408" w:rsidP="003E38E1">
      <w:pPr>
        <w:spacing w:after="0" w:line="240" w:lineRule="auto"/>
        <w:rPr>
          <w:rFonts w:ascii="Times New Roman" w:eastAsia="Calibri" w:hAnsi="Times New Roman" w:cs="Times New Roman"/>
          <w:color w:val="4C4747"/>
          <w:sz w:val="24"/>
          <w:szCs w:val="24"/>
        </w:rPr>
      </w:pPr>
    </w:p>
    <w:p w14:paraId="016E5134" w14:textId="77777777" w:rsidR="00BA7408" w:rsidRPr="00305350" w:rsidRDefault="009C1882" w:rsidP="00E656FF">
      <w:pPr>
        <w:spacing w:after="0" w:line="240" w:lineRule="auto"/>
        <w:jc w:val="center"/>
        <w:rPr>
          <w:rFonts w:ascii="Times New Roman" w:eastAsia="Calibri" w:hAnsi="Times New Roman" w:cs="Times New Roman"/>
          <w:b/>
          <w:color w:val="4C4747"/>
          <w:sz w:val="24"/>
          <w:szCs w:val="24"/>
        </w:rPr>
      </w:pPr>
      <w:hyperlink r:id="rId35" w:history="1">
        <w:r w:rsidR="00BA7408" w:rsidRPr="00305350">
          <w:rPr>
            <w:rFonts w:ascii="Times New Roman" w:eastAsia="Calibri" w:hAnsi="Times New Roman" w:cs="Times New Roman"/>
            <w:b/>
            <w:color w:val="4C4747"/>
            <w:sz w:val="24"/>
            <w:szCs w:val="24"/>
          </w:rPr>
          <w:t>Ramón Antonio González Hernández</w:t>
        </w:r>
      </w:hyperlink>
    </w:p>
    <w:p w14:paraId="7CD944C0" w14:textId="7ACC5FBA" w:rsidR="00BA7408" w:rsidRPr="00305350" w:rsidRDefault="00BA7408" w:rsidP="00E656FF">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Subgerente</w:t>
      </w:r>
      <w:r w:rsidRPr="00305350">
        <w:rPr>
          <w:rFonts w:ascii="Times New Roman" w:eastAsia="Calibri" w:hAnsi="Times New Roman" w:cs="Times New Roman"/>
          <w:color w:val="4C4747"/>
          <w:sz w:val="24"/>
          <w:szCs w:val="24"/>
        </w:rPr>
        <w:br/>
        <w:t>Cuentas Nacionales y Estadísticas Económicas</w:t>
      </w:r>
    </w:p>
    <w:p w14:paraId="57938EAD" w14:textId="77777777" w:rsidR="004157E6" w:rsidRPr="00305350" w:rsidRDefault="004157E6" w:rsidP="00E656FF">
      <w:pPr>
        <w:spacing w:after="0" w:line="240" w:lineRule="auto"/>
        <w:jc w:val="center"/>
        <w:rPr>
          <w:rFonts w:ascii="Times New Roman" w:eastAsia="Calibri" w:hAnsi="Times New Roman" w:cs="Times New Roman"/>
          <w:color w:val="4C4747"/>
          <w:sz w:val="24"/>
          <w:szCs w:val="24"/>
        </w:rPr>
      </w:pPr>
    </w:p>
    <w:p w14:paraId="4BC54535" w14:textId="590608FC" w:rsidR="00BA7408" w:rsidRPr="00305350" w:rsidRDefault="004157E6" w:rsidP="00E656FF">
      <w:pPr>
        <w:spacing w:after="0" w:line="240" w:lineRule="auto"/>
        <w:jc w:val="center"/>
        <w:rPr>
          <w:rFonts w:ascii="Times New Roman" w:eastAsia="Calibri" w:hAnsi="Times New Roman" w:cs="Times New Roman"/>
          <w:b/>
          <w:color w:val="4C4747"/>
          <w:sz w:val="24"/>
          <w:szCs w:val="24"/>
        </w:rPr>
      </w:pPr>
      <w:r w:rsidRPr="00305350">
        <w:rPr>
          <w:rFonts w:ascii="Times New Roman" w:eastAsia="Calibri" w:hAnsi="Times New Roman" w:cs="Times New Roman"/>
          <w:b/>
          <w:color w:val="4C4747"/>
          <w:sz w:val="24"/>
          <w:szCs w:val="24"/>
        </w:rPr>
        <w:t>Máximo J. Rodríguez A.</w:t>
      </w:r>
    </w:p>
    <w:p w14:paraId="30866F49" w14:textId="585D83AC" w:rsidR="00BA7408" w:rsidRPr="00305350" w:rsidRDefault="00BA7408" w:rsidP="00611EF0">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Subgerente</w:t>
      </w:r>
      <w:r w:rsidRPr="00305350">
        <w:rPr>
          <w:rFonts w:ascii="Times New Roman" w:eastAsia="Calibri" w:hAnsi="Times New Roman" w:cs="Times New Roman"/>
          <w:color w:val="4C4747"/>
          <w:sz w:val="24"/>
          <w:szCs w:val="24"/>
        </w:rPr>
        <w:br/>
        <w:t>Regulación y Estabilidad Financiera</w:t>
      </w:r>
    </w:p>
    <w:p w14:paraId="5201506B" w14:textId="77777777" w:rsidR="00BA7408" w:rsidRPr="00305350" w:rsidRDefault="00BA7408" w:rsidP="00E656FF">
      <w:pPr>
        <w:spacing w:after="0" w:line="240" w:lineRule="auto"/>
        <w:jc w:val="center"/>
        <w:rPr>
          <w:rFonts w:ascii="Times New Roman" w:eastAsia="Calibri" w:hAnsi="Times New Roman" w:cs="Times New Roman"/>
          <w:color w:val="4C4747"/>
          <w:sz w:val="24"/>
          <w:szCs w:val="24"/>
        </w:rPr>
      </w:pPr>
    </w:p>
    <w:p w14:paraId="4C32B072" w14:textId="6D17CCCD" w:rsidR="003E38E1" w:rsidRPr="00305350" w:rsidRDefault="009C1882" w:rsidP="004157E6">
      <w:pPr>
        <w:spacing w:after="0" w:line="240" w:lineRule="auto"/>
        <w:jc w:val="center"/>
        <w:rPr>
          <w:rFonts w:ascii="Times New Roman" w:eastAsia="Calibri" w:hAnsi="Times New Roman" w:cs="Times New Roman"/>
          <w:color w:val="4C4747"/>
          <w:sz w:val="24"/>
          <w:szCs w:val="24"/>
        </w:rPr>
      </w:pPr>
      <w:hyperlink r:id="rId36" w:history="1">
        <w:r w:rsidR="00BA7408" w:rsidRPr="00305350">
          <w:rPr>
            <w:rFonts w:ascii="Times New Roman" w:eastAsia="Calibri" w:hAnsi="Times New Roman" w:cs="Times New Roman"/>
            <w:b/>
            <w:color w:val="4C4747"/>
            <w:sz w:val="24"/>
            <w:szCs w:val="24"/>
          </w:rPr>
          <w:t xml:space="preserve">Manuel F. Gómez </w:t>
        </w:r>
        <w:proofErr w:type="spellStart"/>
        <w:r w:rsidR="00BA7408" w:rsidRPr="00305350">
          <w:rPr>
            <w:rFonts w:ascii="Times New Roman" w:eastAsia="Calibri" w:hAnsi="Times New Roman" w:cs="Times New Roman"/>
            <w:b/>
            <w:color w:val="4C4747"/>
            <w:sz w:val="24"/>
            <w:szCs w:val="24"/>
          </w:rPr>
          <w:t>Copello</w:t>
        </w:r>
        <w:proofErr w:type="spellEnd"/>
      </w:hyperlink>
      <w:r w:rsidR="00BA7408" w:rsidRPr="00305350">
        <w:rPr>
          <w:rFonts w:ascii="Times New Roman" w:eastAsia="Calibri" w:hAnsi="Times New Roman" w:cs="Times New Roman"/>
          <w:b/>
          <w:color w:val="4C4747"/>
          <w:sz w:val="24"/>
          <w:szCs w:val="24"/>
        </w:rPr>
        <w:br/>
      </w:r>
      <w:r w:rsidR="00BA7408" w:rsidRPr="00305350">
        <w:rPr>
          <w:rFonts w:ascii="Times New Roman" w:eastAsia="Calibri" w:hAnsi="Times New Roman" w:cs="Times New Roman"/>
          <w:color w:val="4C4747"/>
          <w:sz w:val="24"/>
          <w:szCs w:val="24"/>
        </w:rPr>
        <w:t>Subgerente</w:t>
      </w:r>
      <w:r w:rsidR="00BA7408" w:rsidRPr="00305350">
        <w:rPr>
          <w:rFonts w:ascii="Times New Roman" w:eastAsia="Calibri" w:hAnsi="Times New Roman" w:cs="Times New Roman"/>
          <w:color w:val="4C4747"/>
          <w:sz w:val="24"/>
          <w:szCs w:val="24"/>
        </w:rPr>
        <w:br/>
        <w:t>Director Departamento Recursos Humano</w:t>
      </w:r>
    </w:p>
    <w:p w14:paraId="6591D7E1" w14:textId="77777777" w:rsidR="004157E6" w:rsidRPr="00305350" w:rsidRDefault="004157E6" w:rsidP="004157E6">
      <w:pPr>
        <w:spacing w:after="0" w:line="240" w:lineRule="auto"/>
        <w:jc w:val="center"/>
        <w:rPr>
          <w:rFonts w:ascii="Times New Roman" w:hAnsi="Times New Roman" w:cs="Times New Roman"/>
          <w:color w:val="4C4747"/>
          <w:sz w:val="24"/>
          <w:szCs w:val="24"/>
        </w:rPr>
      </w:pPr>
    </w:p>
    <w:p w14:paraId="6CF08873" w14:textId="641A71EF" w:rsidR="00BA7408" w:rsidRPr="00305350" w:rsidRDefault="009C1882" w:rsidP="004157E6">
      <w:pPr>
        <w:spacing w:after="0" w:line="240" w:lineRule="auto"/>
        <w:jc w:val="center"/>
        <w:rPr>
          <w:rFonts w:ascii="Times New Roman" w:eastAsia="Calibri" w:hAnsi="Times New Roman" w:cs="Times New Roman"/>
          <w:b/>
          <w:color w:val="4C4747"/>
          <w:sz w:val="24"/>
          <w:szCs w:val="24"/>
        </w:rPr>
      </w:pPr>
      <w:hyperlink r:id="rId37" w:history="1">
        <w:r w:rsidR="00BA7408" w:rsidRPr="00305350">
          <w:rPr>
            <w:rFonts w:ascii="Times New Roman" w:eastAsia="Calibri" w:hAnsi="Times New Roman" w:cs="Times New Roman"/>
            <w:b/>
            <w:color w:val="4C4747"/>
            <w:sz w:val="24"/>
            <w:szCs w:val="24"/>
          </w:rPr>
          <w:t>José G. Alcántara Almánzar</w:t>
        </w:r>
      </w:hyperlink>
    </w:p>
    <w:p w14:paraId="62AF82A3" w14:textId="77777777" w:rsidR="00BA7408" w:rsidRPr="00305350" w:rsidRDefault="00BA7408" w:rsidP="004157E6">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Subgerente</w:t>
      </w:r>
      <w:r w:rsidRPr="00305350">
        <w:rPr>
          <w:rFonts w:ascii="Times New Roman" w:eastAsia="Calibri" w:hAnsi="Times New Roman" w:cs="Times New Roman"/>
          <w:color w:val="4C4747"/>
          <w:sz w:val="24"/>
          <w:szCs w:val="24"/>
        </w:rPr>
        <w:br/>
        <w:t>Director Departamento Cultural</w:t>
      </w:r>
    </w:p>
    <w:p w14:paraId="0A83B8DE" w14:textId="77777777" w:rsidR="003E38E1" w:rsidRPr="00305350" w:rsidRDefault="003E38E1" w:rsidP="00504444">
      <w:pPr>
        <w:spacing w:after="0" w:line="240" w:lineRule="auto"/>
        <w:rPr>
          <w:rFonts w:ascii="Times New Roman" w:eastAsia="Calibri" w:hAnsi="Times New Roman" w:cs="Times New Roman"/>
          <w:color w:val="4C4747"/>
          <w:sz w:val="24"/>
          <w:szCs w:val="24"/>
        </w:rPr>
      </w:pPr>
    </w:p>
    <w:p w14:paraId="07E3CA24" w14:textId="145E8E3F" w:rsidR="004157E6" w:rsidRPr="00305350" w:rsidRDefault="004157E6" w:rsidP="00504444">
      <w:pPr>
        <w:spacing w:after="0" w:line="240" w:lineRule="auto"/>
        <w:rPr>
          <w:rFonts w:ascii="Times New Roman" w:eastAsia="Calibri" w:hAnsi="Times New Roman" w:cs="Times New Roman"/>
          <w:color w:val="4C4747"/>
          <w:sz w:val="24"/>
          <w:szCs w:val="24"/>
        </w:rPr>
        <w:sectPr w:rsidR="004157E6" w:rsidRPr="00305350" w:rsidSect="00D505DA">
          <w:footerReference w:type="default" r:id="rId38"/>
          <w:type w:val="continuous"/>
          <w:pgSz w:w="12240" w:h="15840"/>
          <w:pgMar w:top="1440" w:right="2160" w:bottom="1440" w:left="2160" w:header="2160" w:footer="113" w:gutter="0"/>
          <w:pgNumType w:start="3"/>
          <w:cols w:space="720"/>
          <w:docGrid w:linePitch="360"/>
        </w:sectPr>
      </w:pPr>
    </w:p>
    <w:p w14:paraId="5E49C58E" w14:textId="77777777" w:rsidR="00611EF0" w:rsidRPr="00305350" w:rsidRDefault="00611EF0" w:rsidP="004F7482">
      <w:pPr>
        <w:spacing w:line="240" w:lineRule="auto"/>
        <w:rPr>
          <w:rFonts w:ascii="Times New Roman" w:hAnsi="Times New Roman" w:cs="Times New Roman"/>
          <w:color w:val="4C4747"/>
          <w:sz w:val="24"/>
          <w:szCs w:val="24"/>
        </w:rPr>
      </w:pPr>
    </w:p>
    <w:p w14:paraId="55673C5A" w14:textId="4B357EAE" w:rsidR="00504444" w:rsidRPr="00305350" w:rsidRDefault="009C1882" w:rsidP="00504444">
      <w:pPr>
        <w:spacing w:line="240" w:lineRule="auto"/>
        <w:jc w:val="center"/>
        <w:rPr>
          <w:rFonts w:ascii="Times New Roman" w:eastAsia="Calibri" w:hAnsi="Times New Roman" w:cs="Times New Roman"/>
          <w:color w:val="4C4747"/>
          <w:sz w:val="24"/>
          <w:szCs w:val="24"/>
        </w:rPr>
      </w:pPr>
      <w:hyperlink r:id="rId39" w:history="1">
        <w:r w:rsidR="00504444" w:rsidRPr="00305350">
          <w:rPr>
            <w:rFonts w:ascii="Times New Roman" w:eastAsia="Calibri" w:hAnsi="Times New Roman" w:cs="Times New Roman"/>
            <w:b/>
            <w:color w:val="4C4747"/>
            <w:sz w:val="24"/>
            <w:szCs w:val="24"/>
          </w:rPr>
          <w:t xml:space="preserve">Julio Gabriel Andújar </w:t>
        </w:r>
        <w:proofErr w:type="spellStart"/>
        <w:r w:rsidR="00504444" w:rsidRPr="00305350">
          <w:rPr>
            <w:rFonts w:ascii="Times New Roman" w:eastAsia="Calibri" w:hAnsi="Times New Roman" w:cs="Times New Roman"/>
            <w:b/>
            <w:color w:val="4C4747"/>
            <w:sz w:val="24"/>
            <w:szCs w:val="24"/>
          </w:rPr>
          <w:t>Scheker</w:t>
        </w:r>
        <w:proofErr w:type="spellEnd"/>
      </w:hyperlink>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Asesor Económico de la Gobernación</w:t>
      </w:r>
    </w:p>
    <w:p w14:paraId="748320BC" w14:textId="77777777" w:rsidR="00504444" w:rsidRPr="00305350" w:rsidRDefault="00504444" w:rsidP="00504444">
      <w:pPr>
        <w:spacing w:line="240" w:lineRule="auto"/>
        <w:rPr>
          <w:rFonts w:ascii="Times New Roman" w:eastAsia="Calibri" w:hAnsi="Times New Roman" w:cs="Times New Roman"/>
          <w:color w:val="4C4747"/>
          <w:sz w:val="24"/>
          <w:szCs w:val="24"/>
        </w:rPr>
      </w:pPr>
    </w:p>
    <w:p w14:paraId="658BB68B" w14:textId="232B88C6" w:rsidR="00504444" w:rsidRPr="00305350" w:rsidRDefault="009C1882" w:rsidP="00504444">
      <w:pPr>
        <w:spacing w:line="240" w:lineRule="auto"/>
        <w:jc w:val="center"/>
        <w:rPr>
          <w:rFonts w:ascii="Times New Roman" w:eastAsia="Calibri" w:hAnsi="Times New Roman" w:cs="Times New Roman"/>
          <w:color w:val="4C4747"/>
          <w:sz w:val="24"/>
          <w:szCs w:val="24"/>
        </w:rPr>
      </w:pPr>
      <w:hyperlink r:id="rId40" w:history="1">
        <w:r w:rsidR="00504444" w:rsidRPr="00305350">
          <w:rPr>
            <w:rFonts w:ascii="Times New Roman" w:eastAsia="Calibri" w:hAnsi="Times New Roman" w:cs="Times New Roman"/>
            <w:b/>
            <w:color w:val="4C4747"/>
            <w:sz w:val="24"/>
            <w:szCs w:val="24"/>
          </w:rPr>
          <w:t>Carolina de Lourdes Ramos Vives</w:t>
        </w:r>
      </w:hyperlink>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Asesora de la Gobernación</w:t>
      </w:r>
    </w:p>
    <w:p w14:paraId="3BE6E237" w14:textId="77777777" w:rsidR="00504444" w:rsidRPr="00305350" w:rsidRDefault="00504444" w:rsidP="00504444">
      <w:pPr>
        <w:spacing w:line="240" w:lineRule="auto"/>
        <w:rPr>
          <w:rFonts w:ascii="Times New Roman" w:eastAsia="Calibri" w:hAnsi="Times New Roman" w:cs="Times New Roman"/>
          <w:color w:val="4C4747"/>
          <w:sz w:val="24"/>
          <w:szCs w:val="24"/>
        </w:rPr>
      </w:pPr>
    </w:p>
    <w:p w14:paraId="23812B27" w14:textId="77777777" w:rsidR="00504444" w:rsidRPr="00305350" w:rsidRDefault="009C1882" w:rsidP="00504444">
      <w:pPr>
        <w:spacing w:after="0" w:line="240" w:lineRule="auto"/>
        <w:jc w:val="center"/>
        <w:rPr>
          <w:rFonts w:ascii="Times New Roman" w:eastAsia="Calibri" w:hAnsi="Times New Roman" w:cs="Times New Roman"/>
          <w:b/>
          <w:color w:val="4C4747"/>
          <w:sz w:val="24"/>
          <w:szCs w:val="24"/>
        </w:rPr>
      </w:pPr>
      <w:hyperlink r:id="rId41" w:history="1">
        <w:r w:rsidR="00504444" w:rsidRPr="00305350">
          <w:rPr>
            <w:rFonts w:ascii="Times New Roman" w:eastAsia="Calibri" w:hAnsi="Times New Roman" w:cs="Times New Roman"/>
            <w:b/>
            <w:color w:val="4C4747"/>
            <w:sz w:val="24"/>
            <w:szCs w:val="24"/>
          </w:rPr>
          <w:t>Edwin R. Dominici Rosario</w:t>
        </w:r>
      </w:hyperlink>
    </w:p>
    <w:p w14:paraId="2D614279" w14:textId="77777777" w:rsidR="00504444" w:rsidRPr="00305350" w:rsidRDefault="00504444" w:rsidP="00504444">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Asesor</w:t>
      </w:r>
      <w:r w:rsidRPr="00305350">
        <w:rPr>
          <w:rFonts w:ascii="Times New Roman" w:eastAsia="Calibri" w:hAnsi="Times New Roman" w:cs="Times New Roman"/>
          <w:color w:val="4C4747"/>
          <w:sz w:val="24"/>
          <w:szCs w:val="24"/>
        </w:rPr>
        <w:br/>
        <w:t>Director Departamento de Seguridad</w:t>
      </w:r>
    </w:p>
    <w:p w14:paraId="073FE47E" w14:textId="77777777" w:rsidR="00504444" w:rsidRPr="00305350" w:rsidRDefault="00504444" w:rsidP="00504444">
      <w:pPr>
        <w:spacing w:after="0" w:line="240" w:lineRule="auto"/>
        <w:jc w:val="center"/>
        <w:rPr>
          <w:rFonts w:ascii="Times New Roman" w:eastAsia="Calibri" w:hAnsi="Times New Roman" w:cs="Times New Roman"/>
          <w:color w:val="4C4747"/>
          <w:sz w:val="24"/>
          <w:szCs w:val="24"/>
        </w:rPr>
      </w:pPr>
    </w:p>
    <w:p w14:paraId="392D62A8" w14:textId="77777777" w:rsidR="00504444" w:rsidRPr="00305350" w:rsidRDefault="00504444" w:rsidP="00504444">
      <w:pPr>
        <w:spacing w:after="0" w:line="240" w:lineRule="auto"/>
        <w:jc w:val="center"/>
        <w:rPr>
          <w:rFonts w:ascii="Times New Roman" w:eastAsia="Calibri" w:hAnsi="Times New Roman" w:cs="Times New Roman"/>
          <w:color w:val="4C4747"/>
          <w:sz w:val="24"/>
          <w:szCs w:val="24"/>
        </w:rPr>
      </w:pPr>
    </w:p>
    <w:p w14:paraId="1D2E994E" w14:textId="77777777" w:rsidR="00504444" w:rsidRPr="00305350" w:rsidRDefault="00504444" w:rsidP="00504444">
      <w:pPr>
        <w:spacing w:after="0" w:line="240" w:lineRule="auto"/>
        <w:jc w:val="center"/>
        <w:rPr>
          <w:rFonts w:ascii="Times New Roman" w:eastAsia="Calibri" w:hAnsi="Times New Roman" w:cs="Times New Roman"/>
          <w:b/>
          <w:color w:val="4C4747"/>
          <w:sz w:val="24"/>
          <w:szCs w:val="24"/>
        </w:rPr>
      </w:pPr>
      <w:proofErr w:type="spellStart"/>
      <w:r w:rsidRPr="00305350">
        <w:rPr>
          <w:rFonts w:ascii="Times New Roman" w:eastAsia="Calibri" w:hAnsi="Times New Roman" w:cs="Times New Roman"/>
          <w:b/>
          <w:color w:val="4C4747"/>
          <w:sz w:val="24"/>
          <w:szCs w:val="24"/>
        </w:rPr>
        <w:t>Riccio</w:t>
      </w:r>
      <w:proofErr w:type="spellEnd"/>
      <w:r w:rsidRPr="00305350">
        <w:rPr>
          <w:rFonts w:ascii="Times New Roman" w:eastAsia="Calibri" w:hAnsi="Times New Roman" w:cs="Times New Roman"/>
          <w:b/>
          <w:color w:val="4C4747"/>
          <w:sz w:val="24"/>
          <w:szCs w:val="24"/>
        </w:rPr>
        <w:t xml:space="preserve"> F. Hermida</w:t>
      </w:r>
    </w:p>
    <w:p w14:paraId="1FBC09BF" w14:textId="77777777" w:rsidR="00504444" w:rsidRPr="00305350" w:rsidRDefault="00504444" w:rsidP="00504444">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Asesor Económico de la Gobernación</w:t>
      </w:r>
    </w:p>
    <w:p w14:paraId="0BCEB803" w14:textId="77777777" w:rsidR="00504444" w:rsidRPr="00305350" w:rsidRDefault="00504444" w:rsidP="00504444">
      <w:pPr>
        <w:spacing w:line="240" w:lineRule="auto"/>
        <w:rPr>
          <w:rFonts w:ascii="Times New Roman" w:eastAsia="Calibri" w:hAnsi="Times New Roman" w:cs="Times New Roman"/>
          <w:color w:val="4C4747"/>
          <w:sz w:val="24"/>
          <w:szCs w:val="24"/>
        </w:rPr>
      </w:pPr>
    </w:p>
    <w:p w14:paraId="1475F37B" w14:textId="6A2EDB8E" w:rsidR="00504444" w:rsidRPr="00305350" w:rsidRDefault="004157E6" w:rsidP="00504444">
      <w:pPr>
        <w:spacing w:after="0" w:line="240" w:lineRule="auto"/>
        <w:jc w:val="center"/>
        <w:rPr>
          <w:rFonts w:ascii="Times New Roman" w:eastAsia="Calibri" w:hAnsi="Times New Roman" w:cs="Times New Roman"/>
          <w:b/>
          <w:color w:val="4C4747"/>
          <w:sz w:val="24"/>
          <w:szCs w:val="24"/>
        </w:rPr>
      </w:pPr>
      <w:r w:rsidRPr="00305350">
        <w:rPr>
          <w:rFonts w:ascii="Times New Roman" w:eastAsia="Calibri" w:hAnsi="Times New Roman" w:cs="Times New Roman"/>
          <w:b/>
          <w:color w:val="4C4747"/>
          <w:sz w:val="24"/>
          <w:szCs w:val="24"/>
        </w:rPr>
        <w:t xml:space="preserve">Elisa </w:t>
      </w:r>
      <w:proofErr w:type="spellStart"/>
      <w:r w:rsidRPr="00305350">
        <w:rPr>
          <w:rFonts w:ascii="Times New Roman" w:eastAsia="Calibri" w:hAnsi="Times New Roman" w:cs="Times New Roman"/>
          <w:b/>
          <w:color w:val="4C4747"/>
          <w:sz w:val="24"/>
          <w:szCs w:val="24"/>
        </w:rPr>
        <w:t>Vilorio</w:t>
      </w:r>
      <w:proofErr w:type="spellEnd"/>
      <w:r w:rsidRPr="00305350">
        <w:rPr>
          <w:rFonts w:ascii="Times New Roman" w:eastAsia="Calibri" w:hAnsi="Times New Roman" w:cs="Times New Roman"/>
          <w:b/>
          <w:color w:val="4C4747"/>
          <w:sz w:val="24"/>
          <w:szCs w:val="24"/>
        </w:rPr>
        <w:t xml:space="preserve"> de </w:t>
      </w:r>
      <w:proofErr w:type="spellStart"/>
      <w:r w:rsidRPr="00305350">
        <w:rPr>
          <w:rFonts w:ascii="Times New Roman" w:eastAsia="Calibri" w:hAnsi="Times New Roman" w:cs="Times New Roman"/>
          <w:b/>
          <w:color w:val="4C4747"/>
          <w:sz w:val="24"/>
          <w:szCs w:val="24"/>
        </w:rPr>
        <w:t>Painter</w:t>
      </w:r>
      <w:proofErr w:type="spellEnd"/>
    </w:p>
    <w:p w14:paraId="0C0A657E" w14:textId="77777777" w:rsidR="00504444" w:rsidRPr="00305350" w:rsidRDefault="00504444" w:rsidP="00504444">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Asesor de la Gobernación</w:t>
      </w:r>
    </w:p>
    <w:p w14:paraId="05E441E8" w14:textId="77777777" w:rsidR="00504444" w:rsidRPr="00305350" w:rsidRDefault="00504444" w:rsidP="00504444">
      <w:pPr>
        <w:spacing w:line="240" w:lineRule="auto"/>
        <w:rPr>
          <w:rFonts w:ascii="Times New Roman" w:eastAsia="Calibri" w:hAnsi="Times New Roman" w:cs="Times New Roman"/>
          <w:color w:val="4C4747"/>
          <w:sz w:val="24"/>
          <w:szCs w:val="24"/>
        </w:rPr>
      </w:pPr>
    </w:p>
    <w:p w14:paraId="20C11E6D" w14:textId="77777777" w:rsidR="00504444" w:rsidRPr="00305350" w:rsidRDefault="009C1882" w:rsidP="00504444">
      <w:pPr>
        <w:spacing w:line="240" w:lineRule="auto"/>
        <w:jc w:val="center"/>
        <w:rPr>
          <w:rFonts w:ascii="Times New Roman" w:eastAsia="Calibri" w:hAnsi="Times New Roman" w:cs="Times New Roman"/>
          <w:color w:val="4C4747"/>
          <w:sz w:val="24"/>
          <w:szCs w:val="24"/>
        </w:rPr>
      </w:pPr>
      <w:hyperlink r:id="rId42" w:history="1">
        <w:r w:rsidR="00504444" w:rsidRPr="00305350">
          <w:rPr>
            <w:rFonts w:ascii="Times New Roman" w:eastAsia="Calibri" w:hAnsi="Times New Roman" w:cs="Times New Roman"/>
            <w:b/>
            <w:color w:val="4C4747"/>
            <w:sz w:val="24"/>
            <w:szCs w:val="24"/>
          </w:rPr>
          <w:t>Olga Morel</w:t>
        </w:r>
      </w:hyperlink>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Consultor Jurídico</w:t>
      </w:r>
    </w:p>
    <w:p w14:paraId="2BB8F778" w14:textId="77777777" w:rsidR="00504444" w:rsidRPr="00305350" w:rsidRDefault="00504444" w:rsidP="00504444">
      <w:pPr>
        <w:spacing w:line="240" w:lineRule="auto"/>
        <w:rPr>
          <w:rFonts w:ascii="Times New Roman" w:eastAsia="Calibri" w:hAnsi="Times New Roman" w:cs="Times New Roman"/>
          <w:color w:val="4C4747"/>
          <w:sz w:val="24"/>
          <w:szCs w:val="24"/>
        </w:rPr>
      </w:pPr>
    </w:p>
    <w:p w14:paraId="71FA6F16" w14:textId="77777777" w:rsidR="00504444" w:rsidRPr="00305350" w:rsidRDefault="009C1882" w:rsidP="00504444">
      <w:pPr>
        <w:spacing w:line="240" w:lineRule="auto"/>
        <w:jc w:val="center"/>
        <w:rPr>
          <w:rFonts w:ascii="Times New Roman" w:eastAsia="Calibri" w:hAnsi="Times New Roman" w:cs="Times New Roman"/>
          <w:color w:val="4C4747"/>
          <w:sz w:val="24"/>
          <w:szCs w:val="24"/>
        </w:rPr>
      </w:pPr>
      <w:hyperlink r:id="rId43" w:history="1">
        <w:r w:rsidR="00504444" w:rsidRPr="00305350">
          <w:rPr>
            <w:rFonts w:ascii="Times New Roman" w:eastAsia="Calibri" w:hAnsi="Times New Roman" w:cs="Times New Roman"/>
            <w:b/>
            <w:color w:val="4C4747"/>
            <w:sz w:val="24"/>
            <w:szCs w:val="24"/>
          </w:rPr>
          <w:t xml:space="preserve">Norma </w:t>
        </w:r>
        <w:proofErr w:type="spellStart"/>
        <w:r w:rsidR="00504444" w:rsidRPr="00305350">
          <w:rPr>
            <w:rFonts w:ascii="Times New Roman" w:eastAsia="Calibri" w:hAnsi="Times New Roman" w:cs="Times New Roman"/>
            <w:b/>
            <w:color w:val="4C4747"/>
            <w:sz w:val="24"/>
            <w:szCs w:val="24"/>
          </w:rPr>
          <w:t>Jacquelinne</w:t>
        </w:r>
        <w:proofErr w:type="spellEnd"/>
        <w:r w:rsidR="00504444" w:rsidRPr="00305350">
          <w:rPr>
            <w:rFonts w:ascii="Times New Roman" w:eastAsia="Calibri" w:hAnsi="Times New Roman" w:cs="Times New Roman"/>
            <w:b/>
            <w:color w:val="4C4747"/>
            <w:sz w:val="24"/>
            <w:szCs w:val="24"/>
          </w:rPr>
          <w:t xml:space="preserve"> Molina</w:t>
        </w:r>
      </w:hyperlink>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Secretaria de la Junta Monetaria</w:t>
      </w:r>
    </w:p>
    <w:p w14:paraId="2F849D8C" w14:textId="77777777" w:rsidR="00504444" w:rsidRPr="00305350" w:rsidRDefault="00504444" w:rsidP="00504444">
      <w:pPr>
        <w:spacing w:line="240" w:lineRule="auto"/>
        <w:rPr>
          <w:rFonts w:ascii="Times New Roman" w:eastAsia="Calibri" w:hAnsi="Times New Roman" w:cs="Times New Roman"/>
          <w:color w:val="4C4747"/>
          <w:sz w:val="24"/>
          <w:szCs w:val="24"/>
        </w:rPr>
      </w:pPr>
    </w:p>
    <w:p w14:paraId="780BCB9C" w14:textId="779897B1" w:rsidR="004F7482" w:rsidRPr="00305350" w:rsidRDefault="00504444" w:rsidP="004F7482">
      <w:pPr>
        <w:spacing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b/>
          <w:color w:val="4C4747"/>
          <w:sz w:val="24"/>
          <w:szCs w:val="24"/>
        </w:rPr>
        <w:t>Miguel Angel Pichardo García</w:t>
      </w:r>
      <w:r w:rsidRPr="00305350">
        <w:rPr>
          <w:rFonts w:ascii="Times New Roman" w:eastAsia="Calibri" w:hAnsi="Times New Roman" w:cs="Times New Roman"/>
          <w:b/>
          <w:color w:val="4C4747"/>
          <w:sz w:val="24"/>
          <w:szCs w:val="24"/>
        </w:rPr>
        <w:br/>
      </w:r>
      <w:proofErr w:type="spellStart"/>
      <w:r w:rsidRPr="00305350">
        <w:rPr>
          <w:rFonts w:ascii="Times New Roman" w:eastAsia="Calibri" w:hAnsi="Times New Roman" w:cs="Times New Roman"/>
          <w:color w:val="4C4747"/>
          <w:sz w:val="24"/>
          <w:szCs w:val="24"/>
        </w:rPr>
        <w:t>Secretarí</w:t>
      </w:r>
      <w:r w:rsidR="00E656FF" w:rsidRPr="00305350">
        <w:rPr>
          <w:rFonts w:ascii="Times New Roman" w:eastAsia="Calibri" w:hAnsi="Times New Roman" w:cs="Times New Roman"/>
          <w:color w:val="4C4747"/>
          <w:sz w:val="24"/>
          <w:szCs w:val="24"/>
        </w:rPr>
        <w:t>o</w:t>
      </w:r>
      <w:proofErr w:type="spellEnd"/>
      <w:r w:rsidRPr="00305350">
        <w:rPr>
          <w:rFonts w:ascii="Times New Roman" w:eastAsia="Calibri" w:hAnsi="Times New Roman" w:cs="Times New Roman"/>
          <w:color w:val="4C4747"/>
          <w:sz w:val="24"/>
          <w:szCs w:val="24"/>
        </w:rPr>
        <w:t xml:space="preserve"> del Banco</w:t>
      </w:r>
    </w:p>
    <w:p w14:paraId="2F483B40" w14:textId="77777777" w:rsidR="004F7482" w:rsidRPr="00305350" w:rsidRDefault="004F7482" w:rsidP="008F2149">
      <w:pPr>
        <w:spacing w:line="240" w:lineRule="auto"/>
        <w:rPr>
          <w:rFonts w:ascii="Times New Roman" w:hAnsi="Times New Roman" w:cs="Times New Roman"/>
          <w:color w:val="4C4747"/>
          <w:sz w:val="24"/>
          <w:szCs w:val="24"/>
        </w:rPr>
      </w:pPr>
    </w:p>
    <w:p w14:paraId="1410ED02" w14:textId="2C17FCC1" w:rsidR="00504444" w:rsidRPr="00305350" w:rsidRDefault="009C1882" w:rsidP="00504444">
      <w:pPr>
        <w:spacing w:line="240" w:lineRule="auto"/>
        <w:jc w:val="center"/>
        <w:rPr>
          <w:rFonts w:ascii="Times New Roman" w:eastAsia="Calibri" w:hAnsi="Times New Roman" w:cs="Times New Roman"/>
          <w:color w:val="4C4747"/>
          <w:sz w:val="24"/>
          <w:szCs w:val="24"/>
        </w:rPr>
      </w:pPr>
      <w:hyperlink r:id="rId44" w:history="1">
        <w:r w:rsidR="00504444" w:rsidRPr="00305350">
          <w:rPr>
            <w:rFonts w:ascii="Times New Roman" w:eastAsia="Calibri" w:hAnsi="Times New Roman" w:cs="Times New Roman"/>
            <w:b/>
            <w:color w:val="4C4747"/>
            <w:sz w:val="24"/>
            <w:szCs w:val="24"/>
          </w:rPr>
          <w:t>Joel González</w:t>
        </w:r>
      </w:hyperlink>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Director Departamento</w:t>
      </w:r>
      <w:r w:rsidR="00504444" w:rsidRPr="00305350">
        <w:rPr>
          <w:rFonts w:ascii="Times New Roman" w:eastAsia="Calibri" w:hAnsi="Times New Roman" w:cs="Times New Roman"/>
          <w:color w:val="4C4747"/>
          <w:sz w:val="24"/>
          <w:szCs w:val="24"/>
        </w:rPr>
        <w:br/>
        <w:t>Programación Monetaria y Estudios Económicos</w:t>
      </w:r>
    </w:p>
    <w:p w14:paraId="74DA5186" w14:textId="77777777" w:rsidR="00E656FF" w:rsidRPr="00305350" w:rsidRDefault="00E656FF" w:rsidP="00822617">
      <w:pPr>
        <w:spacing w:after="0" w:line="240" w:lineRule="auto"/>
        <w:rPr>
          <w:rFonts w:ascii="Times New Roman" w:hAnsi="Times New Roman" w:cs="Times New Roman"/>
          <w:color w:val="4C4747"/>
          <w:sz w:val="24"/>
          <w:szCs w:val="24"/>
        </w:rPr>
      </w:pPr>
    </w:p>
    <w:p w14:paraId="0991346B" w14:textId="58594C8B" w:rsidR="00E656FF" w:rsidRPr="00305350" w:rsidRDefault="009C1882" w:rsidP="00E656FF">
      <w:pPr>
        <w:spacing w:after="0" w:line="240" w:lineRule="auto"/>
        <w:jc w:val="center"/>
        <w:rPr>
          <w:rFonts w:ascii="Times New Roman" w:eastAsia="Calibri" w:hAnsi="Times New Roman" w:cs="Times New Roman"/>
          <w:color w:val="4C4747"/>
          <w:sz w:val="24"/>
          <w:szCs w:val="24"/>
        </w:rPr>
      </w:pPr>
      <w:hyperlink r:id="rId45" w:history="1">
        <w:r w:rsidR="00504444" w:rsidRPr="00305350">
          <w:rPr>
            <w:rFonts w:ascii="Times New Roman" w:eastAsia="Calibri" w:hAnsi="Times New Roman" w:cs="Times New Roman"/>
            <w:b/>
            <w:color w:val="4C4747"/>
            <w:sz w:val="24"/>
            <w:szCs w:val="24"/>
          </w:rPr>
          <w:t>Elina Rosario</w:t>
        </w:r>
      </w:hyperlink>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Director Departamento</w:t>
      </w:r>
    </w:p>
    <w:p w14:paraId="73DF25B8" w14:textId="2294B5B4" w:rsidR="00504444" w:rsidRPr="00305350" w:rsidRDefault="00504444" w:rsidP="00E656FF">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Cuentas Nacionales y Estadísticas Económicas</w:t>
      </w:r>
    </w:p>
    <w:p w14:paraId="71E70717" w14:textId="77777777" w:rsidR="000F7FB4" w:rsidRPr="00305350" w:rsidRDefault="000F7FB4" w:rsidP="00611EF0">
      <w:pPr>
        <w:spacing w:line="240" w:lineRule="auto"/>
        <w:jc w:val="center"/>
        <w:rPr>
          <w:rFonts w:ascii="Times New Roman" w:hAnsi="Times New Roman" w:cs="Times New Roman"/>
          <w:color w:val="4C4747"/>
          <w:sz w:val="24"/>
          <w:szCs w:val="24"/>
        </w:rPr>
      </w:pPr>
    </w:p>
    <w:p w14:paraId="6BC0E600" w14:textId="4BE884E4" w:rsidR="00611EF0" w:rsidRPr="00305350" w:rsidRDefault="004157E6" w:rsidP="004157E6">
      <w:pPr>
        <w:shd w:val="clear" w:color="auto" w:fill="FFFFFF"/>
        <w:spacing w:before="150" w:after="150" w:line="240" w:lineRule="auto"/>
        <w:jc w:val="center"/>
        <w:outlineLvl w:val="3"/>
        <w:rPr>
          <w:rFonts w:ascii="Times New Roman" w:eastAsia="Times New Roman" w:hAnsi="Times New Roman" w:cs="Times New Roman"/>
          <w:b/>
          <w:bCs/>
          <w:color w:val="4C4747"/>
          <w:sz w:val="24"/>
          <w:szCs w:val="24"/>
          <w:lang w:eastAsia="es-DO"/>
        </w:rPr>
      </w:pPr>
      <w:r w:rsidRPr="00305350">
        <w:rPr>
          <w:rFonts w:ascii="Times New Roman" w:eastAsia="Calibri" w:hAnsi="Times New Roman" w:cs="Times New Roman"/>
          <w:b/>
          <w:color w:val="4C4747"/>
          <w:sz w:val="24"/>
          <w:szCs w:val="24"/>
        </w:rPr>
        <w:t>Carlos Delgado Urbáez</w:t>
      </w:r>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Director Departamento Regulación y Estabilidad Financiera</w:t>
      </w:r>
    </w:p>
    <w:p w14:paraId="7322EBA5" w14:textId="77777777" w:rsidR="00611EF0" w:rsidRPr="00305350" w:rsidRDefault="00611EF0" w:rsidP="00611EF0">
      <w:pPr>
        <w:spacing w:line="240" w:lineRule="auto"/>
        <w:jc w:val="center"/>
        <w:rPr>
          <w:rFonts w:ascii="Times New Roman" w:eastAsia="Calibri" w:hAnsi="Times New Roman" w:cs="Times New Roman"/>
          <w:color w:val="4C4747"/>
          <w:sz w:val="24"/>
          <w:szCs w:val="24"/>
        </w:rPr>
      </w:pPr>
    </w:p>
    <w:p w14:paraId="7AD6B538" w14:textId="3E49AE33" w:rsidR="00611EF0" w:rsidRPr="00305350" w:rsidRDefault="009C1882" w:rsidP="00611EF0">
      <w:pPr>
        <w:spacing w:after="0" w:line="240" w:lineRule="auto"/>
        <w:jc w:val="center"/>
        <w:rPr>
          <w:rFonts w:ascii="Times New Roman" w:eastAsia="Calibri" w:hAnsi="Times New Roman" w:cs="Times New Roman"/>
          <w:color w:val="4C4747"/>
          <w:sz w:val="24"/>
          <w:szCs w:val="24"/>
        </w:rPr>
      </w:pPr>
      <w:hyperlink r:id="rId46" w:history="1">
        <w:r w:rsidR="00611EF0" w:rsidRPr="00305350">
          <w:rPr>
            <w:rFonts w:ascii="Times New Roman" w:eastAsia="Calibri" w:hAnsi="Times New Roman" w:cs="Times New Roman"/>
            <w:b/>
            <w:color w:val="4C4747"/>
            <w:sz w:val="24"/>
            <w:szCs w:val="24"/>
          </w:rPr>
          <w:t>Brenda Villanueva</w:t>
        </w:r>
      </w:hyperlink>
    </w:p>
    <w:p w14:paraId="464732AF" w14:textId="62448CB4" w:rsidR="00504444" w:rsidRPr="00305350" w:rsidRDefault="00504444" w:rsidP="00611EF0">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Director Departamento Internacional</w:t>
      </w:r>
    </w:p>
    <w:p w14:paraId="0051BFD3" w14:textId="77777777" w:rsidR="00611EF0" w:rsidRPr="00305350" w:rsidRDefault="00611EF0" w:rsidP="00611EF0">
      <w:pPr>
        <w:spacing w:line="240" w:lineRule="auto"/>
        <w:rPr>
          <w:rFonts w:ascii="Times New Roman" w:eastAsia="Calibri" w:hAnsi="Times New Roman" w:cs="Times New Roman"/>
          <w:color w:val="4C4747"/>
          <w:sz w:val="24"/>
          <w:szCs w:val="24"/>
        </w:rPr>
      </w:pPr>
    </w:p>
    <w:p w14:paraId="03B4DF60" w14:textId="4C577D46" w:rsidR="00611EF0" w:rsidRPr="00305350" w:rsidRDefault="00504444" w:rsidP="004157E6">
      <w:pPr>
        <w:spacing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b/>
          <w:color w:val="4C4747"/>
          <w:sz w:val="24"/>
          <w:szCs w:val="24"/>
        </w:rPr>
        <w:t xml:space="preserve">Madelin </w:t>
      </w:r>
      <w:proofErr w:type="spellStart"/>
      <w:r w:rsidRPr="00305350">
        <w:rPr>
          <w:rFonts w:ascii="Times New Roman" w:eastAsia="Calibri" w:hAnsi="Times New Roman" w:cs="Times New Roman"/>
          <w:b/>
          <w:color w:val="4C4747"/>
          <w:sz w:val="24"/>
          <w:szCs w:val="24"/>
        </w:rPr>
        <w:t>Yazmin</w:t>
      </w:r>
      <w:proofErr w:type="spellEnd"/>
      <w:r w:rsidRPr="00305350">
        <w:rPr>
          <w:rFonts w:ascii="Times New Roman" w:eastAsia="Calibri" w:hAnsi="Times New Roman" w:cs="Times New Roman"/>
          <w:b/>
          <w:color w:val="4C4747"/>
          <w:sz w:val="24"/>
          <w:szCs w:val="24"/>
        </w:rPr>
        <w:t xml:space="preserve"> González de Silva</w:t>
      </w:r>
      <w:r w:rsidRPr="00305350">
        <w:rPr>
          <w:rFonts w:ascii="Times New Roman" w:eastAsia="Calibri" w:hAnsi="Times New Roman" w:cs="Times New Roman"/>
          <w:b/>
          <w:color w:val="4C4747"/>
          <w:sz w:val="24"/>
          <w:szCs w:val="24"/>
        </w:rPr>
        <w:br/>
      </w:r>
      <w:r w:rsidRPr="00305350">
        <w:rPr>
          <w:rFonts w:ascii="Times New Roman" w:eastAsia="Calibri" w:hAnsi="Times New Roman" w:cs="Times New Roman"/>
          <w:color w:val="4C4747"/>
          <w:sz w:val="24"/>
          <w:szCs w:val="24"/>
        </w:rPr>
        <w:t>Directora Departamento Emisión y Custodia</w:t>
      </w:r>
    </w:p>
    <w:p w14:paraId="43F05168" w14:textId="3E4D2870" w:rsidR="00611EF0" w:rsidRPr="00305350" w:rsidRDefault="004D4341" w:rsidP="004157E6">
      <w:pPr>
        <w:spacing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b/>
          <w:color w:val="4C4747"/>
          <w:sz w:val="24"/>
          <w:szCs w:val="24"/>
        </w:rPr>
        <w:t>José Gabriel Perdomo López</w:t>
      </w:r>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Directora Departamento de Tesorería</w:t>
      </w:r>
    </w:p>
    <w:p w14:paraId="12BA1DFA" w14:textId="77777777" w:rsidR="004157E6" w:rsidRPr="00305350" w:rsidRDefault="004157E6" w:rsidP="00611EF0">
      <w:pPr>
        <w:spacing w:line="240" w:lineRule="auto"/>
        <w:jc w:val="center"/>
        <w:rPr>
          <w:rFonts w:ascii="Times New Roman" w:hAnsi="Times New Roman" w:cs="Times New Roman"/>
          <w:color w:val="4C4747"/>
          <w:sz w:val="24"/>
          <w:szCs w:val="24"/>
        </w:rPr>
      </w:pPr>
    </w:p>
    <w:p w14:paraId="67A079B1" w14:textId="311521B0" w:rsidR="00504444" w:rsidRPr="00305350" w:rsidRDefault="009C1882" w:rsidP="00611EF0">
      <w:pPr>
        <w:spacing w:line="240" w:lineRule="auto"/>
        <w:jc w:val="center"/>
        <w:rPr>
          <w:rFonts w:ascii="Times New Roman" w:eastAsia="Calibri" w:hAnsi="Times New Roman" w:cs="Times New Roman"/>
          <w:color w:val="4C4747"/>
          <w:sz w:val="24"/>
          <w:szCs w:val="24"/>
        </w:rPr>
      </w:pPr>
      <w:hyperlink r:id="rId47" w:history="1">
        <w:r w:rsidR="00504444" w:rsidRPr="00305350">
          <w:rPr>
            <w:rFonts w:ascii="Times New Roman" w:eastAsia="Calibri" w:hAnsi="Times New Roman" w:cs="Times New Roman"/>
            <w:b/>
            <w:color w:val="4C4747"/>
            <w:sz w:val="24"/>
            <w:szCs w:val="24"/>
          </w:rPr>
          <w:t>Luis Martín Gómez</w:t>
        </w:r>
      </w:hyperlink>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Director Departamento de Comunicaciones</w:t>
      </w:r>
    </w:p>
    <w:p w14:paraId="1D4F4403" w14:textId="77777777" w:rsidR="00044896" w:rsidRPr="00305350" w:rsidRDefault="00044896" w:rsidP="00AA4144">
      <w:pPr>
        <w:spacing w:line="240" w:lineRule="auto"/>
        <w:rPr>
          <w:rFonts w:ascii="Times New Roman" w:hAnsi="Times New Roman" w:cs="Times New Roman"/>
          <w:color w:val="4C4747"/>
          <w:sz w:val="24"/>
          <w:szCs w:val="24"/>
        </w:rPr>
      </w:pPr>
    </w:p>
    <w:p w14:paraId="734F3A0F" w14:textId="73DA1EDD" w:rsidR="00504444" w:rsidRPr="00305350" w:rsidRDefault="004D4341" w:rsidP="00E656FF">
      <w:pPr>
        <w:spacing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b/>
          <w:color w:val="4C4747"/>
          <w:sz w:val="24"/>
          <w:szCs w:val="24"/>
        </w:rPr>
        <w:t>Letty Gutiérrez Bonilla</w:t>
      </w:r>
      <w:r w:rsidR="00504444" w:rsidRPr="00305350">
        <w:rPr>
          <w:rFonts w:ascii="Times New Roman" w:eastAsia="Calibri" w:hAnsi="Times New Roman" w:cs="Times New Roman"/>
          <w:b/>
          <w:color w:val="4C4747"/>
          <w:sz w:val="24"/>
          <w:szCs w:val="24"/>
        </w:rPr>
        <w:br/>
      </w:r>
      <w:r w:rsidR="00504444" w:rsidRPr="00305350">
        <w:rPr>
          <w:rFonts w:ascii="Times New Roman" w:eastAsia="Calibri" w:hAnsi="Times New Roman" w:cs="Times New Roman"/>
          <w:color w:val="4C4747"/>
          <w:sz w:val="24"/>
          <w:szCs w:val="24"/>
        </w:rPr>
        <w:t>Director Departamento de Planificación y Presupuesto</w:t>
      </w:r>
    </w:p>
    <w:p w14:paraId="78F7AF61" w14:textId="77777777" w:rsidR="00611EF0" w:rsidRPr="00462712" w:rsidRDefault="00611EF0" w:rsidP="00E656FF">
      <w:pPr>
        <w:spacing w:line="240" w:lineRule="auto"/>
        <w:jc w:val="center"/>
        <w:rPr>
          <w:rFonts w:ascii="Times New Roman" w:eastAsia="Calibri" w:hAnsi="Times New Roman" w:cs="Times New Roman"/>
          <w:color w:val="4C4747"/>
          <w:sz w:val="24"/>
          <w:szCs w:val="24"/>
        </w:rPr>
      </w:pPr>
    </w:p>
    <w:p w14:paraId="417347FC" w14:textId="69011527" w:rsidR="00504444" w:rsidRPr="00305350" w:rsidRDefault="00504444" w:rsidP="00504444">
      <w:pPr>
        <w:spacing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b/>
          <w:color w:val="4C4747"/>
          <w:sz w:val="24"/>
          <w:szCs w:val="24"/>
        </w:rPr>
        <w:t>Scarlet Vicente Veloz</w:t>
      </w:r>
      <w:r w:rsidRPr="00305350">
        <w:rPr>
          <w:rFonts w:ascii="Times New Roman" w:eastAsia="Calibri" w:hAnsi="Times New Roman" w:cs="Times New Roman"/>
          <w:b/>
          <w:color w:val="4C4747"/>
          <w:sz w:val="24"/>
          <w:szCs w:val="24"/>
        </w:rPr>
        <w:br/>
      </w:r>
      <w:r w:rsidR="004157E6" w:rsidRPr="00305350">
        <w:rPr>
          <w:rFonts w:ascii="Times New Roman" w:eastAsia="Calibri" w:hAnsi="Times New Roman" w:cs="Times New Roman"/>
          <w:color w:val="4C4747"/>
          <w:sz w:val="24"/>
          <w:szCs w:val="24"/>
        </w:rPr>
        <w:t>Directora de Auditoria Interna</w:t>
      </w:r>
    </w:p>
    <w:p w14:paraId="7184B384" w14:textId="77777777" w:rsidR="00611EF0" w:rsidRPr="00305350" w:rsidRDefault="00611EF0" w:rsidP="00504444">
      <w:pPr>
        <w:spacing w:line="240" w:lineRule="auto"/>
        <w:rPr>
          <w:rFonts w:ascii="Times New Roman" w:eastAsia="Calibri" w:hAnsi="Times New Roman" w:cs="Times New Roman"/>
          <w:color w:val="4C4747"/>
          <w:sz w:val="24"/>
          <w:szCs w:val="24"/>
        </w:rPr>
      </w:pPr>
    </w:p>
    <w:p w14:paraId="79CB57D6" w14:textId="77777777" w:rsidR="00504444" w:rsidRPr="00305350" w:rsidRDefault="00504444" w:rsidP="00504444">
      <w:pPr>
        <w:spacing w:after="0" w:line="240" w:lineRule="auto"/>
        <w:jc w:val="center"/>
        <w:rPr>
          <w:rFonts w:ascii="Times New Roman" w:eastAsia="Calibri" w:hAnsi="Times New Roman" w:cs="Times New Roman"/>
          <w:b/>
          <w:color w:val="4C4747"/>
          <w:sz w:val="24"/>
          <w:szCs w:val="24"/>
        </w:rPr>
      </w:pPr>
      <w:r w:rsidRPr="00305350">
        <w:rPr>
          <w:rFonts w:ascii="Times New Roman" w:eastAsia="Calibri" w:hAnsi="Times New Roman" w:cs="Times New Roman"/>
          <w:b/>
          <w:color w:val="4C4747"/>
          <w:sz w:val="24"/>
          <w:szCs w:val="24"/>
        </w:rPr>
        <w:t>Angel González</w:t>
      </w:r>
    </w:p>
    <w:p w14:paraId="08F5B5A4" w14:textId="77777777" w:rsidR="00504444" w:rsidRPr="00305350" w:rsidRDefault="00504444" w:rsidP="00504444">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Director Departamento Sistemas de Pagos</w:t>
      </w:r>
    </w:p>
    <w:p w14:paraId="5AE035E6" w14:textId="77777777" w:rsidR="00611EF0" w:rsidRPr="00305350" w:rsidRDefault="00611EF0" w:rsidP="00611EF0">
      <w:pPr>
        <w:spacing w:line="240" w:lineRule="auto"/>
        <w:rPr>
          <w:rFonts w:ascii="Times New Roman" w:eastAsia="Calibri" w:hAnsi="Times New Roman" w:cs="Times New Roman"/>
          <w:color w:val="4C4747"/>
          <w:sz w:val="24"/>
          <w:szCs w:val="24"/>
        </w:rPr>
      </w:pPr>
    </w:p>
    <w:p w14:paraId="79E0DC11" w14:textId="77777777" w:rsidR="00504444" w:rsidRPr="00305350" w:rsidRDefault="00504444" w:rsidP="00504444">
      <w:pPr>
        <w:spacing w:after="0" w:line="240" w:lineRule="auto"/>
        <w:jc w:val="center"/>
        <w:rPr>
          <w:rFonts w:ascii="Times New Roman" w:eastAsia="Calibri" w:hAnsi="Times New Roman" w:cs="Times New Roman"/>
          <w:b/>
          <w:color w:val="4C4747"/>
          <w:sz w:val="24"/>
          <w:szCs w:val="24"/>
        </w:rPr>
      </w:pPr>
      <w:r w:rsidRPr="00305350">
        <w:rPr>
          <w:rFonts w:ascii="Times New Roman" w:eastAsia="Calibri" w:hAnsi="Times New Roman" w:cs="Times New Roman"/>
          <w:b/>
          <w:color w:val="4C4747"/>
          <w:sz w:val="24"/>
          <w:szCs w:val="24"/>
        </w:rPr>
        <w:t>Sabrina Díaz</w:t>
      </w:r>
    </w:p>
    <w:p w14:paraId="42676DBD" w14:textId="77777777" w:rsidR="00504444" w:rsidRPr="00305350" w:rsidRDefault="00504444" w:rsidP="00504444">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Directora Departamento Sistemas y Tecnología</w:t>
      </w:r>
    </w:p>
    <w:p w14:paraId="115339B0" w14:textId="77777777" w:rsidR="00611EF0" w:rsidRPr="00305350" w:rsidRDefault="00611EF0" w:rsidP="00611EF0">
      <w:pPr>
        <w:spacing w:line="240" w:lineRule="auto"/>
        <w:rPr>
          <w:rFonts w:ascii="Times New Roman" w:eastAsia="Calibri" w:hAnsi="Times New Roman" w:cs="Times New Roman"/>
          <w:color w:val="4C4747"/>
          <w:sz w:val="24"/>
          <w:szCs w:val="24"/>
        </w:rPr>
      </w:pPr>
    </w:p>
    <w:bookmarkStart w:id="18" w:name="_Hlk89954824"/>
    <w:p w14:paraId="6744D16E" w14:textId="77777777" w:rsidR="00504444" w:rsidRPr="00305350" w:rsidRDefault="00504444" w:rsidP="00504444">
      <w:pPr>
        <w:spacing w:after="0" w:line="240" w:lineRule="auto"/>
        <w:jc w:val="center"/>
        <w:rPr>
          <w:rFonts w:ascii="Times New Roman" w:eastAsia="Calibri" w:hAnsi="Times New Roman" w:cs="Times New Roman"/>
          <w:b/>
          <w:color w:val="4C4747"/>
          <w:sz w:val="24"/>
          <w:szCs w:val="24"/>
        </w:rPr>
      </w:pPr>
      <w:r w:rsidRPr="00305350">
        <w:rPr>
          <w:rFonts w:ascii="Times New Roman" w:hAnsi="Times New Roman" w:cs="Times New Roman"/>
          <w:color w:val="4C4747"/>
          <w:sz w:val="24"/>
          <w:szCs w:val="24"/>
        </w:rPr>
        <w:fldChar w:fldCharType="begin"/>
      </w:r>
      <w:r w:rsidRPr="00305350">
        <w:rPr>
          <w:rFonts w:ascii="Times New Roman" w:hAnsi="Times New Roman" w:cs="Times New Roman"/>
          <w:color w:val="4C4747"/>
          <w:sz w:val="24"/>
          <w:szCs w:val="24"/>
        </w:rPr>
        <w:instrText xml:space="preserve"> HYPERLINK "https://www.bancentral.gov.do/a/d/2562-principales-funcionarios" </w:instrText>
      </w:r>
      <w:r w:rsidRPr="00305350">
        <w:rPr>
          <w:rFonts w:ascii="Times New Roman" w:hAnsi="Times New Roman" w:cs="Times New Roman"/>
          <w:color w:val="4C4747"/>
          <w:sz w:val="24"/>
          <w:szCs w:val="24"/>
        </w:rPr>
        <w:fldChar w:fldCharType="separate"/>
      </w:r>
      <w:r w:rsidRPr="00305350">
        <w:rPr>
          <w:rFonts w:ascii="Times New Roman" w:eastAsia="Calibri" w:hAnsi="Times New Roman" w:cs="Times New Roman"/>
          <w:b/>
          <w:color w:val="4C4747"/>
          <w:sz w:val="24"/>
          <w:szCs w:val="24"/>
        </w:rPr>
        <w:t>Ruddy Simons</w:t>
      </w:r>
      <w:r w:rsidRPr="00305350">
        <w:rPr>
          <w:rFonts w:ascii="Times New Roman" w:eastAsia="Calibri" w:hAnsi="Times New Roman" w:cs="Times New Roman"/>
          <w:b/>
          <w:color w:val="4C4747"/>
          <w:sz w:val="24"/>
          <w:szCs w:val="24"/>
        </w:rPr>
        <w:fldChar w:fldCharType="end"/>
      </w:r>
    </w:p>
    <w:p w14:paraId="56234A97" w14:textId="77777777" w:rsidR="00504444" w:rsidRPr="00305350" w:rsidRDefault="00504444" w:rsidP="00504444">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 xml:space="preserve">Director Departamento Seguridad </w:t>
      </w:r>
      <w:bookmarkEnd w:id="18"/>
      <w:r w:rsidRPr="00305350">
        <w:rPr>
          <w:rFonts w:ascii="Times New Roman" w:eastAsia="Calibri" w:hAnsi="Times New Roman" w:cs="Times New Roman"/>
          <w:color w:val="4C4747"/>
          <w:sz w:val="24"/>
          <w:szCs w:val="24"/>
        </w:rPr>
        <w:t>Operativa</w:t>
      </w:r>
    </w:p>
    <w:p w14:paraId="24635D76" w14:textId="197FB6DB" w:rsidR="00504444" w:rsidRPr="00305350" w:rsidRDefault="00504444" w:rsidP="00504444">
      <w:pPr>
        <w:spacing w:after="0" w:line="240" w:lineRule="auto"/>
        <w:rPr>
          <w:rFonts w:ascii="Times New Roman" w:eastAsia="Calibri" w:hAnsi="Times New Roman" w:cs="Times New Roman"/>
          <w:b/>
          <w:color w:val="4C4747"/>
          <w:sz w:val="24"/>
          <w:szCs w:val="24"/>
        </w:rPr>
      </w:pPr>
    </w:p>
    <w:p w14:paraId="5396B923" w14:textId="77777777" w:rsidR="00611EF0" w:rsidRPr="00305350" w:rsidRDefault="00611EF0" w:rsidP="00504444">
      <w:pPr>
        <w:spacing w:after="0" w:line="240" w:lineRule="auto"/>
        <w:rPr>
          <w:rFonts w:ascii="Times New Roman" w:eastAsia="Calibri" w:hAnsi="Times New Roman" w:cs="Times New Roman"/>
          <w:b/>
          <w:color w:val="4C4747"/>
          <w:sz w:val="24"/>
          <w:szCs w:val="24"/>
        </w:rPr>
      </w:pPr>
    </w:p>
    <w:p w14:paraId="119CDC6D" w14:textId="77777777" w:rsidR="004157E6" w:rsidRPr="00305350" w:rsidRDefault="004157E6" w:rsidP="004157E6">
      <w:pPr>
        <w:spacing w:after="0" w:line="240" w:lineRule="auto"/>
        <w:jc w:val="center"/>
        <w:rPr>
          <w:rFonts w:ascii="Times New Roman" w:eastAsia="Calibri" w:hAnsi="Times New Roman" w:cs="Times New Roman"/>
          <w:b/>
          <w:color w:val="4C4747"/>
          <w:sz w:val="24"/>
          <w:szCs w:val="24"/>
        </w:rPr>
      </w:pPr>
      <w:r w:rsidRPr="00305350">
        <w:rPr>
          <w:rFonts w:ascii="Times New Roman" w:eastAsia="Calibri" w:hAnsi="Times New Roman" w:cs="Times New Roman"/>
          <w:b/>
          <w:color w:val="4C4747"/>
          <w:sz w:val="24"/>
          <w:szCs w:val="24"/>
        </w:rPr>
        <w:t>Benigno R. Alcántara Gil</w:t>
      </w:r>
    </w:p>
    <w:p w14:paraId="7F26F605" w14:textId="49C10ED9" w:rsidR="008C5022" w:rsidRPr="00305350" w:rsidRDefault="00504444" w:rsidP="00AA4144">
      <w:pPr>
        <w:spacing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Director Departamento Administrativo</w:t>
      </w:r>
    </w:p>
    <w:p w14:paraId="1D9B02EA" w14:textId="77777777" w:rsidR="003E38E1" w:rsidRPr="00305350" w:rsidRDefault="003E38E1" w:rsidP="003E38E1">
      <w:pPr>
        <w:spacing w:line="240" w:lineRule="auto"/>
        <w:rPr>
          <w:rFonts w:ascii="Times New Roman" w:eastAsia="Calibri" w:hAnsi="Times New Roman" w:cs="Times New Roman"/>
          <w:b/>
          <w:color w:val="4C4747"/>
          <w:sz w:val="24"/>
          <w:szCs w:val="24"/>
        </w:rPr>
      </w:pPr>
    </w:p>
    <w:p w14:paraId="2323AE2D" w14:textId="2024D9C5" w:rsidR="00611EF0" w:rsidRPr="00305350" w:rsidRDefault="00504444" w:rsidP="00AA4144">
      <w:pPr>
        <w:spacing w:line="240" w:lineRule="auto"/>
        <w:jc w:val="center"/>
        <w:rPr>
          <w:rFonts w:ascii="Times New Roman" w:eastAsia="Calibri" w:hAnsi="Times New Roman" w:cs="Times New Roman"/>
          <w:color w:val="4C4747"/>
          <w:sz w:val="24"/>
          <w:szCs w:val="24"/>
        </w:rPr>
        <w:sectPr w:rsidR="00611EF0" w:rsidRPr="00305350" w:rsidSect="00504444">
          <w:footerReference w:type="default" r:id="rId48"/>
          <w:type w:val="continuous"/>
          <w:pgSz w:w="12240" w:h="15840"/>
          <w:pgMar w:top="1440" w:right="1800" w:bottom="1440" w:left="1800" w:header="720" w:footer="432" w:gutter="0"/>
          <w:cols w:num="2" w:space="720"/>
          <w:titlePg/>
          <w:docGrid w:linePitch="360"/>
        </w:sectPr>
      </w:pPr>
      <w:proofErr w:type="spellStart"/>
      <w:r w:rsidRPr="00305350">
        <w:rPr>
          <w:rFonts w:ascii="Times New Roman" w:eastAsia="Calibri" w:hAnsi="Times New Roman" w:cs="Times New Roman"/>
          <w:b/>
          <w:color w:val="4C4747"/>
          <w:sz w:val="24"/>
          <w:szCs w:val="24"/>
        </w:rPr>
        <w:t>Shanttal</w:t>
      </w:r>
      <w:proofErr w:type="spellEnd"/>
      <w:r w:rsidRPr="00305350">
        <w:rPr>
          <w:rFonts w:ascii="Times New Roman" w:eastAsia="Calibri" w:hAnsi="Times New Roman" w:cs="Times New Roman"/>
          <w:b/>
          <w:color w:val="4C4747"/>
          <w:sz w:val="24"/>
          <w:szCs w:val="24"/>
        </w:rPr>
        <w:t xml:space="preserve"> K. Zuleta Brea</w:t>
      </w:r>
      <w:r w:rsidRPr="00305350">
        <w:rPr>
          <w:rFonts w:ascii="Times New Roman" w:eastAsia="Calibri" w:hAnsi="Times New Roman" w:cs="Times New Roman"/>
          <w:color w:val="4C4747"/>
          <w:sz w:val="24"/>
          <w:szCs w:val="24"/>
        </w:rPr>
        <w:br/>
        <w:t>Directora Departamento Compras y Contratacione</w:t>
      </w:r>
      <w:r w:rsidR="00AA4144" w:rsidRPr="00305350">
        <w:rPr>
          <w:rFonts w:ascii="Times New Roman" w:eastAsia="Calibri" w:hAnsi="Times New Roman" w:cs="Times New Roman"/>
          <w:color w:val="4C4747"/>
          <w:sz w:val="24"/>
          <w:szCs w:val="24"/>
        </w:rPr>
        <w:t>s</w:t>
      </w:r>
    </w:p>
    <w:p w14:paraId="297D6918" w14:textId="77777777" w:rsidR="00611EF0" w:rsidRPr="00305350" w:rsidRDefault="00611EF0" w:rsidP="00AA4144">
      <w:pPr>
        <w:spacing w:after="0" w:line="240" w:lineRule="auto"/>
        <w:rPr>
          <w:rFonts w:ascii="Times New Roman" w:hAnsi="Times New Roman" w:cs="Times New Roman"/>
          <w:color w:val="4C4747"/>
          <w:sz w:val="24"/>
          <w:szCs w:val="24"/>
        </w:rPr>
      </w:pPr>
    </w:p>
    <w:p w14:paraId="58E2BD3D" w14:textId="56FC5609" w:rsidR="00611EF0" w:rsidRPr="00305350" w:rsidRDefault="009C1882" w:rsidP="00611EF0">
      <w:pPr>
        <w:spacing w:after="0" w:line="240" w:lineRule="auto"/>
        <w:jc w:val="center"/>
        <w:rPr>
          <w:rFonts w:ascii="Times New Roman" w:eastAsia="Calibri" w:hAnsi="Times New Roman" w:cs="Times New Roman"/>
          <w:color w:val="4C4747"/>
          <w:sz w:val="24"/>
          <w:szCs w:val="24"/>
        </w:rPr>
      </w:pPr>
      <w:hyperlink r:id="rId49" w:history="1">
        <w:r w:rsidR="00611EF0" w:rsidRPr="00305350">
          <w:rPr>
            <w:rFonts w:ascii="Times New Roman" w:eastAsia="Calibri" w:hAnsi="Times New Roman" w:cs="Times New Roman"/>
            <w:b/>
            <w:color w:val="4C4747"/>
            <w:sz w:val="24"/>
            <w:szCs w:val="24"/>
          </w:rPr>
          <w:t>Nacyra Cury de González</w:t>
        </w:r>
      </w:hyperlink>
      <w:r w:rsidR="00611EF0" w:rsidRPr="00305350">
        <w:rPr>
          <w:rFonts w:ascii="Times New Roman" w:eastAsia="Calibri" w:hAnsi="Times New Roman" w:cs="Times New Roman"/>
          <w:b/>
          <w:color w:val="4C4747"/>
          <w:sz w:val="24"/>
          <w:szCs w:val="24"/>
        </w:rPr>
        <w:br/>
      </w:r>
      <w:r w:rsidR="00611EF0" w:rsidRPr="00305350">
        <w:rPr>
          <w:rFonts w:ascii="Times New Roman" w:eastAsia="Calibri" w:hAnsi="Times New Roman" w:cs="Times New Roman"/>
          <w:color w:val="4C4747"/>
          <w:sz w:val="24"/>
          <w:szCs w:val="24"/>
        </w:rPr>
        <w:t>Directora Comité de Políticas para la Realización de Activos</w:t>
      </w:r>
      <w:r w:rsidR="00611EF0" w:rsidRPr="00305350">
        <w:rPr>
          <w:rFonts w:ascii="Times New Roman" w:eastAsia="Calibri" w:hAnsi="Times New Roman" w:cs="Times New Roman"/>
          <w:color w:val="4C4747"/>
          <w:sz w:val="24"/>
          <w:szCs w:val="24"/>
        </w:rPr>
        <w:br/>
        <w:t>(COPRA)</w:t>
      </w:r>
    </w:p>
    <w:p w14:paraId="0D82A787" w14:textId="77777777" w:rsidR="00611EF0" w:rsidRPr="00305350" w:rsidRDefault="00611EF0" w:rsidP="00611EF0">
      <w:pPr>
        <w:spacing w:after="0" w:line="240" w:lineRule="auto"/>
        <w:rPr>
          <w:rFonts w:ascii="Times New Roman" w:eastAsia="Calibri" w:hAnsi="Times New Roman" w:cs="Times New Roman"/>
          <w:color w:val="4C4747"/>
          <w:sz w:val="24"/>
          <w:szCs w:val="24"/>
        </w:rPr>
      </w:pPr>
    </w:p>
    <w:p w14:paraId="494A00CC" w14:textId="77777777" w:rsidR="004157E6" w:rsidRPr="00305350" w:rsidRDefault="004157E6" w:rsidP="004157E6">
      <w:pPr>
        <w:spacing w:after="0" w:line="240" w:lineRule="auto"/>
        <w:jc w:val="center"/>
        <w:rPr>
          <w:rFonts w:ascii="Times New Roman" w:eastAsia="Calibri" w:hAnsi="Times New Roman" w:cs="Times New Roman"/>
          <w:b/>
          <w:color w:val="4C4747"/>
          <w:sz w:val="24"/>
          <w:szCs w:val="24"/>
        </w:rPr>
      </w:pPr>
      <w:r w:rsidRPr="00305350">
        <w:rPr>
          <w:rFonts w:ascii="Times New Roman" w:eastAsia="Calibri" w:hAnsi="Times New Roman" w:cs="Times New Roman"/>
          <w:b/>
          <w:color w:val="4C4747"/>
          <w:sz w:val="24"/>
          <w:szCs w:val="24"/>
        </w:rPr>
        <w:t>Rut Joselyn del C. García Pantaleón</w:t>
      </w:r>
    </w:p>
    <w:p w14:paraId="370D752A" w14:textId="77777777" w:rsidR="004157E6" w:rsidRPr="00305350" w:rsidRDefault="004157E6" w:rsidP="004157E6">
      <w:pPr>
        <w:spacing w:after="0" w:line="240" w:lineRule="auto"/>
        <w:jc w:val="center"/>
        <w:rPr>
          <w:rFonts w:ascii="Times New Roman" w:eastAsia="Calibri" w:hAnsi="Times New Roman" w:cs="Times New Roman"/>
          <w:color w:val="4C4747"/>
          <w:sz w:val="24"/>
          <w:szCs w:val="24"/>
        </w:rPr>
      </w:pPr>
      <w:r w:rsidRPr="00305350">
        <w:rPr>
          <w:rFonts w:ascii="Times New Roman" w:eastAsia="Calibri" w:hAnsi="Times New Roman" w:cs="Times New Roman"/>
          <w:color w:val="4C4747"/>
          <w:sz w:val="24"/>
          <w:szCs w:val="24"/>
        </w:rPr>
        <w:t>Director Departamento Contabilidad</w:t>
      </w:r>
    </w:p>
    <w:p w14:paraId="68619BC4" w14:textId="77777777" w:rsidR="00611EF0" w:rsidRPr="00305350" w:rsidRDefault="00611EF0" w:rsidP="004157E6">
      <w:pPr>
        <w:rPr>
          <w:rFonts w:ascii="Times New Roman" w:hAnsi="Times New Roman" w:cs="Times New Roman"/>
          <w:color w:val="4C4747"/>
          <w:sz w:val="24"/>
          <w:szCs w:val="24"/>
        </w:rPr>
      </w:pPr>
    </w:p>
    <w:p w14:paraId="03A1911D" w14:textId="77777777" w:rsidR="00611EF0" w:rsidRPr="00305350" w:rsidRDefault="00611EF0" w:rsidP="00611EF0">
      <w:pPr>
        <w:jc w:val="right"/>
        <w:rPr>
          <w:rFonts w:ascii="Times New Roman" w:hAnsi="Times New Roman" w:cs="Times New Roman"/>
          <w:color w:val="4C4747"/>
          <w:sz w:val="24"/>
          <w:szCs w:val="24"/>
        </w:rPr>
      </w:pPr>
      <w:r w:rsidRPr="00305350">
        <w:rPr>
          <w:rFonts w:ascii="Times New Roman" w:hAnsi="Times New Roman" w:cs="Times New Roman"/>
          <w:color w:val="4C4747"/>
          <w:sz w:val="24"/>
          <w:szCs w:val="24"/>
        </w:rPr>
        <w:t xml:space="preserve">       </w:t>
      </w:r>
    </w:p>
    <w:p w14:paraId="6848B004" w14:textId="77777777" w:rsidR="00611EF0" w:rsidRPr="00305350" w:rsidRDefault="00611EF0" w:rsidP="00611EF0">
      <w:pPr>
        <w:jc w:val="right"/>
        <w:rPr>
          <w:rFonts w:ascii="Times New Roman" w:hAnsi="Times New Roman" w:cs="Times New Roman"/>
          <w:color w:val="4C4747"/>
          <w:sz w:val="24"/>
          <w:szCs w:val="24"/>
        </w:rPr>
      </w:pPr>
    </w:p>
    <w:p w14:paraId="47958948" w14:textId="77777777" w:rsidR="00611EF0" w:rsidRPr="00305350" w:rsidRDefault="00611EF0" w:rsidP="00611EF0">
      <w:pPr>
        <w:jc w:val="right"/>
        <w:rPr>
          <w:rFonts w:ascii="Times New Roman" w:hAnsi="Times New Roman" w:cs="Times New Roman"/>
          <w:color w:val="4C4747"/>
          <w:sz w:val="24"/>
          <w:szCs w:val="24"/>
        </w:rPr>
      </w:pPr>
    </w:p>
    <w:p w14:paraId="4EC06459" w14:textId="77777777" w:rsidR="00611EF0" w:rsidRPr="00305350" w:rsidRDefault="00611EF0" w:rsidP="00611EF0">
      <w:pPr>
        <w:jc w:val="right"/>
        <w:rPr>
          <w:rFonts w:ascii="Times New Roman" w:hAnsi="Times New Roman" w:cs="Times New Roman"/>
          <w:color w:val="4C4747"/>
          <w:sz w:val="24"/>
          <w:szCs w:val="24"/>
        </w:rPr>
      </w:pPr>
    </w:p>
    <w:p w14:paraId="45D69854" w14:textId="77777777" w:rsidR="00611EF0" w:rsidRPr="00305350" w:rsidRDefault="00611EF0" w:rsidP="00611EF0">
      <w:pPr>
        <w:jc w:val="right"/>
        <w:rPr>
          <w:rFonts w:ascii="Times New Roman" w:hAnsi="Times New Roman" w:cs="Times New Roman"/>
          <w:color w:val="4C4747"/>
          <w:sz w:val="24"/>
          <w:szCs w:val="24"/>
        </w:rPr>
      </w:pPr>
    </w:p>
    <w:p w14:paraId="549E9ADE" w14:textId="77777777" w:rsidR="00611EF0" w:rsidRPr="00305350" w:rsidRDefault="00611EF0" w:rsidP="00611EF0">
      <w:pPr>
        <w:jc w:val="right"/>
        <w:rPr>
          <w:rFonts w:ascii="Times New Roman" w:hAnsi="Times New Roman" w:cs="Times New Roman"/>
          <w:color w:val="4C4747"/>
          <w:sz w:val="24"/>
          <w:szCs w:val="24"/>
        </w:rPr>
      </w:pPr>
    </w:p>
    <w:p w14:paraId="2360EF93" w14:textId="77777777" w:rsidR="00611EF0" w:rsidRPr="00305350" w:rsidRDefault="00611EF0" w:rsidP="00611EF0">
      <w:pPr>
        <w:rPr>
          <w:rFonts w:ascii="Times New Roman" w:hAnsi="Times New Roman" w:cs="Times New Roman"/>
          <w:color w:val="4C4747"/>
          <w:sz w:val="24"/>
          <w:szCs w:val="24"/>
        </w:rPr>
      </w:pPr>
    </w:p>
    <w:p w14:paraId="58D39A17" w14:textId="77777777" w:rsidR="00611EF0" w:rsidRPr="00305350" w:rsidRDefault="00611EF0" w:rsidP="00611EF0">
      <w:pPr>
        <w:rPr>
          <w:rFonts w:ascii="Times New Roman" w:hAnsi="Times New Roman" w:cs="Times New Roman"/>
          <w:color w:val="4C4747"/>
          <w:sz w:val="24"/>
          <w:szCs w:val="24"/>
        </w:rPr>
      </w:pPr>
    </w:p>
    <w:p w14:paraId="48CB4D54" w14:textId="77777777" w:rsidR="00611EF0" w:rsidRPr="00305350" w:rsidRDefault="00611EF0" w:rsidP="00611EF0">
      <w:pPr>
        <w:rPr>
          <w:rFonts w:ascii="Times New Roman" w:hAnsi="Times New Roman" w:cs="Times New Roman"/>
          <w:color w:val="4C4747"/>
          <w:sz w:val="24"/>
          <w:szCs w:val="24"/>
        </w:rPr>
      </w:pPr>
    </w:p>
    <w:p w14:paraId="41A72F0D" w14:textId="77777777" w:rsidR="00611EF0" w:rsidRPr="00305350" w:rsidRDefault="00611EF0" w:rsidP="00611EF0">
      <w:pPr>
        <w:jc w:val="right"/>
        <w:rPr>
          <w:rFonts w:ascii="Times New Roman" w:hAnsi="Times New Roman" w:cs="Times New Roman"/>
          <w:color w:val="4C4747"/>
          <w:sz w:val="24"/>
          <w:szCs w:val="24"/>
        </w:rPr>
      </w:pPr>
    </w:p>
    <w:p w14:paraId="67DFAF78" w14:textId="77777777" w:rsidR="004157E6" w:rsidRPr="00305350" w:rsidRDefault="004157E6" w:rsidP="00611EF0">
      <w:pPr>
        <w:spacing w:after="0" w:line="240" w:lineRule="auto"/>
        <w:jc w:val="center"/>
        <w:rPr>
          <w:rFonts w:ascii="Times New Roman" w:hAnsi="Times New Roman" w:cs="Times New Roman"/>
          <w:color w:val="4C4747"/>
          <w:sz w:val="24"/>
          <w:szCs w:val="24"/>
        </w:rPr>
      </w:pPr>
    </w:p>
    <w:p w14:paraId="45C4E2DC" w14:textId="58B9B849" w:rsidR="00611EF0" w:rsidRPr="00305350" w:rsidRDefault="009C1882" w:rsidP="00611EF0">
      <w:pPr>
        <w:spacing w:after="0" w:line="240" w:lineRule="auto"/>
        <w:jc w:val="center"/>
        <w:rPr>
          <w:rFonts w:ascii="Times New Roman" w:hAnsi="Times New Roman" w:cs="Times New Roman"/>
          <w:b/>
          <w:color w:val="4C4747"/>
          <w:sz w:val="24"/>
          <w:szCs w:val="24"/>
        </w:rPr>
      </w:pPr>
      <w:hyperlink r:id="rId50" w:history="1">
        <w:r w:rsidR="00611EF0" w:rsidRPr="00305350">
          <w:rPr>
            <w:rFonts w:ascii="Times New Roman" w:hAnsi="Times New Roman" w:cs="Times New Roman"/>
            <w:b/>
            <w:color w:val="4C4747"/>
            <w:sz w:val="24"/>
            <w:szCs w:val="24"/>
          </w:rPr>
          <w:t>Yamil Enrique Espinal Jiménez</w:t>
        </w:r>
      </w:hyperlink>
    </w:p>
    <w:p w14:paraId="2D3FE34C" w14:textId="77777777" w:rsidR="00611EF0" w:rsidRPr="00305350" w:rsidRDefault="00611EF0" w:rsidP="00611EF0">
      <w:pPr>
        <w:spacing w:after="0" w:line="240" w:lineRule="auto"/>
        <w:jc w:val="center"/>
        <w:rPr>
          <w:rFonts w:ascii="Times New Roman" w:hAnsi="Times New Roman" w:cs="Times New Roman"/>
          <w:color w:val="4C4747"/>
          <w:sz w:val="24"/>
          <w:szCs w:val="24"/>
        </w:rPr>
      </w:pPr>
      <w:r w:rsidRPr="00305350">
        <w:rPr>
          <w:rFonts w:ascii="Times New Roman" w:hAnsi="Times New Roman" w:cs="Times New Roman"/>
          <w:color w:val="4C4747"/>
          <w:sz w:val="24"/>
          <w:szCs w:val="24"/>
        </w:rPr>
        <w:t>Director Oficina Regional de Santiago</w:t>
      </w:r>
    </w:p>
    <w:p w14:paraId="1E722435" w14:textId="579DA2B9" w:rsidR="00611EF0" w:rsidRPr="00305350" w:rsidRDefault="00611EF0" w:rsidP="00611EF0">
      <w:pPr>
        <w:rPr>
          <w:rFonts w:ascii="Times New Roman" w:hAnsi="Times New Roman" w:cs="Times New Roman"/>
          <w:color w:val="4C4747"/>
          <w:sz w:val="24"/>
          <w:szCs w:val="24"/>
        </w:rPr>
      </w:pPr>
    </w:p>
    <w:p w14:paraId="018B9C3D" w14:textId="77777777" w:rsidR="004157E6" w:rsidRPr="00305350" w:rsidRDefault="004157E6" w:rsidP="00611EF0">
      <w:pPr>
        <w:rPr>
          <w:rFonts w:ascii="Times New Roman" w:hAnsi="Times New Roman" w:cs="Times New Roman"/>
          <w:color w:val="4C4747"/>
          <w:sz w:val="24"/>
          <w:szCs w:val="24"/>
        </w:rPr>
      </w:pPr>
    </w:p>
    <w:p w14:paraId="1BE3CC23" w14:textId="77777777" w:rsidR="00611EF0" w:rsidRPr="00462712" w:rsidRDefault="00611EF0" w:rsidP="00611EF0">
      <w:pPr>
        <w:jc w:val="right"/>
        <w:rPr>
          <w:rFonts w:ascii="Times New Roman" w:hAnsi="Times New Roman" w:cs="Times New Roman"/>
          <w:sz w:val="24"/>
          <w:szCs w:val="24"/>
        </w:rPr>
      </w:pPr>
    </w:p>
    <w:p w14:paraId="0D1B2E1D" w14:textId="77777777" w:rsidR="00611EF0" w:rsidRPr="00462712" w:rsidRDefault="00611EF0" w:rsidP="00611EF0">
      <w:pPr>
        <w:jc w:val="right"/>
        <w:rPr>
          <w:rFonts w:ascii="Times New Roman" w:hAnsi="Times New Roman" w:cs="Times New Roman"/>
          <w:sz w:val="24"/>
          <w:szCs w:val="24"/>
        </w:rPr>
      </w:pPr>
    </w:p>
    <w:p w14:paraId="66C4C861" w14:textId="77777777" w:rsidR="00611EF0" w:rsidRPr="00462712" w:rsidRDefault="00611EF0" w:rsidP="00611EF0">
      <w:pPr>
        <w:jc w:val="right"/>
        <w:rPr>
          <w:rFonts w:ascii="Times New Roman" w:hAnsi="Times New Roman" w:cs="Times New Roman"/>
          <w:sz w:val="24"/>
          <w:szCs w:val="24"/>
        </w:rPr>
      </w:pPr>
    </w:p>
    <w:p w14:paraId="264813C5" w14:textId="77777777" w:rsidR="00611EF0" w:rsidRPr="00462712" w:rsidRDefault="00611EF0" w:rsidP="00611EF0">
      <w:pPr>
        <w:jc w:val="right"/>
        <w:rPr>
          <w:rFonts w:ascii="Times New Roman" w:hAnsi="Times New Roman" w:cs="Times New Roman"/>
          <w:sz w:val="24"/>
          <w:szCs w:val="24"/>
        </w:rPr>
      </w:pPr>
    </w:p>
    <w:p w14:paraId="362B40F0" w14:textId="77777777" w:rsidR="00611EF0" w:rsidRPr="00462712" w:rsidRDefault="00611EF0" w:rsidP="00611EF0">
      <w:pPr>
        <w:jc w:val="right"/>
        <w:rPr>
          <w:rFonts w:ascii="Times New Roman" w:hAnsi="Times New Roman" w:cs="Times New Roman"/>
          <w:sz w:val="24"/>
          <w:szCs w:val="24"/>
        </w:rPr>
      </w:pPr>
    </w:p>
    <w:p w14:paraId="017790D3" w14:textId="0B173B71" w:rsidR="00611EF0" w:rsidRDefault="00611EF0" w:rsidP="00185616">
      <w:pPr>
        <w:jc w:val="right"/>
        <w:rPr>
          <w:rFonts w:ascii="Times New Roman" w:hAnsi="Times New Roman" w:cs="Times New Roman"/>
          <w:color w:val="4C4747"/>
        </w:rPr>
      </w:pPr>
    </w:p>
    <w:p w14:paraId="15502469" w14:textId="3E919920" w:rsidR="00611EF0" w:rsidRDefault="00611EF0" w:rsidP="00185616">
      <w:pPr>
        <w:jc w:val="right"/>
      </w:pPr>
    </w:p>
    <w:p w14:paraId="72AC3750" w14:textId="53D2FE55" w:rsidR="00611EF0" w:rsidRDefault="00611EF0" w:rsidP="00185616">
      <w:pPr>
        <w:jc w:val="right"/>
      </w:pPr>
    </w:p>
    <w:p w14:paraId="6073EFE6" w14:textId="5AC72F68" w:rsidR="00611EF0" w:rsidRDefault="00611EF0" w:rsidP="00185616">
      <w:pPr>
        <w:jc w:val="right"/>
      </w:pPr>
    </w:p>
    <w:p w14:paraId="2672955B" w14:textId="14D87F1B" w:rsidR="00611EF0" w:rsidRDefault="00611EF0" w:rsidP="00185616">
      <w:pPr>
        <w:jc w:val="right"/>
      </w:pPr>
    </w:p>
    <w:p w14:paraId="5090E761" w14:textId="62095365" w:rsidR="00611EF0" w:rsidRDefault="00611EF0" w:rsidP="00185616">
      <w:pPr>
        <w:jc w:val="right"/>
      </w:pPr>
    </w:p>
    <w:p w14:paraId="1AD13DC2" w14:textId="77777777" w:rsidR="00611EF0" w:rsidRDefault="00611EF0" w:rsidP="00185616">
      <w:pPr>
        <w:jc w:val="right"/>
      </w:pPr>
    </w:p>
    <w:p w14:paraId="196442D0" w14:textId="77777777" w:rsidR="00611EF0" w:rsidRDefault="00611EF0" w:rsidP="00185616">
      <w:pPr>
        <w:jc w:val="right"/>
        <w:sectPr w:rsidR="00611EF0" w:rsidSect="00611EF0">
          <w:type w:val="continuous"/>
          <w:pgSz w:w="12240" w:h="15840"/>
          <w:pgMar w:top="1440" w:right="1800" w:bottom="1440" w:left="1800" w:header="720" w:footer="432" w:gutter="0"/>
          <w:cols w:num="2" w:space="720"/>
          <w:titlePg/>
          <w:docGrid w:linePitch="360"/>
        </w:sectPr>
      </w:pPr>
    </w:p>
    <w:p w14:paraId="69D285CE" w14:textId="2ADDC892" w:rsidR="00611EF0" w:rsidRDefault="00611EF0" w:rsidP="00185616">
      <w:pPr>
        <w:jc w:val="right"/>
      </w:pPr>
    </w:p>
    <w:p w14:paraId="3AE43DAF" w14:textId="77777777" w:rsidR="00611EF0" w:rsidRDefault="00611EF0" w:rsidP="00185616">
      <w:pPr>
        <w:jc w:val="right"/>
      </w:pPr>
    </w:p>
    <w:p w14:paraId="0640C17A" w14:textId="77777777" w:rsidR="00611EF0" w:rsidRDefault="00611EF0" w:rsidP="00185616">
      <w:pPr>
        <w:jc w:val="right"/>
      </w:pPr>
    </w:p>
    <w:p w14:paraId="0465E3B1" w14:textId="77777777" w:rsidR="003E38E1" w:rsidRDefault="003E38E1" w:rsidP="003E38E1"/>
    <w:p w14:paraId="6FF53E5F" w14:textId="27FA4D27" w:rsidR="00924409" w:rsidRDefault="00924409" w:rsidP="004D4341">
      <w:pPr>
        <w:keepNext/>
        <w:keepLines/>
        <w:spacing w:before="40" w:after="0"/>
        <w:outlineLvl w:val="1"/>
        <w:rPr>
          <w:rFonts w:ascii="Times New Roman" w:eastAsiaTheme="majorEastAsia" w:hAnsi="Times New Roman" w:cs="Times New Roman"/>
          <w:color w:val="4C4747"/>
          <w:sz w:val="24"/>
          <w:szCs w:val="24"/>
        </w:rPr>
      </w:pPr>
    </w:p>
    <w:p w14:paraId="4BAD34AA" w14:textId="5ADF6580" w:rsidR="00924409" w:rsidRPr="00E50010" w:rsidRDefault="004D4341" w:rsidP="00EC6B6D">
      <w:pPr>
        <w:pStyle w:val="Heading2"/>
        <w:rPr>
          <w:rFonts w:ascii="Times New Roman" w:hAnsi="Times New Roman" w:cs="Times New Roman"/>
          <w:b/>
          <w:color w:val="4C4747"/>
          <w:sz w:val="24"/>
          <w:szCs w:val="24"/>
        </w:rPr>
      </w:pPr>
      <w:bookmarkStart w:id="19" w:name="_Toc155259664"/>
      <w:r w:rsidRPr="00E50010">
        <w:rPr>
          <w:b/>
          <w:noProof/>
          <w:color w:val="4C4747"/>
        </w:rPr>
        <w:drawing>
          <wp:anchor distT="0" distB="0" distL="114300" distR="114300" simplePos="0" relativeHeight="251716608" behindDoc="0" locked="0" layoutInCell="1" allowOverlap="1" wp14:anchorId="11945212" wp14:editId="307F8ABD">
            <wp:simplePos x="0" y="0"/>
            <wp:positionH relativeFrom="page">
              <wp:posOffset>600075</wp:posOffset>
            </wp:positionH>
            <wp:positionV relativeFrom="margin">
              <wp:posOffset>1362075</wp:posOffset>
            </wp:positionV>
            <wp:extent cx="6798310" cy="4418965"/>
            <wp:effectExtent l="0" t="0" r="2540" b="635"/>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6798310" cy="4418965"/>
                    </a:xfrm>
                    <a:prstGeom prst="rect">
                      <a:avLst/>
                    </a:prstGeom>
                  </pic:spPr>
                </pic:pic>
              </a:graphicData>
            </a:graphic>
            <wp14:sizeRelH relativeFrom="margin">
              <wp14:pctWidth>0</wp14:pctWidth>
            </wp14:sizeRelH>
            <wp14:sizeRelV relativeFrom="margin">
              <wp14:pctHeight>0</wp14:pctHeight>
            </wp14:sizeRelV>
          </wp:anchor>
        </w:drawing>
      </w:r>
      <w:r w:rsidRPr="00E50010">
        <w:rPr>
          <w:rFonts w:ascii="Times New Roman" w:hAnsi="Times New Roman" w:cs="Times New Roman"/>
          <w:b/>
          <w:color w:val="4C4747"/>
          <w:sz w:val="24"/>
          <w:szCs w:val="24"/>
        </w:rPr>
        <w:t>Estructura Organizativa</w:t>
      </w:r>
      <w:bookmarkEnd w:id="19"/>
      <w:r w:rsidRPr="00E50010">
        <w:rPr>
          <w:b/>
          <w:noProof/>
          <w:color w:val="4C4747"/>
        </w:rPr>
        <w:t xml:space="preserve"> </w:t>
      </w:r>
    </w:p>
    <w:p w14:paraId="294AFA0F" w14:textId="77777777" w:rsidR="00007FC9" w:rsidRDefault="00007FC9" w:rsidP="00924409">
      <w:pPr>
        <w:keepNext/>
        <w:keepLines/>
        <w:spacing w:before="40" w:after="0"/>
        <w:jc w:val="center"/>
        <w:outlineLvl w:val="1"/>
        <w:rPr>
          <w:rFonts w:ascii="Times New Roman" w:eastAsiaTheme="majorEastAsia" w:hAnsi="Times New Roman" w:cs="Times New Roman"/>
          <w:color w:val="4C4747"/>
          <w:sz w:val="24"/>
          <w:szCs w:val="24"/>
        </w:rPr>
      </w:pPr>
    </w:p>
    <w:p w14:paraId="41D476F3" w14:textId="2E0F09A7" w:rsidR="00924409" w:rsidRDefault="00924409" w:rsidP="00924409">
      <w:pPr>
        <w:keepNext/>
        <w:keepLines/>
        <w:spacing w:before="40" w:after="0"/>
        <w:jc w:val="center"/>
        <w:outlineLvl w:val="1"/>
        <w:rPr>
          <w:rFonts w:ascii="Times New Roman" w:eastAsiaTheme="majorEastAsia" w:hAnsi="Times New Roman" w:cs="Times New Roman"/>
          <w:color w:val="4C4747"/>
          <w:sz w:val="24"/>
          <w:szCs w:val="24"/>
        </w:rPr>
      </w:pPr>
    </w:p>
    <w:p w14:paraId="11F207B0" w14:textId="0D1DB160" w:rsidR="00DA54E0" w:rsidRDefault="00DA54E0" w:rsidP="00924409">
      <w:pPr>
        <w:keepNext/>
        <w:keepLines/>
        <w:spacing w:before="40" w:after="0"/>
        <w:jc w:val="center"/>
        <w:outlineLvl w:val="1"/>
        <w:rPr>
          <w:rFonts w:ascii="Times New Roman" w:eastAsiaTheme="majorEastAsia" w:hAnsi="Times New Roman" w:cs="Times New Roman"/>
          <w:color w:val="4C4747"/>
          <w:sz w:val="24"/>
          <w:szCs w:val="24"/>
        </w:rPr>
      </w:pPr>
    </w:p>
    <w:p w14:paraId="472A5976" w14:textId="3EB6D670" w:rsidR="00DA54E0" w:rsidRDefault="00DA54E0" w:rsidP="00924409">
      <w:pPr>
        <w:keepNext/>
        <w:keepLines/>
        <w:spacing w:before="40" w:after="0"/>
        <w:jc w:val="center"/>
        <w:outlineLvl w:val="1"/>
        <w:rPr>
          <w:rFonts w:ascii="Times New Roman" w:eastAsiaTheme="majorEastAsia" w:hAnsi="Times New Roman" w:cs="Times New Roman"/>
          <w:color w:val="4C4747"/>
          <w:sz w:val="24"/>
          <w:szCs w:val="24"/>
        </w:rPr>
      </w:pPr>
    </w:p>
    <w:p w14:paraId="71CC445D" w14:textId="4305CE69" w:rsidR="00DA54E0" w:rsidRDefault="00DA54E0" w:rsidP="00DA54E0">
      <w:pPr>
        <w:keepNext/>
        <w:keepLines/>
        <w:spacing w:before="40" w:after="0"/>
        <w:outlineLvl w:val="1"/>
        <w:rPr>
          <w:rFonts w:ascii="Times New Roman" w:eastAsiaTheme="majorEastAsia" w:hAnsi="Times New Roman" w:cs="Times New Roman"/>
          <w:color w:val="4C4747"/>
          <w:sz w:val="24"/>
          <w:szCs w:val="24"/>
        </w:rPr>
      </w:pPr>
    </w:p>
    <w:p w14:paraId="50CC5B93" w14:textId="4AE1F08A" w:rsidR="00DA54E0" w:rsidRDefault="00DA54E0" w:rsidP="00DA54E0">
      <w:pPr>
        <w:keepNext/>
        <w:keepLines/>
        <w:spacing w:before="40" w:after="0"/>
        <w:outlineLvl w:val="1"/>
        <w:rPr>
          <w:rFonts w:ascii="Times New Roman" w:eastAsiaTheme="majorEastAsia" w:hAnsi="Times New Roman" w:cs="Times New Roman"/>
          <w:color w:val="4C4747"/>
          <w:sz w:val="24"/>
          <w:szCs w:val="24"/>
        </w:rPr>
      </w:pPr>
    </w:p>
    <w:p w14:paraId="58D5CBAD" w14:textId="1CF39B1E" w:rsidR="00DA54E0" w:rsidRDefault="00DA54E0" w:rsidP="00DA54E0">
      <w:pPr>
        <w:keepNext/>
        <w:keepLines/>
        <w:spacing w:before="40" w:after="0"/>
        <w:outlineLvl w:val="1"/>
        <w:rPr>
          <w:rFonts w:ascii="Times New Roman" w:eastAsiaTheme="majorEastAsia" w:hAnsi="Times New Roman" w:cs="Times New Roman"/>
          <w:color w:val="4C4747"/>
          <w:sz w:val="24"/>
          <w:szCs w:val="24"/>
        </w:rPr>
      </w:pPr>
    </w:p>
    <w:p w14:paraId="48929D9F" w14:textId="3BB5C0CB" w:rsidR="00DA54E0" w:rsidRDefault="00DA54E0" w:rsidP="00DA54E0">
      <w:pPr>
        <w:keepNext/>
        <w:keepLines/>
        <w:spacing w:before="40" w:after="0"/>
        <w:outlineLvl w:val="1"/>
        <w:rPr>
          <w:rFonts w:ascii="Times New Roman" w:eastAsiaTheme="majorEastAsia" w:hAnsi="Times New Roman" w:cs="Times New Roman"/>
          <w:color w:val="4C4747"/>
          <w:sz w:val="24"/>
          <w:szCs w:val="24"/>
        </w:rPr>
      </w:pPr>
    </w:p>
    <w:p w14:paraId="46B1F207" w14:textId="339EDEEB" w:rsidR="00DA54E0" w:rsidRDefault="00DA54E0" w:rsidP="00DA54E0">
      <w:pPr>
        <w:keepNext/>
        <w:keepLines/>
        <w:spacing w:before="40" w:after="0"/>
        <w:outlineLvl w:val="1"/>
        <w:rPr>
          <w:rFonts w:ascii="Times New Roman" w:eastAsiaTheme="majorEastAsia" w:hAnsi="Times New Roman" w:cs="Times New Roman"/>
          <w:color w:val="4C4747"/>
          <w:sz w:val="24"/>
          <w:szCs w:val="24"/>
        </w:rPr>
      </w:pPr>
    </w:p>
    <w:p w14:paraId="70DAB82E" w14:textId="11D8C29C" w:rsidR="00DA54E0" w:rsidRDefault="00DA54E0" w:rsidP="00DA54E0">
      <w:pPr>
        <w:keepNext/>
        <w:keepLines/>
        <w:spacing w:before="40" w:after="0"/>
        <w:outlineLvl w:val="1"/>
        <w:rPr>
          <w:rFonts w:ascii="Times New Roman" w:eastAsiaTheme="majorEastAsia" w:hAnsi="Times New Roman" w:cs="Times New Roman"/>
          <w:color w:val="4C4747"/>
          <w:sz w:val="24"/>
          <w:szCs w:val="24"/>
        </w:rPr>
      </w:pPr>
    </w:p>
    <w:p w14:paraId="43AEA4ED" w14:textId="77777777" w:rsidR="00DA54E0" w:rsidRDefault="00DA54E0" w:rsidP="00DA54E0">
      <w:pPr>
        <w:keepNext/>
        <w:keepLines/>
        <w:spacing w:before="40" w:after="0"/>
        <w:outlineLvl w:val="1"/>
        <w:rPr>
          <w:rFonts w:ascii="Times New Roman" w:eastAsiaTheme="majorEastAsia" w:hAnsi="Times New Roman" w:cs="Times New Roman"/>
          <w:color w:val="4C4747"/>
          <w:sz w:val="24"/>
          <w:szCs w:val="24"/>
        </w:rPr>
      </w:pPr>
    </w:p>
    <w:p w14:paraId="5F0C60F1" w14:textId="78EFED57" w:rsidR="00924409" w:rsidRDefault="00924409" w:rsidP="00924409">
      <w:pPr>
        <w:keepNext/>
        <w:keepLines/>
        <w:spacing w:before="40" w:after="0"/>
        <w:jc w:val="center"/>
        <w:outlineLvl w:val="1"/>
        <w:rPr>
          <w:rFonts w:ascii="Times New Roman" w:eastAsiaTheme="majorEastAsia" w:hAnsi="Times New Roman" w:cs="Times New Roman"/>
          <w:color w:val="4C4747"/>
          <w:sz w:val="24"/>
          <w:szCs w:val="24"/>
        </w:rPr>
      </w:pPr>
    </w:p>
    <w:p w14:paraId="3A01A063" w14:textId="77777777" w:rsidR="00611EF0" w:rsidRDefault="00611EF0" w:rsidP="00BA7408">
      <w:pPr>
        <w:sectPr w:rsidR="00611EF0" w:rsidSect="00611EF0">
          <w:type w:val="continuous"/>
          <w:pgSz w:w="12240" w:h="15840"/>
          <w:pgMar w:top="1440" w:right="1800" w:bottom="1440" w:left="1800" w:header="720" w:footer="432" w:gutter="0"/>
          <w:cols w:num="2" w:space="720"/>
          <w:titlePg/>
          <w:docGrid w:linePitch="360"/>
        </w:sectPr>
      </w:pPr>
    </w:p>
    <w:p w14:paraId="7E801DD4" w14:textId="77777777" w:rsidR="003E38E1" w:rsidRDefault="003E38E1" w:rsidP="00BA7408"/>
    <w:p w14:paraId="23DF4BFD" w14:textId="77777777" w:rsidR="003E38E1" w:rsidRDefault="003E38E1" w:rsidP="00BA7408"/>
    <w:p w14:paraId="33FB6E5D" w14:textId="4872F077" w:rsidR="00924409" w:rsidRDefault="00924409" w:rsidP="00BA7408">
      <w:pPr>
        <w:sectPr w:rsidR="00924409" w:rsidSect="0092786C">
          <w:type w:val="continuous"/>
          <w:pgSz w:w="12240" w:h="15840"/>
          <w:pgMar w:top="1440" w:right="1800" w:bottom="1440" w:left="1800" w:header="2160" w:footer="432" w:gutter="0"/>
          <w:cols w:num="2" w:space="720"/>
          <w:titlePg/>
          <w:docGrid w:linePitch="360"/>
        </w:sectPr>
      </w:pPr>
    </w:p>
    <w:p w14:paraId="14172FF8" w14:textId="77777777" w:rsidR="004D4341" w:rsidRDefault="004D4341" w:rsidP="001E5C18">
      <w:pPr>
        <w:pStyle w:val="Heading2"/>
        <w:jc w:val="center"/>
        <w:rPr>
          <w:rFonts w:ascii="Times New Roman" w:hAnsi="Times New Roman" w:cs="Times New Roman"/>
          <w:color w:val="4C4747"/>
          <w:sz w:val="24"/>
          <w:szCs w:val="24"/>
        </w:rPr>
      </w:pPr>
      <w:bookmarkStart w:id="20" w:name="_Hlk91228985"/>
    </w:p>
    <w:p w14:paraId="00FA092E" w14:textId="77777777" w:rsidR="00E222C9" w:rsidRDefault="00E222C9" w:rsidP="00E222C9">
      <w:pPr>
        <w:pStyle w:val="Heading2"/>
        <w:rPr>
          <w:rFonts w:ascii="Times New Roman" w:hAnsi="Times New Roman" w:cs="Times New Roman"/>
          <w:color w:val="4C4747"/>
          <w:sz w:val="24"/>
          <w:szCs w:val="24"/>
        </w:rPr>
      </w:pPr>
    </w:p>
    <w:p w14:paraId="6DEC09C8" w14:textId="4F764809" w:rsidR="00E222C9" w:rsidRDefault="00E222C9" w:rsidP="00E222C9">
      <w:pPr>
        <w:pStyle w:val="Heading2"/>
        <w:rPr>
          <w:rFonts w:ascii="Times New Roman" w:hAnsi="Times New Roman" w:cs="Times New Roman"/>
          <w:color w:val="4C4747"/>
          <w:sz w:val="24"/>
          <w:szCs w:val="24"/>
        </w:rPr>
      </w:pPr>
    </w:p>
    <w:p w14:paraId="244FA2EC" w14:textId="65F758E9" w:rsidR="00ED3488" w:rsidRPr="00B46D33" w:rsidRDefault="0092786C" w:rsidP="00E222C9">
      <w:pPr>
        <w:pStyle w:val="Heading2"/>
        <w:rPr>
          <w:rFonts w:ascii="Times New Roman" w:hAnsi="Times New Roman" w:cs="Times New Roman"/>
          <w:b/>
          <w:color w:val="4C4747"/>
          <w:sz w:val="24"/>
          <w:szCs w:val="24"/>
        </w:rPr>
      </w:pPr>
      <w:bookmarkStart w:id="21" w:name="_Toc155259665"/>
      <w:r w:rsidRPr="00B46D33">
        <w:rPr>
          <w:rFonts w:ascii="Times New Roman" w:hAnsi="Times New Roman" w:cs="Times New Roman"/>
          <w:b/>
          <w:color w:val="4C4747"/>
          <w:sz w:val="24"/>
          <w:szCs w:val="24"/>
        </w:rPr>
        <w:t>2.5 Planificación</w:t>
      </w:r>
      <w:r w:rsidR="00ED3488" w:rsidRPr="00B46D33">
        <w:rPr>
          <w:rFonts w:ascii="Times New Roman" w:hAnsi="Times New Roman" w:cs="Times New Roman"/>
          <w:b/>
          <w:color w:val="4C4747"/>
          <w:sz w:val="24"/>
          <w:szCs w:val="24"/>
        </w:rPr>
        <w:t xml:space="preserve"> estratégica institucional</w:t>
      </w:r>
      <w:bookmarkEnd w:id="21"/>
    </w:p>
    <w:bookmarkEnd w:id="20"/>
    <w:p w14:paraId="33E150EE" w14:textId="479A52F1" w:rsidR="00185616" w:rsidRDefault="00185616" w:rsidP="00185616"/>
    <w:p w14:paraId="34CF0BD9" w14:textId="11A06F44" w:rsidR="00742EB6" w:rsidRPr="00640B85" w:rsidRDefault="00742EB6" w:rsidP="00742EB6">
      <w:pPr>
        <w:pStyle w:val="NormalWeb"/>
        <w:shd w:val="clear" w:color="auto" w:fill="FFFFFF"/>
        <w:spacing w:line="360" w:lineRule="auto"/>
        <w:jc w:val="both"/>
        <w:rPr>
          <w:rFonts w:eastAsia="Artifex CF Extra Light"/>
          <w:color w:val="4C4747"/>
          <w:lang w:eastAsia="en-US"/>
        </w:rPr>
      </w:pPr>
      <w:r w:rsidRPr="00640B85">
        <w:rPr>
          <w:rFonts w:eastAsia="Artifex CF Extra Light"/>
          <w:color w:val="4C4747"/>
          <w:lang w:eastAsia="en-US"/>
        </w:rPr>
        <w:t>Con la finalidad de dar continuidad a la gestión estratégica del BCRD como ente emisor, que vela por la estabilidad de precios, la regulación del sistema financiero y la eficiencia y seguridad del sistema de pagos, en el año 2022 se presentó el V Plan Estratégico Institucional (PEI) 2022-2025, herramienta que sirve de guía para ejecutar las funciones establecidas por la Ley y trazar la visión a futuro del Banco.</w:t>
      </w:r>
    </w:p>
    <w:p w14:paraId="64EB8D3B" w14:textId="52D93BC0" w:rsidR="00924409" w:rsidRPr="00640B85" w:rsidRDefault="00A975D6" w:rsidP="00742EB6">
      <w:pPr>
        <w:pStyle w:val="NormalWeb"/>
        <w:shd w:val="clear" w:color="auto" w:fill="FFFFFF"/>
        <w:spacing w:before="0" w:beforeAutospacing="0" w:line="360" w:lineRule="auto"/>
        <w:jc w:val="both"/>
        <w:rPr>
          <w:rFonts w:eastAsia="Artifex CF Extra Light"/>
          <w:color w:val="4C4747"/>
          <w:lang w:eastAsia="en-US"/>
        </w:rPr>
      </w:pPr>
      <w:r w:rsidRPr="00640B85">
        <w:rPr>
          <w:noProof/>
          <w:color w:val="4C4747"/>
        </w:rPr>
        <w:drawing>
          <wp:anchor distT="0" distB="0" distL="114300" distR="114300" simplePos="0" relativeHeight="251728896" behindDoc="0" locked="0" layoutInCell="1" allowOverlap="1" wp14:anchorId="56EA1126" wp14:editId="53338FB8">
            <wp:simplePos x="0" y="0"/>
            <wp:positionH relativeFrom="margin">
              <wp:posOffset>1854835</wp:posOffset>
            </wp:positionH>
            <wp:positionV relativeFrom="paragraph">
              <wp:posOffset>15240</wp:posOffset>
            </wp:positionV>
            <wp:extent cx="3884295" cy="5022215"/>
            <wp:effectExtent l="0" t="0" r="1905" b="6985"/>
            <wp:wrapThrough wrapText="bothSides">
              <wp:wrapPolygon edited="0">
                <wp:start x="424" y="0"/>
                <wp:lineTo x="0" y="164"/>
                <wp:lineTo x="0" y="21466"/>
                <wp:lineTo x="424" y="21548"/>
                <wp:lineTo x="21081" y="21548"/>
                <wp:lineTo x="21505" y="21466"/>
                <wp:lineTo x="21505" y="164"/>
                <wp:lineTo x="21081" y="0"/>
                <wp:lineTo x="424"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884295" cy="502221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742EB6" w:rsidRPr="00640B85">
        <w:rPr>
          <w:rFonts w:eastAsia="Artifex CF Extra Light"/>
          <w:color w:val="4C4747"/>
          <w:lang w:eastAsia="en-US"/>
        </w:rPr>
        <w:t>En el PEI 2022-2025 se definieron seis grandes objetivos, los cuales abarcan aspectos de política, operativos y de gestión de la institución. Cada objetivo cuenta con estrategias específicas y con metas cuantitativas para su seguimiento y evaluación, tanto de manera continua como al final de cada año.</w:t>
      </w:r>
    </w:p>
    <w:p w14:paraId="245949A8" w14:textId="48C44A7A" w:rsidR="00E222C9" w:rsidRDefault="00E222C9" w:rsidP="0092786C">
      <w:pPr>
        <w:pStyle w:val="NormalWeb"/>
        <w:shd w:val="clear" w:color="auto" w:fill="FFFFFF"/>
        <w:spacing w:before="0" w:beforeAutospacing="0" w:line="360" w:lineRule="auto"/>
        <w:jc w:val="both"/>
        <w:rPr>
          <w:rFonts w:eastAsia="Artifex CF Extra Light"/>
          <w:color w:val="4C4747"/>
          <w:lang w:eastAsia="en-US"/>
        </w:rPr>
      </w:pPr>
    </w:p>
    <w:p w14:paraId="038C591E" w14:textId="140DAB81" w:rsidR="00E222C9" w:rsidRDefault="00E222C9" w:rsidP="0092786C">
      <w:pPr>
        <w:pStyle w:val="NormalWeb"/>
        <w:shd w:val="clear" w:color="auto" w:fill="FFFFFF"/>
        <w:spacing w:before="0" w:beforeAutospacing="0" w:line="360" w:lineRule="auto"/>
        <w:jc w:val="both"/>
        <w:rPr>
          <w:rFonts w:eastAsia="Artifex CF Extra Light"/>
          <w:color w:val="4C4747"/>
          <w:lang w:eastAsia="en-US"/>
        </w:rPr>
      </w:pPr>
    </w:p>
    <w:p w14:paraId="5DA0F69F" w14:textId="3C962045" w:rsidR="00A949A8" w:rsidRDefault="00A949A8" w:rsidP="0092786C">
      <w:pPr>
        <w:pStyle w:val="NormalWeb"/>
        <w:shd w:val="clear" w:color="auto" w:fill="FFFFFF"/>
        <w:spacing w:before="0" w:beforeAutospacing="0" w:line="360" w:lineRule="auto"/>
        <w:jc w:val="both"/>
        <w:rPr>
          <w:rFonts w:eastAsia="Artifex CF Extra Light"/>
          <w:color w:val="4C4747"/>
          <w:lang w:eastAsia="en-US"/>
        </w:rPr>
      </w:pPr>
    </w:p>
    <w:p w14:paraId="6660D5A0" w14:textId="77777777" w:rsidR="00A975D6" w:rsidRDefault="00A975D6" w:rsidP="0092786C">
      <w:pPr>
        <w:pStyle w:val="NormalWeb"/>
        <w:shd w:val="clear" w:color="auto" w:fill="FFFFFF"/>
        <w:spacing w:before="0" w:beforeAutospacing="0" w:line="360" w:lineRule="auto"/>
        <w:jc w:val="both"/>
        <w:rPr>
          <w:rFonts w:eastAsia="Artifex CF Extra Light"/>
          <w:color w:val="4C4747"/>
          <w:lang w:eastAsia="en-US"/>
        </w:rPr>
      </w:pPr>
    </w:p>
    <w:p w14:paraId="4900DCD7" w14:textId="0AD01B4A" w:rsidR="00A949A8" w:rsidRPr="00134563" w:rsidRDefault="00134563" w:rsidP="0092786C">
      <w:pPr>
        <w:pStyle w:val="NormalWeb"/>
        <w:shd w:val="clear" w:color="auto" w:fill="FFFFFF"/>
        <w:spacing w:before="0" w:beforeAutospacing="0" w:line="360" w:lineRule="auto"/>
        <w:jc w:val="both"/>
        <w:rPr>
          <w:rFonts w:eastAsia="Artifex CF Extra Light"/>
          <w:color w:val="4C4747"/>
          <w:sz w:val="22"/>
          <w:szCs w:val="22"/>
          <w:lang w:eastAsia="en-US"/>
        </w:rPr>
      </w:pPr>
      <w:r w:rsidRPr="00134563">
        <w:rPr>
          <w:rFonts w:eastAsia="Artifex CF Extra Light"/>
          <w:b/>
          <w:color w:val="4C4747"/>
          <w:sz w:val="22"/>
          <w:szCs w:val="22"/>
          <w:lang w:eastAsia="en-US"/>
        </w:rPr>
        <w:t xml:space="preserve">. </w:t>
      </w:r>
    </w:p>
    <w:p w14:paraId="4A7EB949" w14:textId="69397A95" w:rsidR="00ED3488" w:rsidRDefault="008F2149" w:rsidP="00FB3B1E">
      <w:pPr>
        <w:pStyle w:val="Heading1"/>
      </w:pPr>
      <w:r>
        <w:rPr>
          <w:rFonts w:ascii="Times New Roman" w:hAnsi="Times New Roman" w:cs="Times New Roman"/>
          <w:color w:val="4C4747"/>
          <w:sz w:val="28"/>
          <w:szCs w:val="28"/>
        </w:rPr>
        <w:lastRenderedPageBreak/>
        <w:t xml:space="preserve">                          </w:t>
      </w:r>
      <w:bookmarkStart w:id="22" w:name="_Toc155259666"/>
      <w:r>
        <w:rPr>
          <w:rFonts w:ascii="Times New Roman" w:hAnsi="Times New Roman" w:cs="Times New Roman"/>
          <w:color w:val="4C4747"/>
          <w:sz w:val="28"/>
          <w:szCs w:val="28"/>
        </w:rPr>
        <w:t>III. R</w:t>
      </w:r>
      <w:r w:rsidRPr="008C5022">
        <w:rPr>
          <w:rFonts w:ascii="Times New Roman" w:hAnsi="Times New Roman" w:cs="Times New Roman"/>
          <w:color w:val="4C4747"/>
          <w:sz w:val="28"/>
          <w:szCs w:val="28"/>
        </w:rPr>
        <w:t xml:space="preserve">ESULTADOS </w:t>
      </w:r>
      <w:r>
        <w:rPr>
          <w:rFonts w:ascii="Times New Roman" w:hAnsi="Times New Roman" w:cs="Times New Roman"/>
          <w:color w:val="4C4747"/>
          <w:sz w:val="28"/>
          <w:szCs w:val="28"/>
        </w:rPr>
        <w:t>M</w:t>
      </w:r>
      <w:r w:rsidRPr="008C5022">
        <w:rPr>
          <w:rFonts w:ascii="Times New Roman" w:hAnsi="Times New Roman" w:cs="Times New Roman"/>
          <w:color w:val="4C4747"/>
          <w:sz w:val="28"/>
          <w:szCs w:val="28"/>
        </w:rPr>
        <w:t>ISIONALES</w:t>
      </w:r>
      <w:bookmarkEnd w:id="22"/>
    </w:p>
    <w:p w14:paraId="7023C8C1" w14:textId="70CA27B7" w:rsidR="008F2149" w:rsidRDefault="008F2149" w:rsidP="00185616">
      <w:r w:rsidRPr="00D92922">
        <w:rPr>
          <w:rFonts w:ascii="Artifex CF Extra Light" w:hAnsi="Artifex CF Extra Light"/>
          <w:noProof/>
          <w:color w:val="1F3864" w:themeColor="accent1" w:themeShade="80"/>
          <w:sz w:val="18"/>
        </w:rPr>
        <mc:AlternateContent>
          <mc:Choice Requires="wps">
            <w:drawing>
              <wp:anchor distT="0" distB="0" distL="114300" distR="114300" simplePos="0" relativeHeight="251675648" behindDoc="0" locked="0" layoutInCell="1" allowOverlap="1" wp14:anchorId="068ACB36" wp14:editId="45FCC0A7">
                <wp:simplePos x="0" y="0"/>
                <wp:positionH relativeFrom="column">
                  <wp:posOffset>2083082</wp:posOffset>
                </wp:positionH>
                <wp:positionV relativeFrom="paragraph">
                  <wp:posOffset>121496</wp:posOffset>
                </wp:positionV>
                <wp:extent cx="539750" cy="0"/>
                <wp:effectExtent l="0" t="19050" r="31750" b="19050"/>
                <wp:wrapThrough wrapText="bothSides">
                  <wp:wrapPolygon edited="0">
                    <wp:start x="0" y="-1"/>
                    <wp:lineTo x="0" y="-1"/>
                    <wp:lineTo x="22108" y="-1"/>
                    <wp:lineTo x="22108" y="-1"/>
                    <wp:lineTo x="0" y="-1"/>
                  </wp:wrapPolygon>
                </wp:wrapThrough>
                <wp:docPr id="20"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3938C7" id="Conector recto 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pt,9.55pt" to="20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" strokecolor="red" strokeweight="2.5pt">
                <v:stroke joinstyle="miter"/>
                <w10:wrap type="through"/>
              </v:line>
            </w:pict>
          </mc:Fallback>
        </mc:AlternateContent>
      </w:r>
    </w:p>
    <w:p w14:paraId="420551D5" w14:textId="56468540" w:rsidR="008F2149" w:rsidRPr="008F2149" w:rsidRDefault="00B34B08" w:rsidP="002E7B17">
      <w:pPr>
        <w:rPr>
          <w:rFonts w:ascii="Times New Roman" w:hAnsi="Times New Roman"/>
          <w:color w:val="4C4747"/>
          <w:spacing w:val="20"/>
          <w:sz w:val="24"/>
          <w:szCs w:val="24"/>
        </w:rPr>
      </w:pPr>
      <w:r>
        <w:rPr>
          <w:rFonts w:ascii="Times New Roman" w:hAnsi="Times New Roman"/>
          <w:color w:val="4C4747"/>
          <w:spacing w:val="20"/>
          <w:sz w:val="24"/>
          <w:szCs w:val="24"/>
        </w:rPr>
        <w:t xml:space="preserve">                            </w:t>
      </w:r>
      <w:r w:rsidR="008F2149" w:rsidRPr="007918B1">
        <w:rPr>
          <w:rFonts w:ascii="Times New Roman" w:hAnsi="Times New Roman"/>
          <w:color w:val="4C4747"/>
          <w:spacing w:val="20"/>
          <w:sz w:val="24"/>
          <w:szCs w:val="24"/>
        </w:rPr>
        <w:t xml:space="preserve">Memoria </w:t>
      </w:r>
      <w:r w:rsidR="00E50010">
        <w:rPr>
          <w:rFonts w:ascii="Times New Roman" w:hAnsi="Times New Roman"/>
          <w:color w:val="4C4747"/>
          <w:spacing w:val="20"/>
          <w:sz w:val="24"/>
          <w:szCs w:val="24"/>
        </w:rPr>
        <w:t>I</w:t>
      </w:r>
      <w:r w:rsidR="008F2149" w:rsidRPr="007918B1">
        <w:rPr>
          <w:rFonts w:ascii="Times New Roman" w:hAnsi="Times New Roman"/>
          <w:color w:val="4C4747"/>
          <w:spacing w:val="20"/>
          <w:sz w:val="24"/>
          <w:szCs w:val="24"/>
        </w:rPr>
        <w:t>nstitucional</w:t>
      </w:r>
      <w:r w:rsidR="008F2149" w:rsidRPr="007918B1">
        <w:rPr>
          <w:rFonts w:ascii="Times New Roman" w:hAnsi="Times New Roman"/>
          <w:color w:val="767171"/>
          <w:spacing w:val="20"/>
          <w:sz w:val="24"/>
          <w:szCs w:val="24"/>
        </w:rPr>
        <w:t xml:space="preserve"> </w:t>
      </w:r>
      <w:r w:rsidR="008F2149" w:rsidRPr="00AA5B4B">
        <w:rPr>
          <w:rFonts w:ascii="Times New Roman" w:hAnsi="Times New Roman"/>
          <w:color w:val="4C4747"/>
          <w:spacing w:val="20"/>
          <w:sz w:val="24"/>
          <w:szCs w:val="24"/>
        </w:rPr>
        <w:t>202</w:t>
      </w:r>
      <w:r w:rsidR="00E222C9">
        <w:rPr>
          <w:rFonts w:ascii="Times New Roman" w:hAnsi="Times New Roman"/>
          <w:color w:val="4C4747"/>
          <w:spacing w:val="20"/>
          <w:sz w:val="24"/>
          <w:szCs w:val="24"/>
        </w:rPr>
        <w:t>3</w:t>
      </w:r>
    </w:p>
    <w:p w14:paraId="7AC0211B" w14:textId="0E5EDBE2" w:rsidR="008C5022" w:rsidRDefault="00ED3488" w:rsidP="00B46D33">
      <w:pPr>
        <w:pStyle w:val="Heading2"/>
        <w:numPr>
          <w:ilvl w:val="1"/>
          <w:numId w:val="1"/>
        </w:numPr>
        <w:jc w:val="both"/>
        <w:rPr>
          <w:rFonts w:ascii="Times New Roman" w:hAnsi="Times New Roman" w:cs="Times New Roman"/>
          <w:b/>
          <w:color w:val="4C4747"/>
          <w:sz w:val="24"/>
          <w:szCs w:val="24"/>
        </w:rPr>
      </w:pPr>
      <w:bookmarkStart w:id="23" w:name="_Toc155259667"/>
      <w:r w:rsidRPr="00B46D33">
        <w:rPr>
          <w:rFonts w:ascii="Times New Roman" w:hAnsi="Times New Roman" w:cs="Times New Roman"/>
          <w:b/>
          <w:color w:val="4C4747"/>
          <w:sz w:val="24"/>
          <w:szCs w:val="24"/>
        </w:rPr>
        <w:t xml:space="preserve">Información cuantitativa, cualitativa e indicadores de los procesos </w:t>
      </w:r>
      <w:r w:rsidR="003E38E1" w:rsidRPr="00B46D33">
        <w:rPr>
          <w:rFonts w:ascii="Times New Roman" w:hAnsi="Times New Roman" w:cs="Times New Roman"/>
          <w:b/>
          <w:color w:val="4C4747"/>
          <w:sz w:val="24"/>
          <w:szCs w:val="24"/>
        </w:rPr>
        <w:t>M</w:t>
      </w:r>
      <w:r w:rsidRPr="00B46D33">
        <w:rPr>
          <w:rFonts w:ascii="Times New Roman" w:hAnsi="Times New Roman" w:cs="Times New Roman"/>
          <w:b/>
          <w:color w:val="4C4747"/>
          <w:sz w:val="24"/>
          <w:szCs w:val="24"/>
        </w:rPr>
        <w:t>isionales</w:t>
      </w:r>
      <w:bookmarkEnd w:id="23"/>
    </w:p>
    <w:p w14:paraId="68262944" w14:textId="77777777" w:rsidR="00B46D33" w:rsidRPr="00B46D33" w:rsidRDefault="00B46D33" w:rsidP="00B46D33"/>
    <w:p w14:paraId="6DAA82DC" w14:textId="2B26CF0F" w:rsidR="00305C3E" w:rsidRPr="00640B85" w:rsidRDefault="00305C3E" w:rsidP="00305C3E">
      <w:pPr>
        <w:autoSpaceDE w:val="0"/>
        <w:autoSpaceDN w:val="0"/>
        <w:adjustRightInd w:val="0"/>
        <w:spacing w:after="0" w:line="360" w:lineRule="auto"/>
        <w:jc w:val="both"/>
        <w:rPr>
          <w:rFonts w:ascii="Times New Roman" w:eastAsia="Artifex CF Extra Light" w:hAnsi="Times New Roman" w:cs="Times New Roman"/>
          <w:color w:val="4C4747"/>
          <w:sz w:val="24"/>
          <w:szCs w:val="24"/>
        </w:rPr>
      </w:pPr>
      <w:r w:rsidRPr="00640B85">
        <w:rPr>
          <w:rFonts w:ascii="Times New Roman" w:eastAsia="Artifex CF Extra Light" w:hAnsi="Times New Roman" w:cs="Times New Roman"/>
          <w:color w:val="4C4747"/>
          <w:sz w:val="24"/>
          <w:szCs w:val="24"/>
        </w:rPr>
        <w:t>Durante el año 2022, el desempeño de la economía mundial se vio afectado por un contexto de elevada incertidumbre generado por el conflicto bélico entre Rusia y Ucrania. Además, la inflación a nivel internacional mostró una mayor persistencia, lo que motivó un endurecimiento de las condiciones financieras por medio de aumentos importantes de las tasas de referencia de la mayoría de los bancos centrales, tanto de economías avanzadas como emergentes.</w:t>
      </w:r>
    </w:p>
    <w:p w14:paraId="68339F7F" w14:textId="6A955E16" w:rsidR="00B34B08" w:rsidRPr="00640B85" w:rsidRDefault="00B34B08" w:rsidP="00305C3E">
      <w:pPr>
        <w:pStyle w:val="List2"/>
        <w:spacing w:before="120" w:line="360" w:lineRule="auto"/>
        <w:ind w:left="0" w:firstLine="0"/>
        <w:rPr>
          <w:rFonts w:ascii="Times New Roman" w:hAnsi="Times New Roman" w:cs="Times New Roman"/>
          <w:color w:val="4C4747"/>
          <w:sz w:val="24"/>
          <w:szCs w:val="24"/>
          <w:lang w:val="es-ES"/>
        </w:rPr>
      </w:pPr>
      <w:r w:rsidRPr="00640B85">
        <w:rPr>
          <w:rFonts w:ascii="Times New Roman" w:hAnsi="Times New Roman" w:cs="Times New Roman"/>
          <w:color w:val="4C4747"/>
          <w:sz w:val="24"/>
          <w:szCs w:val="24"/>
        </w:rPr>
        <w:t xml:space="preserve">A partir del año 2023, el </w:t>
      </w:r>
      <w:r w:rsidRPr="00640B85">
        <w:rPr>
          <w:rFonts w:ascii="Times New Roman" w:hAnsi="Times New Roman" w:cs="Times New Roman"/>
          <w:color w:val="4C4747"/>
          <w:sz w:val="24"/>
          <w:szCs w:val="24"/>
          <w:lang w:val="es-ES"/>
        </w:rPr>
        <w:t xml:space="preserve">Banco Central de la República Dominicana (BCRD) dispuso un cambio en su postura de política monetaria con el objetivo de contribuir a la dinamización de la actividad económica, procurando acelerar el mecanismo de transmisión de la política monetaria para propiciar una disminución de las tasas de interés bancarias y favorecer la expansión del crédito al sector privado en moneda nacional, en un contexto en que la inflación se ubicaba en torno al centro del rango meta. </w:t>
      </w:r>
      <w:r w:rsidR="00305C3E" w:rsidRPr="00640B85">
        <w:rPr>
          <w:rFonts w:ascii="Times New Roman" w:hAnsi="Times New Roman" w:cs="Times New Roman"/>
          <w:color w:val="4C4747"/>
          <w:sz w:val="24"/>
          <w:szCs w:val="24"/>
          <w:lang w:val="es-ES"/>
        </w:rPr>
        <w:t>Estas medidas complementarias han contribuido a acelerar el mecanismo de transmisión, permitiendo una reducción significativa de las tasas de interés de mercado y una dinamización del crédito privado.</w:t>
      </w:r>
    </w:p>
    <w:p w14:paraId="7F4768FA" w14:textId="719329BE" w:rsidR="00305C3E" w:rsidRPr="00640B85" w:rsidRDefault="00305C3E" w:rsidP="00305C3E">
      <w:pPr>
        <w:pStyle w:val="List2"/>
        <w:spacing w:before="120" w:line="360" w:lineRule="auto"/>
        <w:ind w:left="0" w:firstLine="0"/>
        <w:rPr>
          <w:rFonts w:ascii="Times New Roman" w:hAnsi="Times New Roman" w:cs="Times New Roman"/>
          <w:color w:val="4C4747"/>
          <w:sz w:val="24"/>
          <w:szCs w:val="24"/>
          <w:lang w:val="es-ES"/>
        </w:rPr>
      </w:pPr>
    </w:p>
    <w:p w14:paraId="22C9F9E6" w14:textId="77777777" w:rsidR="00305C3E" w:rsidRPr="00640B85" w:rsidRDefault="00305C3E" w:rsidP="00305C3E">
      <w:pPr>
        <w:pStyle w:val="List2"/>
        <w:spacing w:before="120" w:line="360" w:lineRule="auto"/>
        <w:ind w:left="0" w:firstLine="0"/>
        <w:contextualSpacing w:val="0"/>
        <w:rPr>
          <w:rFonts w:ascii="Times New Roman" w:hAnsi="Times New Roman" w:cs="Times New Roman"/>
          <w:color w:val="4C4747"/>
          <w:sz w:val="24"/>
          <w:szCs w:val="24"/>
        </w:rPr>
      </w:pPr>
      <w:r w:rsidRPr="00640B85">
        <w:rPr>
          <w:rFonts w:ascii="Times New Roman" w:hAnsi="Times New Roman" w:cs="Times New Roman"/>
          <w:color w:val="4C4747"/>
          <w:sz w:val="24"/>
          <w:szCs w:val="24"/>
        </w:rPr>
        <w:t xml:space="preserve">La actividad económica, medida por medio de la variación interanual del índice mensual de actividad económica (IMAE) se expandió 3.6 % en octubre, llevando el crecimiento acumulado del período enero-octubre a 1.9 %. El desempeño de la economía se explica por la evolución positiva de los sectores hoteles, bares y restaurantes, así como también la intermediación financiera y la agropecuaria. En lo adelante, se espera que la economía continúe dinamizándose, apoyada en los </w:t>
      </w:r>
      <w:r w:rsidRPr="00640B85">
        <w:rPr>
          <w:rFonts w:ascii="Times New Roman" w:hAnsi="Times New Roman" w:cs="Times New Roman"/>
          <w:color w:val="4C4747"/>
          <w:sz w:val="24"/>
          <w:szCs w:val="24"/>
        </w:rPr>
        <w:lastRenderedPageBreak/>
        <w:t xml:space="preserve">estímulos monetarios y una mayor inversión pública, estimándose una expansión cercana al crecimiento potencial de 5 % en 2024. </w:t>
      </w:r>
    </w:p>
    <w:p w14:paraId="2E07EC45" w14:textId="48B69E01" w:rsidR="00305C3E" w:rsidRPr="00640B85" w:rsidRDefault="00305C3E" w:rsidP="00305C3E">
      <w:pPr>
        <w:spacing w:line="360" w:lineRule="auto"/>
        <w:jc w:val="both"/>
        <w:rPr>
          <w:rFonts w:ascii="Times New Roman" w:eastAsia="Artifex CF Extra Light" w:hAnsi="Times New Roman" w:cs="Times New Roman"/>
          <w:color w:val="4C4747"/>
          <w:sz w:val="24"/>
          <w:szCs w:val="24"/>
        </w:rPr>
      </w:pPr>
      <w:r w:rsidRPr="00640B85">
        <w:rPr>
          <w:rFonts w:ascii="Times New Roman" w:eastAsia="Artifex CF Extra Light" w:hAnsi="Times New Roman" w:cs="Times New Roman"/>
          <w:color w:val="4C4747"/>
          <w:sz w:val="24"/>
          <w:szCs w:val="24"/>
        </w:rPr>
        <w:t xml:space="preserve">El buen desempeño de la economía se ha visto reflejado en el mercado de trabajo, por medio de una notable creación de empleos. Es así como entre el tercer trimestre de 2022 y el tercer trimestre de 2023, se crearon 222,497 empleos, la mayoría dentro del sector formal.  Con esto, la tasa de desocupación abierta se colocó en 5.4 %, al cierre de septiembre de 2023. </w:t>
      </w:r>
    </w:p>
    <w:p w14:paraId="5AF4B2D1" w14:textId="2F58CC38" w:rsidR="00305C3E" w:rsidRPr="00640B85" w:rsidRDefault="00305C3E" w:rsidP="00305C3E">
      <w:pPr>
        <w:pStyle w:val="List2"/>
        <w:spacing w:before="120" w:line="360" w:lineRule="auto"/>
        <w:ind w:left="0" w:firstLine="0"/>
        <w:contextualSpacing w:val="0"/>
        <w:rPr>
          <w:rFonts w:ascii="Times New Roman" w:hAnsi="Times New Roman" w:cs="Times New Roman"/>
          <w:color w:val="4C4747"/>
          <w:sz w:val="24"/>
          <w:szCs w:val="24"/>
        </w:rPr>
      </w:pPr>
      <w:r w:rsidRPr="00640B85">
        <w:rPr>
          <w:rFonts w:ascii="Times New Roman" w:hAnsi="Times New Roman" w:cs="Times New Roman"/>
          <w:color w:val="4C4747"/>
          <w:sz w:val="24"/>
          <w:szCs w:val="24"/>
        </w:rPr>
        <w:t>En adición, ha continuado la acumulación de reservas internacionales, las cuales se ubicaron</w:t>
      </w:r>
      <w:r w:rsidRPr="00640B85">
        <w:rPr>
          <w:rFonts w:ascii="Times New Roman" w:hAnsi="Times New Roman" w:cs="Times New Roman"/>
          <w:color w:val="4C4747"/>
          <w:sz w:val="24"/>
        </w:rPr>
        <w:t xml:space="preserve"> </w:t>
      </w:r>
      <w:r w:rsidRPr="00640B85">
        <w:rPr>
          <w:rFonts w:ascii="Times New Roman" w:hAnsi="Times New Roman" w:cs="Times New Roman"/>
          <w:color w:val="4C4747"/>
          <w:sz w:val="24"/>
          <w:szCs w:val="24"/>
        </w:rPr>
        <w:t xml:space="preserve">en torno a los US$ 15,000 millones al cierre de noviembre, equivalente a un 12.5 % del PIB y a aproximadamente 5.6 meses de importaciones, superior a los niveles recomendados por el FMI. </w:t>
      </w:r>
    </w:p>
    <w:p w14:paraId="3363ABE7" w14:textId="3A6FA3ED" w:rsidR="00072286" w:rsidRPr="00640B85" w:rsidRDefault="00305C3E" w:rsidP="00305C3E">
      <w:pPr>
        <w:pStyle w:val="List2"/>
        <w:spacing w:before="120" w:line="360" w:lineRule="auto"/>
        <w:ind w:left="0" w:firstLine="0"/>
        <w:contextualSpacing w:val="0"/>
        <w:rPr>
          <w:rFonts w:ascii="Times New Roman" w:hAnsi="Times New Roman" w:cs="Times New Roman"/>
          <w:color w:val="4C4747"/>
          <w:sz w:val="24"/>
          <w:szCs w:val="24"/>
        </w:rPr>
      </w:pPr>
      <w:r w:rsidRPr="00640B85">
        <w:rPr>
          <w:rFonts w:ascii="Times New Roman" w:hAnsi="Times New Roman" w:cs="Times New Roman"/>
          <w:color w:val="4C4747"/>
          <w:sz w:val="24"/>
          <w:szCs w:val="24"/>
        </w:rPr>
        <w:t xml:space="preserve">En el sistema financiero, como resultado de las medidas de flexibilización monetaria, el crédito al sector privado en moneda nacional ha acelerado su ritmo de expansión, presentando un crecimiento interanual superior al 19 % en noviembre. En tanto, los principales indicadores muestran que el sector mantiene una alta liquidez, rentabilidad y fortaleza patrimonial, así como una baja morosidad. </w:t>
      </w:r>
    </w:p>
    <w:p w14:paraId="787CD84F" w14:textId="4B0FACC4" w:rsidR="00305C3E" w:rsidRPr="00640B85" w:rsidRDefault="00305C3E" w:rsidP="00305C3E">
      <w:pPr>
        <w:pStyle w:val="List2"/>
        <w:spacing w:before="120" w:line="360" w:lineRule="auto"/>
        <w:ind w:left="0" w:firstLine="0"/>
        <w:contextualSpacing w:val="0"/>
        <w:rPr>
          <w:rFonts w:ascii="Times New Roman" w:hAnsi="Times New Roman" w:cs="Times New Roman"/>
          <w:color w:val="4C4747"/>
          <w:sz w:val="24"/>
          <w:szCs w:val="24"/>
        </w:rPr>
      </w:pPr>
      <w:r w:rsidRPr="00640B85">
        <w:rPr>
          <w:rFonts w:ascii="Times New Roman" w:hAnsi="Times New Roman" w:cs="Times New Roman"/>
          <w:color w:val="4C4747"/>
          <w:sz w:val="24"/>
          <w:szCs w:val="24"/>
        </w:rPr>
        <w:t xml:space="preserve">En efecto, el coeficiente de solvencia del sistema financiero se ubicó en 16.5 % en agosto, según la cifra más reciente. En tanto, la rentabilidad sobre el patrimonio (ROE) alcanzó 26.3 % en septiembre de 2023, mientras que la rentabilidad sobre los activos (ROA) se ubicó de 3.1 %. Asimismo, la morosidad de la cartera de créditos fue 1.1 %. </w:t>
      </w:r>
    </w:p>
    <w:p w14:paraId="68834D7A" w14:textId="3414C50C" w:rsidR="00305C3E" w:rsidRPr="00640B85" w:rsidRDefault="00305C3E" w:rsidP="00072286">
      <w:pPr>
        <w:pStyle w:val="List2"/>
        <w:spacing w:before="120" w:line="360" w:lineRule="auto"/>
        <w:ind w:left="0" w:firstLine="0"/>
        <w:contextualSpacing w:val="0"/>
        <w:rPr>
          <w:rFonts w:ascii="Times New Roman" w:hAnsi="Times New Roman" w:cs="Times New Roman"/>
          <w:color w:val="4C4747"/>
          <w:sz w:val="24"/>
          <w:szCs w:val="24"/>
        </w:rPr>
      </w:pPr>
      <w:r w:rsidRPr="00640B85">
        <w:rPr>
          <w:rFonts w:ascii="Times New Roman" w:hAnsi="Times New Roman" w:cs="Times New Roman"/>
          <w:color w:val="4C4747"/>
          <w:sz w:val="24"/>
          <w:szCs w:val="24"/>
        </w:rPr>
        <w:t>En conclusión, a lo largo de 2023, las acciones del Banco Central han estado</w:t>
      </w:r>
      <w:r w:rsidR="00ED6894" w:rsidRPr="00640B85">
        <w:rPr>
          <w:rFonts w:ascii="Times New Roman" w:hAnsi="Times New Roman" w:cs="Times New Roman"/>
          <w:color w:val="4C4747"/>
          <w:sz w:val="24"/>
          <w:szCs w:val="24"/>
        </w:rPr>
        <w:t xml:space="preserve"> </w:t>
      </w:r>
      <w:r w:rsidRPr="00640B85">
        <w:rPr>
          <w:rFonts w:ascii="Times New Roman" w:hAnsi="Times New Roman" w:cs="Times New Roman"/>
          <w:color w:val="4C4747"/>
          <w:sz w:val="24"/>
          <w:szCs w:val="24"/>
        </w:rPr>
        <w:t xml:space="preserve">encaminadas a estimular la demanda interna e incentivar el crédito privado, en un contexto de estabilidad de precios y fuertes fundamentos macroeconómicos. </w:t>
      </w:r>
    </w:p>
    <w:p w14:paraId="36C7EEB8" w14:textId="77777777" w:rsidR="00EC6B6D" w:rsidRDefault="00EC6B6D" w:rsidP="008C5022">
      <w:pPr>
        <w:spacing w:before="120" w:line="360" w:lineRule="auto"/>
        <w:jc w:val="both"/>
        <w:rPr>
          <w:rFonts w:ascii="Times New Roman" w:eastAsia="Artifex CF Extra Light" w:hAnsi="Times New Roman" w:cs="Times New Roman"/>
          <w:color w:val="4C4747"/>
          <w:sz w:val="24"/>
          <w:szCs w:val="24"/>
        </w:rPr>
      </w:pPr>
    </w:p>
    <w:p w14:paraId="0D9B974E" w14:textId="77777777" w:rsidR="008B7A98" w:rsidRPr="00185616" w:rsidRDefault="008B7A98" w:rsidP="008C5022">
      <w:pPr>
        <w:spacing w:before="120" w:line="360" w:lineRule="auto"/>
        <w:jc w:val="both"/>
        <w:rPr>
          <w:rFonts w:ascii="Times New Roman" w:eastAsia="Artifex CF Extra Light" w:hAnsi="Times New Roman" w:cs="Times New Roman"/>
          <w:color w:val="4C4747"/>
          <w:sz w:val="24"/>
          <w:szCs w:val="24"/>
        </w:rPr>
      </w:pPr>
    </w:p>
    <w:p w14:paraId="77CD6D1C" w14:textId="31E6FDF5" w:rsidR="005F4547" w:rsidRDefault="00185616" w:rsidP="00EC6B6D">
      <w:pPr>
        <w:pStyle w:val="Heading2"/>
        <w:jc w:val="center"/>
        <w:rPr>
          <w:rFonts w:ascii="Times New Roman" w:hAnsi="Times New Roman" w:cs="Times New Roman"/>
          <w:b/>
          <w:color w:val="4C4747"/>
          <w:sz w:val="28"/>
          <w:szCs w:val="28"/>
        </w:rPr>
      </w:pPr>
      <w:bookmarkStart w:id="24" w:name="_Toc155259668"/>
      <w:r w:rsidRPr="00185616">
        <w:rPr>
          <w:rFonts w:ascii="Times New Roman" w:hAnsi="Times New Roman" w:cs="Times New Roman"/>
          <w:b/>
          <w:color w:val="4C4747"/>
          <w:sz w:val="28"/>
          <w:szCs w:val="28"/>
        </w:rPr>
        <w:lastRenderedPageBreak/>
        <w:t>Logros institucionales</w:t>
      </w:r>
      <w:r w:rsidR="003B4711" w:rsidRPr="008C5022">
        <w:rPr>
          <w:rFonts w:ascii="Times New Roman" w:hAnsi="Times New Roman" w:cs="Times New Roman"/>
          <w:b/>
          <w:color w:val="4C4747"/>
          <w:sz w:val="28"/>
          <w:szCs w:val="28"/>
        </w:rPr>
        <w:t xml:space="preserve"> en el 202</w:t>
      </w:r>
      <w:r w:rsidR="00742EB6">
        <w:rPr>
          <w:rFonts w:ascii="Times New Roman" w:hAnsi="Times New Roman" w:cs="Times New Roman"/>
          <w:b/>
          <w:color w:val="4C4747"/>
          <w:sz w:val="28"/>
          <w:szCs w:val="28"/>
        </w:rPr>
        <w:t>3</w:t>
      </w:r>
      <w:bookmarkEnd w:id="24"/>
    </w:p>
    <w:p w14:paraId="1CE5989B" w14:textId="60C8954F" w:rsidR="00EC6B6D" w:rsidRDefault="00EC6B6D" w:rsidP="00EC6B6D">
      <w:r w:rsidRPr="00D92922">
        <w:rPr>
          <w:rFonts w:ascii="Artifex CF Extra Light" w:hAnsi="Artifex CF Extra Light"/>
          <w:noProof/>
          <w:color w:val="1F3864" w:themeColor="accent1" w:themeShade="80"/>
          <w:sz w:val="18"/>
        </w:rPr>
        <mc:AlternateContent>
          <mc:Choice Requires="wps">
            <w:drawing>
              <wp:anchor distT="0" distB="0" distL="114300" distR="114300" simplePos="0" relativeHeight="251677696" behindDoc="0" locked="0" layoutInCell="1" allowOverlap="1" wp14:anchorId="2C1DBBB8" wp14:editId="73382EDF">
                <wp:simplePos x="0" y="0"/>
                <wp:positionH relativeFrom="margin">
                  <wp:posOffset>2114550</wp:posOffset>
                </wp:positionH>
                <wp:positionV relativeFrom="paragraph">
                  <wp:posOffset>81315</wp:posOffset>
                </wp:positionV>
                <wp:extent cx="539750" cy="0"/>
                <wp:effectExtent l="0" t="19050" r="31750" b="19050"/>
                <wp:wrapThrough wrapText="bothSides">
                  <wp:wrapPolygon edited="0">
                    <wp:start x="0" y="-1"/>
                    <wp:lineTo x="0" y="-1"/>
                    <wp:lineTo x="22108" y="-1"/>
                    <wp:lineTo x="22108" y="-1"/>
                    <wp:lineTo x="0" y="-1"/>
                  </wp:wrapPolygon>
                </wp:wrapThrough>
                <wp:docPr id="21"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1050FA" id="Conector recto 9"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6.5pt,6.4pt" to="209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" strokecolor="red" strokeweight="2.5pt">
                <v:stroke joinstyle="miter"/>
                <w10:wrap type="through" anchorx="margin"/>
              </v:line>
            </w:pict>
          </mc:Fallback>
        </mc:AlternateContent>
      </w:r>
    </w:p>
    <w:p w14:paraId="66AB98A3" w14:textId="19497F71" w:rsidR="00EC6B6D" w:rsidRDefault="00EC6B6D" w:rsidP="00EC6B6D"/>
    <w:p w14:paraId="04060774" w14:textId="77777777" w:rsidR="00742EB6" w:rsidRDefault="00742EB6" w:rsidP="00776E7D">
      <w:pPr>
        <w:pStyle w:val="List2"/>
        <w:numPr>
          <w:ilvl w:val="0"/>
          <w:numId w:val="9"/>
        </w:numPr>
        <w:spacing w:before="120" w:line="360" w:lineRule="auto"/>
        <w:rPr>
          <w:rFonts w:ascii="Times New Roman" w:hAnsi="Times New Roman" w:cs="Times New Roman"/>
          <w:color w:val="4C4747"/>
          <w:sz w:val="24"/>
          <w:szCs w:val="24"/>
          <w:lang w:val="es-ES"/>
        </w:rPr>
      </w:pPr>
      <w:r w:rsidRPr="00FC6273">
        <w:rPr>
          <w:rFonts w:ascii="Times New Roman" w:hAnsi="Times New Roman" w:cs="Times New Roman"/>
          <w:b/>
          <w:color w:val="4C4747"/>
          <w:sz w:val="24"/>
          <w:szCs w:val="24"/>
          <w:lang w:val="es-ES"/>
        </w:rPr>
        <w:t>Avances en el fortalecimiento de</w:t>
      </w:r>
      <w:r>
        <w:rPr>
          <w:rFonts w:ascii="Times New Roman" w:hAnsi="Times New Roman" w:cs="Times New Roman"/>
          <w:b/>
          <w:color w:val="4C4747"/>
          <w:sz w:val="24"/>
          <w:szCs w:val="24"/>
          <w:lang w:val="es-ES"/>
        </w:rPr>
        <w:t xml:space="preserve"> </w:t>
      </w:r>
      <w:r w:rsidRPr="00FC6273">
        <w:rPr>
          <w:rFonts w:ascii="Times New Roman" w:hAnsi="Times New Roman" w:cs="Times New Roman"/>
          <w:b/>
          <w:color w:val="4C4747"/>
          <w:sz w:val="24"/>
          <w:szCs w:val="24"/>
          <w:lang w:val="es-ES"/>
        </w:rPr>
        <w:t>l</w:t>
      </w:r>
      <w:r>
        <w:rPr>
          <w:rFonts w:ascii="Times New Roman" w:hAnsi="Times New Roman" w:cs="Times New Roman"/>
          <w:b/>
          <w:color w:val="4C4747"/>
          <w:sz w:val="24"/>
          <w:szCs w:val="24"/>
          <w:lang w:val="es-ES"/>
        </w:rPr>
        <w:t>a auditoría interna</w:t>
      </w:r>
      <w:r w:rsidRPr="00FC6273">
        <w:rPr>
          <w:rFonts w:ascii="Times New Roman" w:hAnsi="Times New Roman" w:cs="Times New Roman"/>
          <w:b/>
          <w:color w:val="4C4747"/>
          <w:sz w:val="24"/>
          <w:szCs w:val="24"/>
          <w:lang w:val="es-ES"/>
        </w:rPr>
        <w:t>:</w:t>
      </w:r>
      <w:r w:rsidRPr="00FC6273">
        <w:rPr>
          <w:rFonts w:ascii="Times New Roman" w:hAnsi="Times New Roman" w:cs="Times New Roman"/>
          <w:color w:val="4C4747"/>
          <w:sz w:val="24"/>
          <w:szCs w:val="24"/>
          <w:lang w:val="es-ES"/>
        </w:rPr>
        <w:t xml:space="preserve"> </w:t>
      </w:r>
      <w:r>
        <w:rPr>
          <w:rFonts w:ascii="Times New Roman" w:hAnsi="Times New Roman" w:cs="Times New Roman"/>
          <w:color w:val="4C4747"/>
          <w:sz w:val="24"/>
          <w:szCs w:val="24"/>
          <w:lang w:val="es-ES"/>
        </w:rPr>
        <w:t>En el mes de junio, el BCRD recibió un reconocimiento tras haber obtenido por segunda vez la recertificación por haber completado la evaluación de calidad</w:t>
      </w:r>
      <w:r w:rsidRPr="00757466">
        <w:t xml:space="preserve"> </w:t>
      </w:r>
      <w:r w:rsidRPr="00757466">
        <w:rPr>
          <w:rFonts w:ascii="Times New Roman" w:hAnsi="Times New Roman" w:cs="Times New Roman"/>
          <w:color w:val="4C4747"/>
          <w:sz w:val="24"/>
          <w:szCs w:val="24"/>
          <w:lang w:val="es-ES"/>
        </w:rPr>
        <w:t xml:space="preserve">de conformidad con las normas internacionales para la práctica profesional de la auditoría interna del </w:t>
      </w:r>
      <w:proofErr w:type="spellStart"/>
      <w:r w:rsidRPr="00757466">
        <w:rPr>
          <w:rFonts w:ascii="Times New Roman" w:hAnsi="Times New Roman" w:cs="Times New Roman"/>
          <w:color w:val="4C4747"/>
          <w:sz w:val="24"/>
          <w:szCs w:val="24"/>
          <w:lang w:val="es-ES"/>
        </w:rPr>
        <w:t>Institute</w:t>
      </w:r>
      <w:proofErr w:type="spellEnd"/>
      <w:r w:rsidRPr="00757466">
        <w:rPr>
          <w:rFonts w:ascii="Times New Roman" w:hAnsi="Times New Roman" w:cs="Times New Roman"/>
          <w:color w:val="4C4747"/>
          <w:sz w:val="24"/>
          <w:szCs w:val="24"/>
          <w:lang w:val="es-ES"/>
        </w:rPr>
        <w:t xml:space="preserve"> </w:t>
      </w:r>
      <w:proofErr w:type="spellStart"/>
      <w:r w:rsidRPr="00757466">
        <w:rPr>
          <w:rFonts w:ascii="Times New Roman" w:hAnsi="Times New Roman" w:cs="Times New Roman"/>
          <w:color w:val="4C4747"/>
          <w:sz w:val="24"/>
          <w:szCs w:val="24"/>
          <w:lang w:val="es-ES"/>
        </w:rPr>
        <w:t>of</w:t>
      </w:r>
      <w:proofErr w:type="spellEnd"/>
      <w:r w:rsidRPr="00757466">
        <w:rPr>
          <w:rFonts w:ascii="Times New Roman" w:hAnsi="Times New Roman" w:cs="Times New Roman"/>
          <w:color w:val="4C4747"/>
          <w:sz w:val="24"/>
          <w:szCs w:val="24"/>
          <w:lang w:val="es-ES"/>
        </w:rPr>
        <w:t xml:space="preserve"> </w:t>
      </w:r>
      <w:proofErr w:type="spellStart"/>
      <w:r w:rsidRPr="00757466">
        <w:rPr>
          <w:rFonts w:ascii="Times New Roman" w:hAnsi="Times New Roman" w:cs="Times New Roman"/>
          <w:color w:val="4C4747"/>
          <w:sz w:val="24"/>
          <w:szCs w:val="24"/>
          <w:lang w:val="es-ES"/>
        </w:rPr>
        <w:t>Internal</w:t>
      </w:r>
      <w:proofErr w:type="spellEnd"/>
      <w:r w:rsidRPr="00757466">
        <w:rPr>
          <w:rFonts w:ascii="Times New Roman" w:hAnsi="Times New Roman" w:cs="Times New Roman"/>
          <w:color w:val="4C4747"/>
          <w:sz w:val="24"/>
          <w:szCs w:val="24"/>
          <w:lang w:val="es-ES"/>
        </w:rPr>
        <w:t xml:space="preserve"> </w:t>
      </w:r>
      <w:proofErr w:type="spellStart"/>
      <w:r w:rsidRPr="00757466">
        <w:rPr>
          <w:rFonts w:ascii="Times New Roman" w:hAnsi="Times New Roman" w:cs="Times New Roman"/>
          <w:color w:val="4C4747"/>
          <w:sz w:val="24"/>
          <w:szCs w:val="24"/>
          <w:lang w:val="es-ES"/>
        </w:rPr>
        <w:t>Auditors</w:t>
      </w:r>
      <w:proofErr w:type="spellEnd"/>
      <w:r w:rsidRPr="00757466">
        <w:rPr>
          <w:rFonts w:ascii="Times New Roman" w:hAnsi="Times New Roman" w:cs="Times New Roman"/>
          <w:color w:val="4C4747"/>
          <w:sz w:val="24"/>
          <w:szCs w:val="24"/>
          <w:lang w:val="es-ES"/>
        </w:rPr>
        <w:t xml:space="preserve"> (IIA)</w:t>
      </w:r>
      <w:r w:rsidRPr="00FC6273">
        <w:rPr>
          <w:rFonts w:ascii="Times New Roman" w:hAnsi="Times New Roman" w:cs="Times New Roman"/>
          <w:color w:val="4C4747"/>
          <w:sz w:val="24"/>
          <w:szCs w:val="24"/>
          <w:lang w:val="es-ES"/>
        </w:rPr>
        <w:t>.</w:t>
      </w:r>
      <w:r>
        <w:rPr>
          <w:rFonts w:ascii="Times New Roman" w:hAnsi="Times New Roman" w:cs="Times New Roman"/>
          <w:color w:val="4C4747"/>
          <w:sz w:val="24"/>
          <w:szCs w:val="24"/>
          <w:lang w:val="es-ES"/>
        </w:rPr>
        <w:t xml:space="preserve"> </w:t>
      </w:r>
      <w:r w:rsidRPr="00757466">
        <w:rPr>
          <w:rFonts w:ascii="Times New Roman" w:hAnsi="Times New Roman" w:cs="Times New Roman"/>
          <w:color w:val="4C4747"/>
          <w:sz w:val="24"/>
          <w:szCs w:val="24"/>
          <w:lang w:val="es-ES"/>
        </w:rPr>
        <w:t>La Certificación de Calidad forma parte del Programa de Aseguramiento y Mejora de la Calidad de la Auditoría Interna (PAMC). Dicho programa permite evaluar la eficiencia y eficacia de auditoría interna, así como identificar oportunidades de mejora, abarcando todos los aspectos de la operatividad y mantenimiento de la actividad de auditoría interna, incluyendo trabajos de consultoría.</w:t>
      </w:r>
    </w:p>
    <w:p w14:paraId="7658A27D" w14:textId="77777777" w:rsidR="00742EB6" w:rsidRDefault="00742EB6" w:rsidP="00742EB6">
      <w:pPr>
        <w:pStyle w:val="List2"/>
        <w:spacing w:before="120" w:line="360" w:lineRule="auto"/>
        <w:ind w:left="1077" w:firstLine="0"/>
        <w:rPr>
          <w:rFonts w:ascii="Times New Roman" w:hAnsi="Times New Roman" w:cs="Times New Roman"/>
          <w:color w:val="4C4747"/>
          <w:sz w:val="24"/>
          <w:szCs w:val="24"/>
          <w:lang w:val="es-ES"/>
        </w:rPr>
      </w:pPr>
    </w:p>
    <w:p w14:paraId="60C1A645" w14:textId="0A115D55" w:rsidR="00742EB6" w:rsidRPr="002E7B17" w:rsidRDefault="00742EB6" w:rsidP="002E7B17">
      <w:pPr>
        <w:pStyle w:val="List2"/>
        <w:numPr>
          <w:ilvl w:val="0"/>
          <w:numId w:val="9"/>
        </w:numPr>
        <w:spacing w:before="120" w:line="360" w:lineRule="auto"/>
        <w:rPr>
          <w:rFonts w:ascii="Times New Roman" w:hAnsi="Times New Roman" w:cs="Times New Roman"/>
          <w:color w:val="4C4747"/>
          <w:sz w:val="24"/>
          <w:szCs w:val="24"/>
          <w:lang w:val="es-ES"/>
        </w:rPr>
      </w:pPr>
      <w:r>
        <w:rPr>
          <w:rFonts w:ascii="Times New Roman" w:hAnsi="Times New Roman" w:cs="Times New Roman"/>
          <w:b/>
          <w:color w:val="4C4747"/>
          <w:sz w:val="24"/>
          <w:szCs w:val="24"/>
          <w:lang w:val="es-ES"/>
        </w:rPr>
        <w:t>Fortalecimiento de la labor de compilación y divulgación de estadísticas:</w:t>
      </w:r>
      <w:r>
        <w:rPr>
          <w:rFonts w:ascii="Times New Roman" w:hAnsi="Times New Roman" w:cs="Times New Roman"/>
          <w:color w:val="4C4747"/>
          <w:sz w:val="24"/>
          <w:szCs w:val="24"/>
          <w:lang w:val="es-ES"/>
        </w:rPr>
        <w:t xml:space="preserve"> En este apartado destacan dos hitos. El primero, la firma del acuerdo entre el BCRD y PRODOMINICANA, llevada a cabo en el mes de agosto, con el objetivo de </w:t>
      </w:r>
      <w:r w:rsidRPr="004E4627">
        <w:rPr>
          <w:rFonts w:ascii="Times New Roman" w:hAnsi="Times New Roman" w:cs="Times New Roman"/>
          <w:color w:val="4C4747"/>
          <w:sz w:val="24"/>
          <w:szCs w:val="24"/>
          <w:lang w:val="es-ES"/>
        </w:rPr>
        <w:t>articular los esfuerzos que favorezcan la compatibilidad de sus sistemas de información, mediante el establecimiento de un conjunto de especificaciones de uniformidad, preservando un correcto tratamiento de los datos.</w:t>
      </w:r>
      <w:r>
        <w:rPr>
          <w:rFonts w:ascii="Times New Roman" w:hAnsi="Times New Roman" w:cs="Times New Roman"/>
          <w:color w:val="4C4747"/>
          <w:sz w:val="24"/>
          <w:szCs w:val="24"/>
          <w:lang w:val="es-ES"/>
        </w:rPr>
        <w:t xml:space="preserve"> El segundo hito a destacar es la designación del BCRD </w:t>
      </w:r>
      <w:r w:rsidRPr="00806738">
        <w:rPr>
          <w:rFonts w:ascii="Times New Roman" w:hAnsi="Times New Roman" w:cs="Times New Roman"/>
          <w:color w:val="4C4747"/>
          <w:sz w:val="24"/>
          <w:szCs w:val="24"/>
          <w:lang w:val="es-ES"/>
        </w:rPr>
        <w:t>como miembro institucional pleno del Comité Irving Fisher de Estadísticas de Bancos Centrales del BIS</w:t>
      </w:r>
      <w:r>
        <w:rPr>
          <w:rFonts w:ascii="Times New Roman" w:hAnsi="Times New Roman" w:cs="Times New Roman"/>
          <w:color w:val="4C4747"/>
          <w:sz w:val="24"/>
          <w:szCs w:val="24"/>
          <w:lang w:val="es-ES"/>
        </w:rPr>
        <w:t xml:space="preserve">. Dentro de los objetivos de este Comité se encuentra el </w:t>
      </w:r>
      <w:r w:rsidRPr="00806738">
        <w:rPr>
          <w:rFonts w:ascii="Times New Roman" w:hAnsi="Times New Roman" w:cs="Times New Roman"/>
          <w:color w:val="4C4747"/>
          <w:sz w:val="24"/>
          <w:szCs w:val="24"/>
          <w:lang w:val="es-ES"/>
        </w:rPr>
        <w:t>fortalec</w:t>
      </w:r>
      <w:r>
        <w:rPr>
          <w:rFonts w:ascii="Times New Roman" w:hAnsi="Times New Roman" w:cs="Times New Roman"/>
          <w:color w:val="4C4747"/>
          <w:sz w:val="24"/>
          <w:szCs w:val="24"/>
          <w:lang w:val="es-ES"/>
        </w:rPr>
        <w:t>imiento de</w:t>
      </w:r>
      <w:r w:rsidRPr="00806738">
        <w:rPr>
          <w:rFonts w:ascii="Times New Roman" w:hAnsi="Times New Roman" w:cs="Times New Roman"/>
          <w:color w:val="4C4747"/>
          <w:sz w:val="24"/>
          <w:szCs w:val="24"/>
          <w:lang w:val="es-ES"/>
        </w:rPr>
        <w:t xml:space="preserve"> la relación entre los compiladores de estadísticas y la comunidad de usuarios y analistas de las informaciones estadísticas, tanto dentro como fuera de los bancos centrales</w:t>
      </w:r>
      <w:r>
        <w:rPr>
          <w:rFonts w:ascii="Times New Roman" w:hAnsi="Times New Roman" w:cs="Times New Roman"/>
          <w:color w:val="4C4747"/>
          <w:sz w:val="24"/>
          <w:szCs w:val="24"/>
          <w:lang w:val="es-ES"/>
        </w:rPr>
        <w:t>. De este modo, l</w:t>
      </w:r>
      <w:r w:rsidRPr="00806738">
        <w:rPr>
          <w:rFonts w:ascii="Times New Roman" w:hAnsi="Times New Roman" w:cs="Times New Roman"/>
          <w:color w:val="4C4747"/>
          <w:sz w:val="24"/>
          <w:szCs w:val="24"/>
          <w:lang w:val="es-ES"/>
        </w:rPr>
        <w:t xml:space="preserve">a designación del </w:t>
      </w:r>
      <w:r>
        <w:rPr>
          <w:rFonts w:ascii="Times New Roman" w:hAnsi="Times New Roman" w:cs="Times New Roman"/>
          <w:color w:val="4C4747"/>
          <w:sz w:val="24"/>
          <w:szCs w:val="24"/>
          <w:lang w:val="es-ES"/>
        </w:rPr>
        <w:t>BCRD</w:t>
      </w:r>
      <w:r w:rsidRPr="00806738">
        <w:rPr>
          <w:rFonts w:ascii="Times New Roman" w:hAnsi="Times New Roman" w:cs="Times New Roman"/>
          <w:color w:val="4C4747"/>
          <w:sz w:val="24"/>
          <w:szCs w:val="24"/>
          <w:lang w:val="es-ES"/>
        </w:rPr>
        <w:t xml:space="preserve"> en este importante Comité, contribuye con la transparencia y la </w:t>
      </w:r>
      <w:r w:rsidRPr="00806738">
        <w:rPr>
          <w:rFonts w:ascii="Times New Roman" w:hAnsi="Times New Roman" w:cs="Times New Roman"/>
          <w:color w:val="4C4747"/>
          <w:sz w:val="24"/>
          <w:szCs w:val="24"/>
          <w:lang w:val="es-ES"/>
        </w:rPr>
        <w:lastRenderedPageBreak/>
        <w:t>provisión oportuna de informaciones para la toma de decisiones económicas, a la vez que refuerza la integración y cooperación del país con los bancos centrales y organismos reguladores a nivel global.</w:t>
      </w:r>
      <w:r>
        <w:rPr>
          <w:rFonts w:ascii="Times New Roman" w:hAnsi="Times New Roman" w:cs="Times New Roman"/>
          <w:color w:val="4C4747"/>
          <w:sz w:val="24"/>
          <w:szCs w:val="24"/>
          <w:lang w:val="es-ES"/>
        </w:rPr>
        <w:t xml:space="preserve"> </w:t>
      </w:r>
    </w:p>
    <w:p w14:paraId="001483A1" w14:textId="77777777" w:rsidR="00742EB6" w:rsidRPr="00FC6273" w:rsidRDefault="00742EB6" w:rsidP="00742EB6">
      <w:pPr>
        <w:pStyle w:val="List2"/>
        <w:spacing w:before="120" w:line="360" w:lineRule="auto"/>
        <w:ind w:left="0" w:firstLine="0"/>
        <w:rPr>
          <w:rFonts w:ascii="Times New Roman" w:hAnsi="Times New Roman" w:cs="Times New Roman"/>
          <w:b/>
          <w:color w:val="4C4747"/>
          <w:sz w:val="24"/>
          <w:lang w:val="es-ES"/>
        </w:rPr>
      </w:pPr>
    </w:p>
    <w:p w14:paraId="2E0A73CF" w14:textId="77777777" w:rsidR="00742EB6" w:rsidRPr="00FC6273" w:rsidRDefault="00742EB6" w:rsidP="00776E7D">
      <w:pPr>
        <w:pStyle w:val="List2"/>
        <w:numPr>
          <w:ilvl w:val="0"/>
          <w:numId w:val="9"/>
        </w:numPr>
        <w:spacing w:before="120" w:line="360" w:lineRule="auto"/>
        <w:rPr>
          <w:rFonts w:ascii="Times New Roman" w:hAnsi="Times New Roman" w:cs="Times New Roman"/>
          <w:b/>
          <w:color w:val="4C4747"/>
          <w:sz w:val="24"/>
          <w:szCs w:val="24"/>
          <w:lang w:val="es-ES"/>
        </w:rPr>
      </w:pPr>
      <w:r w:rsidRPr="00FC6273">
        <w:rPr>
          <w:rFonts w:ascii="Times New Roman" w:hAnsi="Times New Roman" w:cs="Times New Roman"/>
          <w:b/>
          <w:color w:val="4C4747"/>
          <w:sz w:val="24"/>
          <w:lang w:val="es-ES"/>
        </w:rPr>
        <w:t>Semana Económica y Financiera:</w:t>
      </w:r>
      <w:r w:rsidRPr="00FC6273">
        <w:rPr>
          <w:rFonts w:ascii="Times New Roman" w:hAnsi="Times New Roman" w:cs="Times New Roman"/>
          <w:color w:val="4C4747"/>
          <w:sz w:val="24"/>
          <w:szCs w:val="24"/>
          <w:lang w:val="es-ES"/>
        </w:rPr>
        <w:t xml:space="preserve"> El BCRD celebró, su </w:t>
      </w:r>
      <w:r>
        <w:rPr>
          <w:rFonts w:ascii="Times New Roman" w:hAnsi="Times New Roman" w:cs="Times New Roman"/>
          <w:color w:val="4C4747"/>
          <w:sz w:val="24"/>
          <w:szCs w:val="24"/>
          <w:lang w:val="es-ES"/>
        </w:rPr>
        <w:t>IX</w:t>
      </w:r>
      <w:r w:rsidRPr="00FC6273">
        <w:rPr>
          <w:rFonts w:ascii="Times New Roman" w:hAnsi="Times New Roman" w:cs="Times New Roman"/>
          <w:color w:val="4C4747"/>
          <w:sz w:val="24"/>
          <w:szCs w:val="24"/>
          <w:lang w:val="es-ES"/>
        </w:rPr>
        <w:t xml:space="preserve"> Semana Económica y Financiera</w:t>
      </w:r>
      <w:r>
        <w:rPr>
          <w:rFonts w:ascii="Times New Roman" w:hAnsi="Times New Roman" w:cs="Times New Roman"/>
          <w:color w:val="4C4747"/>
          <w:sz w:val="24"/>
          <w:szCs w:val="24"/>
          <w:lang w:val="es-ES"/>
        </w:rPr>
        <w:t xml:space="preserve"> (SEF)</w:t>
      </w:r>
      <w:r w:rsidRPr="00FC6273">
        <w:rPr>
          <w:rFonts w:ascii="Times New Roman" w:hAnsi="Times New Roman" w:cs="Times New Roman"/>
          <w:color w:val="4C4747"/>
          <w:sz w:val="24"/>
          <w:szCs w:val="24"/>
          <w:lang w:val="es-ES"/>
        </w:rPr>
        <w:t xml:space="preserve"> en marzo 202</w:t>
      </w:r>
      <w:r>
        <w:rPr>
          <w:rFonts w:ascii="Times New Roman" w:hAnsi="Times New Roman" w:cs="Times New Roman"/>
          <w:color w:val="4C4747"/>
          <w:sz w:val="24"/>
          <w:szCs w:val="24"/>
          <w:lang w:val="es-ES"/>
        </w:rPr>
        <w:t>3, retomando el formato presencial tras dos años en que se realizara de manera virtual</w:t>
      </w:r>
      <w:r w:rsidRPr="00FC6273">
        <w:rPr>
          <w:rFonts w:ascii="Times New Roman" w:hAnsi="Times New Roman" w:cs="Times New Roman"/>
          <w:color w:val="4C4747"/>
          <w:sz w:val="24"/>
          <w:szCs w:val="24"/>
          <w:lang w:val="es-ES"/>
        </w:rPr>
        <w:t xml:space="preserve">. Este evento se realizó en coordinación con la fundación “Child &amp; </w:t>
      </w:r>
      <w:proofErr w:type="spellStart"/>
      <w:r w:rsidRPr="00FC6273">
        <w:rPr>
          <w:rFonts w:ascii="Times New Roman" w:hAnsi="Times New Roman" w:cs="Times New Roman"/>
          <w:color w:val="4C4747"/>
          <w:sz w:val="24"/>
          <w:szCs w:val="24"/>
          <w:lang w:val="es-ES"/>
        </w:rPr>
        <w:t>Youth</w:t>
      </w:r>
      <w:proofErr w:type="spellEnd"/>
      <w:r w:rsidRPr="00FC6273">
        <w:rPr>
          <w:rFonts w:ascii="Times New Roman" w:hAnsi="Times New Roman" w:cs="Times New Roman"/>
          <w:color w:val="4C4747"/>
          <w:sz w:val="24"/>
          <w:szCs w:val="24"/>
          <w:lang w:val="es-ES"/>
        </w:rPr>
        <w:t xml:space="preserve"> International” y la participación de </w:t>
      </w:r>
      <w:r>
        <w:rPr>
          <w:rFonts w:ascii="Times New Roman" w:hAnsi="Times New Roman" w:cs="Times New Roman"/>
          <w:color w:val="4C4747"/>
          <w:sz w:val="24"/>
          <w:szCs w:val="24"/>
          <w:lang w:val="es-ES"/>
        </w:rPr>
        <w:t>40</w:t>
      </w:r>
      <w:r w:rsidRPr="00FC6273">
        <w:rPr>
          <w:rFonts w:ascii="Times New Roman" w:hAnsi="Times New Roman" w:cs="Times New Roman"/>
          <w:color w:val="4C4747"/>
          <w:sz w:val="24"/>
          <w:szCs w:val="24"/>
          <w:lang w:val="es-ES"/>
        </w:rPr>
        <w:t xml:space="preserve"> instituciones públicas y privadas, con el Banco Central como anfitrión. Se llevaron a cabo </w:t>
      </w:r>
      <w:r>
        <w:rPr>
          <w:rFonts w:ascii="Times New Roman" w:hAnsi="Times New Roman" w:cs="Times New Roman"/>
          <w:color w:val="4C4747"/>
          <w:sz w:val="24"/>
          <w:szCs w:val="24"/>
          <w:lang w:val="es-ES"/>
        </w:rPr>
        <w:t>91</w:t>
      </w:r>
      <w:r w:rsidRPr="00FC6273">
        <w:rPr>
          <w:rFonts w:ascii="Times New Roman" w:hAnsi="Times New Roman" w:cs="Times New Roman"/>
          <w:color w:val="4C4747"/>
          <w:sz w:val="24"/>
          <w:szCs w:val="24"/>
          <w:lang w:val="es-ES"/>
        </w:rPr>
        <w:t xml:space="preserve"> actividades dirigidas a alumnos de enseñanza primaria, secundaria y universitaria, así como a profesionales de distintos sectores, entre los que se encuentran el periodismo y las finanzas, así como al público en general.</w:t>
      </w:r>
      <w:r>
        <w:rPr>
          <w:rFonts w:ascii="Times New Roman" w:hAnsi="Times New Roman" w:cs="Times New Roman"/>
          <w:color w:val="4C4747"/>
          <w:sz w:val="24"/>
          <w:szCs w:val="24"/>
          <w:lang w:val="es-ES"/>
        </w:rPr>
        <w:t xml:space="preserve"> En adición, durante la inauguración de la SEF, se puso en circulación la </w:t>
      </w:r>
      <w:r w:rsidRPr="00757466">
        <w:rPr>
          <w:rFonts w:ascii="Times New Roman" w:hAnsi="Times New Roman" w:cs="Times New Roman"/>
          <w:color w:val="4C4747"/>
          <w:sz w:val="24"/>
          <w:szCs w:val="24"/>
          <w:lang w:val="es-ES"/>
        </w:rPr>
        <w:t>“Guía para desarrollar tus habilidades económicas y financieras”, elaborada conjuntamente por las instituciones integrantes de la Estrategia Nacional de Educación Económica y Financiera (ENEEF), con el propósito de contribuir a un mayor conocimiento y a una mejor comprensión de la economía y las finanzas por parte de la población.</w:t>
      </w:r>
    </w:p>
    <w:p w14:paraId="62098824" w14:textId="77777777" w:rsidR="00742EB6" w:rsidRPr="00FB2ACF" w:rsidRDefault="00742EB6" w:rsidP="00742EB6">
      <w:pPr>
        <w:rPr>
          <w:rFonts w:ascii="Times New Roman" w:hAnsi="Times New Roman" w:cs="Times New Roman"/>
          <w:color w:val="4C4747"/>
          <w:sz w:val="24"/>
          <w:lang w:val="es-ES"/>
        </w:rPr>
      </w:pPr>
    </w:p>
    <w:p w14:paraId="22B8C08B" w14:textId="77777777" w:rsidR="00742EB6" w:rsidRPr="00FC6273" w:rsidRDefault="00742EB6" w:rsidP="00776E7D">
      <w:pPr>
        <w:pStyle w:val="List2"/>
        <w:numPr>
          <w:ilvl w:val="0"/>
          <w:numId w:val="9"/>
        </w:numPr>
        <w:spacing w:before="120" w:line="360" w:lineRule="auto"/>
        <w:rPr>
          <w:rFonts w:ascii="Times New Roman" w:hAnsi="Times New Roman" w:cs="Times New Roman"/>
          <w:color w:val="4C4747"/>
          <w:sz w:val="24"/>
          <w:lang w:val="es-ES"/>
        </w:rPr>
      </w:pPr>
      <w:r w:rsidRPr="00220AF1">
        <w:rPr>
          <w:rFonts w:ascii="Times New Roman" w:hAnsi="Times New Roman" w:cs="Times New Roman"/>
          <w:b/>
          <w:color w:val="4C4747"/>
          <w:sz w:val="24"/>
          <w:lang w:val="es-ES"/>
        </w:rPr>
        <w:t>Realización de la Encuesta Nacional de Inclusión y Educación Financiera 2023:</w:t>
      </w:r>
      <w:r>
        <w:rPr>
          <w:rFonts w:ascii="Times New Roman" w:hAnsi="Times New Roman" w:cs="Times New Roman"/>
          <w:color w:val="4C4747"/>
          <w:sz w:val="24"/>
          <w:lang w:val="es-ES"/>
        </w:rPr>
        <w:t xml:space="preserve"> Entre los meses de septiembre y octubre el BCRD llevó a cabo el trabajo de campo para recopilar las informaciones que componen la </w:t>
      </w:r>
      <w:r w:rsidRPr="00FB15CE">
        <w:rPr>
          <w:rFonts w:ascii="Times New Roman" w:hAnsi="Times New Roman" w:cs="Times New Roman"/>
          <w:color w:val="4C4747"/>
          <w:sz w:val="24"/>
          <w:lang w:val="es-ES"/>
        </w:rPr>
        <w:t>Encuesta Nacional de Inclusión y Educación Financiera</w:t>
      </w:r>
      <w:r>
        <w:rPr>
          <w:rFonts w:ascii="Times New Roman" w:hAnsi="Times New Roman" w:cs="Times New Roman"/>
          <w:color w:val="4C4747"/>
          <w:sz w:val="24"/>
          <w:lang w:val="es-ES"/>
        </w:rPr>
        <w:t>. Los resultados de este estudio permitirán conocer el estado de acceso a servicios financieros, permitiendo el diseño de políticas más acorde con las necesidades de la población en materia de inclusión financiera.</w:t>
      </w:r>
    </w:p>
    <w:p w14:paraId="24BF6AD1" w14:textId="77777777" w:rsidR="00742EB6" w:rsidRPr="00FC6273" w:rsidRDefault="00742EB6" w:rsidP="00742EB6">
      <w:pPr>
        <w:pStyle w:val="List2"/>
        <w:spacing w:before="120" w:line="360" w:lineRule="auto"/>
        <w:ind w:left="0" w:firstLine="0"/>
        <w:rPr>
          <w:rFonts w:ascii="Times New Roman" w:hAnsi="Times New Roman" w:cs="Times New Roman"/>
          <w:color w:val="4C4747"/>
          <w:sz w:val="24"/>
          <w:lang w:val="es-ES"/>
        </w:rPr>
      </w:pPr>
    </w:p>
    <w:p w14:paraId="5E7190FE" w14:textId="77777777" w:rsidR="00742EB6" w:rsidRPr="00FC6273" w:rsidRDefault="00742EB6" w:rsidP="00776E7D">
      <w:pPr>
        <w:pStyle w:val="List2"/>
        <w:numPr>
          <w:ilvl w:val="0"/>
          <w:numId w:val="9"/>
        </w:numPr>
        <w:spacing w:before="120" w:line="360" w:lineRule="auto"/>
        <w:rPr>
          <w:rFonts w:ascii="Times New Roman" w:hAnsi="Times New Roman" w:cs="Times New Roman"/>
          <w:b/>
          <w:color w:val="4C4747"/>
          <w:sz w:val="24"/>
          <w:szCs w:val="24"/>
          <w:lang w:val="es-ES"/>
        </w:rPr>
      </w:pPr>
      <w:r w:rsidRPr="00FC6273">
        <w:rPr>
          <w:rFonts w:ascii="Times New Roman" w:hAnsi="Times New Roman" w:cs="Times New Roman"/>
          <w:b/>
          <w:color w:val="4C4747"/>
          <w:sz w:val="24"/>
          <w:szCs w:val="24"/>
          <w:lang w:val="es-ES"/>
        </w:rPr>
        <w:lastRenderedPageBreak/>
        <w:t xml:space="preserve">Publicación del Panorama Económico de la Región Norte: </w:t>
      </w:r>
      <w:r w:rsidRPr="00FC6273">
        <w:rPr>
          <w:rFonts w:ascii="Times New Roman" w:hAnsi="Times New Roman" w:cs="Times New Roman"/>
          <w:color w:val="4C4747"/>
          <w:sz w:val="24"/>
          <w:szCs w:val="24"/>
          <w:lang w:val="es-ES"/>
        </w:rPr>
        <w:t>El BCRD publicó el Panorama Económico de la Región Norte, en su</w:t>
      </w:r>
      <w:r>
        <w:rPr>
          <w:rFonts w:ascii="Times New Roman" w:hAnsi="Times New Roman" w:cs="Times New Roman"/>
          <w:color w:val="4C4747"/>
          <w:sz w:val="24"/>
          <w:szCs w:val="24"/>
          <w:lang w:val="es-ES"/>
        </w:rPr>
        <w:t>s</w:t>
      </w:r>
      <w:r w:rsidRPr="00FC6273">
        <w:rPr>
          <w:rFonts w:ascii="Times New Roman" w:hAnsi="Times New Roman" w:cs="Times New Roman"/>
          <w:color w:val="4C4747"/>
          <w:sz w:val="24"/>
          <w:szCs w:val="24"/>
          <w:lang w:val="es-ES"/>
        </w:rPr>
        <w:t xml:space="preserve"> edici</w:t>
      </w:r>
      <w:r>
        <w:rPr>
          <w:rFonts w:ascii="Times New Roman" w:hAnsi="Times New Roman" w:cs="Times New Roman"/>
          <w:color w:val="4C4747"/>
          <w:sz w:val="24"/>
          <w:szCs w:val="24"/>
          <w:lang w:val="es-ES"/>
        </w:rPr>
        <w:t>o</w:t>
      </w:r>
      <w:r w:rsidRPr="00FC6273">
        <w:rPr>
          <w:rFonts w:ascii="Times New Roman" w:hAnsi="Times New Roman" w:cs="Times New Roman"/>
          <w:color w:val="4C4747"/>
          <w:sz w:val="24"/>
          <w:szCs w:val="24"/>
          <w:lang w:val="es-ES"/>
        </w:rPr>
        <w:t>n</w:t>
      </w:r>
      <w:r>
        <w:rPr>
          <w:rFonts w:ascii="Times New Roman" w:hAnsi="Times New Roman" w:cs="Times New Roman"/>
          <w:color w:val="4C4747"/>
          <w:sz w:val="24"/>
          <w:szCs w:val="24"/>
          <w:lang w:val="es-ES"/>
        </w:rPr>
        <w:t>es</w:t>
      </w:r>
      <w:r w:rsidRPr="00FC6273">
        <w:rPr>
          <w:rFonts w:ascii="Times New Roman" w:hAnsi="Times New Roman" w:cs="Times New Roman"/>
          <w:color w:val="4C4747"/>
          <w:sz w:val="24"/>
          <w:szCs w:val="24"/>
          <w:lang w:val="es-ES"/>
        </w:rPr>
        <w:t xml:space="preserve"> de </w:t>
      </w:r>
      <w:r>
        <w:rPr>
          <w:rFonts w:ascii="Times New Roman" w:hAnsi="Times New Roman" w:cs="Times New Roman"/>
          <w:color w:val="4C4747"/>
          <w:sz w:val="24"/>
          <w:szCs w:val="24"/>
          <w:lang w:val="es-ES"/>
        </w:rPr>
        <w:t>mayo y octubre 2023</w:t>
      </w:r>
      <w:r w:rsidRPr="00FC6273">
        <w:rPr>
          <w:rFonts w:ascii="Times New Roman" w:hAnsi="Times New Roman" w:cs="Times New Roman"/>
          <w:color w:val="4C4747"/>
          <w:sz w:val="24"/>
          <w:szCs w:val="24"/>
          <w:lang w:val="es-ES"/>
        </w:rPr>
        <w:t>, en el cual se presenta una visión exhaustiva de la economía del Cibao y sus catorce provincias, así como las perspectivas y oportunidades.</w:t>
      </w:r>
    </w:p>
    <w:p w14:paraId="45D43B89" w14:textId="77777777" w:rsidR="00742EB6" w:rsidRPr="00FC6273" w:rsidRDefault="00742EB6" w:rsidP="00742EB6">
      <w:pPr>
        <w:pStyle w:val="List2"/>
        <w:spacing w:before="120" w:line="360" w:lineRule="auto"/>
        <w:ind w:left="1077" w:firstLine="0"/>
        <w:rPr>
          <w:rFonts w:ascii="Times New Roman" w:hAnsi="Times New Roman" w:cs="Times New Roman"/>
          <w:b/>
          <w:color w:val="4C4747"/>
          <w:sz w:val="24"/>
          <w:szCs w:val="24"/>
          <w:lang w:val="es-ES"/>
        </w:rPr>
      </w:pPr>
    </w:p>
    <w:p w14:paraId="79FCD9BF" w14:textId="77777777" w:rsidR="00742EB6" w:rsidRDefault="00742EB6" w:rsidP="00776E7D">
      <w:pPr>
        <w:pStyle w:val="List2"/>
        <w:numPr>
          <w:ilvl w:val="0"/>
          <w:numId w:val="9"/>
        </w:numPr>
        <w:spacing w:before="120" w:line="360" w:lineRule="auto"/>
        <w:ind w:left="1080"/>
        <w:rPr>
          <w:rFonts w:ascii="Times New Roman" w:hAnsi="Times New Roman" w:cs="Times New Roman"/>
          <w:color w:val="4C4747"/>
          <w:sz w:val="24"/>
          <w:szCs w:val="24"/>
          <w:lang w:val="es-ES"/>
        </w:rPr>
      </w:pPr>
      <w:r w:rsidRPr="00FC6273">
        <w:rPr>
          <w:rFonts w:ascii="Times New Roman" w:hAnsi="Times New Roman" w:cs="Times New Roman"/>
          <w:b/>
          <w:color w:val="4C4747"/>
          <w:sz w:val="24"/>
          <w:szCs w:val="24"/>
          <w:lang w:val="es-ES"/>
        </w:rPr>
        <w:t>Publicación de Informes de Política Monetaria:</w:t>
      </w:r>
      <w:r w:rsidRPr="00C34E17">
        <w:rPr>
          <w:b/>
          <w:color w:val="003876"/>
          <w:sz w:val="24"/>
          <w:szCs w:val="24"/>
          <w:lang w:val="es-ES"/>
        </w:rPr>
        <w:t xml:space="preserve"> </w:t>
      </w:r>
      <w:r w:rsidRPr="00FC6273">
        <w:rPr>
          <w:rFonts w:ascii="Times New Roman" w:hAnsi="Times New Roman" w:cs="Times New Roman"/>
          <w:color w:val="4C4747"/>
          <w:sz w:val="24"/>
          <w:szCs w:val="24"/>
          <w:lang w:val="es-ES"/>
        </w:rPr>
        <w:t>El Banco Central de la República Dominicana publicó en junio 202</w:t>
      </w:r>
      <w:r>
        <w:rPr>
          <w:rFonts w:ascii="Times New Roman" w:hAnsi="Times New Roman" w:cs="Times New Roman"/>
          <w:color w:val="4C4747"/>
          <w:sz w:val="24"/>
          <w:szCs w:val="24"/>
          <w:lang w:val="es-ES"/>
        </w:rPr>
        <w:t>3</w:t>
      </w:r>
      <w:r w:rsidRPr="00FC6273">
        <w:rPr>
          <w:rFonts w:ascii="Times New Roman" w:hAnsi="Times New Roman" w:cs="Times New Roman"/>
          <w:color w:val="4C4747"/>
          <w:sz w:val="24"/>
          <w:szCs w:val="24"/>
          <w:lang w:val="es-ES"/>
        </w:rPr>
        <w:t xml:space="preserve"> la primera edición del Informe de Política Monetaria de 202</w:t>
      </w:r>
      <w:r>
        <w:rPr>
          <w:rFonts w:ascii="Times New Roman" w:hAnsi="Times New Roman" w:cs="Times New Roman"/>
          <w:color w:val="4C4747"/>
          <w:sz w:val="24"/>
          <w:szCs w:val="24"/>
          <w:lang w:val="es-ES"/>
        </w:rPr>
        <w:t>3</w:t>
      </w:r>
      <w:r w:rsidRPr="00FC6273">
        <w:rPr>
          <w:rFonts w:ascii="Times New Roman" w:hAnsi="Times New Roman" w:cs="Times New Roman"/>
          <w:color w:val="4C4747"/>
          <w:sz w:val="24"/>
          <w:szCs w:val="24"/>
          <w:lang w:val="es-ES"/>
        </w:rPr>
        <w:t>, en la cual se presenta un análisis detallado sobre las decisiones de política monetaria para enfrentar las presiones inflacionarias, el entorno internacional relevante y los resultados macroeconómicos obtenidos, así como las proyecciones de las principales variables macroeconómicas.</w:t>
      </w:r>
    </w:p>
    <w:p w14:paraId="743A7290" w14:textId="77777777" w:rsidR="00742EB6" w:rsidRPr="00FC6273" w:rsidRDefault="00742EB6" w:rsidP="00742EB6">
      <w:pPr>
        <w:pStyle w:val="List2"/>
        <w:spacing w:before="120" w:line="360" w:lineRule="auto"/>
        <w:ind w:left="1077" w:firstLine="0"/>
        <w:rPr>
          <w:rFonts w:ascii="Times New Roman" w:hAnsi="Times New Roman" w:cs="Times New Roman"/>
          <w:color w:val="4C4747"/>
          <w:sz w:val="24"/>
          <w:szCs w:val="24"/>
          <w:lang w:val="es-ES"/>
        </w:rPr>
      </w:pPr>
    </w:p>
    <w:p w14:paraId="0149FA06" w14:textId="77777777" w:rsidR="00742EB6" w:rsidRPr="00FB2ACF" w:rsidRDefault="00742EB6" w:rsidP="00776E7D">
      <w:pPr>
        <w:pStyle w:val="List2"/>
        <w:numPr>
          <w:ilvl w:val="0"/>
          <w:numId w:val="9"/>
        </w:numPr>
        <w:spacing w:before="120" w:line="360" w:lineRule="auto"/>
        <w:rPr>
          <w:rFonts w:ascii="Times New Roman" w:hAnsi="Times New Roman" w:cs="Times New Roman"/>
          <w:color w:val="4C4747"/>
          <w:sz w:val="24"/>
          <w:szCs w:val="24"/>
          <w:lang w:val="es-ES"/>
        </w:rPr>
      </w:pPr>
      <w:r w:rsidRPr="00FC6273">
        <w:rPr>
          <w:rFonts w:ascii="Times New Roman" w:hAnsi="Times New Roman" w:cs="Times New Roman"/>
          <w:b/>
          <w:color w:val="4C4747"/>
          <w:sz w:val="24"/>
          <w:szCs w:val="24"/>
          <w:lang w:val="es-ES"/>
        </w:rPr>
        <w:t>Publicación del Informe de Estabilidad</w:t>
      </w:r>
      <w:r w:rsidRPr="00AD3100">
        <w:rPr>
          <w:b/>
          <w:color w:val="003876"/>
          <w:sz w:val="24"/>
          <w:szCs w:val="24"/>
          <w:lang w:val="es-ES"/>
        </w:rPr>
        <w:t xml:space="preserve"> </w:t>
      </w:r>
      <w:r w:rsidRPr="00FC6273">
        <w:rPr>
          <w:rFonts w:ascii="Times New Roman" w:hAnsi="Times New Roman" w:cs="Times New Roman"/>
          <w:b/>
          <w:color w:val="4C4747"/>
          <w:sz w:val="24"/>
          <w:szCs w:val="24"/>
          <w:lang w:val="es-ES"/>
        </w:rPr>
        <w:t>Financiera:</w:t>
      </w:r>
      <w:r>
        <w:rPr>
          <w:color w:val="003876"/>
          <w:sz w:val="24"/>
          <w:szCs w:val="24"/>
          <w:lang w:val="es-ES"/>
        </w:rPr>
        <w:t xml:space="preserve"> </w:t>
      </w:r>
      <w:r w:rsidRPr="00FC6273">
        <w:rPr>
          <w:rFonts w:ascii="Times New Roman" w:hAnsi="Times New Roman" w:cs="Times New Roman"/>
          <w:color w:val="4C4747"/>
          <w:sz w:val="24"/>
          <w:szCs w:val="24"/>
          <w:lang w:val="es-ES"/>
        </w:rPr>
        <w:t xml:space="preserve">El Banco Central publicó en </w:t>
      </w:r>
      <w:r>
        <w:rPr>
          <w:rFonts w:ascii="Times New Roman" w:hAnsi="Times New Roman" w:cs="Times New Roman"/>
          <w:color w:val="4C4747"/>
          <w:sz w:val="24"/>
          <w:szCs w:val="24"/>
          <w:lang w:val="es-ES"/>
        </w:rPr>
        <w:t>noviembre</w:t>
      </w:r>
      <w:r w:rsidRPr="00FC6273">
        <w:rPr>
          <w:rFonts w:ascii="Times New Roman" w:hAnsi="Times New Roman" w:cs="Times New Roman"/>
          <w:color w:val="4C4747"/>
          <w:sz w:val="24"/>
          <w:szCs w:val="24"/>
          <w:lang w:val="es-ES"/>
        </w:rPr>
        <w:t xml:space="preserve"> de 202</w:t>
      </w:r>
      <w:r>
        <w:rPr>
          <w:rFonts w:ascii="Times New Roman" w:hAnsi="Times New Roman" w:cs="Times New Roman"/>
          <w:color w:val="4C4747"/>
          <w:sz w:val="24"/>
          <w:szCs w:val="24"/>
          <w:lang w:val="es-ES"/>
        </w:rPr>
        <w:t>3</w:t>
      </w:r>
      <w:r w:rsidRPr="00FC6273">
        <w:rPr>
          <w:rFonts w:ascii="Times New Roman" w:hAnsi="Times New Roman" w:cs="Times New Roman"/>
          <w:color w:val="4C4747"/>
          <w:sz w:val="24"/>
          <w:szCs w:val="24"/>
          <w:lang w:val="es-ES"/>
        </w:rPr>
        <w:t xml:space="preserve"> el Informe de Estabilidad Financiera</w:t>
      </w:r>
      <w:r>
        <w:rPr>
          <w:rFonts w:ascii="Times New Roman" w:hAnsi="Times New Roman" w:cs="Times New Roman"/>
          <w:color w:val="4C4747"/>
          <w:sz w:val="24"/>
          <w:szCs w:val="24"/>
          <w:lang w:val="es-ES"/>
        </w:rPr>
        <w:t xml:space="preserve"> correspondiente a 2022</w:t>
      </w:r>
      <w:r w:rsidRPr="00FC6273">
        <w:rPr>
          <w:rFonts w:ascii="Times New Roman" w:hAnsi="Times New Roman" w:cs="Times New Roman"/>
          <w:color w:val="4C4747"/>
          <w:sz w:val="24"/>
          <w:szCs w:val="24"/>
          <w:lang w:val="es-ES"/>
        </w:rPr>
        <w:t>,</w:t>
      </w:r>
      <w:r>
        <w:rPr>
          <w:rFonts w:ascii="Times New Roman" w:hAnsi="Times New Roman" w:cs="Times New Roman"/>
          <w:color w:val="4C4747"/>
          <w:sz w:val="24"/>
          <w:szCs w:val="24"/>
          <w:lang w:val="es-ES"/>
        </w:rPr>
        <w:t xml:space="preserve"> así como también la edición de desarrollos recientes y perspectivas del referido informe actualizadas hasta septiembre de 2023. En el Informe de Estabilidad Financiera</w:t>
      </w:r>
      <w:r w:rsidRPr="00FC6273">
        <w:rPr>
          <w:rFonts w:ascii="Times New Roman" w:hAnsi="Times New Roman" w:cs="Times New Roman"/>
          <w:color w:val="4C4747"/>
          <w:sz w:val="24"/>
          <w:szCs w:val="24"/>
          <w:lang w:val="es-ES"/>
        </w:rPr>
        <w:t xml:space="preserve"> </w:t>
      </w:r>
      <w:r>
        <w:rPr>
          <w:rFonts w:ascii="Times New Roman" w:hAnsi="Times New Roman" w:cs="Times New Roman"/>
          <w:color w:val="4C4747"/>
          <w:sz w:val="24"/>
          <w:szCs w:val="24"/>
          <w:lang w:val="es-ES"/>
        </w:rPr>
        <w:t xml:space="preserve">se </w:t>
      </w:r>
      <w:r w:rsidRPr="00FC6273">
        <w:rPr>
          <w:rFonts w:ascii="Times New Roman" w:hAnsi="Times New Roman" w:cs="Times New Roman"/>
          <w:color w:val="4C4747"/>
          <w:sz w:val="24"/>
          <w:szCs w:val="24"/>
          <w:lang w:val="es-ES"/>
        </w:rPr>
        <w:t xml:space="preserve">examina el desempeño de las instituciones financieras y los riesgos que puedan afectar la estabilidad del sistema financiero, así como las medidas de política macroprudencial que sean necesarias para prevenir y reducir estos riesgos. </w:t>
      </w:r>
      <w:r>
        <w:rPr>
          <w:rFonts w:ascii="Times New Roman" w:hAnsi="Times New Roman" w:cs="Times New Roman"/>
          <w:color w:val="4C4747"/>
          <w:sz w:val="24"/>
          <w:szCs w:val="24"/>
          <w:lang w:val="es-ES"/>
        </w:rPr>
        <w:t>L</w:t>
      </w:r>
      <w:r w:rsidRPr="00052EDE">
        <w:rPr>
          <w:rFonts w:ascii="Times New Roman" w:hAnsi="Times New Roman" w:cs="Times New Roman"/>
          <w:color w:val="4C4747"/>
          <w:sz w:val="24"/>
          <w:szCs w:val="24"/>
          <w:lang w:val="es-ES"/>
        </w:rPr>
        <w:t>os principales resultados de estos informes, en materia de riesgo de crédito, liquidez, tasas de interés y tipo de cambio, indican que las entidades de intermediación financiera se encuentran adecuadamente capitalizadas y no presentan evidencia de vulnerabilidades significativas que puedan conducir a la interrupción generalizada de la prestación de servicios financieros en el corto plazo.</w:t>
      </w:r>
    </w:p>
    <w:p w14:paraId="0E096776" w14:textId="77777777" w:rsidR="00742EB6" w:rsidRPr="00760819" w:rsidRDefault="00742EB6" w:rsidP="00742EB6">
      <w:pPr>
        <w:pStyle w:val="List2"/>
        <w:spacing w:before="120" w:line="360" w:lineRule="auto"/>
        <w:ind w:left="0" w:firstLine="0"/>
        <w:rPr>
          <w:rFonts w:ascii="Times New Roman" w:hAnsi="Times New Roman" w:cs="Times New Roman"/>
          <w:b/>
          <w:color w:val="4C4747"/>
          <w:sz w:val="24"/>
          <w:szCs w:val="24"/>
          <w:lang w:val="es-ES"/>
        </w:rPr>
      </w:pPr>
    </w:p>
    <w:p w14:paraId="19D2E4F3" w14:textId="77777777" w:rsidR="00742EB6" w:rsidRPr="002E7B17" w:rsidRDefault="00742EB6" w:rsidP="002E7B17">
      <w:pPr>
        <w:pStyle w:val="List2"/>
        <w:numPr>
          <w:ilvl w:val="0"/>
          <w:numId w:val="9"/>
        </w:numPr>
        <w:spacing w:before="120" w:line="360" w:lineRule="auto"/>
        <w:rPr>
          <w:rFonts w:ascii="Times New Roman" w:hAnsi="Times New Roman" w:cs="Times New Roman"/>
          <w:color w:val="4C4747"/>
          <w:sz w:val="24"/>
          <w:szCs w:val="24"/>
          <w:lang w:val="es-ES"/>
        </w:rPr>
      </w:pPr>
      <w:r w:rsidRPr="002E7B17">
        <w:rPr>
          <w:rFonts w:ascii="Times New Roman" w:hAnsi="Times New Roman" w:cs="Times New Roman"/>
          <w:b/>
          <w:color w:val="4C4747"/>
          <w:sz w:val="24"/>
          <w:szCs w:val="24"/>
          <w:lang w:val="es-ES"/>
        </w:rPr>
        <w:lastRenderedPageBreak/>
        <w:t>Responsabilidad Social Institucional</w:t>
      </w:r>
      <w:r w:rsidRPr="002E7B17">
        <w:rPr>
          <w:rFonts w:ascii="Times New Roman" w:hAnsi="Times New Roman" w:cs="Times New Roman"/>
          <w:color w:val="4C4747"/>
          <w:sz w:val="24"/>
          <w:szCs w:val="24"/>
          <w:lang w:val="es-ES"/>
        </w:rPr>
        <w:t>: En mayo de 2023, se llevó a</w:t>
      </w:r>
      <w:r w:rsidRPr="00660BE1">
        <w:rPr>
          <w:rFonts w:ascii="Times New Roman" w:hAnsi="Times New Roman" w:cs="Times New Roman"/>
          <w:color w:val="4C4747"/>
          <w:sz w:val="24"/>
          <w:szCs w:val="24"/>
          <w:lang w:val="es-ES"/>
        </w:rPr>
        <w:t xml:space="preserve"> cabo en la ciudad de Santiago de los Caballeros el XI</w:t>
      </w:r>
      <w:r w:rsidRPr="00220AF1">
        <w:rPr>
          <w:rFonts w:ascii="Times New Roman" w:hAnsi="Times New Roman" w:cs="Times New Roman"/>
          <w:color w:val="4C4747"/>
          <w:sz w:val="24"/>
          <w:szCs w:val="24"/>
          <w:lang w:val="es-ES"/>
        </w:rPr>
        <w:t>V</w:t>
      </w:r>
      <w:r w:rsidRPr="00660BE1">
        <w:rPr>
          <w:rFonts w:ascii="Times New Roman" w:hAnsi="Times New Roman" w:cs="Times New Roman"/>
          <w:color w:val="4C4747"/>
          <w:sz w:val="24"/>
          <w:szCs w:val="24"/>
          <w:lang w:val="es-ES"/>
        </w:rPr>
        <w:t xml:space="preserve"> Diplomado de “Formación económica para comunicadores”, con el aval académico de la Universidad Iberoamericana (UNIBE), una actividad integrada en su programa ‘Aula Central para la educación económica y financiera’. Esta actividad está orientada a facilitar una mejor comprensión de los temas económicos y financieros a los profesionales de la comunicación y al público en general.</w:t>
      </w:r>
    </w:p>
    <w:p w14:paraId="4AA5FD67" w14:textId="77777777" w:rsidR="00742EB6" w:rsidRPr="00FC6273" w:rsidRDefault="00742EB6" w:rsidP="00742EB6">
      <w:pPr>
        <w:pStyle w:val="List2"/>
        <w:spacing w:before="120" w:line="360" w:lineRule="auto"/>
        <w:ind w:left="0" w:firstLine="0"/>
        <w:rPr>
          <w:rFonts w:ascii="Times New Roman" w:hAnsi="Times New Roman" w:cs="Times New Roman"/>
          <w:color w:val="4C4747"/>
          <w:sz w:val="24"/>
          <w:szCs w:val="24"/>
          <w:lang w:val="es-ES"/>
        </w:rPr>
      </w:pPr>
    </w:p>
    <w:p w14:paraId="5CF746AC" w14:textId="77777777" w:rsidR="00742EB6" w:rsidRPr="00B2342C" w:rsidRDefault="00742EB6" w:rsidP="00776E7D">
      <w:pPr>
        <w:pStyle w:val="List2"/>
        <w:numPr>
          <w:ilvl w:val="0"/>
          <w:numId w:val="9"/>
        </w:numPr>
        <w:spacing w:before="120" w:line="360" w:lineRule="auto"/>
        <w:rPr>
          <w:rFonts w:ascii="Times New Roman" w:hAnsi="Times New Roman" w:cs="Times New Roman"/>
          <w:color w:val="4C4747"/>
          <w:sz w:val="24"/>
          <w:szCs w:val="24"/>
          <w:lang w:val="es-ES"/>
        </w:rPr>
      </w:pPr>
      <w:r w:rsidRPr="00FC6273">
        <w:rPr>
          <w:rFonts w:ascii="Times New Roman" w:hAnsi="Times New Roman" w:cs="Times New Roman"/>
          <w:color w:val="4C4747"/>
          <w:sz w:val="24"/>
          <w:szCs w:val="24"/>
          <w:lang w:val="es-ES"/>
        </w:rPr>
        <w:t xml:space="preserve">En el área cultural, se llevó a cabo la puesta en circulación de nuevas obras bibliográficas de la colección de la Biblioteca Juan Pablo Duarte, así como </w:t>
      </w:r>
      <w:r>
        <w:rPr>
          <w:rFonts w:ascii="Times New Roman" w:hAnsi="Times New Roman" w:cs="Times New Roman"/>
          <w:color w:val="4C4747"/>
          <w:sz w:val="24"/>
          <w:szCs w:val="24"/>
          <w:lang w:val="es-ES"/>
        </w:rPr>
        <w:t xml:space="preserve">la </w:t>
      </w:r>
      <w:r w:rsidRPr="00B2342C">
        <w:rPr>
          <w:rFonts w:ascii="Times New Roman" w:hAnsi="Times New Roman" w:cs="Times New Roman"/>
          <w:color w:val="4C4747"/>
          <w:sz w:val="24"/>
          <w:szCs w:val="24"/>
          <w:lang w:val="es-ES"/>
        </w:rPr>
        <w:t>realización de los concursos</w:t>
      </w:r>
      <w:r w:rsidRPr="00FC6273">
        <w:rPr>
          <w:rFonts w:ascii="Times New Roman" w:hAnsi="Times New Roman" w:cs="Times New Roman"/>
          <w:color w:val="4C4747"/>
          <w:sz w:val="24"/>
          <w:szCs w:val="24"/>
          <w:lang w:val="es-ES"/>
        </w:rPr>
        <w:t xml:space="preserve"> </w:t>
      </w:r>
      <w:r>
        <w:rPr>
          <w:rFonts w:ascii="Times New Roman" w:hAnsi="Times New Roman" w:cs="Times New Roman"/>
          <w:color w:val="4C4747"/>
          <w:sz w:val="24"/>
          <w:szCs w:val="24"/>
          <w:lang w:val="es-ES"/>
        </w:rPr>
        <w:t>de</w:t>
      </w:r>
      <w:r w:rsidRPr="00FC6273">
        <w:rPr>
          <w:rFonts w:ascii="Times New Roman" w:hAnsi="Times New Roman" w:cs="Times New Roman"/>
          <w:color w:val="4C4747"/>
          <w:sz w:val="24"/>
          <w:szCs w:val="24"/>
          <w:lang w:val="es-ES"/>
        </w:rPr>
        <w:t xml:space="preserve"> Economía Juan Pablo Duarte, el concurso de </w:t>
      </w:r>
      <w:r w:rsidRPr="00B2342C">
        <w:rPr>
          <w:rFonts w:ascii="Times New Roman" w:hAnsi="Times New Roman" w:cs="Times New Roman"/>
          <w:color w:val="4C4747"/>
          <w:sz w:val="24"/>
          <w:szCs w:val="24"/>
          <w:lang w:val="es-ES"/>
        </w:rPr>
        <w:t>Economistas del Futuro</w:t>
      </w:r>
      <w:r w:rsidRPr="00FC6273">
        <w:rPr>
          <w:rFonts w:ascii="Times New Roman" w:hAnsi="Times New Roman" w:cs="Times New Roman"/>
          <w:color w:val="4C4747"/>
          <w:sz w:val="24"/>
          <w:szCs w:val="24"/>
          <w:lang w:val="es-ES"/>
        </w:rPr>
        <w:t xml:space="preserve"> y el Concurso de Arte y Literatura. </w:t>
      </w:r>
    </w:p>
    <w:p w14:paraId="155F2C5F" w14:textId="77777777" w:rsidR="00742EB6" w:rsidRPr="00FC6273" w:rsidRDefault="00742EB6" w:rsidP="00742EB6">
      <w:pPr>
        <w:pStyle w:val="List2"/>
        <w:spacing w:before="120" w:line="360" w:lineRule="auto"/>
        <w:ind w:left="0" w:firstLine="0"/>
        <w:rPr>
          <w:rFonts w:ascii="Times New Roman" w:hAnsi="Times New Roman" w:cs="Times New Roman"/>
          <w:color w:val="4C4747"/>
          <w:sz w:val="24"/>
          <w:szCs w:val="24"/>
          <w:lang w:val="es-ES"/>
        </w:rPr>
      </w:pPr>
    </w:p>
    <w:p w14:paraId="7F3603F6" w14:textId="77777777" w:rsidR="00742EB6" w:rsidRDefault="00742EB6" w:rsidP="00776E7D">
      <w:pPr>
        <w:pStyle w:val="List2"/>
        <w:numPr>
          <w:ilvl w:val="0"/>
          <w:numId w:val="9"/>
        </w:numPr>
        <w:spacing w:before="120" w:line="360" w:lineRule="auto"/>
        <w:rPr>
          <w:rFonts w:ascii="Times New Roman" w:hAnsi="Times New Roman" w:cs="Times New Roman"/>
          <w:color w:val="4C4747"/>
          <w:sz w:val="24"/>
          <w:szCs w:val="24"/>
          <w:lang w:val="es-ES"/>
        </w:rPr>
      </w:pPr>
      <w:r w:rsidRPr="00FC6273">
        <w:rPr>
          <w:rFonts w:ascii="Times New Roman" w:hAnsi="Times New Roman" w:cs="Times New Roman"/>
          <w:color w:val="4C4747"/>
          <w:sz w:val="24"/>
          <w:szCs w:val="24"/>
          <w:lang w:val="es-ES"/>
        </w:rPr>
        <w:t xml:space="preserve">Adicionalmente, el Banco Central exhibió en las Salas de Exposiciones Temporales del Museo Numismático y Filatélico la exposición </w:t>
      </w:r>
      <w:r w:rsidRPr="00C5084A">
        <w:rPr>
          <w:rFonts w:ascii="Times New Roman" w:hAnsi="Times New Roman" w:cs="Times New Roman"/>
          <w:color w:val="4C4747"/>
          <w:sz w:val="24"/>
          <w:szCs w:val="24"/>
          <w:lang w:val="es-ES"/>
        </w:rPr>
        <w:t>‘Herencia cultural y alimentación en la numismática y filatelia dominicanas</w:t>
      </w:r>
      <w:r w:rsidRPr="00FC6273">
        <w:rPr>
          <w:rFonts w:ascii="Times New Roman" w:hAnsi="Times New Roman" w:cs="Times New Roman"/>
          <w:color w:val="4C4747"/>
          <w:sz w:val="24"/>
          <w:szCs w:val="24"/>
          <w:lang w:val="es-ES"/>
        </w:rPr>
        <w:t xml:space="preserve">, </w:t>
      </w:r>
      <w:r>
        <w:rPr>
          <w:rFonts w:ascii="Times New Roman" w:hAnsi="Times New Roman" w:cs="Times New Roman"/>
          <w:color w:val="4C4747"/>
          <w:sz w:val="24"/>
          <w:szCs w:val="24"/>
          <w:lang w:val="es-ES"/>
        </w:rPr>
        <w:t xml:space="preserve">organizada a propósito de la conmemoración del </w:t>
      </w:r>
      <w:r w:rsidRPr="00FC6273">
        <w:rPr>
          <w:rFonts w:ascii="Times New Roman" w:hAnsi="Times New Roman" w:cs="Times New Roman"/>
          <w:color w:val="4C4747"/>
          <w:sz w:val="24"/>
          <w:szCs w:val="24"/>
          <w:lang w:val="es-ES"/>
        </w:rPr>
        <w:t>17</w:t>
      </w:r>
      <w:r>
        <w:rPr>
          <w:rFonts w:ascii="Times New Roman" w:hAnsi="Times New Roman" w:cs="Times New Roman"/>
          <w:color w:val="4C4747"/>
          <w:sz w:val="24"/>
          <w:szCs w:val="24"/>
          <w:lang w:val="es-ES"/>
        </w:rPr>
        <w:t>9</w:t>
      </w:r>
      <w:r w:rsidRPr="00FC6273">
        <w:rPr>
          <w:rFonts w:ascii="Times New Roman" w:hAnsi="Times New Roman" w:cs="Times New Roman"/>
          <w:color w:val="4C4747"/>
          <w:sz w:val="24"/>
          <w:szCs w:val="24"/>
          <w:lang w:val="es-ES"/>
        </w:rPr>
        <w:t xml:space="preserve"> aniversario de la Independencia Nacional.</w:t>
      </w:r>
    </w:p>
    <w:p w14:paraId="5642F132" w14:textId="77777777" w:rsidR="00742EB6" w:rsidRPr="00FC6273" w:rsidRDefault="00742EB6" w:rsidP="00742EB6">
      <w:pPr>
        <w:pStyle w:val="List2"/>
        <w:spacing w:before="120" w:line="360" w:lineRule="auto"/>
        <w:ind w:left="0" w:firstLine="0"/>
        <w:rPr>
          <w:rFonts w:ascii="Times New Roman" w:hAnsi="Times New Roman" w:cs="Times New Roman"/>
          <w:color w:val="4C4747"/>
          <w:sz w:val="24"/>
          <w:szCs w:val="24"/>
          <w:lang w:val="es-ES"/>
        </w:rPr>
      </w:pPr>
    </w:p>
    <w:p w14:paraId="7D382F24" w14:textId="6D88775B" w:rsidR="00D00226" w:rsidRDefault="00742EB6" w:rsidP="00D00226">
      <w:pPr>
        <w:pStyle w:val="List2"/>
        <w:numPr>
          <w:ilvl w:val="0"/>
          <w:numId w:val="9"/>
        </w:numPr>
        <w:spacing w:before="120" w:line="360" w:lineRule="auto"/>
        <w:rPr>
          <w:rFonts w:ascii="Times New Roman" w:hAnsi="Times New Roman" w:cs="Times New Roman"/>
          <w:color w:val="4C4747"/>
          <w:sz w:val="24"/>
          <w:szCs w:val="24"/>
          <w:lang w:val="es-ES"/>
        </w:rPr>
      </w:pPr>
      <w:r w:rsidRPr="00FC6273">
        <w:rPr>
          <w:rFonts w:ascii="Times New Roman" w:hAnsi="Times New Roman" w:cs="Times New Roman"/>
          <w:color w:val="4C4747"/>
          <w:sz w:val="24"/>
          <w:szCs w:val="24"/>
          <w:lang w:val="es-ES"/>
        </w:rPr>
        <w:t xml:space="preserve">Igualmente, el Voluntariado </w:t>
      </w:r>
      <w:proofErr w:type="spellStart"/>
      <w:r w:rsidRPr="00FC6273">
        <w:rPr>
          <w:rFonts w:ascii="Times New Roman" w:hAnsi="Times New Roman" w:cs="Times New Roman"/>
          <w:color w:val="4C4747"/>
          <w:sz w:val="24"/>
          <w:szCs w:val="24"/>
          <w:lang w:val="es-ES"/>
        </w:rPr>
        <w:t>Bancentraliano</w:t>
      </w:r>
      <w:proofErr w:type="spellEnd"/>
      <w:r w:rsidRPr="00FC6273">
        <w:rPr>
          <w:rFonts w:ascii="Times New Roman" w:hAnsi="Times New Roman" w:cs="Times New Roman"/>
          <w:color w:val="4C4747"/>
          <w:sz w:val="24"/>
          <w:szCs w:val="24"/>
          <w:lang w:val="es-ES"/>
        </w:rPr>
        <w:t xml:space="preserve">, brazo social de la institución, continuó realizando labores en beneficio de sectores necesitados por medio de donaciones a </w:t>
      </w:r>
      <w:r>
        <w:rPr>
          <w:rFonts w:ascii="Times New Roman" w:hAnsi="Times New Roman" w:cs="Times New Roman"/>
          <w:color w:val="4C4747"/>
          <w:sz w:val="24"/>
          <w:szCs w:val="24"/>
          <w:lang w:val="es-ES"/>
        </w:rPr>
        <w:t>instituciones benéficas</w:t>
      </w:r>
      <w:r w:rsidRPr="00FC6273">
        <w:rPr>
          <w:rFonts w:ascii="Times New Roman" w:hAnsi="Times New Roman" w:cs="Times New Roman"/>
          <w:color w:val="4C4747"/>
          <w:sz w:val="24"/>
          <w:szCs w:val="24"/>
          <w:lang w:val="es-ES"/>
        </w:rPr>
        <w:t>, UNICEF,</w:t>
      </w:r>
      <w:r>
        <w:rPr>
          <w:rFonts w:ascii="Times New Roman" w:hAnsi="Times New Roman" w:cs="Times New Roman"/>
          <w:color w:val="4C4747"/>
          <w:sz w:val="24"/>
          <w:szCs w:val="24"/>
          <w:lang w:val="es-ES"/>
        </w:rPr>
        <w:t xml:space="preserve"> </w:t>
      </w:r>
      <w:r w:rsidRPr="007C39A1">
        <w:rPr>
          <w:rFonts w:ascii="Times New Roman" w:hAnsi="Times New Roman" w:cs="Times New Roman"/>
          <w:color w:val="4C4747"/>
          <w:sz w:val="24"/>
          <w:szCs w:val="24"/>
          <w:lang w:val="es-ES"/>
        </w:rPr>
        <w:t>así como de actividades de reforestación</w:t>
      </w:r>
      <w:r>
        <w:rPr>
          <w:rFonts w:ascii="Times New Roman" w:hAnsi="Times New Roman" w:cs="Times New Roman"/>
          <w:color w:val="4C4747"/>
          <w:sz w:val="24"/>
          <w:szCs w:val="24"/>
          <w:lang w:val="es-ES"/>
        </w:rPr>
        <w:t>, limpieza de costas</w:t>
      </w:r>
      <w:r w:rsidRPr="007C39A1">
        <w:rPr>
          <w:rFonts w:ascii="Times New Roman" w:hAnsi="Times New Roman" w:cs="Times New Roman"/>
          <w:color w:val="4C4747"/>
          <w:sz w:val="24"/>
          <w:szCs w:val="24"/>
          <w:lang w:val="es-ES"/>
        </w:rPr>
        <w:t xml:space="preserve"> y reparación de viviendas a familias de escasos recursos</w:t>
      </w:r>
      <w:r w:rsidRPr="00A022EC">
        <w:rPr>
          <w:rFonts w:ascii="Times New Roman" w:hAnsi="Times New Roman" w:cs="Times New Roman"/>
          <w:color w:val="4C4747"/>
          <w:sz w:val="24"/>
          <w:szCs w:val="24"/>
          <w:lang w:val="es-ES"/>
        </w:rPr>
        <w:t>.</w:t>
      </w:r>
    </w:p>
    <w:p w14:paraId="6CA0F401" w14:textId="77777777" w:rsidR="002E7B17" w:rsidRDefault="002E7B17" w:rsidP="002E7B17">
      <w:pPr>
        <w:pStyle w:val="ListParagraph"/>
        <w:rPr>
          <w:rFonts w:ascii="Times New Roman" w:hAnsi="Times New Roman" w:cs="Times New Roman"/>
          <w:color w:val="4C4747"/>
          <w:sz w:val="24"/>
          <w:szCs w:val="24"/>
          <w:lang w:val="es-ES"/>
        </w:rPr>
      </w:pPr>
    </w:p>
    <w:p w14:paraId="2757C157" w14:textId="77777777" w:rsidR="002E7B17" w:rsidRPr="00DE292B" w:rsidRDefault="002E7B17" w:rsidP="002E7B17">
      <w:pPr>
        <w:pStyle w:val="List2"/>
        <w:spacing w:before="120" w:line="360" w:lineRule="auto"/>
        <w:rPr>
          <w:rFonts w:ascii="Times New Roman" w:hAnsi="Times New Roman" w:cs="Times New Roman"/>
          <w:color w:val="4C4747"/>
          <w:sz w:val="24"/>
          <w:szCs w:val="24"/>
          <w:lang w:val="es-ES"/>
        </w:rPr>
      </w:pPr>
    </w:p>
    <w:p w14:paraId="30D1A697" w14:textId="23548133" w:rsidR="00ED3488" w:rsidRPr="007918B1" w:rsidRDefault="008F2149" w:rsidP="007918B1">
      <w:pPr>
        <w:pStyle w:val="Heading1"/>
        <w:jc w:val="center"/>
        <w:rPr>
          <w:rFonts w:ascii="Times New Roman" w:hAnsi="Times New Roman" w:cs="Times New Roman"/>
          <w:b/>
          <w:color w:val="4C4747"/>
          <w:sz w:val="28"/>
          <w:szCs w:val="28"/>
        </w:rPr>
      </w:pPr>
      <w:bookmarkStart w:id="25" w:name="_Toc155259669"/>
      <w:r w:rsidRPr="007918B1">
        <w:rPr>
          <w:rFonts w:ascii="Times New Roman" w:hAnsi="Times New Roman" w:cs="Times New Roman"/>
          <w:b/>
          <w:color w:val="4C4747"/>
          <w:sz w:val="28"/>
          <w:szCs w:val="28"/>
        </w:rPr>
        <w:lastRenderedPageBreak/>
        <w:t>IV. RESULTADOS ÁREAS TRANSVERSALES Y DE APOYO</w:t>
      </w:r>
      <w:bookmarkEnd w:id="25"/>
    </w:p>
    <w:p w14:paraId="620FCAE1" w14:textId="77777777" w:rsidR="008F2149" w:rsidRDefault="000E0E75" w:rsidP="008F2149">
      <w:r w:rsidRPr="00D92922">
        <w:rPr>
          <w:rFonts w:ascii="Artifex CF Extra Light" w:hAnsi="Artifex CF Extra Light"/>
          <w:noProof/>
          <w:color w:val="1F3864" w:themeColor="accent1" w:themeShade="80"/>
          <w:sz w:val="18"/>
        </w:rPr>
        <mc:AlternateContent>
          <mc:Choice Requires="wps">
            <w:drawing>
              <wp:anchor distT="0" distB="0" distL="114300" distR="114300" simplePos="0" relativeHeight="251679744" behindDoc="0" locked="0" layoutInCell="1" allowOverlap="1" wp14:anchorId="20B0C1DE" wp14:editId="11B65ACB">
                <wp:simplePos x="0" y="0"/>
                <wp:positionH relativeFrom="margin">
                  <wp:posOffset>2124075</wp:posOffset>
                </wp:positionH>
                <wp:positionV relativeFrom="paragraph">
                  <wp:posOffset>114300</wp:posOffset>
                </wp:positionV>
                <wp:extent cx="539750" cy="0"/>
                <wp:effectExtent l="0" t="19050" r="31750" b="19050"/>
                <wp:wrapThrough wrapText="bothSides">
                  <wp:wrapPolygon edited="0">
                    <wp:start x="0" y="-1"/>
                    <wp:lineTo x="0" y="-1"/>
                    <wp:lineTo x="22108" y="-1"/>
                    <wp:lineTo x="22108" y="-1"/>
                    <wp:lineTo x="0" y="-1"/>
                  </wp:wrapPolygon>
                </wp:wrapThrough>
                <wp:docPr id="24"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E59593" id="Conector recto 9" o:spid="_x0000_s1026" style="position:absolute;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25pt,9pt" to="20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" strokecolor="red" strokeweight="2.5pt">
                <v:stroke joinstyle="miter"/>
                <w10:wrap type="through" anchorx="margin"/>
              </v:line>
            </w:pict>
          </mc:Fallback>
        </mc:AlternateContent>
      </w:r>
    </w:p>
    <w:p w14:paraId="694EFF2F" w14:textId="532A5462" w:rsidR="008F2149" w:rsidRDefault="008F2149" w:rsidP="008F2149">
      <w:pPr>
        <w:rPr>
          <w:rFonts w:ascii="Times New Roman" w:hAnsi="Times New Roman" w:cs="Times New Roman"/>
          <w:color w:val="4C4747"/>
          <w:sz w:val="24"/>
          <w:szCs w:val="24"/>
        </w:rPr>
      </w:pPr>
      <w:r>
        <w:rPr>
          <w:rFonts w:ascii="Times New Roman" w:hAnsi="Times New Roman" w:cs="Times New Roman"/>
          <w:color w:val="4C4747"/>
          <w:sz w:val="24"/>
          <w:szCs w:val="24"/>
        </w:rPr>
        <w:t xml:space="preserve">                                          </w:t>
      </w:r>
      <w:r w:rsidRPr="008F2149">
        <w:rPr>
          <w:rFonts w:ascii="Times New Roman" w:hAnsi="Times New Roman" w:cs="Times New Roman"/>
          <w:color w:val="4C4747"/>
          <w:sz w:val="24"/>
          <w:szCs w:val="24"/>
        </w:rPr>
        <w:t xml:space="preserve">Memoria </w:t>
      </w:r>
      <w:r w:rsidR="00E50010">
        <w:rPr>
          <w:rFonts w:ascii="Times New Roman" w:hAnsi="Times New Roman" w:cs="Times New Roman"/>
          <w:color w:val="4C4747"/>
          <w:sz w:val="24"/>
          <w:szCs w:val="24"/>
        </w:rPr>
        <w:t>I</w:t>
      </w:r>
      <w:r w:rsidRPr="008F2149">
        <w:rPr>
          <w:rFonts w:ascii="Times New Roman" w:hAnsi="Times New Roman" w:cs="Times New Roman"/>
          <w:color w:val="4C4747"/>
          <w:sz w:val="24"/>
          <w:szCs w:val="24"/>
        </w:rPr>
        <w:t>nstitucional 202</w:t>
      </w:r>
      <w:r w:rsidR="00742EB6">
        <w:rPr>
          <w:rFonts w:ascii="Times New Roman" w:hAnsi="Times New Roman" w:cs="Times New Roman"/>
          <w:color w:val="4C4747"/>
          <w:sz w:val="24"/>
          <w:szCs w:val="24"/>
        </w:rPr>
        <w:t>3</w:t>
      </w:r>
    </w:p>
    <w:p w14:paraId="575E571A" w14:textId="387122EB" w:rsidR="00044896" w:rsidRPr="00B46D33" w:rsidRDefault="00ED3488" w:rsidP="00EC6B6D">
      <w:pPr>
        <w:pStyle w:val="Heading2"/>
        <w:rPr>
          <w:rFonts w:ascii="Times New Roman" w:hAnsi="Times New Roman" w:cs="Times New Roman"/>
          <w:b/>
          <w:color w:val="4C4747"/>
          <w:sz w:val="24"/>
          <w:szCs w:val="24"/>
        </w:rPr>
      </w:pPr>
      <w:bookmarkStart w:id="26" w:name="_Toc155259670"/>
      <w:r w:rsidRPr="00B46D33">
        <w:rPr>
          <w:rFonts w:ascii="Times New Roman" w:hAnsi="Times New Roman" w:cs="Times New Roman"/>
          <w:b/>
          <w:color w:val="4C4747"/>
          <w:sz w:val="24"/>
          <w:szCs w:val="24"/>
        </w:rPr>
        <w:t>4.1</w:t>
      </w:r>
      <w:r w:rsidR="007918B1" w:rsidRPr="00B46D33">
        <w:rPr>
          <w:rFonts w:ascii="Times New Roman" w:hAnsi="Times New Roman" w:cs="Times New Roman"/>
          <w:b/>
          <w:color w:val="4C4747"/>
          <w:sz w:val="24"/>
          <w:szCs w:val="24"/>
        </w:rPr>
        <w:t xml:space="preserve"> </w:t>
      </w:r>
      <w:r w:rsidRPr="00B46D33">
        <w:rPr>
          <w:rFonts w:ascii="Times New Roman" w:hAnsi="Times New Roman" w:cs="Times New Roman"/>
          <w:b/>
          <w:color w:val="4C4747"/>
          <w:sz w:val="24"/>
          <w:szCs w:val="24"/>
        </w:rPr>
        <w:t>Desempeño Área Administrativa y Financiera</w:t>
      </w:r>
      <w:bookmarkEnd w:id="26"/>
    </w:p>
    <w:p w14:paraId="56F7B298" w14:textId="35437C27" w:rsidR="00044896" w:rsidRPr="00044896" w:rsidRDefault="00A975D6" w:rsidP="00044896">
      <w:r>
        <w:rPr>
          <w:noProof/>
        </w:rPr>
        <w:drawing>
          <wp:anchor distT="0" distB="0" distL="114300" distR="114300" simplePos="0" relativeHeight="251750400" behindDoc="0" locked="0" layoutInCell="1" allowOverlap="1" wp14:anchorId="031F279A" wp14:editId="182F1527">
            <wp:simplePos x="0" y="0"/>
            <wp:positionH relativeFrom="column">
              <wp:posOffset>3636645</wp:posOffset>
            </wp:positionH>
            <wp:positionV relativeFrom="paragraph">
              <wp:posOffset>10160</wp:posOffset>
            </wp:positionV>
            <wp:extent cx="1719580" cy="3466465"/>
            <wp:effectExtent l="0" t="0" r="0" b="635"/>
            <wp:wrapThrough wrapText="bothSides">
              <wp:wrapPolygon edited="0">
                <wp:start x="0" y="0"/>
                <wp:lineTo x="0" y="21485"/>
                <wp:lineTo x="21297" y="21485"/>
                <wp:lineTo x="21297" y="0"/>
                <wp:lineTo x="0" y="0"/>
              </wp:wrapPolygon>
            </wp:wrapThrough>
            <wp:docPr id="6" name="Chart 6">
              <a:extLst xmlns:a="http://schemas.openxmlformats.org/drawingml/2006/main">
                <a:ext uri="{FF2B5EF4-FFF2-40B4-BE49-F238E27FC236}">
                  <a16:creationId xmlns:a16="http://schemas.microsoft.com/office/drawing/2014/main" id="{24308C29-738D-4CAA-9772-6433AFB0F3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V relativeFrom="margin">
              <wp14:pctHeight>0</wp14:pctHeight>
            </wp14:sizeRelV>
          </wp:anchor>
        </w:drawing>
      </w:r>
    </w:p>
    <w:p w14:paraId="0C918EF1" w14:textId="0A01A066" w:rsidR="008B7A98" w:rsidRPr="000B3D4B" w:rsidRDefault="00DE292B" w:rsidP="000B3D4B">
      <w:pPr>
        <w:spacing w:line="360" w:lineRule="auto"/>
        <w:jc w:val="both"/>
        <w:rPr>
          <w:rFonts w:ascii="Times New Roman" w:hAnsi="Times New Roman" w:cs="Times New Roman"/>
          <w:color w:val="4C4747"/>
          <w:sz w:val="24"/>
          <w:szCs w:val="24"/>
        </w:rPr>
      </w:pPr>
      <w:bookmarkStart w:id="27" w:name="_Toc153813316"/>
      <w:r w:rsidRPr="000B3D4B">
        <w:rPr>
          <w:rFonts w:ascii="Times New Roman" w:hAnsi="Times New Roman" w:cs="Times New Roman"/>
          <w:color w:val="4C4747"/>
          <w:sz w:val="24"/>
          <w:szCs w:val="24"/>
        </w:rPr>
        <w:t>El Resultado Administrativo del Banco Central, producto de la comparación de los Ingresos Corrientes y los Gastos Generales y Administrativos, excluyendo los Ingresos por Recapitalización, tuvo un balance positivo preliminar por valor de RD$ 31,844.3 millones, cifra superior a lo presupuestado en RD$ 16,545.3 millones para dicho período. Este resultado deriva, fundamentalmente, de una mayor ejecución de los ingresos corrientes por RD$ 16,250.2 millones y una menor ejecución en RD$ 295.1 millones de los Gastos Generales y Administrativos</w:t>
      </w:r>
      <w:r w:rsidRPr="00640B85">
        <w:rPr>
          <w:rFonts w:ascii="Times New Roman" w:hAnsi="Times New Roman" w:cs="Times New Roman"/>
          <w:color w:val="4C4747"/>
          <w:sz w:val="24"/>
          <w:szCs w:val="24"/>
        </w:rPr>
        <w:t>.</w:t>
      </w:r>
      <w:bookmarkEnd w:id="27"/>
      <w:r w:rsidRPr="00640B85">
        <w:rPr>
          <w:rFonts w:ascii="Times New Roman" w:hAnsi="Times New Roman" w:cs="Times New Roman"/>
          <w:color w:val="4C4747"/>
          <w:sz w:val="24"/>
          <w:szCs w:val="24"/>
        </w:rPr>
        <w:t xml:space="preserve">  </w:t>
      </w:r>
    </w:p>
    <w:p w14:paraId="19D8B59C" w14:textId="77777777" w:rsidR="00DE292B" w:rsidRPr="00B46D33" w:rsidRDefault="00DE292B" w:rsidP="0087558E">
      <w:pPr>
        <w:spacing w:after="0" w:line="360" w:lineRule="auto"/>
        <w:contextualSpacing/>
        <w:jc w:val="both"/>
        <w:textAlignment w:val="baseline"/>
        <w:rPr>
          <w:rFonts w:ascii="Times New Roman" w:eastAsia="Calibri" w:hAnsi="Times New Roman" w:cs="Times New Roman"/>
          <w:b/>
          <w:color w:val="4C4747"/>
          <w:sz w:val="24"/>
          <w:szCs w:val="24"/>
          <w:lang w:eastAsia="es-DO"/>
        </w:rPr>
      </w:pPr>
      <w:r w:rsidRPr="00B46D33">
        <w:rPr>
          <w:rFonts w:ascii="Times New Roman" w:eastAsia="Calibri" w:hAnsi="Times New Roman" w:cs="Times New Roman"/>
          <w:b/>
          <w:color w:val="4C4747"/>
          <w:sz w:val="24"/>
          <w:szCs w:val="24"/>
          <w:lang w:eastAsia="es-DO"/>
        </w:rPr>
        <w:t>Ingresos Corrientes</w:t>
      </w:r>
    </w:p>
    <w:p w14:paraId="29BBEF00" w14:textId="77777777" w:rsidR="00DE292B" w:rsidRPr="0087558E" w:rsidRDefault="00DE292B" w:rsidP="0087558E">
      <w:pPr>
        <w:spacing w:after="0" w:line="360" w:lineRule="auto"/>
        <w:contextualSpacing/>
        <w:jc w:val="both"/>
        <w:rPr>
          <w:rFonts w:ascii="Times New Roman" w:eastAsia="Calibri" w:hAnsi="Times New Roman" w:cs="Times New Roman"/>
          <w:sz w:val="24"/>
          <w:szCs w:val="24"/>
          <w:lang w:eastAsia="es-DO"/>
        </w:rPr>
      </w:pPr>
    </w:p>
    <w:p w14:paraId="29CC97DC" w14:textId="77777777" w:rsidR="00DE292B" w:rsidRPr="00640B85" w:rsidRDefault="00DE292B" w:rsidP="0087558E">
      <w:pPr>
        <w:spacing w:after="0" w:line="360" w:lineRule="auto"/>
        <w:jc w:val="both"/>
        <w:textAlignment w:val="baseline"/>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 xml:space="preserve">Este renglón presentó una ejecución preliminar por el orden de RD$ 43,047.6 millones, resultando mayor en RD$ 16,250.2 millones (60.6%) con respecto a lo estimado para el año, debido especialmente a los Ingresos en Moneda Extranjera, dado que tiene ingresos presupuestados por valor de RD$ 24,255.5 millones, alcanzando una ejecución preliminar de RD$ 38,292.5 millones, superior a lo programado en RD$ 14,036.9 millones (57.9%).  </w:t>
      </w:r>
    </w:p>
    <w:p w14:paraId="28EAA9FE" w14:textId="77777777" w:rsidR="00DE292B" w:rsidRPr="00640B85" w:rsidRDefault="00DE292B" w:rsidP="0087558E">
      <w:pPr>
        <w:spacing w:after="0" w:line="360" w:lineRule="auto"/>
        <w:jc w:val="both"/>
        <w:textAlignment w:val="baseline"/>
        <w:rPr>
          <w:rFonts w:ascii="Times New Roman" w:eastAsiaTheme="majorEastAsia" w:hAnsi="Times New Roman" w:cs="Times New Roman"/>
          <w:color w:val="4C4747"/>
          <w:sz w:val="24"/>
          <w:szCs w:val="24"/>
        </w:rPr>
      </w:pPr>
    </w:p>
    <w:p w14:paraId="386BA5D4" w14:textId="77777777" w:rsidR="00DE292B" w:rsidRPr="00640B85" w:rsidRDefault="00DE292B" w:rsidP="0087558E">
      <w:pPr>
        <w:spacing w:after="0" w:line="360" w:lineRule="auto"/>
        <w:jc w:val="both"/>
        <w:textAlignment w:val="baseline"/>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 xml:space="preserve">Dentro de estos ingresos se destacan las partidas de Inversiones en Moneda Extranjera, </w:t>
      </w:r>
      <w:bookmarkStart w:id="28" w:name="_Hlk152664494"/>
      <w:r w:rsidRPr="00640B85">
        <w:rPr>
          <w:rFonts w:ascii="Times New Roman" w:eastAsiaTheme="majorEastAsia" w:hAnsi="Times New Roman" w:cs="Times New Roman"/>
          <w:color w:val="4C4747"/>
          <w:sz w:val="24"/>
          <w:szCs w:val="24"/>
        </w:rPr>
        <w:t xml:space="preserve">con una ejecución preliminar de RD$ 35,013.0 millones, superior a lo programado en RD$ 10,848.7 millones (44.9 %). </w:t>
      </w:r>
      <w:bookmarkEnd w:id="28"/>
      <w:r w:rsidRPr="00640B85">
        <w:rPr>
          <w:rFonts w:ascii="Times New Roman" w:eastAsiaTheme="majorEastAsia" w:hAnsi="Times New Roman" w:cs="Times New Roman"/>
          <w:color w:val="4C4747"/>
          <w:sz w:val="24"/>
          <w:szCs w:val="24"/>
        </w:rPr>
        <w:t xml:space="preserve">Lo anterior, debido principalmente al aumento sostenido de las tasas del mercado monetario, como resultado del incremento de la tasa de la política monetaria estadounidense; así </w:t>
      </w:r>
      <w:r w:rsidRPr="00640B85">
        <w:rPr>
          <w:rFonts w:ascii="Times New Roman" w:eastAsiaTheme="majorEastAsia" w:hAnsi="Times New Roman" w:cs="Times New Roman"/>
          <w:color w:val="4C4747"/>
          <w:sz w:val="24"/>
          <w:szCs w:val="24"/>
        </w:rPr>
        <w:lastRenderedPageBreak/>
        <w:t>como de la implementación de la estrategia de maximización del presupuesto de riesgo de crédito, que permitió aprovechar los cupos de colocación máximos permitidos en contrapartes bancarias y contrapartes especiales aprobadas por el Comité de Administración de las Reservas Internacionales (CARI) de este Banco Central. Por su parte, los Ingresos por Operaciones Cambiarias ascendieron a la cifra preliminar de RD$ 3,030.2 millones, como resultado de las ganancias por operaciones de divisas al contado, así como por contratos de compra y/o venta de divisas a plazo sin entrega, en vista de una apreciación acumulada en el tipo de cambio.</w:t>
      </w:r>
    </w:p>
    <w:p w14:paraId="54C4F37E" w14:textId="77777777" w:rsidR="00DE292B" w:rsidRPr="00640B85" w:rsidRDefault="00DE292B" w:rsidP="0087558E">
      <w:pPr>
        <w:spacing w:after="0" w:line="360" w:lineRule="auto"/>
        <w:jc w:val="both"/>
        <w:textAlignment w:val="baseline"/>
        <w:rPr>
          <w:rFonts w:ascii="Times New Roman" w:eastAsiaTheme="majorEastAsia" w:hAnsi="Times New Roman" w:cs="Times New Roman"/>
          <w:color w:val="4C4747"/>
          <w:sz w:val="24"/>
          <w:szCs w:val="24"/>
        </w:rPr>
      </w:pPr>
    </w:p>
    <w:p w14:paraId="4D882B4C" w14:textId="797D3E1E" w:rsidR="00DE292B" w:rsidRPr="00640B85" w:rsidRDefault="00DE292B" w:rsidP="0087558E">
      <w:pPr>
        <w:spacing w:after="0" w:line="360" w:lineRule="auto"/>
        <w:jc w:val="both"/>
        <w:textAlignment w:val="baseline"/>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 xml:space="preserve">De igual forma, la partida de Revalorización del Oro por variación del Precio de Mercado registró una realización superior a lo programado en RD$ 158.0 millones. A lo largo del año, entre tanta volatilidad en los mercados internacionales, el oro ha fungido como activo de reservas para los inversionistas, por lo que el comportamiento de los precios del oro impactó positivamente la revalorización de las tenencias de este Banco Central. </w:t>
      </w:r>
    </w:p>
    <w:p w14:paraId="7BF1DB05" w14:textId="77777777" w:rsidR="00DE292B" w:rsidRPr="00640B85" w:rsidRDefault="00DE292B" w:rsidP="0087558E">
      <w:pPr>
        <w:spacing w:after="0" w:line="360" w:lineRule="auto"/>
        <w:jc w:val="both"/>
        <w:textAlignment w:val="baseline"/>
        <w:rPr>
          <w:rFonts w:ascii="Times New Roman" w:eastAsiaTheme="majorEastAsia" w:hAnsi="Times New Roman" w:cs="Times New Roman"/>
          <w:color w:val="4C4747"/>
          <w:sz w:val="24"/>
          <w:szCs w:val="24"/>
        </w:rPr>
      </w:pPr>
    </w:p>
    <w:p w14:paraId="6F0C8BFB" w14:textId="6EF1F702" w:rsidR="00DE292B" w:rsidRPr="00640B85" w:rsidRDefault="00DE292B" w:rsidP="0087558E">
      <w:pPr>
        <w:spacing w:after="0" w:line="360" w:lineRule="auto"/>
        <w:jc w:val="both"/>
        <w:textAlignment w:val="baseline"/>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 xml:space="preserve">Finalmente, los Ingresos en Moneda Nacional, aportaron una ejecución preliminar superior al presupuesto en RD$ 2,213.3 millones (87.1%). Incidiendo dentro de este grupo, los Intereses sobre Préstamos Garantizados con Títulos, Cartera o Depósitos  fueron mayores en RD$ 1,615.9 millones (151.6 %), sustentado por un mayor balance de las facilidades de liquidez rápida respecto a  lo que se había presupuestado, ante una mayor preferencia por pesos en un contexto de altas tasas de interés en el mercado y nuevas medidas de las autoridades monetarias, que pusieron a disposición de las entidades financieras un monto de RD$60,000.00 millones a través de dicho instrumento, orientado a financiar a los hogares y los sectores productivos de la economía. </w:t>
      </w:r>
    </w:p>
    <w:p w14:paraId="24D53B4A" w14:textId="066189FD" w:rsidR="00DE292B" w:rsidRPr="00640B85" w:rsidRDefault="00DE292B" w:rsidP="0087558E">
      <w:pPr>
        <w:spacing w:after="0" w:line="360" w:lineRule="auto"/>
        <w:jc w:val="both"/>
        <w:textAlignment w:val="baseline"/>
        <w:rPr>
          <w:rFonts w:ascii="Times New Roman" w:eastAsiaTheme="majorEastAsia" w:hAnsi="Times New Roman" w:cs="Times New Roman"/>
          <w:color w:val="4C4747"/>
          <w:sz w:val="24"/>
          <w:szCs w:val="24"/>
        </w:rPr>
      </w:pPr>
    </w:p>
    <w:p w14:paraId="086C5BE9" w14:textId="676DFEA0" w:rsidR="00DE292B" w:rsidRPr="00640B85" w:rsidRDefault="00DE292B" w:rsidP="0087558E">
      <w:pPr>
        <w:spacing w:after="0" w:line="360" w:lineRule="auto"/>
        <w:jc w:val="both"/>
        <w:textAlignment w:val="baseline"/>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lastRenderedPageBreak/>
        <w:t>Asimismo, las Facilidades Crediticias del Banco Central registraron de manera preliminar una realización por el orden de RD$ 508.6 millones por encima del presupuesto (64.4 %), considerando las condiciones de liquidez en moneda nacional más estrechas que lo previsto y reflejando el efecto de la medida transitoria de reportos a plazos para las entidades de intermediación financiera aprobada en el mes de marzo.</w:t>
      </w:r>
    </w:p>
    <w:p w14:paraId="0E424DDE" w14:textId="6D3F823D" w:rsidR="00DE292B" w:rsidRPr="00640B85" w:rsidRDefault="00DE292B" w:rsidP="0087558E">
      <w:pPr>
        <w:spacing w:after="0" w:line="360" w:lineRule="auto"/>
        <w:contextualSpacing/>
        <w:jc w:val="both"/>
        <w:rPr>
          <w:rFonts w:ascii="Times New Roman" w:eastAsiaTheme="majorEastAsia" w:hAnsi="Times New Roman" w:cs="Times New Roman"/>
          <w:color w:val="4C4747"/>
          <w:sz w:val="24"/>
          <w:szCs w:val="24"/>
        </w:rPr>
      </w:pPr>
    </w:p>
    <w:p w14:paraId="20B1FB77" w14:textId="28493CAD" w:rsidR="00DE292B" w:rsidRPr="00640B85" w:rsidRDefault="00DE292B" w:rsidP="0087558E">
      <w:pPr>
        <w:spacing w:after="0" w:line="360" w:lineRule="auto"/>
        <w:jc w:val="both"/>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 xml:space="preserve">En cambio, dentro de la partida de Ingresos en Moneda Nacional, las Comisiones Varias registraron una ejecución menor a lo programado en RD$ 59.5 millones (-23.0 %), principalmente debido a que se estimó un mayor crecimiento de depósitos en moneda extranjera con respecto a lo recibido, lo que resultó en menores Comisiones Ganadas sobre Manejo de Efectivo en Moneda Extranjera. </w:t>
      </w:r>
    </w:p>
    <w:p w14:paraId="0DBA976E" w14:textId="2B82BC84" w:rsidR="00DE292B" w:rsidRPr="00DE292B" w:rsidRDefault="00DE292B" w:rsidP="00DE292B">
      <w:pPr>
        <w:spacing w:after="0" w:line="240" w:lineRule="auto"/>
        <w:contextualSpacing/>
        <w:jc w:val="both"/>
        <w:textAlignment w:val="baseline"/>
        <w:rPr>
          <w:rFonts w:ascii="Gotham Book" w:eastAsia="Calibri" w:hAnsi="Gotham Book" w:cs="Calibri"/>
          <w:sz w:val="21"/>
          <w:szCs w:val="21"/>
          <w:lang w:eastAsia="es-DO"/>
        </w:rPr>
      </w:pPr>
    </w:p>
    <w:p w14:paraId="4A5016A6" w14:textId="6E535EB6" w:rsidR="00DE292B" w:rsidRPr="00B46D33" w:rsidRDefault="00DE292B" w:rsidP="000B5169">
      <w:pPr>
        <w:spacing w:after="0" w:line="360" w:lineRule="auto"/>
        <w:jc w:val="both"/>
        <w:rPr>
          <w:rFonts w:ascii="Times New Roman" w:eastAsiaTheme="majorEastAsia" w:hAnsi="Times New Roman" w:cs="Times New Roman"/>
          <w:b/>
          <w:color w:val="4C4747"/>
          <w:sz w:val="24"/>
          <w:szCs w:val="24"/>
        </w:rPr>
      </w:pPr>
      <w:r w:rsidRPr="00B46D33">
        <w:rPr>
          <w:rFonts w:ascii="Times New Roman" w:eastAsiaTheme="majorEastAsia" w:hAnsi="Times New Roman" w:cs="Times New Roman"/>
          <w:b/>
          <w:color w:val="4C4747"/>
          <w:sz w:val="24"/>
          <w:szCs w:val="24"/>
        </w:rPr>
        <w:t>Gastos Generales y Administrativos</w:t>
      </w:r>
    </w:p>
    <w:p w14:paraId="7D81C747" w14:textId="77777777" w:rsidR="00DE292B" w:rsidRPr="0087558E" w:rsidRDefault="00DE292B" w:rsidP="000B5169">
      <w:pPr>
        <w:spacing w:after="0" w:line="360" w:lineRule="auto"/>
        <w:jc w:val="both"/>
        <w:rPr>
          <w:rFonts w:ascii="Times New Roman" w:eastAsiaTheme="majorEastAsia" w:hAnsi="Times New Roman" w:cs="Times New Roman"/>
          <w:color w:val="4C4747"/>
          <w:sz w:val="24"/>
          <w:szCs w:val="24"/>
        </w:rPr>
      </w:pPr>
    </w:p>
    <w:p w14:paraId="76C6DAFD" w14:textId="77777777" w:rsidR="00DE292B" w:rsidRPr="00640B85" w:rsidRDefault="00DE292B" w:rsidP="000B5169">
      <w:pPr>
        <w:spacing w:after="0" w:line="360" w:lineRule="auto"/>
        <w:jc w:val="both"/>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La ejecución preliminar de Gastos Generales y Administrativos para el cierre del 2023 ascendió a RD$ 11,203.3 millones. Dicho resultado fue inferior en RD$ 295.1 millones (-2.6 %) con respecto a la programación del presupuesto para el año, en respuesta a un apego estricto a la racionalización del gasto; procurando la consistencia con la evolución de la economía, los estándares de conservación del medio ambiente y las necesidades funcionales de las áreas correspondientes.</w:t>
      </w:r>
    </w:p>
    <w:p w14:paraId="45CC00D7" w14:textId="77777777" w:rsidR="00DE292B" w:rsidRPr="00640B85" w:rsidRDefault="00DE292B" w:rsidP="000B5169">
      <w:pPr>
        <w:spacing w:after="0" w:line="360" w:lineRule="auto"/>
        <w:jc w:val="both"/>
        <w:rPr>
          <w:rFonts w:ascii="Times New Roman" w:eastAsiaTheme="majorEastAsia" w:hAnsi="Times New Roman" w:cs="Times New Roman"/>
          <w:color w:val="4C4747"/>
          <w:sz w:val="24"/>
          <w:szCs w:val="24"/>
        </w:rPr>
      </w:pPr>
    </w:p>
    <w:p w14:paraId="3E49055B" w14:textId="77777777" w:rsidR="00DE292B" w:rsidRPr="00640B85" w:rsidRDefault="00DE292B" w:rsidP="000B5169">
      <w:pPr>
        <w:spacing w:after="0" w:line="360" w:lineRule="auto"/>
        <w:jc w:val="both"/>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Tal como muestra el gráfico anterior, el comportamiento a la baja de los Gastos Generales y Administrativos se debió a una menor ejecución que lo estimado en los renglones Servicios No Personales (-RD$ 164.6 millones); Servicios Personales (-RD$ 59.6 millones); Aportes Corrientes (-RD$ 41.1); y Materiales y Suministros (-RD$ 10.1 millones).</w:t>
      </w:r>
    </w:p>
    <w:p w14:paraId="125F5851" w14:textId="77777777" w:rsidR="00DE292B" w:rsidRPr="00640B85" w:rsidRDefault="00DE292B" w:rsidP="000B5169">
      <w:pPr>
        <w:spacing w:after="0" w:line="360" w:lineRule="auto"/>
        <w:jc w:val="both"/>
        <w:rPr>
          <w:rFonts w:ascii="Times New Roman" w:eastAsiaTheme="majorEastAsia" w:hAnsi="Times New Roman" w:cs="Times New Roman"/>
          <w:color w:val="4C4747"/>
          <w:sz w:val="24"/>
          <w:szCs w:val="24"/>
        </w:rPr>
      </w:pPr>
    </w:p>
    <w:p w14:paraId="6ECBD03F" w14:textId="77777777" w:rsidR="00DE292B" w:rsidRPr="00640B85" w:rsidRDefault="00DE292B" w:rsidP="000B5169">
      <w:pPr>
        <w:spacing w:after="0" w:line="360" w:lineRule="auto"/>
        <w:jc w:val="both"/>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lastRenderedPageBreak/>
        <w:t>Con relación al mismo período del año 2022, la ejecución de los Gastos Generales y Administrativos fue menor en RD$ 387.2 millones, monto distribuido entre las partidas Aportes Corrientes (-27.1 %); Depreciación y Amortización (-8.1 %); y Materiales y Suministros (-2.3 %). En cambio, se registró una mayor realización en los renglones Servicios No Personales (5.9 %); y Servicios Personales (3.4 %).</w:t>
      </w:r>
    </w:p>
    <w:p w14:paraId="6EE65361" w14:textId="51955405" w:rsidR="00D33AF9" w:rsidRDefault="00683C48" w:rsidP="002D2034">
      <w:r>
        <w:rPr>
          <w:noProof/>
        </w:rPr>
        <w:drawing>
          <wp:anchor distT="0" distB="0" distL="114300" distR="114300" simplePos="0" relativeHeight="251752448" behindDoc="0" locked="0" layoutInCell="1" allowOverlap="1" wp14:anchorId="228EA957" wp14:editId="3C8EB952">
            <wp:simplePos x="0" y="0"/>
            <wp:positionH relativeFrom="margin">
              <wp:align>right</wp:align>
            </wp:positionH>
            <wp:positionV relativeFrom="paragraph">
              <wp:posOffset>381635</wp:posOffset>
            </wp:positionV>
            <wp:extent cx="4954270" cy="3855720"/>
            <wp:effectExtent l="0" t="0" r="0" b="0"/>
            <wp:wrapSquare wrapText="bothSides"/>
            <wp:docPr id="22" name="Chart 22">
              <a:extLst xmlns:a="http://schemas.openxmlformats.org/drawingml/2006/main">
                <a:ext uri="{FF2B5EF4-FFF2-40B4-BE49-F238E27FC236}">
                  <a16:creationId xmlns:a16="http://schemas.microsoft.com/office/drawing/2014/main" id="{62A4027A-D208-9B3F-2FFB-0C0D911862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p>
    <w:p w14:paraId="4974BF82" w14:textId="33F91699" w:rsidR="00D33AF9" w:rsidRPr="00B46D33" w:rsidRDefault="00543A92" w:rsidP="00753E6B">
      <w:pPr>
        <w:rPr>
          <w:b/>
        </w:rPr>
      </w:pPr>
      <w:r>
        <w:rPr>
          <w:rFonts w:ascii="Times New Roman" w:hAnsi="Times New Roman" w:cs="Times New Roman"/>
          <w:b/>
          <w:color w:val="4C4747"/>
        </w:rPr>
        <w:t xml:space="preserve">                                       </w:t>
      </w:r>
      <w:bookmarkStart w:id="29" w:name="_Hlk155258012"/>
      <w:r w:rsidRPr="00B46D33">
        <w:rPr>
          <w:rFonts w:ascii="Times New Roman" w:hAnsi="Times New Roman" w:cs="Times New Roman"/>
          <w:b/>
          <w:color w:val="4C4747"/>
        </w:rPr>
        <w:t xml:space="preserve">Fuente: Depto. de </w:t>
      </w:r>
      <w:r w:rsidR="00C47BE5" w:rsidRPr="00B46D33">
        <w:rPr>
          <w:rFonts w:ascii="Times New Roman" w:hAnsi="Times New Roman" w:cs="Times New Roman"/>
          <w:b/>
          <w:color w:val="4C4747"/>
        </w:rPr>
        <w:t>Planificacion y Presupuesto</w:t>
      </w:r>
      <w:bookmarkEnd w:id="29"/>
    </w:p>
    <w:p w14:paraId="43FC9A8F" w14:textId="196EC47D" w:rsidR="00DE292B" w:rsidRPr="00B46D33" w:rsidRDefault="00DE292B" w:rsidP="00683C48">
      <w:pPr>
        <w:spacing w:after="0" w:line="360" w:lineRule="auto"/>
        <w:contextualSpacing/>
        <w:jc w:val="both"/>
        <w:textAlignment w:val="baseline"/>
        <w:rPr>
          <w:rFonts w:ascii="Times New Roman" w:eastAsia="Calibri" w:hAnsi="Times New Roman" w:cs="Times New Roman"/>
          <w:b/>
          <w:color w:val="4C4747"/>
          <w:sz w:val="24"/>
          <w:szCs w:val="24"/>
          <w:lang w:eastAsia="es-DO"/>
        </w:rPr>
      </w:pPr>
      <w:r w:rsidRPr="00B46D33">
        <w:rPr>
          <w:rFonts w:ascii="Times New Roman" w:eastAsia="Calibri" w:hAnsi="Times New Roman" w:cs="Times New Roman"/>
          <w:b/>
          <w:color w:val="4C4747"/>
          <w:sz w:val="24"/>
          <w:szCs w:val="24"/>
          <w:lang w:eastAsia="es-DO"/>
        </w:rPr>
        <w:t>Costos y Gastos Financieros</w:t>
      </w:r>
    </w:p>
    <w:p w14:paraId="04D76A38" w14:textId="77777777" w:rsidR="00D33AF9" w:rsidRPr="00640B85" w:rsidRDefault="00D33AF9" w:rsidP="00683C48">
      <w:pPr>
        <w:spacing w:after="0" w:line="360" w:lineRule="auto"/>
        <w:jc w:val="both"/>
        <w:rPr>
          <w:rFonts w:ascii="Times New Roman" w:eastAsia="Times New Roman" w:hAnsi="Times New Roman" w:cs="Times New Roman"/>
          <w:color w:val="4C4747"/>
          <w:sz w:val="24"/>
          <w:szCs w:val="24"/>
        </w:rPr>
      </w:pPr>
    </w:p>
    <w:p w14:paraId="4FB1A8C4" w14:textId="198E581F" w:rsidR="00DE292B" w:rsidRPr="00640B85" w:rsidRDefault="00DE292B" w:rsidP="00683C48">
      <w:pPr>
        <w:spacing w:after="0" w:line="360" w:lineRule="auto"/>
        <w:jc w:val="both"/>
        <w:rPr>
          <w:rFonts w:ascii="Times New Roman" w:eastAsia="Times New Roman" w:hAnsi="Times New Roman" w:cs="Times New Roman"/>
          <w:color w:val="4C4747"/>
          <w:sz w:val="24"/>
          <w:szCs w:val="24"/>
        </w:rPr>
      </w:pPr>
      <w:r w:rsidRPr="00640B85">
        <w:rPr>
          <w:rFonts w:ascii="Times New Roman" w:eastAsia="Times New Roman" w:hAnsi="Times New Roman" w:cs="Times New Roman"/>
          <w:color w:val="4C4747"/>
          <w:sz w:val="24"/>
          <w:szCs w:val="24"/>
        </w:rPr>
        <w:t xml:space="preserve">La ejecución de este renglón para el año 2023 asciende a la cifra preliminar de RD$ 134,210.2 millones, observándose una menor realización por valor de RD$ 4,446.5 millones (-3.2 %) con relación a lo presupuestado. En ese orden, los gastos relativos a los </w:t>
      </w:r>
      <w:r w:rsidRPr="00640B85">
        <w:rPr>
          <w:rFonts w:ascii="Times New Roman" w:eastAsia="Times New Roman" w:hAnsi="Times New Roman" w:cs="Times New Roman"/>
          <w:bCs/>
          <w:color w:val="4C4747"/>
          <w:sz w:val="24"/>
          <w:szCs w:val="24"/>
        </w:rPr>
        <w:t>Intereses sobre los Certificados del Banco Central</w:t>
      </w:r>
      <w:r w:rsidRPr="00640B85">
        <w:rPr>
          <w:rFonts w:ascii="Times New Roman" w:eastAsia="Times New Roman" w:hAnsi="Times New Roman" w:cs="Times New Roman"/>
          <w:color w:val="4C4747"/>
          <w:sz w:val="24"/>
          <w:szCs w:val="24"/>
        </w:rPr>
        <w:t xml:space="preserve"> fueron los que determinaron en mayor medida este resultado </w:t>
      </w:r>
      <w:r w:rsidRPr="00640B85">
        <w:rPr>
          <w:rFonts w:ascii="Times New Roman" w:eastAsia="Times New Roman" w:hAnsi="Times New Roman" w:cs="Times New Roman"/>
          <w:color w:val="4C4747"/>
          <w:sz w:val="24"/>
          <w:szCs w:val="24"/>
          <w:lang w:val="es-ES"/>
        </w:rPr>
        <w:t xml:space="preserve">— inferiores a lo previsto en </w:t>
      </w:r>
      <w:r w:rsidRPr="00640B85">
        <w:rPr>
          <w:rFonts w:ascii="Times New Roman" w:eastAsia="Times New Roman" w:hAnsi="Times New Roman" w:cs="Times New Roman"/>
          <w:color w:val="4C4747"/>
          <w:sz w:val="24"/>
          <w:szCs w:val="24"/>
        </w:rPr>
        <w:t xml:space="preserve">RD$ 4,608.9 millones </w:t>
      </w:r>
      <w:r w:rsidRPr="00640B85">
        <w:rPr>
          <w:rFonts w:ascii="Times New Roman" w:eastAsia="Times New Roman" w:hAnsi="Times New Roman" w:cs="Times New Roman"/>
          <w:color w:val="4C4747"/>
          <w:sz w:val="24"/>
          <w:szCs w:val="24"/>
        </w:rPr>
        <w:lastRenderedPageBreak/>
        <w:t xml:space="preserve">(3.7 %) </w:t>
      </w:r>
      <w:r w:rsidRPr="00640B85">
        <w:rPr>
          <w:rFonts w:ascii="Times New Roman" w:eastAsia="Times New Roman" w:hAnsi="Times New Roman" w:cs="Times New Roman"/>
          <w:color w:val="4C4747"/>
          <w:sz w:val="24"/>
          <w:szCs w:val="24"/>
          <w:lang w:val="es-ES"/>
        </w:rPr>
        <w:t>—</w:t>
      </w:r>
      <w:r w:rsidRPr="00640B85">
        <w:rPr>
          <w:rFonts w:ascii="Times New Roman" w:eastAsia="Times New Roman" w:hAnsi="Times New Roman" w:cs="Times New Roman"/>
          <w:color w:val="4C4747"/>
          <w:sz w:val="24"/>
          <w:szCs w:val="24"/>
        </w:rPr>
        <w:t xml:space="preserve"> </w:t>
      </w:r>
      <w:r w:rsidRPr="00640B85">
        <w:rPr>
          <w:rFonts w:ascii="Times New Roman" w:eastAsia="Times New Roman" w:hAnsi="Times New Roman" w:cs="Times New Roman"/>
          <w:color w:val="4C4747"/>
          <w:sz w:val="24"/>
          <w:szCs w:val="24"/>
          <w:lang w:val="es-ES"/>
        </w:rPr>
        <w:t xml:space="preserve">debido a que el Banco Central logró retirar el excedente de pesos que acumuló el sistema financiero, manteniendo un corte en las subastas de títulos de corto y largo plazo menores que lo presupuestado, permitiendo una menor ejecución en los gastos en intereses devengados por operaciones de mercado abierto. </w:t>
      </w:r>
    </w:p>
    <w:p w14:paraId="6DA43ABF" w14:textId="77777777" w:rsidR="00DE292B" w:rsidRPr="00640B85" w:rsidRDefault="00DE292B" w:rsidP="00683C48">
      <w:pPr>
        <w:spacing w:after="0" w:line="360" w:lineRule="auto"/>
        <w:jc w:val="both"/>
        <w:rPr>
          <w:rFonts w:ascii="Times New Roman" w:eastAsia="Times New Roman" w:hAnsi="Times New Roman" w:cs="Times New Roman"/>
          <w:color w:val="4C4747"/>
          <w:sz w:val="24"/>
          <w:szCs w:val="24"/>
          <w:lang w:val="es-ES"/>
        </w:rPr>
      </w:pPr>
    </w:p>
    <w:p w14:paraId="506E9F88" w14:textId="77777777" w:rsidR="00DE292B" w:rsidRPr="00640B85" w:rsidRDefault="00DE292B" w:rsidP="00683C48">
      <w:pPr>
        <w:spacing w:after="0" w:line="360" w:lineRule="auto"/>
        <w:jc w:val="both"/>
        <w:rPr>
          <w:rFonts w:ascii="Times New Roman" w:eastAsia="Times New Roman" w:hAnsi="Times New Roman" w:cs="Times New Roman"/>
          <w:color w:val="4C4747"/>
          <w:sz w:val="24"/>
          <w:szCs w:val="24"/>
          <w:lang w:val="es-ES_tradnl"/>
        </w:rPr>
      </w:pPr>
      <w:r w:rsidRPr="00640B85">
        <w:rPr>
          <w:rFonts w:ascii="Times New Roman" w:eastAsia="Times New Roman" w:hAnsi="Times New Roman" w:cs="Times New Roman"/>
          <w:color w:val="4C4747"/>
          <w:sz w:val="24"/>
          <w:szCs w:val="24"/>
          <w:lang w:val="es-ES"/>
        </w:rPr>
        <w:t xml:space="preserve">De igual modo, </w:t>
      </w:r>
      <w:r w:rsidRPr="00640B85">
        <w:rPr>
          <w:rFonts w:ascii="Times New Roman" w:eastAsia="Times New Roman" w:hAnsi="Times New Roman" w:cs="Times New Roman"/>
          <w:color w:val="4C4747"/>
          <w:sz w:val="24"/>
          <w:szCs w:val="24"/>
          <w:lang w:val="es-ES_tradnl"/>
        </w:rPr>
        <w:t>los Intereses sobre Depósitos en Moneda Extranjera Remunerados, mostraron una ejecución menor al presupuesto por RD$ 1,145.4 millones (-88.2 %), por el ajuste en los niveles de liquidez registrados durante el período, que en términos efectivos resultó en menores colocaciones (en promedio).</w:t>
      </w:r>
    </w:p>
    <w:p w14:paraId="3EEAFED8" w14:textId="18ED0A95" w:rsidR="00DE292B" w:rsidRPr="00640B85" w:rsidRDefault="00DE292B" w:rsidP="00683C48">
      <w:pPr>
        <w:spacing w:after="0" w:line="360" w:lineRule="auto"/>
        <w:jc w:val="both"/>
        <w:rPr>
          <w:rFonts w:ascii="Times New Roman" w:eastAsia="Times New Roman" w:hAnsi="Times New Roman" w:cs="Times New Roman"/>
          <w:color w:val="4C4747"/>
          <w:sz w:val="24"/>
          <w:szCs w:val="24"/>
          <w:lang w:val="es-ES_tradnl"/>
        </w:rPr>
      </w:pPr>
    </w:p>
    <w:p w14:paraId="583F8786" w14:textId="78E6478C" w:rsidR="00DE292B" w:rsidRPr="00640B85" w:rsidRDefault="00DE292B" w:rsidP="00683C48">
      <w:pPr>
        <w:spacing w:after="0" w:line="360" w:lineRule="auto"/>
        <w:jc w:val="both"/>
        <w:rPr>
          <w:rFonts w:ascii="Times New Roman" w:eastAsia="Times New Roman" w:hAnsi="Times New Roman" w:cs="Times New Roman"/>
          <w:bCs/>
          <w:color w:val="4C4747"/>
          <w:sz w:val="24"/>
          <w:szCs w:val="24"/>
          <w:lang w:val="es-ES"/>
        </w:rPr>
      </w:pPr>
      <w:r w:rsidRPr="00640B85">
        <w:rPr>
          <w:rFonts w:ascii="Times New Roman" w:eastAsia="Times New Roman" w:hAnsi="Times New Roman" w:cs="Times New Roman"/>
          <w:color w:val="4C4747"/>
          <w:sz w:val="24"/>
          <w:szCs w:val="24"/>
          <w:lang w:val="es-ES_tradnl"/>
        </w:rPr>
        <w:t xml:space="preserve">Cabe destacar, que </w:t>
      </w:r>
      <w:r w:rsidRPr="00640B85">
        <w:rPr>
          <w:rFonts w:ascii="Times New Roman" w:eastAsia="Times New Roman" w:hAnsi="Times New Roman" w:cs="Times New Roman"/>
          <w:color w:val="4C4747"/>
          <w:sz w:val="24"/>
          <w:szCs w:val="24"/>
          <w:lang w:val="es-ES"/>
        </w:rPr>
        <w:t xml:space="preserve">las Operaciones de Regulación Cambiaria </w:t>
      </w:r>
      <w:r w:rsidRPr="00640B85">
        <w:rPr>
          <w:rFonts w:ascii="Times New Roman" w:eastAsia="Times New Roman" w:hAnsi="Times New Roman" w:cs="Times New Roman"/>
          <w:bCs/>
          <w:color w:val="4C4747"/>
          <w:sz w:val="24"/>
          <w:szCs w:val="24"/>
          <w:lang w:val="es-ES"/>
        </w:rPr>
        <w:t xml:space="preserve">arrojaron una realización preliminar por el orden de RD$1,464.3 millones, </w:t>
      </w:r>
      <w:r w:rsidRPr="00640B85">
        <w:rPr>
          <w:rFonts w:ascii="Times New Roman" w:eastAsia="Times New Roman" w:hAnsi="Times New Roman" w:cs="Times New Roman"/>
          <w:color w:val="4C4747"/>
          <w:sz w:val="24"/>
          <w:szCs w:val="24"/>
          <w:lang w:val="es-ES"/>
        </w:rPr>
        <w:t>como resultado del registro de</w:t>
      </w:r>
      <w:r w:rsidRPr="00640B85">
        <w:rPr>
          <w:rFonts w:ascii="Times New Roman" w:eastAsia="Times New Roman" w:hAnsi="Times New Roman" w:cs="Times New Roman"/>
          <w:color w:val="4C4747"/>
          <w:sz w:val="24"/>
          <w:szCs w:val="24"/>
          <w:lang w:val="es-ES_tradnl"/>
        </w:rPr>
        <w:t xml:space="preserve"> gastos por concepto de operaciones de compra/venta de divisas al contado</w:t>
      </w:r>
      <w:r w:rsidRPr="00640B85">
        <w:rPr>
          <w:rFonts w:ascii="Times New Roman" w:eastAsia="Times New Roman" w:hAnsi="Times New Roman" w:cs="Times New Roman"/>
          <w:color w:val="4C4747"/>
          <w:sz w:val="24"/>
          <w:szCs w:val="24"/>
          <w:lang w:val="es-ES"/>
        </w:rPr>
        <w:t xml:space="preserve">, y </w:t>
      </w:r>
      <w:r w:rsidRPr="00640B85">
        <w:rPr>
          <w:rFonts w:ascii="Times New Roman" w:eastAsia="Times New Roman" w:hAnsi="Times New Roman" w:cs="Times New Roman"/>
          <w:color w:val="4C4747"/>
          <w:sz w:val="24"/>
          <w:szCs w:val="24"/>
          <w:lang w:val="es-ES_tradnl"/>
        </w:rPr>
        <w:t>por contratos a plazo de compra/venta de divisas a plazo sin entrega.</w:t>
      </w:r>
    </w:p>
    <w:p w14:paraId="183EFE77" w14:textId="31826DDF" w:rsidR="00DE292B" w:rsidRPr="00640B85" w:rsidRDefault="00DE292B" w:rsidP="00683C48">
      <w:pPr>
        <w:spacing w:after="0" w:line="360" w:lineRule="auto"/>
        <w:jc w:val="both"/>
        <w:rPr>
          <w:rFonts w:ascii="Times New Roman" w:eastAsia="Times New Roman" w:hAnsi="Times New Roman" w:cs="Times New Roman"/>
          <w:color w:val="4C4747"/>
          <w:sz w:val="24"/>
          <w:szCs w:val="24"/>
          <w:lang w:val="es-ES"/>
        </w:rPr>
      </w:pPr>
    </w:p>
    <w:p w14:paraId="20E50BBE" w14:textId="77777777" w:rsidR="00543A92" w:rsidRPr="00640B85" w:rsidRDefault="00DE292B" w:rsidP="00683C48">
      <w:pPr>
        <w:spacing w:after="0" w:line="360" w:lineRule="auto"/>
        <w:jc w:val="both"/>
        <w:rPr>
          <w:rFonts w:ascii="Times New Roman" w:eastAsia="Times New Roman" w:hAnsi="Times New Roman" w:cs="Times New Roman"/>
          <w:color w:val="4C4747"/>
          <w:sz w:val="24"/>
          <w:szCs w:val="24"/>
          <w:lang w:val="es-ES_tradnl"/>
        </w:rPr>
      </w:pPr>
      <w:r w:rsidRPr="00640B85">
        <w:rPr>
          <w:rFonts w:ascii="Times New Roman" w:eastAsia="Times New Roman" w:hAnsi="Times New Roman" w:cs="Times New Roman"/>
          <w:color w:val="4C4747"/>
          <w:sz w:val="24"/>
          <w:szCs w:val="24"/>
          <w:lang w:val="es-ES_tradnl"/>
        </w:rPr>
        <w:t xml:space="preserve">En lo referente a Costos, todas las partidas quedaron por debajo del valor presupuestado por un valor total preliminar de RD$ 102.4 millones (-7.1 %). Se destacan los Costos de Emisión de Billetes y Monedas, con una ejecución inferior en RD$ 62.2 millones (-4.9 %), ya que se observó una disminución </w:t>
      </w:r>
      <w:r w:rsidRPr="00640B85">
        <w:rPr>
          <w:rFonts w:ascii="Times New Roman" w:eastAsia="Times New Roman" w:hAnsi="Times New Roman" w:cs="Times New Roman"/>
          <w:color w:val="4C4747"/>
          <w:sz w:val="24"/>
          <w:szCs w:val="24"/>
          <w:lang w:val="es-ES"/>
        </w:rPr>
        <w:t>en el requerimiento de algunas denominaciones del conjunto de Especies Monetarias</w:t>
      </w:r>
      <w:r w:rsidRPr="00640B85">
        <w:rPr>
          <w:rFonts w:ascii="Times New Roman" w:eastAsia="Times New Roman" w:hAnsi="Times New Roman" w:cs="Times New Roman"/>
          <w:color w:val="4C4747"/>
          <w:sz w:val="24"/>
          <w:szCs w:val="24"/>
          <w:lang w:val="es-ES_tradnl"/>
        </w:rPr>
        <w:t xml:space="preserve">. </w:t>
      </w:r>
    </w:p>
    <w:p w14:paraId="373B7A0E" w14:textId="77777777" w:rsidR="00543A92" w:rsidRPr="00640B85" w:rsidRDefault="00543A92" w:rsidP="00683C48">
      <w:pPr>
        <w:spacing w:after="0" w:line="360" w:lineRule="auto"/>
        <w:jc w:val="both"/>
        <w:rPr>
          <w:rFonts w:ascii="Times New Roman" w:eastAsia="Times New Roman" w:hAnsi="Times New Roman" w:cs="Times New Roman"/>
          <w:color w:val="4C4747"/>
          <w:sz w:val="24"/>
          <w:szCs w:val="24"/>
          <w:lang w:val="es-ES_tradnl"/>
        </w:rPr>
      </w:pPr>
    </w:p>
    <w:p w14:paraId="43B4EC74" w14:textId="0E002942" w:rsidR="00DE292B" w:rsidRPr="00640B85" w:rsidRDefault="00DE292B" w:rsidP="00683C48">
      <w:pPr>
        <w:spacing w:after="0" w:line="360" w:lineRule="auto"/>
        <w:jc w:val="both"/>
        <w:rPr>
          <w:rFonts w:ascii="Times New Roman" w:eastAsia="Times New Roman" w:hAnsi="Times New Roman" w:cs="Times New Roman"/>
          <w:color w:val="4C4747"/>
          <w:sz w:val="24"/>
          <w:szCs w:val="24"/>
          <w:lang w:val="es-ES_tradnl"/>
        </w:rPr>
      </w:pPr>
      <w:r w:rsidRPr="00640B85">
        <w:rPr>
          <w:rFonts w:ascii="Times New Roman" w:eastAsia="Times New Roman" w:hAnsi="Times New Roman" w:cs="Times New Roman"/>
          <w:color w:val="4C4747"/>
          <w:sz w:val="24"/>
          <w:szCs w:val="24"/>
          <w:lang w:val="es-ES_tradnl"/>
        </w:rPr>
        <w:t xml:space="preserve">De igual forma, los Costos por Servicios de Remesas </w:t>
      </w:r>
      <w:r w:rsidRPr="00640B85">
        <w:rPr>
          <w:rFonts w:ascii="Times New Roman" w:eastAsia="Times New Roman" w:hAnsi="Times New Roman" w:cs="Times New Roman"/>
          <w:bCs/>
          <w:color w:val="4C4747"/>
          <w:sz w:val="24"/>
          <w:szCs w:val="24"/>
          <w:lang w:val="es-ES_tradnl"/>
        </w:rPr>
        <w:t>(Oficina Principal y Oficina Regional)</w:t>
      </w:r>
      <w:r w:rsidRPr="00640B85">
        <w:rPr>
          <w:rFonts w:ascii="Times New Roman" w:eastAsia="Times New Roman" w:hAnsi="Times New Roman" w:cs="Times New Roman"/>
          <w:color w:val="4C4747"/>
          <w:sz w:val="24"/>
          <w:szCs w:val="24"/>
          <w:lang w:val="es-ES_tradnl"/>
        </w:rPr>
        <w:t xml:space="preserve"> fueron inferiores en RD$ 40.2 millones (-24.0 %), por un menor gasto generado en concordancia con el comportamiento de los depósitos en moneda extranjera expuesto en el acápite de los ingresos corrientes. </w:t>
      </w:r>
    </w:p>
    <w:p w14:paraId="62491ED0" w14:textId="2A300567" w:rsidR="00683C48" w:rsidRDefault="00683C48" w:rsidP="00683C48">
      <w:pPr>
        <w:spacing w:after="0" w:line="360" w:lineRule="auto"/>
        <w:jc w:val="both"/>
        <w:rPr>
          <w:rFonts w:ascii="Times New Roman" w:eastAsia="Times New Roman" w:hAnsi="Times New Roman" w:cs="Times New Roman"/>
          <w:color w:val="4C4747"/>
          <w:sz w:val="24"/>
          <w:szCs w:val="24"/>
          <w:lang w:val="es-ES_tradnl"/>
        </w:rPr>
      </w:pPr>
    </w:p>
    <w:p w14:paraId="0F4C1338" w14:textId="77777777" w:rsidR="00683C48" w:rsidRPr="00683C48" w:rsidRDefault="00683C48" w:rsidP="00683C48">
      <w:pPr>
        <w:spacing w:after="0" w:line="360" w:lineRule="auto"/>
        <w:jc w:val="both"/>
        <w:rPr>
          <w:rFonts w:ascii="Times New Roman" w:eastAsia="Times New Roman" w:hAnsi="Times New Roman" w:cs="Times New Roman"/>
          <w:color w:val="4C4747"/>
          <w:sz w:val="24"/>
          <w:szCs w:val="24"/>
          <w:lang w:val="es-ES_tradnl"/>
        </w:rPr>
      </w:pPr>
    </w:p>
    <w:p w14:paraId="6AEBFF43" w14:textId="1329EA8E" w:rsidR="00D00226" w:rsidRDefault="00D00226" w:rsidP="002D2034"/>
    <w:p w14:paraId="7D493C8F" w14:textId="77C1BE21" w:rsidR="00DE292B" w:rsidRPr="00B46D33" w:rsidRDefault="00DE292B" w:rsidP="00683C48">
      <w:pPr>
        <w:pStyle w:val="paragraph"/>
        <w:spacing w:before="0" w:beforeAutospacing="0" w:after="0" w:afterAutospacing="0" w:line="360" w:lineRule="auto"/>
        <w:contextualSpacing/>
        <w:jc w:val="both"/>
        <w:textAlignment w:val="baseline"/>
        <w:rPr>
          <w:rFonts w:ascii="Times New Roman" w:hAnsi="Times New Roman" w:cs="Times New Roman"/>
          <w:b/>
          <w:color w:val="4C4747"/>
          <w:sz w:val="24"/>
          <w:szCs w:val="24"/>
        </w:rPr>
      </w:pPr>
      <w:r w:rsidRPr="00B46D33">
        <w:rPr>
          <w:rFonts w:ascii="Times New Roman" w:hAnsi="Times New Roman" w:cs="Times New Roman"/>
          <w:b/>
          <w:color w:val="4C4747"/>
          <w:sz w:val="24"/>
          <w:szCs w:val="24"/>
        </w:rPr>
        <w:lastRenderedPageBreak/>
        <w:t xml:space="preserve">Resultado Operacional </w:t>
      </w:r>
    </w:p>
    <w:p w14:paraId="7DA52DDC" w14:textId="41F23F43" w:rsidR="00DE292B" w:rsidRPr="0087558E" w:rsidRDefault="009E756B" w:rsidP="00683C48">
      <w:pPr>
        <w:pStyle w:val="paragraph"/>
        <w:spacing w:before="0" w:beforeAutospacing="0" w:after="0" w:afterAutospacing="0" w:line="360" w:lineRule="auto"/>
        <w:contextualSpacing/>
        <w:jc w:val="both"/>
        <w:textAlignment w:val="baseline"/>
        <w:rPr>
          <w:rFonts w:ascii="Times New Roman" w:hAnsi="Times New Roman" w:cs="Times New Roman"/>
          <w:color w:val="4C4747"/>
          <w:sz w:val="24"/>
          <w:szCs w:val="24"/>
        </w:rPr>
      </w:pPr>
      <w:r w:rsidRPr="0087558E">
        <w:rPr>
          <w:rFonts w:ascii="Times New Roman" w:hAnsi="Times New Roman" w:cs="Times New Roman"/>
          <w:noProof/>
          <w:color w:val="4C4747"/>
          <w:sz w:val="24"/>
          <w:szCs w:val="24"/>
        </w:rPr>
        <w:drawing>
          <wp:anchor distT="0" distB="0" distL="114300" distR="114300" simplePos="0" relativeHeight="251753472" behindDoc="1" locked="0" layoutInCell="1" allowOverlap="1" wp14:anchorId="09CF53A3" wp14:editId="360CAF9B">
            <wp:simplePos x="0" y="0"/>
            <wp:positionH relativeFrom="column">
              <wp:posOffset>3494405</wp:posOffset>
            </wp:positionH>
            <wp:positionV relativeFrom="paragraph">
              <wp:posOffset>73660</wp:posOffset>
            </wp:positionV>
            <wp:extent cx="2589530" cy="2829560"/>
            <wp:effectExtent l="0" t="0" r="0" b="0"/>
            <wp:wrapSquare wrapText="bothSides"/>
            <wp:docPr id="33" name="Chart 33">
              <a:extLst xmlns:a="http://schemas.openxmlformats.org/drawingml/2006/main">
                <a:ext uri="{FF2B5EF4-FFF2-40B4-BE49-F238E27FC236}">
                  <a16:creationId xmlns:a16="http://schemas.microsoft.com/office/drawing/2014/main" id="{164ADD28-9054-43B6-BF44-EBEC1FD2F7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14:sizeRelH relativeFrom="margin">
              <wp14:pctWidth>0</wp14:pctWidth>
            </wp14:sizeRelH>
            <wp14:sizeRelV relativeFrom="margin">
              <wp14:pctHeight>0</wp14:pctHeight>
            </wp14:sizeRelV>
          </wp:anchor>
        </w:drawing>
      </w:r>
    </w:p>
    <w:p w14:paraId="44DD5120" w14:textId="1B805465" w:rsidR="00DE292B" w:rsidRPr="00640B85" w:rsidRDefault="00DE292B" w:rsidP="00683C48">
      <w:pPr>
        <w:pStyle w:val="BodyText"/>
        <w:spacing w:line="360" w:lineRule="auto"/>
        <w:rPr>
          <w:color w:val="4C4747"/>
        </w:rPr>
      </w:pPr>
      <w:r w:rsidRPr="00640B85">
        <w:rPr>
          <w:color w:val="4C4747"/>
        </w:rPr>
        <w:t>El Resultado Operacional preliminar para el año 2023 fue de -RD$ 61,611.0 millones,</w:t>
      </w:r>
      <w:r w:rsidRPr="00640B85">
        <w:rPr>
          <w:noProof/>
          <w:color w:val="4C4747"/>
        </w:rPr>
        <w:t xml:space="preserve"> </w:t>
      </w:r>
      <w:r w:rsidRPr="00640B85">
        <w:rPr>
          <w:color w:val="4C4747"/>
        </w:rPr>
        <w:t xml:space="preserve">siendo el mismo inferior al previsto en RD$ 20,993.9 millones (-25.4 %). </w:t>
      </w:r>
    </w:p>
    <w:p w14:paraId="797E0A5E" w14:textId="4B275D18" w:rsidR="00DE292B" w:rsidRPr="00640B85" w:rsidRDefault="00DE292B" w:rsidP="00683C48">
      <w:pPr>
        <w:pStyle w:val="BodyText"/>
        <w:spacing w:line="360" w:lineRule="auto"/>
        <w:rPr>
          <w:color w:val="4C4747"/>
        </w:rPr>
      </w:pPr>
    </w:p>
    <w:p w14:paraId="7360BEDE" w14:textId="1E090C87" w:rsidR="00DE292B" w:rsidRPr="00640B85" w:rsidRDefault="00DE292B" w:rsidP="00683C48">
      <w:pPr>
        <w:pStyle w:val="BodyText"/>
        <w:spacing w:line="360" w:lineRule="auto"/>
        <w:rPr>
          <w:color w:val="4C4747"/>
        </w:rPr>
      </w:pPr>
      <w:r w:rsidRPr="00640B85">
        <w:rPr>
          <w:color w:val="4C4747"/>
        </w:rPr>
        <w:t xml:space="preserve">El elemento de mayor incidencia en la disminución del déficit esperado lo constituyó la mayor ejecución de los Ingresos Corrientes por RD$ 16,250.2 millones (60.6 %) y menores Gastos Generales y Administrativos por RD$ 295.1 millones (-2.6 %), así como por </w:t>
      </w:r>
      <w:r w:rsidRPr="00640B85">
        <w:rPr>
          <w:color w:val="4C4747"/>
          <w:lang w:val="es-DO"/>
        </w:rPr>
        <w:t xml:space="preserve">la menor ejecución de los </w:t>
      </w:r>
      <w:r w:rsidRPr="00640B85">
        <w:rPr>
          <w:bCs/>
          <w:color w:val="4C4747"/>
          <w:lang w:val="es-DO"/>
        </w:rPr>
        <w:t>Costos y Gastos Financieros</w:t>
      </w:r>
      <w:r w:rsidRPr="00640B85">
        <w:rPr>
          <w:color w:val="4C4747"/>
          <w:lang w:val="es-DO"/>
        </w:rPr>
        <w:t xml:space="preserve"> por RD$ 4,446.5 millones (-3.2 %).</w:t>
      </w:r>
    </w:p>
    <w:p w14:paraId="61873B44" w14:textId="77777777" w:rsidR="00DE292B" w:rsidRPr="00640B85" w:rsidRDefault="00DE292B" w:rsidP="00683C48">
      <w:pPr>
        <w:pStyle w:val="paragraph"/>
        <w:spacing w:before="0" w:beforeAutospacing="0" w:after="0" w:afterAutospacing="0" w:line="360" w:lineRule="auto"/>
        <w:contextualSpacing/>
        <w:jc w:val="both"/>
        <w:textAlignment w:val="baseline"/>
        <w:rPr>
          <w:rFonts w:ascii="Times New Roman" w:hAnsi="Times New Roman" w:cs="Times New Roman"/>
          <w:color w:val="4C4747"/>
          <w:sz w:val="24"/>
          <w:szCs w:val="24"/>
          <w:lang w:val="es-ES_tradnl"/>
        </w:rPr>
      </w:pPr>
    </w:p>
    <w:p w14:paraId="1BF979D8" w14:textId="77777777" w:rsidR="00DE292B" w:rsidRPr="00640B85" w:rsidRDefault="00DE292B" w:rsidP="00683C48">
      <w:pPr>
        <w:pStyle w:val="BodyText"/>
        <w:spacing w:line="360" w:lineRule="auto"/>
        <w:rPr>
          <w:color w:val="4C4747"/>
        </w:rPr>
      </w:pPr>
      <w:r w:rsidRPr="00640B85">
        <w:rPr>
          <w:color w:val="4C4747"/>
        </w:rPr>
        <w:t>Comparado con la ejecución del año 2022, el Resultado Operacional registrado para el año refleja un déficit mayor en (7.2 %), equivalente a RD$ 4,157.3 millones, esto debido principalmente a mayores Costos y Gastos Financieros, así como por Otros Gastos registrados al finalizar el año 2023.</w:t>
      </w:r>
    </w:p>
    <w:p w14:paraId="4CC41AA6" w14:textId="77777777" w:rsidR="00DE292B" w:rsidRPr="00640B85" w:rsidRDefault="00DE292B" w:rsidP="00683C48">
      <w:pPr>
        <w:pStyle w:val="BodyText"/>
        <w:spacing w:line="360" w:lineRule="auto"/>
        <w:rPr>
          <w:color w:val="4C4747"/>
        </w:rPr>
      </w:pPr>
    </w:p>
    <w:p w14:paraId="1A3F4193" w14:textId="77777777" w:rsidR="00DE292B" w:rsidRPr="00640B85" w:rsidRDefault="00DE292B" w:rsidP="00683C48">
      <w:pPr>
        <w:pStyle w:val="BodyText"/>
        <w:spacing w:line="360" w:lineRule="auto"/>
        <w:rPr>
          <w:color w:val="4C4747"/>
        </w:rPr>
      </w:pPr>
      <w:r w:rsidRPr="00640B85">
        <w:rPr>
          <w:color w:val="4C4747"/>
        </w:rPr>
        <w:t xml:space="preserve">En resumen, este escenario preliminar correspondiente al cierre del año 2023 responde a un resultado positivo en la gestión de las reservas internacionales; una ejecución racional del gasto, consistente con los estándares reconocidos internacionalmente como adecuados para instituciones homólogas a nivel regional; así como el mantenimiento de costos operativos apegados a la ejecución de la política monetaria. </w:t>
      </w:r>
    </w:p>
    <w:p w14:paraId="4923B1F0" w14:textId="796E28D0" w:rsidR="00D00226" w:rsidRPr="0087558E" w:rsidRDefault="00D00226" w:rsidP="00683C48">
      <w:pPr>
        <w:spacing w:line="360" w:lineRule="auto"/>
        <w:rPr>
          <w:rFonts w:ascii="Times New Roman" w:hAnsi="Times New Roman" w:cs="Times New Roman"/>
          <w:color w:val="4C4747"/>
          <w:sz w:val="24"/>
          <w:szCs w:val="24"/>
          <w:lang w:val="es-ES_tradnl"/>
        </w:rPr>
      </w:pPr>
    </w:p>
    <w:p w14:paraId="015004D2" w14:textId="7F6A6054" w:rsidR="008B7A98" w:rsidRDefault="008B7A98" w:rsidP="008B7A98">
      <w:pPr>
        <w:pStyle w:val="Heading2"/>
        <w:rPr>
          <w:rFonts w:asciiTheme="minorHAnsi" w:eastAsiaTheme="minorHAnsi" w:hAnsiTheme="minorHAnsi" w:cstheme="minorBidi"/>
          <w:color w:val="auto"/>
          <w:sz w:val="22"/>
          <w:szCs w:val="22"/>
        </w:rPr>
      </w:pPr>
    </w:p>
    <w:p w14:paraId="2EFE68C8" w14:textId="77777777" w:rsidR="0032596C" w:rsidRPr="0032596C" w:rsidRDefault="0032596C" w:rsidP="0032596C"/>
    <w:p w14:paraId="214D5DA2" w14:textId="5903F5B5" w:rsidR="008B7A98" w:rsidRDefault="00ED3488" w:rsidP="0087558E">
      <w:pPr>
        <w:pStyle w:val="Heading2"/>
        <w:spacing w:line="360" w:lineRule="auto"/>
        <w:rPr>
          <w:rFonts w:ascii="Times New Roman" w:hAnsi="Times New Roman" w:cs="Times New Roman"/>
          <w:b/>
          <w:color w:val="4C4747"/>
          <w:sz w:val="24"/>
          <w:szCs w:val="24"/>
        </w:rPr>
      </w:pPr>
      <w:bookmarkStart w:id="30" w:name="_Toc155259671"/>
      <w:r w:rsidRPr="00B46D33">
        <w:rPr>
          <w:rFonts w:ascii="Times New Roman" w:hAnsi="Times New Roman" w:cs="Times New Roman"/>
          <w:b/>
          <w:color w:val="4C4747"/>
          <w:sz w:val="24"/>
          <w:szCs w:val="24"/>
        </w:rPr>
        <w:lastRenderedPageBreak/>
        <w:t>4.2</w:t>
      </w:r>
      <w:r w:rsidRPr="0057038A">
        <w:rPr>
          <w:rFonts w:ascii="Times New Roman" w:hAnsi="Times New Roman" w:cs="Times New Roman"/>
          <w:color w:val="4C4747"/>
          <w:sz w:val="24"/>
          <w:szCs w:val="24"/>
        </w:rPr>
        <w:tab/>
      </w:r>
      <w:r w:rsidRPr="0087558E">
        <w:rPr>
          <w:rFonts w:ascii="Times New Roman" w:hAnsi="Times New Roman" w:cs="Times New Roman"/>
          <w:b/>
          <w:color w:val="4C4747"/>
          <w:sz w:val="24"/>
          <w:szCs w:val="24"/>
        </w:rPr>
        <w:t>Desempeño de los Recursos Humanos</w:t>
      </w:r>
      <w:bookmarkEnd w:id="30"/>
    </w:p>
    <w:p w14:paraId="07F61259" w14:textId="77777777" w:rsidR="0087558E" w:rsidRPr="0087558E" w:rsidRDefault="0087558E" w:rsidP="0087558E"/>
    <w:p w14:paraId="4757D2A4" w14:textId="269E49AC" w:rsidR="002D2034" w:rsidRPr="00640B85" w:rsidRDefault="002D2034" w:rsidP="0087558E">
      <w:pPr>
        <w:spacing w:line="360" w:lineRule="auto"/>
        <w:jc w:val="both"/>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El Departamento de Recursos Humanos es la responsable de asegurar la captación, y permanencia del personal idóneo en la Institución mediante la aplicación de normas y políticas definidas, asesorando a las autoridades sobre política de personal, con el apoyo de sistemas y estrategias que garanticen la eficiencia institucional y la satisfacción laboral.</w:t>
      </w:r>
    </w:p>
    <w:p w14:paraId="217D24F3" w14:textId="4D9CA6E7" w:rsidR="00ED6894" w:rsidRPr="00640B85" w:rsidRDefault="00ED6894" w:rsidP="0087558E">
      <w:pPr>
        <w:spacing w:line="360" w:lineRule="auto"/>
        <w:jc w:val="both"/>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Los procesos de mejoras institucionales de la entidad monetaria han sido posibles gracias a la calidad de su capital humano, un conglomerado de sólida formación académica que mantiene un alto nivel de compromiso con sus responsabilidades laborales.</w:t>
      </w:r>
    </w:p>
    <w:p w14:paraId="0F38B2DA" w14:textId="51D4538E" w:rsidR="002D2034" w:rsidRPr="00640B85" w:rsidRDefault="002D2034" w:rsidP="0087558E">
      <w:pPr>
        <w:spacing w:line="360" w:lineRule="auto"/>
        <w:jc w:val="both"/>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El Banco Central está conformado de acuerdo al grupo ocupacional por el Gobernador, la Vicegobernadora, el Gerente, Contralor, Grupo Gerencial, Grupo Directivo, Grupo Subdirección, Grupo Mandos Medios, Grupo Profesional o Técnico y Grupo Apoyo.</w:t>
      </w:r>
    </w:p>
    <w:p w14:paraId="59964C52" w14:textId="71C8C841" w:rsidR="002D2034" w:rsidRPr="00640B85" w:rsidRDefault="002D2034" w:rsidP="0087558E">
      <w:pPr>
        <w:spacing w:line="360" w:lineRule="auto"/>
        <w:rPr>
          <w:rFonts w:ascii="Times New Roman" w:eastAsiaTheme="majorEastAsia" w:hAnsi="Times New Roman" w:cs="Times New Roman"/>
          <w:color w:val="4C4747"/>
          <w:sz w:val="24"/>
          <w:szCs w:val="24"/>
        </w:rPr>
      </w:pPr>
      <w:r w:rsidRPr="00640B85">
        <w:rPr>
          <w:rFonts w:ascii="Times New Roman" w:eastAsiaTheme="majorEastAsia" w:hAnsi="Times New Roman" w:cs="Times New Roman"/>
          <w:color w:val="4C4747"/>
          <w:sz w:val="24"/>
          <w:szCs w:val="24"/>
        </w:rPr>
        <w:t>Cantidad de Empleados Activos por Localidad</w:t>
      </w:r>
    </w:p>
    <w:tbl>
      <w:tblPr>
        <w:tblW w:w="7073" w:type="dxa"/>
        <w:jc w:val="center"/>
        <w:tblCellMar>
          <w:left w:w="70" w:type="dxa"/>
          <w:right w:w="70" w:type="dxa"/>
        </w:tblCellMar>
        <w:tblLook w:val="04A0" w:firstRow="1" w:lastRow="0" w:firstColumn="1" w:lastColumn="0" w:noHBand="0" w:noVBand="1"/>
      </w:tblPr>
      <w:tblGrid>
        <w:gridCol w:w="3671"/>
        <w:gridCol w:w="1559"/>
        <w:gridCol w:w="1843"/>
      </w:tblGrid>
      <w:tr w:rsidR="00ED6894" w:rsidRPr="00ED6894" w14:paraId="5A4ED770" w14:textId="77777777" w:rsidTr="00F94B59">
        <w:trPr>
          <w:trHeight w:val="340"/>
          <w:jc w:val="center"/>
        </w:trPr>
        <w:tc>
          <w:tcPr>
            <w:tcW w:w="3671"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381026B3"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Localidad</w:t>
            </w:r>
          </w:p>
        </w:tc>
        <w:tc>
          <w:tcPr>
            <w:tcW w:w="1559" w:type="dxa"/>
            <w:tcBorders>
              <w:top w:val="single" w:sz="12" w:space="0" w:color="1F4E79"/>
              <w:left w:val="nil"/>
              <w:bottom w:val="single" w:sz="12" w:space="0" w:color="1F4E79"/>
              <w:right w:val="single" w:sz="12" w:space="0" w:color="1F4E79"/>
            </w:tcBorders>
            <w:shd w:val="clear" w:color="000000" w:fill="002060"/>
            <w:vAlign w:val="center"/>
            <w:hideMark/>
          </w:tcPr>
          <w:p w14:paraId="5EA96E5A"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Cantidad</w:t>
            </w:r>
          </w:p>
        </w:tc>
        <w:tc>
          <w:tcPr>
            <w:tcW w:w="1843" w:type="dxa"/>
            <w:tcBorders>
              <w:top w:val="single" w:sz="12" w:space="0" w:color="1F4E79"/>
              <w:left w:val="nil"/>
              <w:bottom w:val="single" w:sz="12" w:space="0" w:color="1F4E79"/>
              <w:right w:val="single" w:sz="12" w:space="0" w:color="1F4E79"/>
            </w:tcBorders>
            <w:shd w:val="clear" w:color="000000" w:fill="002060"/>
            <w:vAlign w:val="center"/>
            <w:hideMark/>
          </w:tcPr>
          <w:p w14:paraId="24FB5DEB"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Participación</w:t>
            </w:r>
          </w:p>
        </w:tc>
      </w:tr>
      <w:tr w:rsidR="00ED6894" w:rsidRPr="00ED6894" w14:paraId="11010E22" w14:textId="77777777" w:rsidTr="00F94B59">
        <w:trPr>
          <w:trHeight w:val="340"/>
          <w:jc w:val="center"/>
        </w:trPr>
        <w:tc>
          <w:tcPr>
            <w:tcW w:w="3671" w:type="dxa"/>
            <w:tcBorders>
              <w:top w:val="nil"/>
              <w:left w:val="single" w:sz="12" w:space="0" w:color="1F4E79"/>
              <w:bottom w:val="single" w:sz="12" w:space="0" w:color="1F4E79"/>
              <w:right w:val="single" w:sz="12" w:space="0" w:color="1F4E79"/>
            </w:tcBorders>
            <w:shd w:val="clear" w:color="auto" w:fill="auto"/>
            <w:vAlign w:val="center"/>
            <w:hideMark/>
          </w:tcPr>
          <w:p w14:paraId="1DABC014"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Sede Central</w:t>
            </w:r>
          </w:p>
        </w:tc>
        <w:tc>
          <w:tcPr>
            <w:tcW w:w="1559" w:type="dxa"/>
            <w:tcBorders>
              <w:top w:val="nil"/>
              <w:left w:val="nil"/>
              <w:bottom w:val="single" w:sz="12" w:space="0" w:color="1F4E79"/>
              <w:right w:val="single" w:sz="12" w:space="0" w:color="1F4E79"/>
            </w:tcBorders>
            <w:shd w:val="clear" w:color="auto" w:fill="auto"/>
            <w:vAlign w:val="center"/>
            <w:hideMark/>
          </w:tcPr>
          <w:p w14:paraId="60F47151" w14:textId="77777777" w:rsidR="00ED6894" w:rsidRPr="0087558E" w:rsidRDefault="00ED6894" w:rsidP="0087558E">
            <w:pPr>
              <w:spacing w:after="0" w:line="240" w:lineRule="auto"/>
              <w:jc w:val="center"/>
              <w:rPr>
                <w:rFonts w:ascii="Times New Roman" w:eastAsia="Times New Roman" w:hAnsi="Times New Roman" w:cs="Times New Roman"/>
                <w:color w:val="000000"/>
              </w:rPr>
            </w:pPr>
            <w:r w:rsidRPr="0087558E">
              <w:rPr>
                <w:rFonts w:ascii="Times New Roman" w:eastAsia="Calibri" w:hAnsi="Times New Roman" w:cs="Times New Roman"/>
                <w:spacing w:val="20"/>
                <w:sz w:val="24"/>
                <w:szCs w:val="24"/>
              </w:rPr>
              <w:t>1,768</w:t>
            </w:r>
          </w:p>
        </w:tc>
        <w:tc>
          <w:tcPr>
            <w:tcW w:w="1843" w:type="dxa"/>
            <w:tcBorders>
              <w:top w:val="nil"/>
              <w:left w:val="nil"/>
              <w:bottom w:val="single" w:sz="12" w:space="0" w:color="1F4E79"/>
              <w:right w:val="single" w:sz="12" w:space="0" w:color="1F4E79"/>
            </w:tcBorders>
            <w:shd w:val="clear" w:color="auto" w:fill="auto"/>
            <w:vAlign w:val="center"/>
            <w:hideMark/>
          </w:tcPr>
          <w:p w14:paraId="1CAC1728"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95%</w:t>
            </w:r>
          </w:p>
        </w:tc>
      </w:tr>
      <w:tr w:rsidR="00ED6894" w:rsidRPr="00ED6894" w14:paraId="231859DE" w14:textId="77777777" w:rsidTr="00F94B59">
        <w:trPr>
          <w:trHeight w:val="340"/>
          <w:jc w:val="center"/>
        </w:trPr>
        <w:tc>
          <w:tcPr>
            <w:tcW w:w="3671" w:type="dxa"/>
            <w:tcBorders>
              <w:top w:val="nil"/>
              <w:left w:val="single" w:sz="12" w:space="0" w:color="1F4E79"/>
              <w:bottom w:val="single" w:sz="12" w:space="0" w:color="1F4E79"/>
              <w:right w:val="single" w:sz="12" w:space="0" w:color="1F4E79"/>
            </w:tcBorders>
            <w:shd w:val="clear" w:color="auto" w:fill="auto"/>
            <w:vAlign w:val="center"/>
            <w:hideMark/>
          </w:tcPr>
          <w:p w14:paraId="7087F575"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Ofician Regional</w:t>
            </w:r>
          </w:p>
        </w:tc>
        <w:tc>
          <w:tcPr>
            <w:tcW w:w="1559" w:type="dxa"/>
            <w:tcBorders>
              <w:top w:val="nil"/>
              <w:left w:val="nil"/>
              <w:bottom w:val="single" w:sz="12" w:space="0" w:color="1F4E79"/>
              <w:right w:val="single" w:sz="12" w:space="0" w:color="1F4E79"/>
            </w:tcBorders>
            <w:shd w:val="clear" w:color="auto" w:fill="auto"/>
            <w:hideMark/>
          </w:tcPr>
          <w:p w14:paraId="2AE071CE"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86</w:t>
            </w:r>
          </w:p>
        </w:tc>
        <w:tc>
          <w:tcPr>
            <w:tcW w:w="1843" w:type="dxa"/>
            <w:tcBorders>
              <w:top w:val="nil"/>
              <w:left w:val="nil"/>
              <w:bottom w:val="single" w:sz="12" w:space="0" w:color="1F4E79"/>
              <w:right w:val="single" w:sz="12" w:space="0" w:color="1F4E79"/>
            </w:tcBorders>
            <w:shd w:val="clear" w:color="auto" w:fill="auto"/>
            <w:hideMark/>
          </w:tcPr>
          <w:p w14:paraId="7F7ABFAD"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5%</w:t>
            </w:r>
          </w:p>
        </w:tc>
      </w:tr>
      <w:tr w:rsidR="00ED6894" w:rsidRPr="00ED6894" w14:paraId="3A6F79CC" w14:textId="77777777" w:rsidTr="00F94B59">
        <w:trPr>
          <w:trHeight w:val="340"/>
          <w:jc w:val="center"/>
        </w:trPr>
        <w:tc>
          <w:tcPr>
            <w:tcW w:w="3671" w:type="dxa"/>
            <w:tcBorders>
              <w:top w:val="nil"/>
              <w:left w:val="single" w:sz="12" w:space="0" w:color="1F4E79"/>
              <w:bottom w:val="single" w:sz="12" w:space="0" w:color="1F4E79"/>
              <w:right w:val="single" w:sz="12" w:space="0" w:color="1F4E79"/>
            </w:tcBorders>
            <w:shd w:val="clear" w:color="auto" w:fill="002060"/>
            <w:vAlign w:val="center"/>
            <w:hideMark/>
          </w:tcPr>
          <w:p w14:paraId="783C6399"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Total</w:t>
            </w:r>
          </w:p>
        </w:tc>
        <w:tc>
          <w:tcPr>
            <w:tcW w:w="1559" w:type="dxa"/>
            <w:tcBorders>
              <w:top w:val="nil"/>
              <w:left w:val="nil"/>
              <w:bottom w:val="single" w:sz="12" w:space="0" w:color="1F4E79"/>
              <w:right w:val="single" w:sz="12" w:space="0" w:color="1F4E79"/>
            </w:tcBorders>
            <w:shd w:val="clear" w:color="auto" w:fill="002060"/>
            <w:vAlign w:val="center"/>
            <w:hideMark/>
          </w:tcPr>
          <w:p w14:paraId="3FC5EF80"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1,854</w:t>
            </w:r>
          </w:p>
        </w:tc>
        <w:tc>
          <w:tcPr>
            <w:tcW w:w="1843" w:type="dxa"/>
            <w:tcBorders>
              <w:top w:val="nil"/>
              <w:left w:val="nil"/>
              <w:bottom w:val="single" w:sz="12" w:space="0" w:color="1F4E79"/>
              <w:right w:val="single" w:sz="12" w:space="0" w:color="1F4E79"/>
            </w:tcBorders>
            <w:shd w:val="clear" w:color="auto" w:fill="002060"/>
            <w:vAlign w:val="center"/>
            <w:hideMark/>
          </w:tcPr>
          <w:p w14:paraId="2781D259" w14:textId="77777777" w:rsidR="00ED6894" w:rsidRPr="0087558E" w:rsidRDefault="00ED6894"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100%</w:t>
            </w:r>
          </w:p>
        </w:tc>
      </w:tr>
    </w:tbl>
    <w:p w14:paraId="2FC3C1ED" w14:textId="105A8686" w:rsidR="002D2034" w:rsidRDefault="00072286" w:rsidP="00072286">
      <w:pPr>
        <w:rPr>
          <w:rFonts w:ascii="Times New Roman" w:hAnsi="Times New Roman" w:cs="Times New Roman"/>
          <w:b/>
          <w:color w:val="4C4747"/>
        </w:rPr>
      </w:pPr>
      <w:bookmarkStart w:id="31" w:name="_Hlk121920528"/>
      <w:r>
        <w:rPr>
          <w:rFonts w:ascii="Times New Roman" w:hAnsi="Times New Roman" w:cs="Times New Roman"/>
          <w:b/>
          <w:color w:val="767171"/>
        </w:rPr>
        <w:t xml:space="preserve">                                      </w:t>
      </w:r>
      <w:r w:rsidR="002D2034" w:rsidRPr="00683C48">
        <w:rPr>
          <w:rFonts w:ascii="Times New Roman" w:hAnsi="Times New Roman" w:cs="Times New Roman"/>
          <w:b/>
          <w:color w:val="4C4747"/>
        </w:rPr>
        <w:t>Fuente: Depto. de Recursos Humanos</w:t>
      </w:r>
      <w:bookmarkEnd w:id="31"/>
    </w:p>
    <w:p w14:paraId="7BE77C12" w14:textId="7A8FC3FC" w:rsidR="00683C48" w:rsidRDefault="00683C48" w:rsidP="00072286">
      <w:pPr>
        <w:rPr>
          <w:rFonts w:ascii="Times New Roman" w:hAnsi="Times New Roman" w:cs="Times New Roman"/>
          <w:b/>
          <w:color w:val="767171"/>
        </w:rPr>
      </w:pPr>
    </w:p>
    <w:p w14:paraId="785E87B7" w14:textId="5D896A58" w:rsidR="00683C48" w:rsidRDefault="00683C48" w:rsidP="00072286">
      <w:pPr>
        <w:rPr>
          <w:rFonts w:ascii="Times New Roman" w:hAnsi="Times New Roman" w:cs="Times New Roman"/>
          <w:b/>
          <w:color w:val="767171"/>
        </w:rPr>
      </w:pPr>
    </w:p>
    <w:p w14:paraId="7BC19D56" w14:textId="4DBDF79C" w:rsidR="00683C48" w:rsidRDefault="00683C48" w:rsidP="00072286">
      <w:pPr>
        <w:rPr>
          <w:rFonts w:ascii="Times New Roman" w:hAnsi="Times New Roman" w:cs="Times New Roman"/>
          <w:b/>
          <w:color w:val="767171"/>
        </w:rPr>
      </w:pPr>
    </w:p>
    <w:p w14:paraId="0BD0EFD2" w14:textId="698CFE17" w:rsidR="00683C48" w:rsidRDefault="00683C48" w:rsidP="00072286">
      <w:pPr>
        <w:rPr>
          <w:rFonts w:ascii="Times New Roman" w:hAnsi="Times New Roman" w:cs="Times New Roman"/>
          <w:b/>
          <w:color w:val="767171"/>
        </w:rPr>
      </w:pPr>
    </w:p>
    <w:p w14:paraId="60FC980A" w14:textId="55618FBF" w:rsidR="00683C48" w:rsidRDefault="00683C48" w:rsidP="00072286">
      <w:pPr>
        <w:rPr>
          <w:rFonts w:ascii="Times New Roman" w:hAnsi="Times New Roman" w:cs="Times New Roman"/>
          <w:b/>
          <w:color w:val="767171"/>
        </w:rPr>
      </w:pPr>
    </w:p>
    <w:p w14:paraId="1AD4839B" w14:textId="77777777" w:rsidR="00683C48" w:rsidRPr="00A80B53" w:rsidRDefault="00683C48" w:rsidP="00072286">
      <w:pPr>
        <w:rPr>
          <w:rFonts w:ascii="Times New Roman" w:hAnsi="Times New Roman" w:cs="Times New Roman"/>
          <w:b/>
          <w:color w:val="767171"/>
        </w:rPr>
      </w:pPr>
    </w:p>
    <w:p w14:paraId="4FB0097D" w14:textId="2058ECE0" w:rsidR="002D2034" w:rsidRPr="00E50010" w:rsidRDefault="002D2034" w:rsidP="00A80B53">
      <w:pPr>
        <w:spacing w:line="360" w:lineRule="auto"/>
        <w:rPr>
          <w:rFonts w:ascii="Times New Roman" w:eastAsiaTheme="majorEastAsia" w:hAnsi="Times New Roman" w:cs="Times New Roman"/>
          <w:color w:val="4C4747"/>
          <w:sz w:val="24"/>
          <w:szCs w:val="24"/>
        </w:rPr>
      </w:pPr>
      <w:r w:rsidRPr="00E50010">
        <w:rPr>
          <w:rFonts w:ascii="Times New Roman" w:eastAsiaTheme="majorEastAsia" w:hAnsi="Times New Roman" w:cs="Times New Roman"/>
          <w:color w:val="4C4747"/>
          <w:sz w:val="24"/>
          <w:szCs w:val="24"/>
        </w:rPr>
        <w:lastRenderedPageBreak/>
        <w:t>Distribución de Empleados Activos por Grupo Ocupacional</w:t>
      </w:r>
    </w:p>
    <w:tbl>
      <w:tblPr>
        <w:tblW w:w="4860" w:type="dxa"/>
        <w:tblInd w:w="1065" w:type="dxa"/>
        <w:tblCellMar>
          <w:left w:w="70" w:type="dxa"/>
          <w:right w:w="70" w:type="dxa"/>
        </w:tblCellMar>
        <w:tblLook w:val="04A0" w:firstRow="1" w:lastRow="0" w:firstColumn="1" w:lastColumn="0" w:noHBand="0" w:noVBand="1"/>
      </w:tblPr>
      <w:tblGrid>
        <w:gridCol w:w="3510"/>
        <w:gridCol w:w="1350"/>
      </w:tblGrid>
      <w:tr w:rsidR="005F3103" w:rsidRPr="005F3103" w14:paraId="1192DA12" w14:textId="77777777" w:rsidTr="006017D7">
        <w:trPr>
          <w:trHeight w:val="545"/>
        </w:trPr>
        <w:tc>
          <w:tcPr>
            <w:tcW w:w="3510"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16ACFDF" w14:textId="59D1A5C5" w:rsidR="005F3103" w:rsidRPr="0087558E" w:rsidRDefault="005F3103"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Grupo Ocupacional</w:t>
            </w:r>
          </w:p>
        </w:tc>
        <w:tc>
          <w:tcPr>
            <w:tcW w:w="1350" w:type="dxa"/>
            <w:tcBorders>
              <w:top w:val="single" w:sz="12" w:space="0" w:color="1F4E79"/>
              <w:left w:val="nil"/>
              <w:bottom w:val="single" w:sz="12" w:space="0" w:color="1F4E79"/>
              <w:right w:val="single" w:sz="12" w:space="0" w:color="1F4E79"/>
            </w:tcBorders>
            <w:shd w:val="clear" w:color="000000" w:fill="002060"/>
            <w:vAlign w:val="center"/>
            <w:hideMark/>
          </w:tcPr>
          <w:p w14:paraId="09B57695" w14:textId="77777777" w:rsidR="005F3103" w:rsidRPr="0087558E" w:rsidRDefault="005F3103"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Cantidad</w:t>
            </w:r>
          </w:p>
        </w:tc>
      </w:tr>
      <w:tr w:rsidR="005F3103" w:rsidRPr="005F3103" w14:paraId="78459066"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auto"/>
            <w:vAlign w:val="center"/>
            <w:hideMark/>
          </w:tcPr>
          <w:p w14:paraId="49C490E5"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Autoridades</w:t>
            </w:r>
          </w:p>
        </w:tc>
        <w:tc>
          <w:tcPr>
            <w:tcW w:w="1350" w:type="dxa"/>
            <w:tcBorders>
              <w:top w:val="nil"/>
              <w:left w:val="nil"/>
              <w:bottom w:val="single" w:sz="12" w:space="0" w:color="1F4E79"/>
              <w:right w:val="single" w:sz="12" w:space="0" w:color="1F4E79"/>
            </w:tcBorders>
            <w:shd w:val="clear" w:color="auto" w:fill="auto"/>
            <w:vAlign w:val="bottom"/>
            <w:hideMark/>
          </w:tcPr>
          <w:p w14:paraId="14F78F6A"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2</w:t>
            </w:r>
          </w:p>
        </w:tc>
      </w:tr>
      <w:tr w:rsidR="005F3103" w:rsidRPr="005F3103" w14:paraId="00C7AC79"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auto"/>
            <w:vAlign w:val="center"/>
            <w:hideMark/>
          </w:tcPr>
          <w:p w14:paraId="1FC1906B"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Gerente</w:t>
            </w:r>
          </w:p>
        </w:tc>
        <w:tc>
          <w:tcPr>
            <w:tcW w:w="1350" w:type="dxa"/>
            <w:tcBorders>
              <w:top w:val="nil"/>
              <w:left w:val="nil"/>
              <w:bottom w:val="single" w:sz="12" w:space="0" w:color="1F4E79"/>
              <w:right w:val="single" w:sz="12" w:space="0" w:color="1F4E79"/>
            </w:tcBorders>
            <w:shd w:val="clear" w:color="auto" w:fill="auto"/>
            <w:vAlign w:val="bottom"/>
            <w:hideMark/>
          </w:tcPr>
          <w:p w14:paraId="5FCE19FB"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w:t>
            </w:r>
          </w:p>
        </w:tc>
      </w:tr>
      <w:tr w:rsidR="005F3103" w:rsidRPr="005F3103" w14:paraId="047D5B05"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auto"/>
            <w:vAlign w:val="center"/>
            <w:hideMark/>
          </w:tcPr>
          <w:p w14:paraId="07303BDB"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Contralor</w:t>
            </w:r>
          </w:p>
        </w:tc>
        <w:tc>
          <w:tcPr>
            <w:tcW w:w="1350" w:type="dxa"/>
            <w:tcBorders>
              <w:top w:val="nil"/>
              <w:left w:val="nil"/>
              <w:bottom w:val="single" w:sz="12" w:space="0" w:color="1F4E79"/>
              <w:right w:val="single" w:sz="12" w:space="0" w:color="1F4E79"/>
            </w:tcBorders>
            <w:shd w:val="clear" w:color="auto" w:fill="auto"/>
            <w:vAlign w:val="bottom"/>
            <w:hideMark/>
          </w:tcPr>
          <w:p w14:paraId="6075063E"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w:t>
            </w:r>
          </w:p>
        </w:tc>
      </w:tr>
      <w:tr w:rsidR="005F3103" w:rsidRPr="005F3103" w14:paraId="07B0E3C9"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auto"/>
            <w:vAlign w:val="center"/>
            <w:hideMark/>
          </w:tcPr>
          <w:p w14:paraId="58198C8E"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Gerencial</w:t>
            </w:r>
          </w:p>
        </w:tc>
        <w:tc>
          <w:tcPr>
            <w:tcW w:w="1350" w:type="dxa"/>
            <w:tcBorders>
              <w:top w:val="nil"/>
              <w:left w:val="nil"/>
              <w:bottom w:val="single" w:sz="12" w:space="0" w:color="1F4E79"/>
              <w:right w:val="single" w:sz="12" w:space="0" w:color="1F4E79"/>
            </w:tcBorders>
            <w:shd w:val="clear" w:color="auto" w:fill="auto"/>
            <w:vAlign w:val="bottom"/>
            <w:hideMark/>
          </w:tcPr>
          <w:p w14:paraId="67321733"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12</w:t>
            </w:r>
          </w:p>
        </w:tc>
      </w:tr>
      <w:tr w:rsidR="005F3103" w:rsidRPr="005F3103" w14:paraId="015C76A0"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auto"/>
            <w:vAlign w:val="center"/>
            <w:hideMark/>
          </w:tcPr>
          <w:p w14:paraId="281F4AD9"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Directivo</w:t>
            </w:r>
          </w:p>
        </w:tc>
        <w:tc>
          <w:tcPr>
            <w:tcW w:w="1350" w:type="dxa"/>
            <w:tcBorders>
              <w:top w:val="nil"/>
              <w:left w:val="nil"/>
              <w:bottom w:val="single" w:sz="12" w:space="0" w:color="1F4E79"/>
              <w:right w:val="single" w:sz="12" w:space="0" w:color="1F4E79"/>
            </w:tcBorders>
            <w:shd w:val="clear" w:color="auto" w:fill="auto"/>
            <w:vAlign w:val="bottom"/>
            <w:hideMark/>
          </w:tcPr>
          <w:p w14:paraId="53871C7B"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25</w:t>
            </w:r>
          </w:p>
        </w:tc>
      </w:tr>
      <w:tr w:rsidR="005F3103" w:rsidRPr="005F3103" w14:paraId="46CF035C"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auto"/>
            <w:vAlign w:val="center"/>
          </w:tcPr>
          <w:p w14:paraId="533F86BB"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 xml:space="preserve">Grupo </w:t>
            </w:r>
            <w:proofErr w:type="spellStart"/>
            <w:r w:rsidRPr="0087558E">
              <w:rPr>
                <w:rFonts w:ascii="Times New Roman" w:eastAsia="Calibri" w:hAnsi="Times New Roman" w:cs="Times New Roman"/>
                <w:color w:val="4C4747"/>
                <w:spacing w:val="20"/>
                <w:sz w:val="24"/>
                <w:szCs w:val="24"/>
              </w:rPr>
              <w:t>Subdirectivo</w:t>
            </w:r>
            <w:proofErr w:type="spellEnd"/>
          </w:p>
        </w:tc>
        <w:tc>
          <w:tcPr>
            <w:tcW w:w="1350" w:type="dxa"/>
            <w:tcBorders>
              <w:top w:val="nil"/>
              <w:left w:val="nil"/>
              <w:bottom w:val="single" w:sz="12" w:space="0" w:color="1F4E79"/>
              <w:right w:val="single" w:sz="12" w:space="0" w:color="1F4E79"/>
            </w:tcBorders>
            <w:shd w:val="clear" w:color="auto" w:fill="auto"/>
            <w:vAlign w:val="bottom"/>
          </w:tcPr>
          <w:p w14:paraId="47208D06"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218</w:t>
            </w:r>
          </w:p>
        </w:tc>
      </w:tr>
      <w:tr w:rsidR="005F3103" w:rsidRPr="005F3103" w14:paraId="2D063CAE"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auto"/>
            <w:vAlign w:val="center"/>
          </w:tcPr>
          <w:p w14:paraId="0EC0B4A5"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Mandos Medios</w:t>
            </w:r>
          </w:p>
        </w:tc>
        <w:tc>
          <w:tcPr>
            <w:tcW w:w="1350" w:type="dxa"/>
            <w:tcBorders>
              <w:top w:val="nil"/>
              <w:left w:val="nil"/>
              <w:bottom w:val="single" w:sz="12" w:space="0" w:color="1F4E79"/>
              <w:right w:val="single" w:sz="12" w:space="0" w:color="1F4E79"/>
            </w:tcBorders>
            <w:shd w:val="clear" w:color="auto" w:fill="auto"/>
            <w:vAlign w:val="bottom"/>
          </w:tcPr>
          <w:p w14:paraId="11DED7B7"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189</w:t>
            </w:r>
          </w:p>
        </w:tc>
      </w:tr>
      <w:tr w:rsidR="005F3103" w:rsidRPr="005F3103" w14:paraId="7525FF0C"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auto"/>
            <w:vAlign w:val="center"/>
          </w:tcPr>
          <w:p w14:paraId="6352B7B3"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Profesional Técnico</w:t>
            </w:r>
          </w:p>
        </w:tc>
        <w:tc>
          <w:tcPr>
            <w:tcW w:w="1350" w:type="dxa"/>
            <w:tcBorders>
              <w:top w:val="nil"/>
              <w:left w:val="nil"/>
              <w:bottom w:val="single" w:sz="12" w:space="0" w:color="1F4E79"/>
              <w:right w:val="single" w:sz="12" w:space="0" w:color="1F4E79"/>
            </w:tcBorders>
            <w:shd w:val="clear" w:color="auto" w:fill="auto"/>
            <w:vAlign w:val="bottom"/>
          </w:tcPr>
          <w:p w14:paraId="775E3BB8"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763</w:t>
            </w:r>
          </w:p>
        </w:tc>
      </w:tr>
      <w:tr w:rsidR="005F3103" w:rsidRPr="005F3103" w14:paraId="7BC5677B"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auto"/>
            <w:vAlign w:val="center"/>
            <w:hideMark/>
          </w:tcPr>
          <w:p w14:paraId="4DB65D47" w14:textId="5AD165D5"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de Apoyo</w:t>
            </w:r>
          </w:p>
        </w:tc>
        <w:tc>
          <w:tcPr>
            <w:tcW w:w="1350" w:type="dxa"/>
            <w:tcBorders>
              <w:top w:val="nil"/>
              <w:left w:val="nil"/>
              <w:bottom w:val="single" w:sz="12" w:space="0" w:color="1F4E79"/>
              <w:right w:val="single" w:sz="12" w:space="0" w:color="1F4E79"/>
            </w:tcBorders>
            <w:shd w:val="clear" w:color="auto" w:fill="auto"/>
            <w:vAlign w:val="bottom"/>
            <w:hideMark/>
          </w:tcPr>
          <w:p w14:paraId="6825589D"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643</w:t>
            </w:r>
          </w:p>
        </w:tc>
      </w:tr>
      <w:tr w:rsidR="005F3103" w:rsidRPr="005F3103" w14:paraId="323AEF63" w14:textId="77777777" w:rsidTr="00F94B59">
        <w:trPr>
          <w:trHeight w:val="340"/>
        </w:trPr>
        <w:tc>
          <w:tcPr>
            <w:tcW w:w="3510" w:type="dxa"/>
            <w:tcBorders>
              <w:top w:val="nil"/>
              <w:left w:val="single" w:sz="12" w:space="0" w:color="1F4E79"/>
              <w:bottom w:val="single" w:sz="12" w:space="0" w:color="1F4E79"/>
              <w:right w:val="single" w:sz="12" w:space="0" w:color="1F4E79"/>
            </w:tcBorders>
            <w:shd w:val="clear" w:color="auto" w:fill="002060"/>
            <w:vAlign w:val="center"/>
            <w:hideMark/>
          </w:tcPr>
          <w:p w14:paraId="5F1FE1D4" w14:textId="77777777" w:rsidR="005F3103" w:rsidRPr="0087558E" w:rsidRDefault="005F3103"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Total</w:t>
            </w:r>
          </w:p>
        </w:tc>
        <w:tc>
          <w:tcPr>
            <w:tcW w:w="1350" w:type="dxa"/>
            <w:tcBorders>
              <w:top w:val="nil"/>
              <w:left w:val="nil"/>
              <w:bottom w:val="single" w:sz="12" w:space="0" w:color="1F4E79"/>
              <w:right w:val="single" w:sz="12" w:space="0" w:color="1F4E79"/>
            </w:tcBorders>
            <w:shd w:val="clear" w:color="auto" w:fill="002060"/>
            <w:vAlign w:val="center"/>
            <w:hideMark/>
          </w:tcPr>
          <w:p w14:paraId="65275D80" w14:textId="77777777" w:rsidR="005F3103" w:rsidRPr="0087558E" w:rsidRDefault="005F3103" w:rsidP="0087558E">
            <w:pPr>
              <w:spacing w:after="0" w:line="240" w:lineRule="auto"/>
              <w:jc w:val="center"/>
              <w:rPr>
                <w:rFonts w:ascii="Times New Roman" w:eastAsia="Calibri" w:hAnsi="Times New Roman" w:cs="Times New Roman"/>
                <w:spacing w:val="20"/>
                <w:sz w:val="24"/>
                <w:szCs w:val="24"/>
              </w:rPr>
            </w:pPr>
            <w:r w:rsidRPr="0087558E">
              <w:rPr>
                <w:rFonts w:ascii="Times New Roman" w:eastAsia="Calibri" w:hAnsi="Times New Roman" w:cs="Times New Roman"/>
                <w:spacing w:val="20"/>
                <w:sz w:val="24"/>
                <w:szCs w:val="24"/>
              </w:rPr>
              <w:t>1,854</w:t>
            </w:r>
          </w:p>
        </w:tc>
      </w:tr>
    </w:tbl>
    <w:p w14:paraId="0DBF71C2" w14:textId="63EFBAAE" w:rsidR="002D2034" w:rsidRPr="00A80B53" w:rsidRDefault="00683C48" w:rsidP="00D00226">
      <w:pPr>
        <w:rPr>
          <w:rFonts w:ascii="Times New Roman" w:hAnsi="Times New Roman" w:cs="Times New Roman"/>
          <w:b/>
          <w:color w:val="767171"/>
        </w:rPr>
      </w:pPr>
      <w:bookmarkStart w:id="32" w:name="_Hlk121920556"/>
      <w:r>
        <w:rPr>
          <w:rFonts w:ascii="Times New Roman" w:hAnsi="Times New Roman" w:cs="Times New Roman"/>
          <w:color w:val="767171"/>
        </w:rPr>
        <w:t xml:space="preserve">                            </w:t>
      </w:r>
      <w:r w:rsidR="00640B85">
        <w:rPr>
          <w:rFonts w:ascii="Times New Roman" w:hAnsi="Times New Roman" w:cs="Times New Roman"/>
          <w:color w:val="767171"/>
        </w:rPr>
        <w:t xml:space="preserve">   </w:t>
      </w:r>
      <w:r w:rsidR="00D00226" w:rsidRPr="00A80B53">
        <w:rPr>
          <w:rFonts w:ascii="Times New Roman" w:hAnsi="Times New Roman" w:cs="Times New Roman"/>
          <w:color w:val="767171"/>
        </w:rPr>
        <w:t xml:space="preserve"> </w:t>
      </w:r>
      <w:bookmarkStart w:id="33" w:name="_Hlk153807436"/>
      <w:r w:rsidR="002D2034" w:rsidRPr="00683C48">
        <w:rPr>
          <w:rFonts w:ascii="Times New Roman" w:hAnsi="Times New Roman" w:cs="Times New Roman"/>
          <w:b/>
          <w:color w:val="4C4747"/>
        </w:rPr>
        <w:t>Fuente: Depto. de Recursos Humanos</w:t>
      </w:r>
      <w:bookmarkEnd w:id="33"/>
    </w:p>
    <w:bookmarkEnd w:id="32"/>
    <w:p w14:paraId="2E52DFC6" w14:textId="3C5F8B77" w:rsidR="002D2034" w:rsidRPr="00683C48" w:rsidRDefault="002D2034" w:rsidP="008B7A98">
      <w:pPr>
        <w:rPr>
          <w:color w:val="4C4747"/>
        </w:rPr>
      </w:pPr>
    </w:p>
    <w:p w14:paraId="5550BF49" w14:textId="46C24FEA" w:rsidR="002D2034" w:rsidRPr="0087558E" w:rsidRDefault="002D2034" w:rsidP="00A80B53">
      <w:pPr>
        <w:spacing w:line="360" w:lineRule="auto"/>
        <w:jc w:val="both"/>
        <w:rPr>
          <w:rFonts w:ascii="Times New Roman" w:eastAsiaTheme="majorEastAsia" w:hAnsi="Times New Roman" w:cs="Times New Roman"/>
          <w:color w:val="4C4747"/>
          <w:sz w:val="24"/>
          <w:szCs w:val="24"/>
        </w:rPr>
      </w:pPr>
      <w:r w:rsidRPr="0087558E">
        <w:rPr>
          <w:rFonts w:ascii="Times New Roman" w:eastAsiaTheme="majorEastAsia" w:hAnsi="Times New Roman" w:cs="Times New Roman"/>
          <w:color w:val="4C4747"/>
          <w:sz w:val="24"/>
          <w:szCs w:val="24"/>
        </w:rPr>
        <w:t xml:space="preserve">Distribución de </w:t>
      </w:r>
      <w:bookmarkStart w:id="34" w:name="_Hlk155255033"/>
      <w:r w:rsidRPr="0087558E">
        <w:rPr>
          <w:rFonts w:ascii="Times New Roman" w:eastAsiaTheme="majorEastAsia" w:hAnsi="Times New Roman" w:cs="Times New Roman"/>
          <w:color w:val="4C4747"/>
          <w:sz w:val="24"/>
          <w:szCs w:val="24"/>
        </w:rPr>
        <w:t>Empleados Activos por Sexo y Grupo Ocupacional</w:t>
      </w:r>
      <w:bookmarkEnd w:id="34"/>
    </w:p>
    <w:p w14:paraId="7741A43D" w14:textId="175815F7" w:rsidR="005F3103" w:rsidRDefault="005F3103" w:rsidP="00A80B53">
      <w:pPr>
        <w:spacing w:line="360" w:lineRule="auto"/>
        <w:jc w:val="both"/>
        <w:rPr>
          <w:rFonts w:ascii="Times New Roman" w:eastAsiaTheme="majorEastAsia" w:hAnsi="Times New Roman" w:cs="Times New Roman"/>
          <w:color w:val="4C4747"/>
          <w:sz w:val="24"/>
          <w:szCs w:val="24"/>
        </w:rPr>
      </w:pPr>
      <w:r w:rsidRPr="0087558E">
        <w:rPr>
          <w:rFonts w:ascii="Times New Roman" w:eastAsiaTheme="majorEastAsia" w:hAnsi="Times New Roman" w:cs="Times New Roman"/>
          <w:color w:val="4C4747"/>
          <w:sz w:val="24"/>
          <w:szCs w:val="24"/>
        </w:rPr>
        <w:t>Al cierre de 2023, el personal del BCRD (excluyendo el Departamento de Seguridad) estaba compuesto por un 58.4 % de hombres y un 41.6 % de mujeres. En cuanto a la formación del personal, al cierre de 2023 entre los empleados del BCRD se contaban más de 638 títulos de posgrado, tanto nacionales como internacionales, de los cuales 520 maestrías y 6 doctorados. Asimismo, en el marco del programa de becas para empleados, 68 personas se encontraban cursando estudios de posgrado.</w:t>
      </w:r>
    </w:p>
    <w:p w14:paraId="294F6087" w14:textId="6536E392" w:rsidR="006017D7" w:rsidRDefault="006017D7" w:rsidP="00A80B53">
      <w:pPr>
        <w:spacing w:line="360" w:lineRule="auto"/>
        <w:jc w:val="both"/>
        <w:rPr>
          <w:rFonts w:ascii="Times New Roman" w:eastAsiaTheme="majorEastAsia" w:hAnsi="Times New Roman" w:cs="Times New Roman"/>
          <w:color w:val="4C4747"/>
          <w:sz w:val="24"/>
          <w:szCs w:val="24"/>
        </w:rPr>
      </w:pPr>
    </w:p>
    <w:p w14:paraId="05C551A7" w14:textId="7DDA1F93" w:rsidR="006017D7" w:rsidRDefault="006017D7" w:rsidP="00A80B53">
      <w:pPr>
        <w:spacing w:line="360" w:lineRule="auto"/>
        <w:jc w:val="both"/>
        <w:rPr>
          <w:rFonts w:ascii="Times New Roman" w:eastAsiaTheme="majorEastAsia" w:hAnsi="Times New Roman" w:cs="Times New Roman"/>
          <w:color w:val="4C4747"/>
          <w:sz w:val="24"/>
          <w:szCs w:val="24"/>
        </w:rPr>
      </w:pPr>
    </w:p>
    <w:p w14:paraId="33FA352D" w14:textId="20D6D30B" w:rsidR="006017D7" w:rsidRDefault="006017D7" w:rsidP="00A80B53">
      <w:pPr>
        <w:spacing w:line="360" w:lineRule="auto"/>
        <w:jc w:val="both"/>
        <w:rPr>
          <w:rFonts w:ascii="Times New Roman" w:eastAsiaTheme="majorEastAsia" w:hAnsi="Times New Roman" w:cs="Times New Roman"/>
          <w:color w:val="4C4747"/>
          <w:sz w:val="24"/>
          <w:szCs w:val="24"/>
        </w:rPr>
      </w:pPr>
    </w:p>
    <w:p w14:paraId="6C6B22B6" w14:textId="651F9886" w:rsidR="006017D7" w:rsidRDefault="006017D7" w:rsidP="00A80B53">
      <w:pPr>
        <w:spacing w:line="360" w:lineRule="auto"/>
        <w:jc w:val="both"/>
        <w:rPr>
          <w:rFonts w:ascii="Times New Roman" w:eastAsiaTheme="majorEastAsia" w:hAnsi="Times New Roman" w:cs="Times New Roman"/>
          <w:color w:val="4C4747"/>
          <w:sz w:val="24"/>
          <w:szCs w:val="24"/>
        </w:rPr>
      </w:pPr>
    </w:p>
    <w:p w14:paraId="082B48FD" w14:textId="7F9BD27F" w:rsidR="006017D7" w:rsidRDefault="006017D7" w:rsidP="00A80B53">
      <w:pPr>
        <w:spacing w:line="360" w:lineRule="auto"/>
        <w:jc w:val="both"/>
        <w:rPr>
          <w:rFonts w:ascii="Times New Roman" w:eastAsiaTheme="majorEastAsia" w:hAnsi="Times New Roman" w:cs="Times New Roman"/>
          <w:color w:val="4C4747"/>
          <w:sz w:val="24"/>
          <w:szCs w:val="24"/>
        </w:rPr>
      </w:pPr>
    </w:p>
    <w:p w14:paraId="17E74202" w14:textId="78DE7A25" w:rsidR="006017D7" w:rsidRPr="00E50010" w:rsidRDefault="006017D7" w:rsidP="00A80B53">
      <w:pPr>
        <w:spacing w:line="360" w:lineRule="auto"/>
        <w:jc w:val="both"/>
        <w:rPr>
          <w:rFonts w:ascii="Times New Roman" w:eastAsiaTheme="majorEastAsia" w:hAnsi="Times New Roman" w:cs="Times New Roman"/>
          <w:color w:val="4C4747"/>
          <w:sz w:val="24"/>
          <w:szCs w:val="24"/>
        </w:rPr>
      </w:pPr>
      <w:r w:rsidRPr="00E50010">
        <w:rPr>
          <w:rFonts w:ascii="Times New Roman" w:eastAsiaTheme="majorEastAsia" w:hAnsi="Times New Roman" w:cs="Times New Roman"/>
          <w:color w:val="4C4747"/>
          <w:sz w:val="24"/>
          <w:szCs w:val="24"/>
        </w:rPr>
        <w:lastRenderedPageBreak/>
        <w:t xml:space="preserve">                       Empleados Activos por Sexo y Grupo Ocupacional</w:t>
      </w:r>
    </w:p>
    <w:tbl>
      <w:tblPr>
        <w:tblW w:w="7073" w:type="dxa"/>
        <w:jc w:val="center"/>
        <w:tblCellMar>
          <w:left w:w="70" w:type="dxa"/>
          <w:right w:w="70" w:type="dxa"/>
        </w:tblCellMar>
        <w:tblLook w:val="04A0" w:firstRow="1" w:lastRow="0" w:firstColumn="1" w:lastColumn="0" w:noHBand="0" w:noVBand="1"/>
      </w:tblPr>
      <w:tblGrid>
        <w:gridCol w:w="3817"/>
        <w:gridCol w:w="1420"/>
        <w:gridCol w:w="1836"/>
      </w:tblGrid>
      <w:tr w:rsidR="005F3103" w:rsidRPr="005F3103" w14:paraId="21F62FD7" w14:textId="77777777" w:rsidTr="006017D7">
        <w:trPr>
          <w:trHeight w:val="340"/>
          <w:tblHeader/>
          <w:jc w:val="center"/>
        </w:trPr>
        <w:tc>
          <w:tcPr>
            <w:tcW w:w="3817"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3A2B293" w14:textId="77777777" w:rsidR="005F3103" w:rsidRPr="0087558E" w:rsidRDefault="005F3103" w:rsidP="0087558E">
            <w:pPr>
              <w:spacing w:after="0" w:line="240" w:lineRule="auto"/>
              <w:jc w:val="center"/>
              <w:rPr>
                <w:rFonts w:ascii="Times New Roman" w:eastAsia="Calibri" w:hAnsi="Times New Roman" w:cs="Times New Roman"/>
                <w:color w:val="FFFFFF" w:themeColor="background1"/>
                <w:spacing w:val="20"/>
                <w:sz w:val="24"/>
                <w:szCs w:val="24"/>
              </w:rPr>
            </w:pPr>
            <w:r w:rsidRPr="0087558E">
              <w:rPr>
                <w:rFonts w:ascii="Times New Roman" w:eastAsia="Calibri" w:hAnsi="Times New Roman" w:cs="Times New Roman"/>
                <w:color w:val="FFFFFF" w:themeColor="background1"/>
                <w:spacing w:val="20"/>
                <w:sz w:val="24"/>
                <w:szCs w:val="24"/>
              </w:rPr>
              <w:t>Localidad</w:t>
            </w:r>
          </w:p>
        </w:tc>
        <w:tc>
          <w:tcPr>
            <w:tcW w:w="1420" w:type="dxa"/>
            <w:tcBorders>
              <w:top w:val="single" w:sz="12" w:space="0" w:color="1F4E79"/>
              <w:left w:val="nil"/>
              <w:bottom w:val="single" w:sz="12" w:space="0" w:color="1F4E79"/>
              <w:right w:val="single" w:sz="12" w:space="0" w:color="1F4E79"/>
            </w:tcBorders>
            <w:shd w:val="clear" w:color="000000" w:fill="002060"/>
            <w:vAlign w:val="center"/>
            <w:hideMark/>
          </w:tcPr>
          <w:p w14:paraId="73A99295" w14:textId="77777777" w:rsidR="005F3103" w:rsidRPr="0087558E" w:rsidRDefault="005F3103" w:rsidP="0087558E">
            <w:pPr>
              <w:spacing w:after="0" w:line="240" w:lineRule="auto"/>
              <w:jc w:val="center"/>
              <w:rPr>
                <w:rFonts w:ascii="Times New Roman" w:eastAsia="Calibri" w:hAnsi="Times New Roman" w:cs="Times New Roman"/>
                <w:color w:val="FFFFFF" w:themeColor="background1"/>
                <w:spacing w:val="20"/>
                <w:sz w:val="24"/>
                <w:szCs w:val="24"/>
              </w:rPr>
            </w:pPr>
            <w:r w:rsidRPr="0087558E">
              <w:rPr>
                <w:rFonts w:ascii="Times New Roman" w:eastAsia="Calibri" w:hAnsi="Times New Roman" w:cs="Times New Roman"/>
                <w:color w:val="FFFFFF" w:themeColor="background1"/>
                <w:spacing w:val="20"/>
                <w:sz w:val="24"/>
                <w:szCs w:val="24"/>
              </w:rPr>
              <w:t>Femenino</w:t>
            </w:r>
          </w:p>
        </w:tc>
        <w:tc>
          <w:tcPr>
            <w:tcW w:w="1836" w:type="dxa"/>
            <w:tcBorders>
              <w:top w:val="single" w:sz="12" w:space="0" w:color="1F4E79"/>
              <w:left w:val="nil"/>
              <w:bottom w:val="single" w:sz="12" w:space="0" w:color="1F4E79"/>
              <w:right w:val="single" w:sz="12" w:space="0" w:color="1F4E79"/>
            </w:tcBorders>
            <w:shd w:val="clear" w:color="000000" w:fill="002060"/>
            <w:vAlign w:val="center"/>
            <w:hideMark/>
          </w:tcPr>
          <w:p w14:paraId="4B694E85" w14:textId="77777777" w:rsidR="005F3103" w:rsidRPr="0087558E" w:rsidRDefault="005F3103" w:rsidP="0087558E">
            <w:pPr>
              <w:spacing w:after="0" w:line="240" w:lineRule="auto"/>
              <w:jc w:val="center"/>
              <w:rPr>
                <w:rFonts w:ascii="Times New Roman" w:eastAsia="Calibri" w:hAnsi="Times New Roman" w:cs="Times New Roman"/>
                <w:color w:val="FFFFFF" w:themeColor="background1"/>
                <w:spacing w:val="20"/>
                <w:sz w:val="24"/>
                <w:szCs w:val="24"/>
              </w:rPr>
            </w:pPr>
            <w:r w:rsidRPr="0087558E">
              <w:rPr>
                <w:rFonts w:ascii="Times New Roman" w:eastAsia="Calibri" w:hAnsi="Times New Roman" w:cs="Times New Roman"/>
                <w:color w:val="FFFFFF" w:themeColor="background1"/>
                <w:spacing w:val="20"/>
                <w:sz w:val="24"/>
                <w:szCs w:val="24"/>
              </w:rPr>
              <w:t>Masculino</w:t>
            </w:r>
          </w:p>
        </w:tc>
      </w:tr>
      <w:tr w:rsidR="005F3103" w:rsidRPr="005F3103" w14:paraId="15AE7050"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auto"/>
            <w:vAlign w:val="center"/>
            <w:hideMark/>
          </w:tcPr>
          <w:p w14:paraId="7C9617AE"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Autoridades</w:t>
            </w:r>
          </w:p>
        </w:tc>
        <w:tc>
          <w:tcPr>
            <w:tcW w:w="1420" w:type="dxa"/>
            <w:tcBorders>
              <w:top w:val="nil"/>
              <w:left w:val="nil"/>
              <w:bottom w:val="single" w:sz="12" w:space="0" w:color="1F4E79"/>
              <w:right w:val="single" w:sz="12" w:space="0" w:color="1F4E79"/>
            </w:tcBorders>
            <w:shd w:val="clear" w:color="auto" w:fill="auto"/>
            <w:hideMark/>
          </w:tcPr>
          <w:p w14:paraId="2517607B"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w:t>
            </w:r>
          </w:p>
        </w:tc>
        <w:tc>
          <w:tcPr>
            <w:tcW w:w="1836" w:type="dxa"/>
            <w:tcBorders>
              <w:top w:val="nil"/>
              <w:left w:val="nil"/>
              <w:bottom w:val="single" w:sz="12" w:space="0" w:color="1F4E79"/>
              <w:right w:val="single" w:sz="12" w:space="0" w:color="1F4E79"/>
            </w:tcBorders>
            <w:shd w:val="clear" w:color="auto" w:fill="auto"/>
            <w:hideMark/>
          </w:tcPr>
          <w:p w14:paraId="0CDD0250"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w:t>
            </w:r>
          </w:p>
        </w:tc>
      </w:tr>
      <w:tr w:rsidR="005F3103" w:rsidRPr="005F3103" w14:paraId="053796DA"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auto"/>
            <w:vAlign w:val="center"/>
          </w:tcPr>
          <w:p w14:paraId="601757D8"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Gerente</w:t>
            </w:r>
          </w:p>
        </w:tc>
        <w:tc>
          <w:tcPr>
            <w:tcW w:w="1420" w:type="dxa"/>
            <w:tcBorders>
              <w:top w:val="nil"/>
              <w:left w:val="nil"/>
              <w:bottom w:val="single" w:sz="12" w:space="0" w:color="1F4E79"/>
              <w:right w:val="single" w:sz="12" w:space="0" w:color="1F4E79"/>
            </w:tcBorders>
            <w:shd w:val="clear" w:color="auto" w:fill="auto"/>
          </w:tcPr>
          <w:p w14:paraId="7A91EECE"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w:t>
            </w:r>
          </w:p>
        </w:tc>
        <w:tc>
          <w:tcPr>
            <w:tcW w:w="1836" w:type="dxa"/>
            <w:tcBorders>
              <w:top w:val="nil"/>
              <w:left w:val="nil"/>
              <w:bottom w:val="single" w:sz="12" w:space="0" w:color="1F4E79"/>
              <w:right w:val="single" w:sz="12" w:space="0" w:color="1F4E79"/>
            </w:tcBorders>
            <w:shd w:val="clear" w:color="auto" w:fill="auto"/>
          </w:tcPr>
          <w:p w14:paraId="4B833FE8"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0</w:t>
            </w:r>
          </w:p>
        </w:tc>
      </w:tr>
      <w:tr w:rsidR="005F3103" w:rsidRPr="005F3103" w14:paraId="552C2B04"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auto"/>
            <w:vAlign w:val="center"/>
          </w:tcPr>
          <w:p w14:paraId="40A2EE6E"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Contralor</w:t>
            </w:r>
          </w:p>
        </w:tc>
        <w:tc>
          <w:tcPr>
            <w:tcW w:w="1420" w:type="dxa"/>
            <w:tcBorders>
              <w:top w:val="nil"/>
              <w:left w:val="nil"/>
              <w:bottom w:val="single" w:sz="12" w:space="0" w:color="1F4E79"/>
              <w:right w:val="single" w:sz="12" w:space="0" w:color="1F4E79"/>
            </w:tcBorders>
            <w:shd w:val="clear" w:color="auto" w:fill="auto"/>
          </w:tcPr>
          <w:p w14:paraId="45A1C582"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w:t>
            </w:r>
          </w:p>
        </w:tc>
        <w:tc>
          <w:tcPr>
            <w:tcW w:w="1836" w:type="dxa"/>
            <w:tcBorders>
              <w:top w:val="nil"/>
              <w:left w:val="nil"/>
              <w:bottom w:val="single" w:sz="12" w:space="0" w:color="1F4E79"/>
              <w:right w:val="single" w:sz="12" w:space="0" w:color="1F4E79"/>
            </w:tcBorders>
            <w:shd w:val="clear" w:color="auto" w:fill="auto"/>
          </w:tcPr>
          <w:p w14:paraId="6A22D401"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0</w:t>
            </w:r>
          </w:p>
        </w:tc>
      </w:tr>
      <w:tr w:rsidR="005F3103" w:rsidRPr="005F3103" w14:paraId="48E87271"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auto"/>
            <w:vAlign w:val="center"/>
          </w:tcPr>
          <w:p w14:paraId="1A7B0D93"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Gerencial</w:t>
            </w:r>
          </w:p>
        </w:tc>
        <w:tc>
          <w:tcPr>
            <w:tcW w:w="1420" w:type="dxa"/>
            <w:tcBorders>
              <w:top w:val="nil"/>
              <w:left w:val="nil"/>
              <w:bottom w:val="single" w:sz="12" w:space="0" w:color="1F4E79"/>
              <w:right w:val="single" w:sz="12" w:space="0" w:color="1F4E79"/>
            </w:tcBorders>
            <w:shd w:val="clear" w:color="auto" w:fill="auto"/>
          </w:tcPr>
          <w:p w14:paraId="7DC48110"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10</w:t>
            </w:r>
          </w:p>
        </w:tc>
        <w:tc>
          <w:tcPr>
            <w:tcW w:w="1836" w:type="dxa"/>
            <w:tcBorders>
              <w:top w:val="nil"/>
              <w:left w:val="nil"/>
              <w:bottom w:val="single" w:sz="12" w:space="0" w:color="1F4E79"/>
              <w:right w:val="single" w:sz="12" w:space="0" w:color="1F4E79"/>
            </w:tcBorders>
            <w:shd w:val="clear" w:color="auto" w:fill="auto"/>
          </w:tcPr>
          <w:p w14:paraId="769839A5"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2</w:t>
            </w:r>
          </w:p>
        </w:tc>
      </w:tr>
      <w:tr w:rsidR="005F3103" w:rsidRPr="005F3103" w14:paraId="40E04358"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auto"/>
            <w:vAlign w:val="center"/>
          </w:tcPr>
          <w:p w14:paraId="187B2A80"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Directivo</w:t>
            </w:r>
          </w:p>
        </w:tc>
        <w:tc>
          <w:tcPr>
            <w:tcW w:w="1420" w:type="dxa"/>
            <w:tcBorders>
              <w:top w:val="nil"/>
              <w:left w:val="nil"/>
              <w:bottom w:val="single" w:sz="12" w:space="0" w:color="1F4E79"/>
              <w:right w:val="single" w:sz="12" w:space="0" w:color="1F4E79"/>
            </w:tcBorders>
            <w:shd w:val="clear" w:color="auto" w:fill="auto"/>
          </w:tcPr>
          <w:p w14:paraId="481A34FC"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12</w:t>
            </w:r>
          </w:p>
        </w:tc>
        <w:tc>
          <w:tcPr>
            <w:tcW w:w="1836" w:type="dxa"/>
            <w:tcBorders>
              <w:top w:val="nil"/>
              <w:left w:val="nil"/>
              <w:bottom w:val="single" w:sz="12" w:space="0" w:color="1F4E79"/>
              <w:right w:val="single" w:sz="12" w:space="0" w:color="1F4E79"/>
            </w:tcBorders>
            <w:shd w:val="clear" w:color="auto" w:fill="auto"/>
          </w:tcPr>
          <w:p w14:paraId="306F8223"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13</w:t>
            </w:r>
          </w:p>
        </w:tc>
      </w:tr>
      <w:tr w:rsidR="005F3103" w:rsidRPr="005F3103" w14:paraId="7FE9CE76"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auto"/>
            <w:vAlign w:val="center"/>
          </w:tcPr>
          <w:p w14:paraId="76845D82"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 xml:space="preserve">Grupo </w:t>
            </w:r>
            <w:proofErr w:type="spellStart"/>
            <w:r w:rsidRPr="0087558E">
              <w:rPr>
                <w:rFonts w:ascii="Times New Roman" w:eastAsia="Calibri" w:hAnsi="Times New Roman" w:cs="Times New Roman"/>
                <w:color w:val="4C4747"/>
                <w:spacing w:val="20"/>
                <w:sz w:val="24"/>
                <w:szCs w:val="24"/>
              </w:rPr>
              <w:t>Subdirectivo</w:t>
            </w:r>
            <w:proofErr w:type="spellEnd"/>
          </w:p>
        </w:tc>
        <w:tc>
          <w:tcPr>
            <w:tcW w:w="1420" w:type="dxa"/>
            <w:tcBorders>
              <w:top w:val="nil"/>
              <w:left w:val="nil"/>
              <w:bottom w:val="single" w:sz="12" w:space="0" w:color="1F4E79"/>
              <w:right w:val="single" w:sz="12" w:space="0" w:color="1F4E79"/>
            </w:tcBorders>
            <w:shd w:val="clear" w:color="auto" w:fill="auto"/>
          </w:tcPr>
          <w:p w14:paraId="4F043C90"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106</w:t>
            </w:r>
          </w:p>
        </w:tc>
        <w:tc>
          <w:tcPr>
            <w:tcW w:w="1836" w:type="dxa"/>
            <w:tcBorders>
              <w:top w:val="nil"/>
              <w:left w:val="nil"/>
              <w:bottom w:val="single" w:sz="12" w:space="0" w:color="1F4E79"/>
              <w:right w:val="single" w:sz="12" w:space="0" w:color="1F4E79"/>
            </w:tcBorders>
            <w:shd w:val="clear" w:color="auto" w:fill="auto"/>
          </w:tcPr>
          <w:p w14:paraId="70942F5C"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112</w:t>
            </w:r>
          </w:p>
        </w:tc>
      </w:tr>
      <w:tr w:rsidR="005F3103" w:rsidRPr="005F3103" w14:paraId="1A25D6E2"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auto"/>
            <w:vAlign w:val="center"/>
          </w:tcPr>
          <w:p w14:paraId="47A27064"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Mandos Medios</w:t>
            </w:r>
          </w:p>
        </w:tc>
        <w:tc>
          <w:tcPr>
            <w:tcW w:w="1420" w:type="dxa"/>
            <w:tcBorders>
              <w:top w:val="nil"/>
              <w:left w:val="nil"/>
              <w:bottom w:val="single" w:sz="12" w:space="0" w:color="1F4E79"/>
              <w:right w:val="single" w:sz="12" w:space="0" w:color="1F4E79"/>
            </w:tcBorders>
            <w:shd w:val="clear" w:color="auto" w:fill="auto"/>
          </w:tcPr>
          <w:p w14:paraId="3DBE78FB"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87</w:t>
            </w:r>
          </w:p>
        </w:tc>
        <w:tc>
          <w:tcPr>
            <w:tcW w:w="1836" w:type="dxa"/>
            <w:tcBorders>
              <w:top w:val="nil"/>
              <w:left w:val="nil"/>
              <w:bottom w:val="single" w:sz="12" w:space="0" w:color="1F4E79"/>
              <w:right w:val="single" w:sz="12" w:space="0" w:color="1F4E79"/>
            </w:tcBorders>
            <w:shd w:val="clear" w:color="auto" w:fill="auto"/>
          </w:tcPr>
          <w:p w14:paraId="4F34080E"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102</w:t>
            </w:r>
          </w:p>
        </w:tc>
      </w:tr>
      <w:tr w:rsidR="005F3103" w:rsidRPr="005F3103" w14:paraId="5A83F742"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auto"/>
            <w:vAlign w:val="center"/>
          </w:tcPr>
          <w:p w14:paraId="38B14EC1"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Profesional Técnico</w:t>
            </w:r>
          </w:p>
        </w:tc>
        <w:tc>
          <w:tcPr>
            <w:tcW w:w="1420" w:type="dxa"/>
            <w:tcBorders>
              <w:top w:val="nil"/>
              <w:left w:val="nil"/>
              <w:bottom w:val="single" w:sz="12" w:space="0" w:color="1F4E79"/>
              <w:right w:val="single" w:sz="12" w:space="0" w:color="1F4E79"/>
            </w:tcBorders>
            <w:shd w:val="clear" w:color="auto" w:fill="auto"/>
          </w:tcPr>
          <w:p w14:paraId="052713DD"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437</w:t>
            </w:r>
          </w:p>
        </w:tc>
        <w:tc>
          <w:tcPr>
            <w:tcW w:w="1836" w:type="dxa"/>
            <w:tcBorders>
              <w:top w:val="nil"/>
              <w:left w:val="nil"/>
              <w:bottom w:val="single" w:sz="12" w:space="0" w:color="1F4E79"/>
              <w:right w:val="single" w:sz="12" w:space="0" w:color="1F4E79"/>
            </w:tcBorders>
            <w:shd w:val="clear" w:color="auto" w:fill="auto"/>
          </w:tcPr>
          <w:p w14:paraId="4731BF48"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326</w:t>
            </w:r>
          </w:p>
        </w:tc>
      </w:tr>
      <w:tr w:rsidR="005F3103" w:rsidRPr="005F3103" w14:paraId="7C5DF264"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auto"/>
            <w:vAlign w:val="center"/>
            <w:hideMark/>
          </w:tcPr>
          <w:p w14:paraId="13B19178" w14:textId="7FDBC4A5"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pacing w:val="20"/>
                <w:sz w:val="24"/>
                <w:szCs w:val="24"/>
              </w:rPr>
              <w:t>Grupo de Apoyo</w:t>
            </w:r>
          </w:p>
        </w:tc>
        <w:tc>
          <w:tcPr>
            <w:tcW w:w="1420" w:type="dxa"/>
            <w:tcBorders>
              <w:top w:val="nil"/>
              <w:left w:val="nil"/>
              <w:bottom w:val="single" w:sz="12" w:space="0" w:color="1F4E79"/>
              <w:right w:val="single" w:sz="12" w:space="0" w:color="1F4E79"/>
            </w:tcBorders>
            <w:shd w:val="clear" w:color="auto" w:fill="auto"/>
            <w:hideMark/>
          </w:tcPr>
          <w:p w14:paraId="1E26710D"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489</w:t>
            </w:r>
          </w:p>
        </w:tc>
        <w:tc>
          <w:tcPr>
            <w:tcW w:w="1836" w:type="dxa"/>
            <w:tcBorders>
              <w:top w:val="nil"/>
              <w:left w:val="nil"/>
              <w:bottom w:val="single" w:sz="12" w:space="0" w:color="1F4E79"/>
              <w:right w:val="single" w:sz="12" w:space="0" w:color="1F4E79"/>
            </w:tcBorders>
            <w:shd w:val="clear" w:color="auto" w:fill="auto"/>
            <w:hideMark/>
          </w:tcPr>
          <w:p w14:paraId="43CBCC00" w14:textId="77777777" w:rsidR="005F3103" w:rsidRPr="0087558E" w:rsidRDefault="005F3103" w:rsidP="0087558E">
            <w:pPr>
              <w:spacing w:after="0" w:line="240" w:lineRule="auto"/>
              <w:jc w:val="center"/>
              <w:rPr>
                <w:rFonts w:ascii="Times New Roman" w:eastAsia="Calibri" w:hAnsi="Times New Roman" w:cs="Times New Roman"/>
                <w:color w:val="4C4747"/>
                <w:spacing w:val="20"/>
                <w:sz w:val="24"/>
                <w:szCs w:val="24"/>
              </w:rPr>
            </w:pPr>
            <w:r w:rsidRPr="0087558E">
              <w:rPr>
                <w:rFonts w:ascii="Times New Roman" w:eastAsia="Calibri" w:hAnsi="Times New Roman" w:cs="Times New Roman"/>
                <w:color w:val="4C4747"/>
                <w:sz w:val="24"/>
                <w:szCs w:val="24"/>
                <w:lang w:val="es-ES"/>
              </w:rPr>
              <w:t>154</w:t>
            </w:r>
          </w:p>
        </w:tc>
      </w:tr>
      <w:tr w:rsidR="005F3103" w:rsidRPr="005F3103" w14:paraId="146CD141" w14:textId="77777777" w:rsidTr="006017D7">
        <w:trPr>
          <w:trHeight w:val="340"/>
          <w:tblHeader/>
          <w:jc w:val="center"/>
        </w:trPr>
        <w:tc>
          <w:tcPr>
            <w:tcW w:w="3817" w:type="dxa"/>
            <w:tcBorders>
              <w:top w:val="nil"/>
              <w:left w:val="single" w:sz="12" w:space="0" w:color="1F4E79"/>
              <w:bottom w:val="single" w:sz="12" w:space="0" w:color="1F4E79"/>
              <w:right w:val="single" w:sz="12" w:space="0" w:color="1F4E79"/>
            </w:tcBorders>
            <w:shd w:val="clear" w:color="auto" w:fill="002060"/>
            <w:vAlign w:val="center"/>
            <w:hideMark/>
          </w:tcPr>
          <w:p w14:paraId="3B28D0BA" w14:textId="77777777" w:rsidR="005F3103" w:rsidRPr="00640B85" w:rsidRDefault="005F3103" w:rsidP="0087558E">
            <w:pPr>
              <w:spacing w:after="0" w:line="240" w:lineRule="auto"/>
              <w:jc w:val="center"/>
              <w:rPr>
                <w:rFonts w:ascii="Times New Roman" w:eastAsia="Calibri" w:hAnsi="Times New Roman" w:cs="Times New Roman"/>
                <w:color w:val="FFFFFF" w:themeColor="background1"/>
                <w:spacing w:val="20"/>
                <w:sz w:val="24"/>
                <w:szCs w:val="24"/>
              </w:rPr>
            </w:pPr>
            <w:r w:rsidRPr="00640B85">
              <w:rPr>
                <w:rFonts w:ascii="Times New Roman" w:eastAsia="Calibri" w:hAnsi="Times New Roman" w:cs="Times New Roman"/>
                <w:color w:val="FFFFFF" w:themeColor="background1"/>
                <w:spacing w:val="20"/>
                <w:sz w:val="24"/>
                <w:szCs w:val="24"/>
              </w:rPr>
              <w:t>Total</w:t>
            </w:r>
          </w:p>
        </w:tc>
        <w:tc>
          <w:tcPr>
            <w:tcW w:w="1420" w:type="dxa"/>
            <w:tcBorders>
              <w:top w:val="nil"/>
              <w:left w:val="nil"/>
              <w:bottom w:val="single" w:sz="12" w:space="0" w:color="1F4E79"/>
              <w:right w:val="single" w:sz="12" w:space="0" w:color="1F4E79"/>
            </w:tcBorders>
            <w:shd w:val="clear" w:color="auto" w:fill="002060"/>
            <w:vAlign w:val="center"/>
            <w:hideMark/>
          </w:tcPr>
          <w:p w14:paraId="27DC46B7" w14:textId="77777777" w:rsidR="005F3103" w:rsidRPr="00640B85" w:rsidRDefault="005F3103" w:rsidP="0087558E">
            <w:pPr>
              <w:spacing w:after="0" w:line="240" w:lineRule="auto"/>
              <w:jc w:val="center"/>
              <w:rPr>
                <w:rFonts w:ascii="Times New Roman" w:eastAsia="Calibri" w:hAnsi="Times New Roman" w:cs="Times New Roman"/>
                <w:color w:val="FFFFFF" w:themeColor="background1"/>
                <w:spacing w:val="20"/>
                <w:sz w:val="24"/>
                <w:szCs w:val="24"/>
              </w:rPr>
            </w:pPr>
            <w:r w:rsidRPr="00640B85">
              <w:rPr>
                <w:rFonts w:ascii="Times New Roman" w:eastAsia="Calibri" w:hAnsi="Times New Roman" w:cs="Times New Roman"/>
                <w:color w:val="FFFFFF" w:themeColor="background1"/>
                <w:spacing w:val="20"/>
                <w:sz w:val="24"/>
                <w:szCs w:val="24"/>
              </w:rPr>
              <w:t>1,144</w:t>
            </w:r>
          </w:p>
        </w:tc>
        <w:tc>
          <w:tcPr>
            <w:tcW w:w="1836" w:type="dxa"/>
            <w:tcBorders>
              <w:top w:val="nil"/>
              <w:left w:val="nil"/>
              <w:bottom w:val="single" w:sz="12" w:space="0" w:color="1F4E79"/>
              <w:right w:val="single" w:sz="12" w:space="0" w:color="1F4E79"/>
            </w:tcBorders>
            <w:shd w:val="clear" w:color="auto" w:fill="002060"/>
            <w:vAlign w:val="center"/>
            <w:hideMark/>
          </w:tcPr>
          <w:p w14:paraId="48919779" w14:textId="77777777" w:rsidR="005F3103" w:rsidRPr="00640B85" w:rsidRDefault="005F3103" w:rsidP="0087558E">
            <w:pPr>
              <w:spacing w:after="0" w:line="240" w:lineRule="auto"/>
              <w:jc w:val="center"/>
              <w:rPr>
                <w:rFonts w:ascii="Times New Roman" w:eastAsia="Calibri" w:hAnsi="Times New Roman" w:cs="Times New Roman"/>
                <w:color w:val="FFFFFF" w:themeColor="background1"/>
                <w:spacing w:val="20"/>
                <w:sz w:val="24"/>
                <w:szCs w:val="24"/>
              </w:rPr>
            </w:pPr>
            <w:r w:rsidRPr="00640B85">
              <w:rPr>
                <w:rFonts w:ascii="Times New Roman" w:eastAsia="Calibri" w:hAnsi="Times New Roman" w:cs="Times New Roman"/>
                <w:color w:val="FFFFFF" w:themeColor="background1"/>
                <w:spacing w:val="20"/>
                <w:sz w:val="24"/>
                <w:szCs w:val="24"/>
              </w:rPr>
              <w:t>710</w:t>
            </w:r>
          </w:p>
        </w:tc>
      </w:tr>
    </w:tbl>
    <w:p w14:paraId="620EA4D6" w14:textId="7680D041" w:rsidR="002D2034" w:rsidRPr="00683C48" w:rsidRDefault="005F3103" w:rsidP="005F3103">
      <w:pPr>
        <w:rPr>
          <w:rFonts w:ascii="Times New Roman" w:hAnsi="Times New Roman" w:cs="Times New Roman"/>
          <w:b/>
          <w:color w:val="4C4747"/>
        </w:rPr>
      </w:pPr>
      <w:bookmarkStart w:id="35" w:name="_Hlk121920748"/>
      <w:r w:rsidRPr="00683C48">
        <w:rPr>
          <w:rFonts w:ascii="Times New Roman" w:hAnsi="Times New Roman" w:cs="Times New Roman"/>
          <w:color w:val="4C4747"/>
        </w:rPr>
        <w:t xml:space="preserve">                                       </w:t>
      </w:r>
      <w:r w:rsidR="002D2034" w:rsidRPr="00683C48">
        <w:rPr>
          <w:rFonts w:ascii="Times New Roman" w:hAnsi="Times New Roman" w:cs="Times New Roman"/>
          <w:b/>
          <w:color w:val="4C4747"/>
        </w:rPr>
        <w:t>Fuente: Depto. de Recursos Humanos</w:t>
      </w:r>
    </w:p>
    <w:bookmarkEnd w:id="35"/>
    <w:p w14:paraId="38763A95" w14:textId="2AB2449D" w:rsidR="002D2034" w:rsidRDefault="002D2034" w:rsidP="008B7A98"/>
    <w:p w14:paraId="1506E888" w14:textId="0C888B7C" w:rsidR="002D2034" w:rsidRPr="00E50E90" w:rsidRDefault="002D2034" w:rsidP="00683C48">
      <w:pPr>
        <w:spacing w:line="360" w:lineRule="auto"/>
        <w:rPr>
          <w:rFonts w:ascii="Times New Roman" w:eastAsiaTheme="majorEastAsia" w:hAnsi="Times New Roman" w:cs="Times New Roman"/>
          <w:b/>
          <w:color w:val="4C4747"/>
          <w:sz w:val="24"/>
          <w:szCs w:val="24"/>
        </w:rPr>
      </w:pPr>
      <w:r w:rsidRPr="00E50E90">
        <w:rPr>
          <w:rFonts w:ascii="Times New Roman" w:eastAsiaTheme="majorEastAsia" w:hAnsi="Times New Roman" w:cs="Times New Roman"/>
          <w:b/>
          <w:color w:val="4C4747"/>
          <w:sz w:val="24"/>
          <w:szCs w:val="24"/>
        </w:rPr>
        <w:t>Reclutamiento y Selección de Personal</w:t>
      </w:r>
    </w:p>
    <w:p w14:paraId="2DC5E3DC" w14:textId="77777777" w:rsidR="005F3103" w:rsidRPr="00E50E90" w:rsidRDefault="005F3103" w:rsidP="00683C48">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 xml:space="preserve">El Banco Central se preocupa por identificar y captar talento humano idóneo que requieren las diferentes dependencias del Banco Central de la Republica Dominicana para el logro de los objetivos estratégicos institucionales, por lo que, nuestro proceso de reclutamiento contempla técnicas de entrevista y la medición de las habilidades, aptitudes, personalidad, capacidad intelectual y de razonamiento que posee un candidato, con el objetivo de seleccionar talento con el mejor ajuste a los requerimientos del perfil de puesto. </w:t>
      </w:r>
    </w:p>
    <w:p w14:paraId="1BC33009" w14:textId="77777777" w:rsidR="005F3103" w:rsidRPr="00E50E90" w:rsidRDefault="005F3103" w:rsidP="00683C48">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Para garantizar la mejora continua de nuestros procesos, hemos tomado como referente los cambios en el mercado y la necesidad de identificar nuevas formas de gestionar nuestro trabajo, en el año 2023 con el apoyo de la alta dirección hemos llevado a cabo las siguientes iniciativas y proyectos:</w:t>
      </w:r>
    </w:p>
    <w:p w14:paraId="2A169D31" w14:textId="77777777" w:rsidR="005F3103" w:rsidRPr="00E50E90" w:rsidRDefault="005F3103" w:rsidP="00683C48">
      <w:pPr>
        <w:numPr>
          <w:ilvl w:val="0"/>
          <w:numId w:val="28"/>
        </w:numPr>
        <w:tabs>
          <w:tab w:val="left" w:pos="1350"/>
        </w:tabs>
        <w:spacing w:line="360" w:lineRule="auto"/>
        <w:ind w:left="1350"/>
        <w:contextualSpacing/>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lastRenderedPageBreak/>
        <w:t>Fue implementada la actualización del procedimiento de Reclutamiento y Selección alineado con el desarrollo de nuevos procesos y surgimiento de mejores prácticas.</w:t>
      </w:r>
    </w:p>
    <w:p w14:paraId="40992510" w14:textId="77777777" w:rsidR="005F3103" w:rsidRPr="00E50E90" w:rsidRDefault="005F3103" w:rsidP="00683C48">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Para garantizar la integridad de las informaciones suministradas por el personal que ingresa a la Institución, realizamos las siguientes consultas:</w:t>
      </w:r>
    </w:p>
    <w:p w14:paraId="4E2F9C7F" w14:textId="77777777" w:rsidR="005F3103" w:rsidRPr="00E50E90" w:rsidRDefault="005F3103" w:rsidP="00543A92">
      <w:pPr>
        <w:numPr>
          <w:ilvl w:val="0"/>
          <w:numId w:val="28"/>
        </w:numPr>
        <w:tabs>
          <w:tab w:val="left" w:pos="1350"/>
        </w:tabs>
        <w:spacing w:line="360" w:lineRule="auto"/>
        <w:ind w:left="1350"/>
        <w:contextualSpacing/>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Validación de la Certificación de no antecedentes penales a través de la página oficial de la Procuraduría General.</w:t>
      </w:r>
    </w:p>
    <w:p w14:paraId="13938B22" w14:textId="77777777" w:rsidR="005F3103" w:rsidRPr="00E50E90" w:rsidRDefault="005F3103" w:rsidP="00543A92">
      <w:pPr>
        <w:numPr>
          <w:ilvl w:val="0"/>
          <w:numId w:val="28"/>
        </w:numPr>
        <w:tabs>
          <w:tab w:val="left" w:pos="1350"/>
        </w:tabs>
        <w:spacing w:line="360" w:lineRule="auto"/>
        <w:ind w:left="1350"/>
        <w:contextualSpacing/>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 xml:space="preserve">Solicitud y validación de las informaciones sobre la referencia laboral y/o personal del candidato. </w:t>
      </w:r>
    </w:p>
    <w:p w14:paraId="1E4D4669" w14:textId="77777777" w:rsidR="005F3103" w:rsidRPr="00E50E90" w:rsidRDefault="005F3103" w:rsidP="00543A92">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En apoyo a la sostenibilidad y compromiso con el medio ambiente, hemos realizado algunas acciones dirigidas a la transformación digital de nuestros procesos:</w:t>
      </w:r>
    </w:p>
    <w:p w14:paraId="3EB469C7" w14:textId="19E28A61" w:rsidR="005F3103" w:rsidRPr="00E50E90" w:rsidRDefault="005F3103" w:rsidP="00543A92">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 xml:space="preserve">Digitalización de algunos formularios utilizados en el proceso de reclutamiento e ingreso de personal; estos formularios son colocados en el software de gestión interna utilizado en la institución con la finalidad de gestionar y controlar de una forma integral su almacenamiento y disminuir la cantidad de documentos de resguardo físico. </w:t>
      </w:r>
    </w:p>
    <w:p w14:paraId="13F80F02" w14:textId="634DF9DF" w:rsidR="005F3103" w:rsidRPr="00E50E90" w:rsidRDefault="005F3103" w:rsidP="00543A92">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 xml:space="preserve">Proyecto digitalización del formulario de Solicitud de Empleo, el cual incluirá la creación de un espacio digital, en un ambiente web, para que los aplicantes puedan suministrar su información personal, profesional y educativa desde cualquier ordenador. </w:t>
      </w:r>
    </w:p>
    <w:p w14:paraId="2E647FCB" w14:textId="77777777" w:rsidR="005F3103" w:rsidRPr="00E50E90" w:rsidRDefault="005F3103" w:rsidP="00543A92">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Uso de un correo externo exclusivo de Reclutamiento y Selección, habilitar este canal nos ha permitido:</w:t>
      </w:r>
    </w:p>
    <w:p w14:paraId="60874DD6" w14:textId="77777777" w:rsidR="005F3103" w:rsidRPr="00E50E90" w:rsidRDefault="005F3103" w:rsidP="00543A92">
      <w:pPr>
        <w:pStyle w:val="ListParagraph"/>
        <w:numPr>
          <w:ilvl w:val="0"/>
          <w:numId w:val="42"/>
        </w:num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Mejorar la interacción con nuestros aspirantes.</w:t>
      </w:r>
    </w:p>
    <w:p w14:paraId="41C1E255" w14:textId="77777777" w:rsidR="005F3103" w:rsidRPr="00E50E90" w:rsidRDefault="005F3103" w:rsidP="00543A92">
      <w:pPr>
        <w:pStyle w:val="ListParagraph"/>
        <w:numPr>
          <w:ilvl w:val="0"/>
          <w:numId w:val="42"/>
        </w:num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Enviar notificación de requerimiento de documentos.</w:t>
      </w:r>
    </w:p>
    <w:p w14:paraId="4614BDAE" w14:textId="77777777" w:rsidR="005F3103" w:rsidRPr="00E50E90" w:rsidRDefault="005F3103" w:rsidP="00543A92">
      <w:pPr>
        <w:pStyle w:val="ListParagraph"/>
        <w:numPr>
          <w:ilvl w:val="0"/>
          <w:numId w:val="42"/>
        </w:num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Presentación de oferta laboral del personal seleccionado para ingreso.</w:t>
      </w:r>
    </w:p>
    <w:p w14:paraId="1968B46E" w14:textId="1B290FDE" w:rsidR="005F3103" w:rsidRPr="00E50E90" w:rsidRDefault="005F3103" w:rsidP="00543A92">
      <w:pPr>
        <w:pStyle w:val="ListParagraph"/>
        <w:numPr>
          <w:ilvl w:val="0"/>
          <w:numId w:val="42"/>
        </w:num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Reducir la recepción de documentos físicos y mantener actualizado el registro de potenciales perfiles en nuestra base de datos interna.</w:t>
      </w:r>
    </w:p>
    <w:p w14:paraId="580427C0" w14:textId="269CA326" w:rsidR="005F3103" w:rsidRPr="00E50E90" w:rsidRDefault="005F3103" w:rsidP="00543A92">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lastRenderedPageBreak/>
        <w:t>Elaboración de un informe de brechas para capacitación, dirigido a la División de Capacitación y Adiestramiento y dependencias del Banco, con la finalidad de favorecer la revisión periódica de los conocimientos definidos en los Perfiles de los Puestos e identificar un plan de capacitación y desarrollo alineado con los requerimientos del puesto que ocupa el empleado.</w:t>
      </w:r>
    </w:p>
    <w:p w14:paraId="700BA4EF" w14:textId="172640A3" w:rsidR="005F3103" w:rsidRPr="00E50E90" w:rsidRDefault="005F3103" w:rsidP="00543A92">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Implementación del software interno “Pruebas de Conocimientos Generales y Especificas para personal de nuevo ingreso y promoción interna”, desarrollado para identificar con mayor objetividad los conocimientos específicos de candidatos o empleados de la Institución, que están siendo considerados para ocupar un puesto vacante.</w:t>
      </w:r>
    </w:p>
    <w:p w14:paraId="24E8733F" w14:textId="1D0689B4" w:rsidR="005F3103" w:rsidRPr="00E50E90" w:rsidRDefault="005F3103" w:rsidP="00543A92">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Este software interno está siendo utilizado para la evaluación de periodo probatorio, con la finalidad de conocer el grado de adaptabilidad del personal que ingresa al Banco, nivel de acercamiento a la cultura y valores de la Institución, al concluir su periodo de prueba de tres (3) meses.</w:t>
      </w:r>
    </w:p>
    <w:p w14:paraId="2017FE43" w14:textId="062CCF0F" w:rsidR="005F3103" w:rsidRPr="00E50E90" w:rsidRDefault="005F3103" w:rsidP="00543A92">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Proyecto actualización y automatización del proceso de evaluación psicométrica, a través de una herramienta web que permitirá eficientizar la identificación y captación del personal idóneo, a través de la medición de las competencias, conocimientos, habilidades y capacidades identificadas en los requerimientos de los perfiles de puesto.</w:t>
      </w:r>
    </w:p>
    <w:p w14:paraId="3EC7CFDD" w14:textId="3CEE6841" w:rsidR="005F3103" w:rsidRPr="00E50E90" w:rsidRDefault="005F3103" w:rsidP="00543A92">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En adición al Programa de Inducción impartido por la división de Reclutamiento y Selección, con el apoyo del Departamento de Ciberseguridad, gestionamos charlas de sensibilización dirigidas al personal de nuevo ingreso, para brindar una adecuada educación, sobre las políticas, procedimientos y Norma ISO 27001 del sistema de Gestión de seguridad de la Información.</w:t>
      </w:r>
    </w:p>
    <w:p w14:paraId="2C8C2B13" w14:textId="7556DA93" w:rsidR="0087558E" w:rsidRPr="00E50E90" w:rsidRDefault="005F3103" w:rsidP="00683C48">
      <w:pPr>
        <w:spacing w:line="360" w:lineRule="auto"/>
        <w:jc w:val="both"/>
        <w:rPr>
          <w:rFonts w:ascii="Times New Roman" w:eastAsiaTheme="majorEastAsia" w:hAnsi="Times New Roman" w:cs="Times New Roman"/>
          <w:color w:val="4C4747"/>
          <w:sz w:val="24"/>
          <w:szCs w:val="24"/>
        </w:rPr>
      </w:pPr>
      <w:r w:rsidRPr="00E50E90">
        <w:rPr>
          <w:rFonts w:ascii="Times New Roman" w:eastAsiaTheme="majorEastAsia" w:hAnsi="Times New Roman" w:cs="Times New Roman"/>
          <w:color w:val="4C4747"/>
          <w:sz w:val="24"/>
          <w:szCs w:val="24"/>
        </w:rPr>
        <w:t xml:space="preserve">En el periodo 2022-2023 apoyamos al Departamento de Cuentas Nacionales y Estadísticas Económicas de esta Institución en el proceso de contratación del personal a participar en la Encuesta Nacional de las Micro, Pequeña y Mediana </w:t>
      </w:r>
      <w:r w:rsidRPr="00E50E90">
        <w:rPr>
          <w:rFonts w:ascii="Times New Roman" w:eastAsiaTheme="majorEastAsia" w:hAnsi="Times New Roman" w:cs="Times New Roman"/>
          <w:color w:val="4C4747"/>
          <w:sz w:val="24"/>
          <w:szCs w:val="24"/>
        </w:rPr>
        <w:lastRenderedPageBreak/>
        <w:t>Empresas (ENMIPYMES), en coordinación con el Ministerio de Industria, Comercio y MIPYMES (MICM) para identificar y ubicar mediante un barrido censal los distintos establecimientos económicos formales e informales clasificados como MIPYMES por provincias y segmentarlos según su actividad económica.</w:t>
      </w:r>
    </w:p>
    <w:p w14:paraId="68407C0D" w14:textId="77777777" w:rsidR="005F3103" w:rsidRPr="00683C48" w:rsidRDefault="005F3103" w:rsidP="005F3103">
      <w:pPr>
        <w:spacing w:line="360" w:lineRule="auto"/>
        <w:contextualSpacing/>
        <w:jc w:val="both"/>
        <w:rPr>
          <w:rFonts w:ascii="Times New Roman" w:eastAsia="Arial Unicode MS" w:hAnsi="Times New Roman" w:cs="Times New Roman"/>
          <w:b/>
          <w:bCs/>
          <w:color w:val="4C4747"/>
          <w:sz w:val="24"/>
          <w:szCs w:val="24"/>
          <w:lang w:val="es-ES"/>
        </w:rPr>
      </w:pPr>
      <w:r w:rsidRPr="00683C48">
        <w:rPr>
          <w:rFonts w:ascii="Times New Roman" w:eastAsia="Arial Unicode MS" w:hAnsi="Times New Roman" w:cs="Times New Roman"/>
          <w:b/>
          <w:bCs/>
          <w:color w:val="4C4747"/>
          <w:sz w:val="24"/>
          <w:szCs w:val="24"/>
          <w:lang w:val="es-ES"/>
        </w:rPr>
        <w:t>Subdirección de Desarrollo de Personal</w:t>
      </w:r>
    </w:p>
    <w:p w14:paraId="0CE3FBEE" w14:textId="77777777" w:rsidR="005F3103" w:rsidRPr="005F3103" w:rsidRDefault="005F3103" w:rsidP="005F3103">
      <w:pPr>
        <w:spacing w:line="360" w:lineRule="auto"/>
        <w:contextualSpacing/>
        <w:jc w:val="both"/>
        <w:rPr>
          <w:rFonts w:ascii="Times New Roman" w:eastAsia="Arial Unicode MS" w:hAnsi="Times New Roman" w:cs="Times New Roman"/>
          <w:b/>
          <w:i/>
          <w:sz w:val="24"/>
          <w:szCs w:val="24"/>
          <w:u w:val="single"/>
          <w:lang w:val="es-ES"/>
        </w:rPr>
      </w:pPr>
    </w:p>
    <w:p w14:paraId="60DF2254" w14:textId="60040B69" w:rsidR="005F3103" w:rsidRPr="00E50E90" w:rsidRDefault="005F3103" w:rsidP="00683C48">
      <w:pPr>
        <w:spacing w:line="360" w:lineRule="auto"/>
        <w:contextualSpacing/>
        <w:jc w:val="both"/>
        <w:rPr>
          <w:rFonts w:ascii="Times New Roman" w:eastAsia="Arial Unicode MS" w:hAnsi="Times New Roman" w:cs="Times New Roman"/>
          <w:color w:val="4C4747"/>
          <w:sz w:val="24"/>
          <w:szCs w:val="24"/>
          <w:lang w:val="es-ES"/>
        </w:rPr>
      </w:pPr>
      <w:r w:rsidRPr="00E50E90">
        <w:rPr>
          <w:rFonts w:ascii="Times New Roman" w:eastAsia="Arial Unicode MS" w:hAnsi="Times New Roman" w:cs="Times New Roman"/>
          <w:color w:val="4C4747"/>
          <w:sz w:val="24"/>
          <w:szCs w:val="24"/>
          <w:lang w:val="es-ES"/>
        </w:rPr>
        <w:t>El Plan de Capacitación del Banco Central de la República Dominicana, se ejecuta para el personal activo, que labora en la Institución. La ejecución de todas las actividades formativas contenidas en este plan, están sujetas a las decisiones emanadas del Comité de Administración de Recursos Humanos, las cuales quedan registradas en sus correspondientes actas y resoluciones.</w:t>
      </w:r>
    </w:p>
    <w:p w14:paraId="16369E21" w14:textId="77777777" w:rsidR="00683C48" w:rsidRPr="00E50E90" w:rsidRDefault="00683C48" w:rsidP="00683C48">
      <w:pPr>
        <w:spacing w:line="360" w:lineRule="auto"/>
        <w:contextualSpacing/>
        <w:jc w:val="both"/>
        <w:rPr>
          <w:rFonts w:ascii="Times New Roman" w:eastAsia="Arial Unicode MS" w:hAnsi="Times New Roman" w:cs="Times New Roman"/>
          <w:color w:val="4C4747"/>
          <w:sz w:val="24"/>
          <w:szCs w:val="24"/>
          <w:lang w:val="es-ES"/>
        </w:rPr>
      </w:pPr>
    </w:p>
    <w:p w14:paraId="6B34D61E" w14:textId="77777777" w:rsidR="005F3103" w:rsidRPr="00E50E90" w:rsidRDefault="005F3103" w:rsidP="00683C48">
      <w:pPr>
        <w:spacing w:line="360" w:lineRule="auto"/>
        <w:contextualSpacing/>
        <w:jc w:val="both"/>
        <w:rPr>
          <w:rFonts w:ascii="Times New Roman" w:eastAsia="Times New Roman" w:hAnsi="Times New Roman" w:cs="Times New Roman"/>
          <w:color w:val="4C4747"/>
          <w:sz w:val="24"/>
          <w:szCs w:val="24"/>
          <w:lang w:val="es-ES"/>
        </w:rPr>
      </w:pPr>
      <w:r w:rsidRPr="00E50E90">
        <w:rPr>
          <w:rFonts w:ascii="Times New Roman" w:eastAsia="Times New Roman" w:hAnsi="Times New Roman" w:cs="Times New Roman"/>
          <w:color w:val="4C4747"/>
          <w:sz w:val="24"/>
          <w:szCs w:val="24"/>
          <w:lang w:val="es-ES"/>
        </w:rPr>
        <w:t>La División de Capacitación y Adiestramiento continúa trabajando con el análisis y trámite de las solicitudes de participación de funcionarios y/o empleados en actividades formativas, tanto dentro como fuera del país, tomando en consideración las necesidades de capacitación que presentan los distintos departamentos y justificaciones indicadas por los mismos.</w:t>
      </w:r>
    </w:p>
    <w:p w14:paraId="6507226D" w14:textId="77777777" w:rsidR="005F3103" w:rsidRPr="00E50E90" w:rsidRDefault="005F3103" w:rsidP="00683C48">
      <w:pPr>
        <w:spacing w:line="360" w:lineRule="auto"/>
        <w:contextualSpacing/>
        <w:jc w:val="both"/>
        <w:rPr>
          <w:rFonts w:ascii="Times New Roman" w:eastAsia="Arial Unicode MS" w:hAnsi="Times New Roman" w:cs="Times New Roman"/>
          <w:color w:val="4C4747"/>
          <w:sz w:val="24"/>
          <w:szCs w:val="24"/>
          <w:lang w:val="es-ES"/>
        </w:rPr>
      </w:pPr>
    </w:p>
    <w:p w14:paraId="5DC08E3B" w14:textId="77777777" w:rsidR="005F3103" w:rsidRPr="00E50E90" w:rsidRDefault="005F3103" w:rsidP="00683C48">
      <w:pPr>
        <w:spacing w:line="360" w:lineRule="auto"/>
        <w:contextualSpacing/>
        <w:jc w:val="both"/>
        <w:rPr>
          <w:rFonts w:ascii="Times New Roman" w:eastAsia="Times New Roman" w:hAnsi="Times New Roman" w:cs="Times New Roman"/>
          <w:color w:val="4C4747"/>
          <w:sz w:val="24"/>
          <w:szCs w:val="24"/>
          <w:lang w:val="es-ES"/>
        </w:rPr>
      </w:pPr>
      <w:r w:rsidRPr="00E50E90">
        <w:rPr>
          <w:rFonts w:ascii="Times New Roman" w:eastAsia="Times New Roman" w:hAnsi="Times New Roman" w:cs="Times New Roman"/>
          <w:color w:val="4C4747"/>
          <w:sz w:val="24"/>
          <w:szCs w:val="24"/>
          <w:lang w:val="es-ES"/>
        </w:rPr>
        <w:t xml:space="preserve">Brindamos especial atención a las actividades formativas grupales dirigidas al personal que necesita fortalecer sus competencias laborales, detectadas mediante el proceso de evaluación de desempeño y del levantamiento de necesidades anteriormente mencionado. </w:t>
      </w:r>
    </w:p>
    <w:p w14:paraId="3F1D5715" w14:textId="77777777" w:rsidR="005F3103" w:rsidRPr="00E50E90" w:rsidRDefault="005F3103" w:rsidP="00683C48">
      <w:pPr>
        <w:spacing w:line="360" w:lineRule="auto"/>
        <w:contextualSpacing/>
        <w:jc w:val="both"/>
        <w:rPr>
          <w:rFonts w:ascii="Times New Roman" w:eastAsia="Times New Roman" w:hAnsi="Times New Roman" w:cs="Times New Roman"/>
          <w:color w:val="4C4747"/>
          <w:sz w:val="24"/>
          <w:szCs w:val="24"/>
          <w:lang w:val="es-ES"/>
        </w:rPr>
      </w:pPr>
    </w:p>
    <w:p w14:paraId="2E92FB7C" w14:textId="42B99EBC" w:rsidR="00072286" w:rsidRPr="00E50E90" w:rsidRDefault="005F3103" w:rsidP="00683C48">
      <w:pPr>
        <w:spacing w:line="360" w:lineRule="auto"/>
        <w:contextualSpacing/>
        <w:jc w:val="both"/>
        <w:rPr>
          <w:rFonts w:ascii="Times New Roman" w:eastAsia="Times New Roman" w:hAnsi="Times New Roman" w:cs="Times New Roman"/>
          <w:color w:val="4C4747"/>
          <w:sz w:val="24"/>
          <w:szCs w:val="24"/>
          <w:lang w:val="es-ES"/>
        </w:rPr>
      </w:pPr>
      <w:r w:rsidRPr="00E50E90">
        <w:rPr>
          <w:rFonts w:ascii="Times New Roman" w:eastAsia="Times New Roman" w:hAnsi="Times New Roman" w:cs="Times New Roman"/>
          <w:color w:val="4C4747"/>
          <w:sz w:val="24"/>
          <w:szCs w:val="24"/>
          <w:lang w:val="es-ES"/>
        </w:rPr>
        <w:t>Damos continuidad a los análisis y trámite de las solicitudes de participación de funcionarios y/o empleados en programas de estudios de postgrados, maestrías y doctorados en el país, tomando en consideración las sugerencias y justificaciones indicadas por las distintas direcciones departamentales, priorizando las actividades virtuales y progresivamente, las presenciales.</w:t>
      </w:r>
    </w:p>
    <w:p w14:paraId="660B6DEF" w14:textId="77777777" w:rsidR="00072286" w:rsidRPr="00E50E90" w:rsidRDefault="00072286" w:rsidP="00683C48">
      <w:pPr>
        <w:spacing w:line="360" w:lineRule="auto"/>
        <w:contextualSpacing/>
        <w:jc w:val="both"/>
        <w:rPr>
          <w:rFonts w:ascii="Times New Roman" w:eastAsia="Times New Roman" w:hAnsi="Times New Roman" w:cs="Times New Roman"/>
          <w:color w:val="4C4747"/>
          <w:sz w:val="24"/>
          <w:szCs w:val="24"/>
          <w:lang w:val="es-ES"/>
        </w:rPr>
      </w:pPr>
    </w:p>
    <w:p w14:paraId="70B377C3" w14:textId="77777777" w:rsidR="005F3103" w:rsidRPr="00E50E90" w:rsidRDefault="005F3103" w:rsidP="00683C48">
      <w:pPr>
        <w:spacing w:line="360" w:lineRule="auto"/>
        <w:contextualSpacing/>
        <w:jc w:val="both"/>
        <w:rPr>
          <w:rFonts w:ascii="Times New Roman" w:eastAsia="Times New Roman" w:hAnsi="Times New Roman" w:cs="Times New Roman"/>
          <w:color w:val="4C4747"/>
          <w:sz w:val="24"/>
          <w:szCs w:val="24"/>
          <w:lang w:val="es-ES"/>
        </w:rPr>
      </w:pPr>
      <w:r w:rsidRPr="00E50E90">
        <w:rPr>
          <w:rFonts w:ascii="Times New Roman" w:eastAsia="Times New Roman" w:hAnsi="Times New Roman" w:cs="Times New Roman"/>
          <w:color w:val="4C4747"/>
          <w:sz w:val="24"/>
          <w:szCs w:val="24"/>
          <w:lang w:val="es-ES"/>
        </w:rPr>
        <w:t xml:space="preserve">En los casos de estudios ofrecidos por universidades y altos centros académicos en el extranjero, continuamos considerando favorablemente aquellos programas de estudio que cuenten con financiamiento total o parcial de sus costos por parte de organismos externos y que constituyan fuentes de conocimiento para enriquecer las funciones de nuestros empleados, lo que a su vez se traduce en un fortalecimiento de la gestión estratégica de nuestra Institución. </w:t>
      </w:r>
    </w:p>
    <w:p w14:paraId="30066AC1" w14:textId="77777777" w:rsidR="005F3103" w:rsidRPr="00E50E90" w:rsidRDefault="005F3103" w:rsidP="00683C48">
      <w:pPr>
        <w:spacing w:line="360" w:lineRule="auto"/>
        <w:contextualSpacing/>
        <w:jc w:val="both"/>
        <w:rPr>
          <w:rFonts w:ascii="Times New Roman" w:eastAsia="Times New Roman" w:hAnsi="Times New Roman" w:cs="Times New Roman"/>
          <w:color w:val="4C4747"/>
          <w:sz w:val="24"/>
          <w:szCs w:val="24"/>
          <w:lang w:val="es-ES"/>
        </w:rPr>
      </w:pPr>
    </w:p>
    <w:p w14:paraId="06EE0B60" w14:textId="5734C713" w:rsidR="00072286" w:rsidRPr="00E50E90" w:rsidRDefault="005F3103" w:rsidP="00683C48">
      <w:pPr>
        <w:spacing w:line="360" w:lineRule="auto"/>
        <w:contextualSpacing/>
        <w:jc w:val="both"/>
        <w:rPr>
          <w:rFonts w:ascii="Times New Roman" w:eastAsia="Times New Roman" w:hAnsi="Times New Roman" w:cs="Times New Roman"/>
          <w:color w:val="4C4747"/>
          <w:sz w:val="24"/>
          <w:szCs w:val="24"/>
          <w:lang w:val="es-ES"/>
        </w:rPr>
      </w:pPr>
      <w:r w:rsidRPr="00E50E90">
        <w:rPr>
          <w:rFonts w:ascii="Times New Roman" w:eastAsia="Times New Roman" w:hAnsi="Times New Roman" w:cs="Times New Roman"/>
          <w:color w:val="4C4747"/>
          <w:sz w:val="24"/>
          <w:szCs w:val="24"/>
          <w:lang w:val="es-ES"/>
        </w:rPr>
        <w:t>A continuación, se presenta un desglose de la cantidad de empleados capacitados por departamentos, control de la gestión de capacitación y el total de los entrenamientos realizados del 2 de enero al 30 de noviembre de 2023.</w:t>
      </w:r>
    </w:p>
    <w:p w14:paraId="5C57D995" w14:textId="68D4CF6F" w:rsidR="00072286" w:rsidRDefault="00072286" w:rsidP="005F3103">
      <w:pPr>
        <w:spacing w:line="360" w:lineRule="auto"/>
        <w:ind w:firstLine="720"/>
        <w:rPr>
          <w:rFonts w:ascii="Times New Roman" w:eastAsia="Calibri" w:hAnsi="Times New Roman" w:cs="Times New Roman"/>
          <w:b/>
          <w:color w:val="767171"/>
          <w:spacing w:val="20"/>
          <w:sz w:val="24"/>
          <w:szCs w:val="24"/>
          <w:lang w:val="es-ES"/>
        </w:rPr>
      </w:pPr>
    </w:p>
    <w:p w14:paraId="6653CD5E" w14:textId="77777777" w:rsidR="005F3103" w:rsidRPr="0087558E" w:rsidRDefault="005F3103" w:rsidP="005F3103">
      <w:pPr>
        <w:spacing w:line="360" w:lineRule="auto"/>
        <w:contextualSpacing/>
        <w:jc w:val="center"/>
        <w:rPr>
          <w:rFonts w:ascii="Times New Roman" w:eastAsia="Calibri" w:hAnsi="Times New Roman" w:cs="Times New Roman"/>
          <w:spacing w:val="20"/>
          <w:sz w:val="24"/>
          <w:szCs w:val="24"/>
          <w:lang w:val="es-ES"/>
        </w:rPr>
      </w:pPr>
      <w:r w:rsidRPr="0087558E">
        <w:rPr>
          <w:rFonts w:ascii="Times New Roman" w:eastAsia="Calibri" w:hAnsi="Times New Roman" w:cs="Times New Roman"/>
          <w:spacing w:val="20"/>
          <w:sz w:val="24"/>
          <w:szCs w:val="24"/>
          <w:lang w:val="es-ES"/>
        </w:rPr>
        <w:t>Empleados capacitados</w:t>
      </w:r>
    </w:p>
    <w:p w14:paraId="37FA71FB" w14:textId="77777777" w:rsidR="005F3103" w:rsidRPr="0087558E" w:rsidRDefault="005F3103" w:rsidP="005F3103">
      <w:pPr>
        <w:spacing w:line="360" w:lineRule="auto"/>
        <w:jc w:val="center"/>
        <w:rPr>
          <w:rFonts w:ascii="Times New Roman" w:eastAsia="Calibri" w:hAnsi="Times New Roman" w:cs="Times New Roman"/>
          <w:spacing w:val="20"/>
          <w:sz w:val="24"/>
          <w:szCs w:val="24"/>
          <w:lang w:val="es-ES"/>
        </w:rPr>
      </w:pPr>
      <w:r w:rsidRPr="0087558E">
        <w:rPr>
          <w:rFonts w:ascii="Times New Roman" w:eastAsia="Calibri" w:hAnsi="Times New Roman" w:cs="Times New Roman"/>
          <w:spacing w:val="20"/>
          <w:sz w:val="24"/>
          <w:szCs w:val="24"/>
          <w:lang w:val="es-ES"/>
        </w:rPr>
        <w:t xml:space="preserve">Enero - </w:t>
      </w:r>
      <w:proofErr w:type="gramStart"/>
      <w:r w:rsidRPr="0087558E">
        <w:rPr>
          <w:rFonts w:ascii="Times New Roman" w:eastAsia="Calibri" w:hAnsi="Times New Roman" w:cs="Times New Roman"/>
          <w:spacing w:val="20"/>
          <w:sz w:val="24"/>
          <w:szCs w:val="24"/>
          <w:lang w:val="es-ES"/>
        </w:rPr>
        <w:t>Noviembre</w:t>
      </w:r>
      <w:proofErr w:type="gramEnd"/>
      <w:r w:rsidRPr="0087558E">
        <w:rPr>
          <w:rFonts w:ascii="Times New Roman" w:eastAsia="Calibri" w:hAnsi="Times New Roman" w:cs="Times New Roman"/>
          <w:spacing w:val="20"/>
          <w:sz w:val="24"/>
          <w:szCs w:val="24"/>
          <w:lang w:val="es-ES"/>
        </w:rPr>
        <w:t xml:space="preserve"> 2023</w:t>
      </w:r>
    </w:p>
    <w:tbl>
      <w:tblPr>
        <w:tblW w:w="0" w:type="auto"/>
        <w:jc w:val="center"/>
        <w:tblCellMar>
          <w:left w:w="70" w:type="dxa"/>
          <w:right w:w="70" w:type="dxa"/>
        </w:tblCellMar>
        <w:tblLook w:val="04A0" w:firstRow="1" w:lastRow="0" w:firstColumn="1" w:lastColumn="0" w:noHBand="0" w:noVBand="1"/>
      </w:tblPr>
      <w:tblGrid>
        <w:gridCol w:w="2667"/>
        <w:gridCol w:w="2607"/>
      </w:tblGrid>
      <w:tr w:rsidR="005F3103" w:rsidRPr="0087558E" w14:paraId="006388E1" w14:textId="77777777" w:rsidTr="00F94B59">
        <w:trPr>
          <w:trHeight w:val="354"/>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1DF37411" w14:textId="77777777" w:rsidR="005F3103" w:rsidRPr="0087558E" w:rsidRDefault="005F3103" w:rsidP="005F3103">
            <w:pPr>
              <w:spacing w:line="360" w:lineRule="auto"/>
              <w:jc w:val="both"/>
              <w:rPr>
                <w:rFonts w:ascii="Times New Roman" w:eastAsia="Calibri" w:hAnsi="Times New Roman" w:cs="Times New Roman"/>
                <w:spacing w:val="20"/>
                <w:sz w:val="24"/>
                <w:szCs w:val="24"/>
                <w:lang w:val="es-ES"/>
              </w:rPr>
            </w:pPr>
            <w:r w:rsidRPr="0087558E">
              <w:rPr>
                <w:rFonts w:ascii="Times New Roman" w:eastAsia="Calibri" w:hAnsi="Times New Roman" w:cs="Times New Roman"/>
                <w:spacing w:val="20"/>
                <w:sz w:val="24"/>
                <w:szCs w:val="24"/>
                <w:lang w:val="es-ES"/>
              </w:rPr>
              <w:t>Código-Departamento</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1FB86766" w14:textId="77777777" w:rsidR="005F3103" w:rsidRPr="0087558E" w:rsidRDefault="005F3103" w:rsidP="005F3103">
            <w:pPr>
              <w:spacing w:line="360" w:lineRule="auto"/>
              <w:jc w:val="both"/>
              <w:rPr>
                <w:rFonts w:ascii="Times New Roman" w:eastAsia="Calibri" w:hAnsi="Times New Roman" w:cs="Times New Roman"/>
                <w:spacing w:val="20"/>
                <w:sz w:val="24"/>
                <w:szCs w:val="24"/>
                <w:lang w:val="es-ES"/>
              </w:rPr>
            </w:pPr>
            <w:r w:rsidRPr="0087558E">
              <w:rPr>
                <w:rFonts w:ascii="Times New Roman" w:eastAsia="Calibri" w:hAnsi="Times New Roman" w:cs="Times New Roman"/>
                <w:spacing w:val="20"/>
                <w:sz w:val="24"/>
                <w:szCs w:val="24"/>
                <w:lang w:val="es-ES"/>
              </w:rPr>
              <w:t>Cantidad de Personas</w:t>
            </w:r>
          </w:p>
        </w:tc>
      </w:tr>
      <w:tr w:rsidR="005F3103" w:rsidRPr="0087558E" w14:paraId="71BFF9DB" w14:textId="77777777" w:rsidTr="00F94B59">
        <w:trPr>
          <w:trHeight w:val="354"/>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0586C488"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0101</w:t>
            </w:r>
          </w:p>
        </w:tc>
        <w:tc>
          <w:tcPr>
            <w:tcW w:w="0" w:type="auto"/>
            <w:tcBorders>
              <w:top w:val="nil"/>
              <w:left w:val="nil"/>
              <w:bottom w:val="single" w:sz="12" w:space="0" w:color="1F4E79"/>
              <w:right w:val="single" w:sz="12" w:space="0" w:color="1F4E79"/>
            </w:tcBorders>
            <w:shd w:val="clear" w:color="auto" w:fill="auto"/>
            <w:vAlign w:val="center"/>
            <w:hideMark/>
          </w:tcPr>
          <w:p w14:paraId="1E2E5001"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5</w:t>
            </w:r>
          </w:p>
        </w:tc>
      </w:tr>
      <w:tr w:rsidR="005F3103" w:rsidRPr="0087558E" w14:paraId="501E6A6A" w14:textId="77777777" w:rsidTr="00F94B59">
        <w:trPr>
          <w:trHeight w:val="354"/>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6CE1491E"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0201</w:t>
            </w:r>
          </w:p>
        </w:tc>
        <w:tc>
          <w:tcPr>
            <w:tcW w:w="0" w:type="auto"/>
            <w:tcBorders>
              <w:top w:val="nil"/>
              <w:left w:val="nil"/>
              <w:bottom w:val="single" w:sz="12" w:space="0" w:color="1F4E79"/>
              <w:right w:val="single" w:sz="12" w:space="0" w:color="1F4E79"/>
            </w:tcBorders>
            <w:shd w:val="clear" w:color="auto" w:fill="auto"/>
            <w:vAlign w:val="center"/>
            <w:hideMark/>
          </w:tcPr>
          <w:p w14:paraId="19BF048E"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0</w:t>
            </w:r>
          </w:p>
        </w:tc>
      </w:tr>
      <w:tr w:rsidR="005F3103" w:rsidRPr="0087558E" w14:paraId="2B3E7A58"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39E55281"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0301</w:t>
            </w:r>
          </w:p>
        </w:tc>
        <w:tc>
          <w:tcPr>
            <w:tcW w:w="0" w:type="auto"/>
            <w:tcBorders>
              <w:top w:val="nil"/>
              <w:left w:val="nil"/>
              <w:bottom w:val="single" w:sz="12" w:space="0" w:color="1F4E79"/>
              <w:right w:val="single" w:sz="12" w:space="0" w:color="1F4E79"/>
            </w:tcBorders>
            <w:shd w:val="clear" w:color="auto" w:fill="auto"/>
            <w:vAlign w:val="center"/>
            <w:hideMark/>
          </w:tcPr>
          <w:p w14:paraId="2D9AEB37"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10</w:t>
            </w:r>
          </w:p>
        </w:tc>
      </w:tr>
      <w:tr w:rsidR="005F3103" w:rsidRPr="0087558E" w14:paraId="5D52573B"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16E841E3"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0401</w:t>
            </w:r>
          </w:p>
        </w:tc>
        <w:tc>
          <w:tcPr>
            <w:tcW w:w="0" w:type="auto"/>
            <w:tcBorders>
              <w:top w:val="nil"/>
              <w:left w:val="nil"/>
              <w:bottom w:val="single" w:sz="12" w:space="0" w:color="1F4E79"/>
              <w:right w:val="single" w:sz="12" w:space="0" w:color="1F4E79"/>
            </w:tcBorders>
            <w:shd w:val="clear" w:color="auto" w:fill="auto"/>
            <w:vAlign w:val="center"/>
            <w:hideMark/>
          </w:tcPr>
          <w:p w14:paraId="6734529E"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8</w:t>
            </w:r>
          </w:p>
        </w:tc>
      </w:tr>
      <w:tr w:rsidR="005F3103" w:rsidRPr="0087558E" w14:paraId="51608A03"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3AE9587D"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0501</w:t>
            </w:r>
          </w:p>
        </w:tc>
        <w:tc>
          <w:tcPr>
            <w:tcW w:w="0" w:type="auto"/>
            <w:tcBorders>
              <w:top w:val="nil"/>
              <w:left w:val="nil"/>
              <w:bottom w:val="single" w:sz="12" w:space="0" w:color="1F4E79"/>
              <w:right w:val="single" w:sz="12" w:space="0" w:color="1F4E79"/>
            </w:tcBorders>
            <w:shd w:val="clear" w:color="auto" w:fill="auto"/>
            <w:vAlign w:val="center"/>
            <w:hideMark/>
          </w:tcPr>
          <w:p w14:paraId="24F47606"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9</w:t>
            </w:r>
          </w:p>
        </w:tc>
      </w:tr>
      <w:tr w:rsidR="005F3103" w:rsidRPr="0087558E" w14:paraId="720B93B5"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7F9B7A04"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0601</w:t>
            </w:r>
          </w:p>
        </w:tc>
        <w:tc>
          <w:tcPr>
            <w:tcW w:w="0" w:type="auto"/>
            <w:tcBorders>
              <w:top w:val="nil"/>
              <w:left w:val="nil"/>
              <w:bottom w:val="single" w:sz="12" w:space="0" w:color="1F4E79"/>
              <w:right w:val="single" w:sz="12" w:space="0" w:color="1F4E79"/>
            </w:tcBorders>
            <w:shd w:val="clear" w:color="auto" w:fill="auto"/>
            <w:vAlign w:val="center"/>
          </w:tcPr>
          <w:p w14:paraId="0AA4DEFF"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14</w:t>
            </w:r>
          </w:p>
        </w:tc>
      </w:tr>
      <w:tr w:rsidR="005F3103" w:rsidRPr="0087558E" w14:paraId="5B397DA4"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412E7400"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0701</w:t>
            </w:r>
          </w:p>
        </w:tc>
        <w:tc>
          <w:tcPr>
            <w:tcW w:w="0" w:type="auto"/>
            <w:tcBorders>
              <w:top w:val="nil"/>
              <w:left w:val="nil"/>
              <w:bottom w:val="single" w:sz="12" w:space="0" w:color="1F4E79"/>
              <w:right w:val="single" w:sz="12" w:space="0" w:color="1F4E79"/>
            </w:tcBorders>
            <w:shd w:val="clear" w:color="auto" w:fill="auto"/>
            <w:vAlign w:val="center"/>
          </w:tcPr>
          <w:p w14:paraId="2E24F78C"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8</w:t>
            </w:r>
          </w:p>
        </w:tc>
      </w:tr>
      <w:tr w:rsidR="005F3103" w:rsidRPr="0087558E" w14:paraId="5042613B" w14:textId="77777777" w:rsidTr="00F94B59">
        <w:trPr>
          <w:trHeight w:val="396"/>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4795D6DE"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0801</w:t>
            </w:r>
          </w:p>
        </w:tc>
        <w:tc>
          <w:tcPr>
            <w:tcW w:w="0" w:type="auto"/>
            <w:tcBorders>
              <w:top w:val="nil"/>
              <w:left w:val="nil"/>
              <w:bottom w:val="single" w:sz="12" w:space="0" w:color="1F4E79"/>
              <w:right w:val="single" w:sz="12" w:space="0" w:color="1F4E79"/>
            </w:tcBorders>
            <w:shd w:val="clear" w:color="auto" w:fill="auto"/>
            <w:vAlign w:val="center"/>
          </w:tcPr>
          <w:p w14:paraId="5A60D7C4"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12</w:t>
            </w:r>
          </w:p>
        </w:tc>
      </w:tr>
      <w:tr w:rsidR="005F3103" w:rsidRPr="0087558E" w14:paraId="46A99B80"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1D98E4E9"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lastRenderedPageBreak/>
              <w:t>0901</w:t>
            </w:r>
          </w:p>
        </w:tc>
        <w:tc>
          <w:tcPr>
            <w:tcW w:w="0" w:type="auto"/>
            <w:tcBorders>
              <w:top w:val="nil"/>
              <w:left w:val="nil"/>
              <w:bottom w:val="single" w:sz="12" w:space="0" w:color="1F4E79"/>
              <w:right w:val="single" w:sz="12" w:space="0" w:color="1F4E79"/>
            </w:tcBorders>
            <w:shd w:val="clear" w:color="auto" w:fill="auto"/>
            <w:vAlign w:val="center"/>
          </w:tcPr>
          <w:p w14:paraId="0D927545"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67</w:t>
            </w:r>
          </w:p>
        </w:tc>
      </w:tr>
      <w:tr w:rsidR="005F3103" w:rsidRPr="0087558E" w14:paraId="729148A7"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73BF699E"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1001</w:t>
            </w:r>
          </w:p>
        </w:tc>
        <w:tc>
          <w:tcPr>
            <w:tcW w:w="0" w:type="auto"/>
            <w:tcBorders>
              <w:top w:val="nil"/>
              <w:left w:val="nil"/>
              <w:bottom w:val="single" w:sz="12" w:space="0" w:color="1F4E79"/>
              <w:right w:val="single" w:sz="12" w:space="0" w:color="1F4E79"/>
            </w:tcBorders>
            <w:shd w:val="clear" w:color="auto" w:fill="auto"/>
            <w:vAlign w:val="center"/>
          </w:tcPr>
          <w:p w14:paraId="1143D6BA"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26</w:t>
            </w:r>
          </w:p>
        </w:tc>
      </w:tr>
      <w:tr w:rsidR="005F3103" w:rsidRPr="0087558E" w14:paraId="05DBD9DF"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4A9D1984"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1101</w:t>
            </w:r>
          </w:p>
        </w:tc>
        <w:tc>
          <w:tcPr>
            <w:tcW w:w="0" w:type="auto"/>
            <w:tcBorders>
              <w:top w:val="nil"/>
              <w:left w:val="nil"/>
              <w:bottom w:val="single" w:sz="12" w:space="0" w:color="1F4E79"/>
              <w:right w:val="single" w:sz="12" w:space="0" w:color="1F4E79"/>
            </w:tcBorders>
            <w:shd w:val="clear" w:color="auto" w:fill="auto"/>
            <w:vAlign w:val="center"/>
          </w:tcPr>
          <w:p w14:paraId="07E8B7B2"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11</w:t>
            </w:r>
          </w:p>
        </w:tc>
      </w:tr>
      <w:tr w:rsidR="005F3103" w:rsidRPr="0087558E" w14:paraId="4D474FDB"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5E41E7F2"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1201</w:t>
            </w:r>
          </w:p>
        </w:tc>
        <w:tc>
          <w:tcPr>
            <w:tcW w:w="0" w:type="auto"/>
            <w:tcBorders>
              <w:top w:val="nil"/>
              <w:left w:val="nil"/>
              <w:bottom w:val="single" w:sz="12" w:space="0" w:color="1F4E79"/>
              <w:right w:val="single" w:sz="12" w:space="0" w:color="1F4E79"/>
            </w:tcBorders>
            <w:shd w:val="clear" w:color="auto" w:fill="auto"/>
            <w:vAlign w:val="center"/>
          </w:tcPr>
          <w:p w14:paraId="216C2800"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w:t>
            </w:r>
          </w:p>
        </w:tc>
      </w:tr>
      <w:tr w:rsidR="005F3103" w:rsidRPr="0087558E" w14:paraId="3DABEC23"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43CF65D1"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1301</w:t>
            </w:r>
          </w:p>
        </w:tc>
        <w:tc>
          <w:tcPr>
            <w:tcW w:w="0" w:type="auto"/>
            <w:tcBorders>
              <w:top w:val="nil"/>
              <w:left w:val="nil"/>
              <w:bottom w:val="single" w:sz="12" w:space="0" w:color="1F4E79"/>
              <w:right w:val="single" w:sz="12" w:space="0" w:color="1F4E79"/>
            </w:tcBorders>
            <w:shd w:val="clear" w:color="auto" w:fill="auto"/>
            <w:vAlign w:val="center"/>
          </w:tcPr>
          <w:p w14:paraId="0681D3ED"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96</w:t>
            </w:r>
          </w:p>
        </w:tc>
      </w:tr>
      <w:tr w:rsidR="005F3103" w:rsidRPr="0087558E" w14:paraId="7C89212B"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078EC7AC"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1401</w:t>
            </w:r>
          </w:p>
        </w:tc>
        <w:tc>
          <w:tcPr>
            <w:tcW w:w="0" w:type="auto"/>
            <w:tcBorders>
              <w:top w:val="nil"/>
              <w:left w:val="nil"/>
              <w:bottom w:val="single" w:sz="12" w:space="0" w:color="1F4E79"/>
              <w:right w:val="single" w:sz="12" w:space="0" w:color="1F4E79"/>
            </w:tcBorders>
            <w:shd w:val="clear" w:color="auto" w:fill="auto"/>
            <w:vAlign w:val="center"/>
          </w:tcPr>
          <w:p w14:paraId="0B8EB381"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9</w:t>
            </w:r>
          </w:p>
        </w:tc>
      </w:tr>
      <w:tr w:rsidR="005F3103" w:rsidRPr="0087558E" w14:paraId="227E108F"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33CA6F80"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1501</w:t>
            </w:r>
          </w:p>
        </w:tc>
        <w:tc>
          <w:tcPr>
            <w:tcW w:w="0" w:type="auto"/>
            <w:tcBorders>
              <w:top w:val="nil"/>
              <w:left w:val="nil"/>
              <w:bottom w:val="single" w:sz="12" w:space="0" w:color="1F4E79"/>
              <w:right w:val="single" w:sz="12" w:space="0" w:color="1F4E79"/>
            </w:tcBorders>
            <w:shd w:val="clear" w:color="auto" w:fill="auto"/>
            <w:vAlign w:val="center"/>
          </w:tcPr>
          <w:p w14:paraId="78244528"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46</w:t>
            </w:r>
          </w:p>
        </w:tc>
      </w:tr>
      <w:tr w:rsidR="005F3103" w:rsidRPr="0087558E" w14:paraId="47B6B049"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594E0FB2"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1701</w:t>
            </w:r>
          </w:p>
        </w:tc>
        <w:tc>
          <w:tcPr>
            <w:tcW w:w="0" w:type="auto"/>
            <w:tcBorders>
              <w:top w:val="nil"/>
              <w:left w:val="nil"/>
              <w:bottom w:val="single" w:sz="12" w:space="0" w:color="1F4E79"/>
              <w:right w:val="single" w:sz="12" w:space="0" w:color="1F4E79"/>
            </w:tcBorders>
            <w:shd w:val="clear" w:color="auto" w:fill="auto"/>
            <w:vAlign w:val="center"/>
          </w:tcPr>
          <w:p w14:paraId="22BD0006"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w:t>
            </w:r>
          </w:p>
        </w:tc>
      </w:tr>
      <w:tr w:rsidR="005F3103" w:rsidRPr="0087558E" w14:paraId="4E48191E"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4695ACA6"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1901</w:t>
            </w:r>
          </w:p>
        </w:tc>
        <w:tc>
          <w:tcPr>
            <w:tcW w:w="0" w:type="auto"/>
            <w:tcBorders>
              <w:top w:val="nil"/>
              <w:left w:val="nil"/>
              <w:bottom w:val="single" w:sz="12" w:space="0" w:color="1F4E79"/>
              <w:right w:val="single" w:sz="12" w:space="0" w:color="1F4E79"/>
            </w:tcBorders>
            <w:shd w:val="clear" w:color="auto" w:fill="auto"/>
            <w:vAlign w:val="center"/>
          </w:tcPr>
          <w:p w14:paraId="770D24C2"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15</w:t>
            </w:r>
          </w:p>
        </w:tc>
      </w:tr>
      <w:tr w:rsidR="005F3103" w:rsidRPr="0087558E" w14:paraId="4CD00C14"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3EF86A71"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2301</w:t>
            </w:r>
          </w:p>
        </w:tc>
        <w:tc>
          <w:tcPr>
            <w:tcW w:w="0" w:type="auto"/>
            <w:tcBorders>
              <w:top w:val="nil"/>
              <w:left w:val="nil"/>
              <w:bottom w:val="single" w:sz="12" w:space="0" w:color="1F4E79"/>
              <w:right w:val="single" w:sz="12" w:space="0" w:color="1F4E79"/>
            </w:tcBorders>
            <w:shd w:val="clear" w:color="auto" w:fill="auto"/>
            <w:vAlign w:val="center"/>
          </w:tcPr>
          <w:p w14:paraId="5B184305"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32</w:t>
            </w:r>
          </w:p>
        </w:tc>
      </w:tr>
      <w:tr w:rsidR="005F3103" w:rsidRPr="0087558E" w14:paraId="3BD2D918"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646C3F5E"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2501</w:t>
            </w:r>
          </w:p>
        </w:tc>
        <w:tc>
          <w:tcPr>
            <w:tcW w:w="0" w:type="auto"/>
            <w:tcBorders>
              <w:top w:val="nil"/>
              <w:left w:val="nil"/>
              <w:bottom w:val="single" w:sz="12" w:space="0" w:color="1F4E79"/>
              <w:right w:val="single" w:sz="12" w:space="0" w:color="1F4E79"/>
            </w:tcBorders>
            <w:shd w:val="clear" w:color="auto" w:fill="auto"/>
            <w:vAlign w:val="center"/>
          </w:tcPr>
          <w:p w14:paraId="27C7ECC4"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46</w:t>
            </w:r>
          </w:p>
        </w:tc>
      </w:tr>
      <w:tr w:rsidR="005F3103" w:rsidRPr="0087558E" w14:paraId="7E9CC12E"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22DF48E9"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2801</w:t>
            </w:r>
          </w:p>
        </w:tc>
        <w:tc>
          <w:tcPr>
            <w:tcW w:w="0" w:type="auto"/>
            <w:tcBorders>
              <w:top w:val="nil"/>
              <w:left w:val="nil"/>
              <w:bottom w:val="single" w:sz="12" w:space="0" w:color="1F4E79"/>
              <w:right w:val="single" w:sz="12" w:space="0" w:color="1F4E79"/>
            </w:tcBorders>
            <w:shd w:val="clear" w:color="auto" w:fill="auto"/>
            <w:vAlign w:val="center"/>
          </w:tcPr>
          <w:p w14:paraId="6AFCC84A"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9</w:t>
            </w:r>
          </w:p>
        </w:tc>
      </w:tr>
      <w:tr w:rsidR="005F3103" w:rsidRPr="0087558E" w14:paraId="164A3679"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5EABFD1E"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3101</w:t>
            </w:r>
          </w:p>
        </w:tc>
        <w:tc>
          <w:tcPr>
            <w:tcW w:w="0" w:type="auto"/>
            <w:tcBorders>
              <w:top w:val="nil"/>
              <w:left w:val="nil"/>
              <w:bottom w:val="single" w:sz="12" w:space="0" w:color="1F4E79"/>
              <w:right w:val="single" w:sz="12" w:space="0" w:color="1F4E79"/>
            </w:tcBorders>
            <w:shd w:val="clear" w:color="auto" w:fill="auto"/>
            <w:vAlign w:val="center"/>
          </w:tcPr>
          <w:p w14:paraId="071A4809"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21</w:t>
            </w:r>
          </w:p>
        </w:tc>
      </w:tr>
      <w:tr w:rsidR="005F3103" w:rsidRPr="0087558E" w14:paraId="781DAFFE"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38187216"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3401</w:t>
            </w:r>
          </w:p>
        </w:tc>
        <w:tc>
          <w:tcPr>
            <w:tcW w:w="0" w:type="auto"/>
            <w:tcBorders>
              <w:top w:val="nil"/>
              <w:left w:val="nil"/>
              <w:bottom w:val="single" w:sz="12" w:space="0" w:color="1F4E79"/>
              <w:right w:val="single" w:sz="12" w:space="0" w:color="1F4E79"/>
            </w:tcBorders>
            <w:shd w:val="clear" w:color="auto" w:fill="auto"/>
            <w:vAlign w:val="center"/>
          </w:tcPr>
          <w:p w14:paraId="1CDD7D54"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w:t>
            </w:r>
          </w:p>
        </w:tc>
      </w:tr>
      <w:tr w:rsidR="005F3103" w:rsidRPr="0087558E" w14:paraId="4E0B6231"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25F5911F"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3501</w:t>
            </w:r>
          </w:p>
        </w:tc>
        <w:tc>
          <w:tcPr>
            <w:tcW w:w="0" w:type="auto"/>
            <w:tcBorders>
              <w:top w:val="nil"/>
              <w:left w:val="nil"/>
              <w:bottom w:val="single" w:sz="12" w:space="0" w:color="1F4E79"/>
              <w:right w:val="single" w:sz="12" w:space="0" w:color="1F4E79"/>
            </w:tcBorders>
            <w:shd w:val="clear" w:color="auto" w:fill="auto"/>
            <w:vAlign w:val="center"/>
          </w:tcPr>
          <w:p w14:paraId="58CD10D3"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w:t>
            </w:r>
          </w:p>
        </w:tc>
      </w:tr>
      <w:tr w:rsidR="005F3103" w:rsidRPr="0087558E" w14:paraId="40218B9C"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25C2CF17"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3601</w:t>
            </w:r>
          </w:p>
        </w:tc>
        <w:tc>
          <w:tcPr>
            <w:tcW w:w="0" w:type="auto"/>
            <w:tcBorders>
              <w:top w:val="nil"/>
              <w:left w:val="nil"/>
              <w:bottom w:val="single" w:sz="12" w:space="0" w:color="1F4E79"/>
              <w:right w:val="single" w:sz="12" w:space="0" w:color="1F4E79"/>
            </w:tcBorders>
            <w:shd w:val="clear" w:color="auto" w:fill="auto"/>
            <w:vAlign w:val="center"/>
          </w:tcPr>
          <w:p w14:paraId="3D8F5E4D"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13</w:t>
            </w:r>
          </w:p>
        </w:tc>
      </w:tr>
      <w:tr w:rsidR="005F3103" w:rsidRPr="0087558E" w14:paraId="7016F187"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61F5BF21"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3701</w:t>
            </w:r>
          </w:p>
        </w:tc>
        <w:tc>
          <w:tcPr>
            <w:tcW w:w="0" w:type="auto"/>
            <w:tcBorders>
              <w:top w:val="nil"/>
              <w:left w:val="nil"/>
              <w:bottom w:val="single" w:sz="12" w:space="0" w:color="1F4E79"/>
              <w:right w:val="single" w:sz="12" w:space="0" w:color="1F4E79"/>
            </w:tcBorders>
            <w:shd w:val="clear" w:color="auto" w:fill="auto"/>
            <w:vAlign w:val="center"/>
          </w:tcPr>
          <w:p w14:paraId="2BB23E90"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w:t>
            </w:r>
          </w:p>
        </w:tc>
      </w:tr>
      <w:tr w:rsidR="005F3103" w:rsidRPr="0087558E" w14:paraId="12176124" w14:textId="77777777" w:rsidTr="00F94B59">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3B3CB25E"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3801</w:t>
            </w:r>
          </w:p>
        </w:tc>
        <w:tc>
          <w:tcPr>
            <w:tcW w:w="0" w:type="auto"/>
            <w:tcBorders>
              <w:top w:val="nil"/>
              <w:left w:val="nil"/>
              <w:bottom w:val="single" w:sz="12" w:space="0" w:color="1F4E79"/>
              <w:right w:val="single" w:sz="12" w:space="0" w:color="1F4E79"/>
            </w:tcBorders>
            <w:shd w:val="clear" w:color="auto" w:fill="auto"/>
            <w:vAlign w:val="center"/>
          </w:tcPr>
          <w:p w14:paraId="22939066"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36</w:t>
            </w:r>
          </w:p>
        </w:tc>
      </w:tr>
      <w:tr w:rsidR="005F3103" w:rsidRPr="0087558E" w14:paraId="637E2204" w14:textId="77777777" w:rsidTr="00F94B59">
        <w:trPr>
          <w:trHeight w:val="254"/>
          <w:jc w:val="center"/>
        </w:trPr>
        <w:tc>
          <w:tcPr>
            <w:tcW w:w="0" w:type="auto"/>
            <w:tcBorders>
              <w:top w:val="nil"/>
              <w:left w:val="single" w:sz="12" w:space="0" w:color="1F4E79"/>
              <w:bottom w:val="single" w:sz="12" w:space="0" w:color="1F4E79"/>
              <w:right w:val="single" w:sz="12" w:space="0" w:color="1F4E79"/>
            </w:tcBorders>
            <w:shd w:val="clear" w:color="auto" w:fill="002060"/>
            <w:vAlign w:val="center"/>
          </w:tcPr>
          <w:p w14:paraId="25F64B84" w14:textId="77777777" w:rsidR="005F3103" w:rsidRPr="0087558E" w:rsidRDefault="005F3103" w:rsidP="005F3103">
            <w:pPr>
              <w:spacing w:line="360" w:lineRule="auto"/>
              <w:jc w:val="both"/>
              <w:rPr>
                <w:rFonts w:ascii="Times New Roman" w:eastAsia="Calibri" w:hAnsi="Times New Roman" w:cs="Times New Roman"/>
                <w:spacing w:val="20"/>
                <w:sz w:val="24"/>
                <w:szCs w:val="24"/>
                <w:lang w:val="es-ES"/>
              </w:rPr>
            </w:pPr>
            <w:r w:rsidRPr="0087558E">
              <w:rPr>
                <w:rFonts w:ascii="Times New Roman" w:eastAsia="Calibri" w:hAnsi="Times New Roman" w:cs="Times New Roman"/>
                <w:spacing w:val="20"/>
                <w:sz w:val="24"/>
                <w:szCs w:val="24"/>
                <w:lang w:val="es-ES"/>
              </w:rPr>
              <w:t>Total</w:t>
            </w:r>
          </w:p>
        </w:tc>
        <w:tc>
          <w:tcPr>
            <w:tcW w:w="0" w:type="auto"/>
            <w:tcBorders>
              <w:top w:val="nil"/>
              <w:left w:val="nil"/>
              <w:bottom w:val="single" w:sz="12" w:space="0" w:color="1F4E79"/>
              <w:right w:val="single" w:sz="12" w:space="0" w:color="1F4E79"/>
            </w:tcBorders>
            <w:shd w:val="clear" w:color="auto" w:fill="002060"/>
            <w:vAlign w:val="center"/>
          </w:tcPr>
          <w:p w14:paraId="74BBCB96" w14:textId="77777777" w:rsidR="005F3103" w:rsidRPr="0087558E" w:rsidRDefault="005F3103" w:rsidP="005F3103">
            <w:pPr>
              <w:spacing w:line="360" w:lineRule="auto"/>
              <w:jc w:val="both"/>
              <w:rPr>
                <w:rFonts w:ascii="Times New Roman" w:eastAsia="Calibri" w:hAnsi="Times New Roman" w:cs="Times New Roman"/>
                <w:spacing w:val="20"/>
                <w:sz w:val="24"/>
                <w:szCs w:val="24"/>
                <w:lang w:val="es-ES"/>
              </w:rPr>
            </w:pPr>
            <w:r w:rsidRPr="0087558E">
              <w:rPr>
                <w:rFonts w:ascii="Times New Roman" w:eastAsia="Calibri" w:hAnsi="Times New Roman" w:cs="Times New Roman"/>
                <w:spacing w:val="20"/>
                <w:sz w:val="24"/>
                <w:szCs w:val="24"/>
                <w:lang w:val="es-ES"/>
              </w:rPr>
              <w:t>502</w:t>
            </w:r>
          </w:p>
        </w:tc>
      </w:tr>
    </w:tbl>
    <w:p w14:paraId="1CA76269" w14:textId="091B7F8C" w:rsidR="00683C48" w:rsidRPr="00A80B53" w:rsidRDefault="00683C48" w:rsidP="00683C48">
      <w:pPr>
        <w:rPr>
          <w:rFonts w:ascii="Times New Roman" w:hAnsi="Times New Roman" w:cs="Times New Roman"/>
          <w:b/>
          <w:color w:val="767171"/>
        </w:rPr>
      </w:pPr>
      <w:r>
        <w:rPr>
          <w:rFonts w:ascii="Times New Roman" w:hAnsi="Times New Roman" w:cs="Times New Roman"/>
          <w:color w:val="767171"/>
        </w:rPr>
        <w:t xml:space="preserve">                                      </w:t>
      </w:r>
      <w:r w:rsidRPr="00A80B53">
        <w:rPr>
          <w:rFonts w:ascii="Times New Roman" w:hAnsi="Times New Roman" w:cs="Times New Roman"/>
          <w:color w:val="767171"/>
        </w:rPr>
        <w:t xml:space="preserve"> </w:t>
      </w:r>
      <w:r w:rsidRPr="00683C48">
        <w:rPr>
          <w:rFonts w:ascii="Times New Roman" w:hAnsi="Times New Roman" w:cs="Times New Roman"/>
          <w:b/>
          <w:color w:val="4C4747"/>
        </w:rPr>
        <w:t>Fuente: Depto. de Recursos Humanos</w:t>
      </w:r>
    </w:p>
    <w:p w14:paraId="73CDB8AC" w14:textId="77777777" w:rsidR="00C47BE5" w:rsidRDefault="00C47BE5" w:rsidP="00683C48">
      <w:pPr>
        <w:spacing w:line="360" w:lineRule="auto"/>
        <w:contextualSpacing/>
        <w:rPr>
          <w:rFonts w:ascii="Times New Roman" w:eastAsia="Calibri" w:hAnsi="Times New Roman" w:cs="Times New Roman"/>
          <w:spacing w:val="20"/>
          <w:sz w:val="24"/>
          <w:szCs w:val="24"/>
          <w:lang w:val="es-ES"/>
        </w:rPr>
      </w:pPr>
    </w:p>
    <w:p w14:paraId="42E2F7EB" w14:textId="5085E8E4" w:rsidR="005F3103" w:rsidRPr="00E50010" w:rsidRDefault="005F3103" w:rsidP="00E50010">
      <w:pPr>
        <w:spacing w:line="240" w:lineRule="auto"/>
        <w:contextualSpacing/>
        <w:jc w:val="center"/>
        <w:rPr>
          <w:rFonts w:ascii="Times New Roman" w:eastAsia="Calibri" w:hAnsi="Times New Roman" w:cs="Times New Roman"/>
          <w:color w:val="4C4747"/>
          <w:spacing w:val="20"/>
          <w:sz w:val="24"/>
          <w:szCs w:val="24"/>
          <w:lang w:val="es-ES"/>
        </w:rPr>
      </w:pPr>
      <w:r w:rsidRPr="00E50010">
        <w:rPr>
          <w:rFonts w:ascii="Times New Roman" w:eastAsia="Calibri" w:hAnsi="Times New Roman" w:cs="Times New Roman"/>
          <w:color w:val="4C4747"/>
          <w:spacing w:val="20"/>
          <w:sz w:val="24"/>
          <w:szCs w:val="24"/>
          <w:lang w:val="es-ES"/>
        </w:rPr>
        <w:t>Control de gestión de la formación</w:t>
      </w:r>
    </w:p>
    <w:p w14:paraId="184DCE03" w14:textId="77777777" w:rsidR="005F3103" w:rsidRPr="00E50010" w:rsidRDefault="005F3103" w:rsidP="00E50010">
      <w:pPr>
        <w:spacing w:line="240" w:lineRule="auto"/>
        <w:jc w:val="center"/>
        <w:rPr>
          <w:rFonts w:ascii="Times New Roman" w:eastAsia="Calibri" w:hAnsi="Times New Roman" w:cs="Times New Roman"/>
          <w:color w:val="4C4747"/>
          <w:spacing w:val="20"/>
          <w:sz w:val="24"/>
          <w:szCs w:val="24"/>
          <w:lang w:val="es-ES"/>
        </w:rPr>
      </w:pPr>
      <w:r w:rsidRPr="00E50010">
        <w:rPr>
          <w:rFonts w:ascii="Times New Roman" w:eastAsia="Calibri" w:hAnsi="Times New Roman" w:cs="Times New Roman"/>
          <w:color w:val="4C4747"/>
          <w:spacing w:val="20"/>
          <w:sz w:val="24"/>
          <w:szCs w:val="24"/>
          <w:lang w:val="es-ES"/>
        </w:rPr>
        <w:t>Enero - noviembre 2023</w:t>
      </w:r>
    </w:p>
    <w:tbl>
      <w:tblPr>
        <w:tblW w:w="0" w:type="auto"/>
        <w:jc w:val="center"/>
        <w:tblCellMar>
          <w:left w:w="70" w:type="dxa"/>
          <w:right w:w="70" w:type="dxa"/>
        </w:tblCellMar>
        <w:tblLook w:val="04A0" w:firstRow="1" w:lastRow="0" w:firstColumn="1" w:lastColumn="0" w:noHBand="0" w:noVBand="1"/>
      </w:tblPr>
      <w:tblGrid>
        <w:gridCol w:w="4546"/>
        <w:gridCol w:w="1167"/>
      </w:tblGrid>
      <w:tr w:rsidR="005F3103" w:rsidRPr="005F3103" w14:paraId="3EE5ED99" w14:textId="77777777" w:rsidTr="006017D7">
        <w:trPr>
          <w:trHeight w:val="435"/>
          <w:tblHeader/>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BE5022F" w14:textId="77777777" w:rsidR="005F3103" w:rsidRPr="005F3103" w:rsidRDefault="005F3103" w:rsidP="00E50E90">
            <w:pPr>
              <w:spacing w:line="360" w:lineRule="auto"/>
              <w:jc w:val="center"/>
              <w:rPr>
                <w:rFonts w:ascii="Times New Roman" w:eastAsia="Calibri" w:hAnsi="Times New Roman" w:cs="Times New Roman"/>
                <w:spacing w:val="20"/>
                <w:sz w:val="24"/>
                <w:szCs w:val="24"/>
                <w:lang w:val="es-ES"/>
              </w:rPr>
            </w:pPr>
            <w:r w:rsidRPr="005F3103">
              <w:rPr>
                <w:rFonts w:ascii="Times New Roman" w:eastAsia="Calibri" w:hAnsi="Times New Roman" w:cs="Times New Roman"/>
                <w:spacing w:val="20"/>
                <w:sz w:val="24"/>
                <w:szCs w:val="24"/>
                <w:lang w:val="es-ES"/>
              </w:rPr>
              <w:t>Control de gestión</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1B91AEA7" w14:textId="77777777" w:rsidR="005F3103" w:rsidRPr="005F3103" w:rsidRDefault="005F3103" w:rsidP="00E50E90">
            <w:pPr>
              <w:spacing w:line="360" w:lineRule="auto"/>
              <w:jc w:val="center"/>
              <w:rPr>
                <w:rFonts w:ascii="Times New Roman" w:eastAsia="Calibri" w:hAnsi="Times New Roman" w:cs="Times New Roman"/>
                <w:spacing w:val="20"/>
                <w:sz w:val="24"/>
                <w:szCs w:val="24"/>
                <w:lang w:val="es-ES"/>
              </w:rPr>
            </w:pPr>
            <w:r w:rsidRPr="005F3103">
              <w:rPr>
                <w:rFonts w:ascii="Times New Roman" w:eastAsia="Calibri" w:hAnsi="Times New Roman" w:cs="Times New Roman"/>
                <w:spacing w:val="20"/>
                <w:sz w:val="24"/>
                <w:szCs w:val="24"/>
                <w:lang w:val="es-ES"/>
              </w:rPr>
              <w:t>Cantidad</w:t>
            </w:r>
          </w:p>
        </w:tc>
      </w:tr>
      <w:tr w:rsidR="005F3103" w:rsidRPr="005F3103" w14:paraId="6EA42D6D" w14:textId="77777777" w:rsidTr="00E50010">
        <w:trPr>
          <w:trHeight w:val="519"/>
          <w:tblHeader/>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15D8D183" w14:textId="0BA26083" w:rsidR="005F3103" w:rsidRPr="00E50E90" w:rsidRDefault="00E50010" w:rsidP="005F3103">
            <w:pPr>
              <w:spacing w:line="360" w:lineRule="auto"/>
              <w:jc w:val="both"/>
              <w:rPr>
                <w:rFonts w:ascii="Times New Roman" w:eastAsia="Calibri" w:hAnsi="Times New Roman" w:cs="Times New Roman"/>
                <w:color w:val="4C4747"/>
                <w:spacing w:val="20"/>
                <w:sz w:val="24"/>
                <w:szCs w:val="24"/>
                <w:lang w:val="es-ES"/>
              </w:rPr>
            </w:pPr>
            <w:r>
              <w:rPr>
                <w:rFonts w:ascii="Times New Roman" w:eastAsia="Calibri" w:hAnsi="Times New Roman" w:cs="Times New Roman"/>
                <w:color w:val="4C4747"/>
                <w:spacing w:val="20"/>
                <w:sz w:val="24"/>
                <w:szCs w:val="24"/>
                <w:lang w:val="es-ES"/>
              </w:rPr>
              <w:t>P</w:t>
            </w:r>
            <w:r w:rsidR="005F3103" w:rsidRPr="00E50E90">
              <w:rPr>
                <w:rFonts w:ascii="Times New Roman" w:eastAsia="Calibri" w:hAnsi="Times New Roman" w:cs="Times New Roman"/>
                <w:color w:val="4C4747"/>
                <w:spacing w:val="20"/>
                <w:sz w:val="24"/>
                <w:szCs w:val="24"/>
                <w:lang w:val="es-ES"/>
              </w:rPr>
              <w:t>ersonal impactado</w:t>
            </w:r>
          </w:p>
        </w:tc>
        <w:tc>
          <w:tcPr>
            <w:tcW w:w="0" w:type="auto"/>
            <w:tcBorders>
              <w:top w:val="nil"/>
              <w:left w:val="nil"/>
              <w:bottom w:val="single" w:sz="12" w:space="0" w:color="1F4E79"/>
              <w:right w:val="single" w:sz="12" w:space="0" w:color="1F4E79"/>
            </w:tcBorders>
            <w:shd w:val="clear" w:color="auto" w:fill="auto"/>
            <w:vAlign w:val="center"/>
            <w:hideMark/>
          </w:tcPr>
          <w:p w14:paraId="39EA5AA5" w14:textId="77777777" w:rsidR="005F3103" w:rsidRPr="00E50E90" w:rsidRDefault="005F3103" w:rsidP="006017D7">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502</w:t>
            </w:r>
          </w:p>
        </w:tc>
      </w:tr>
      <w:tr w:rsidR="005F3103" w:rsidRPr="005F3103" w14:paraId="09DFE67B" w14:textId="77777777" w:rsidTr="006017D7">
        <w:trPr>
          <w:trHeight w:val="435"/>
          <w:tblHeader/>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2B6FA55C" w14:textId="48E39B89"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Solicitudes de capacitación trabajadas</w:t>
            </w:r>
          </w:p>
        </w:tc>
        <w:tc>
          <w:tcPr>
            <w:tcW w:w="0" w:type="auto"/>
            <w:tcBorders>
              <w:top w:val="nil"/>
              <w:left w:val="nil"/>
              <w:bottom w:val="single" w:sz="12" w:space="0" w:color="1F4E79"/>
              <w:right w:val="single" w:sz="12" w:space="0" w:color="1F4E79"/>
            </w:tcBorders>
            <w:shd w:val="clear" w:color="auto" w:fill="auto"/>
            <w:vAlign w:val="center"/>
            <w:hideMark/>
          </w:tcPr>
          <w:p w14:paraId="75279083" w14:textId="77777777" w:rsidR="005F3103" w:rsidRPr="00E50E90" w:rsidRDefault="005F3103" w:rsidP="006017D7">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192</w:t>
            </w:r>
          </w:p>
        </w:tc>
      </w:tr>
      <w:tr w:rsidR="005F3103" w:rsidRPr="005F3103" w14:paraId="02753EDA" w14:textId="77777777" w:rsidTr="006017D7">
        <w:trPr>
          <w:trHeight w:val="483"/>
          <w:tblHeader/>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6D99BDF2" w14:textId="550F4B50" w:rsidR="005F3103" w:rsidRPr="00E50E90" w:rsidRDefault="00E50010" w:rsidP="005F3103">
            <w:pPr>
              <w:spacing w:line="360" w:lineRule="auto"/>
              <w:jc w:val="both"/>
              <w:rPr>
                <w:rFonts w:ascii="Times New Roman" w:eastAsia="Calibri" w:hAnsi="Times New Roman" w:cs="Times New Roman"/>
                <w:color w:val="4C4747"/>
                <w:spacing w:val="20"/>
                <w:sz w:val="24"/>
                <w:szCs w:val="24"/>
                <w:lang w:val="es-ES"/>
              </w:rPr>
            </w:pPr>
            <w:r>
              <w:rPr>
                <w:rFonts w:ascii="Times New Roman" w:eastAsia="Calibri" w:hAnsi="Times New Roman" w:cs="Times New Roman"/>
                <w:color w:val="4C4747"/>
                <w:spacing w:val="20"/>
                <w:sz w:val="24"/>
                <w:szCs w:val="24"/>
                <w:lang w:val="es-ES"/>
              </w:rPr>
              <w:t>B</w:t>
            </w:r>
            <w:r w:rsidR="005F3103" w:rsidRPr="00E50E90">
              <w:rPr>
                <w:rFonts w:ascii="Times New Roman" w:eastAsia="Calibri" w:hAnsi="Times New Roman" w:cs="Times New Roman"/>
                <w:color w:val="4C4747"/>
                <w:spacing w:val="20"/>
                <w:sz w:val="24"/>
                <w:szCs w:val="24"/>
                <w:lang w:val="es-ES"/>
              </w:rPr>
              <w:t>ecas de maestrías activas</w:t>
            </w:r>
          </w:p>
          <w:p w14:paraId="3E18CEC5" w14:textId="77777777" w:rsidR="005F3103" w:rsidRPr="00E50E90" w:rsidRDefault="005F3103" w:rsidP="00E50010">
            <w:pPr>
              <w:spacing w:line="24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(Becas Nacionales, 9)</w:t>
            </w:r>
          </w:p>
          <w:p w14:paraId="58C13E19" w14:textId="77777777" w:rsidR="005F3103" w:rsidRPr="00E50E90" w:rsidRDefault="005F3103" w:rsidP="00E50010">
            <w:pPr>
              <w:spacing w:line="24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(Becas Internacionales, 16)</w:t>
            </w:r>
          </w:p>
        </w:tc>
        <w:tc>
          <w:tcPr>
            <w:tcW w:w="0" w:type="auto"/>
            <w:tcBorders>
              <w:top w:val="nil"/>
              <w:left w:val="nil"/>
              <w:bottom w:val="single" w:sz="12" w:space="0" w:color="1F4E79"/>
              <w:right w:val="single" w:sz="12" w:space="0" w:color="1F4E79"/>
            </w:tcBorders>
            <w:shd w:val="clear" w:color="auto" w:fill="auto"/>
            <w:vAlign w:val="center"/>
            <w:hideMark/>
          </w:tcPr>
          <w:p w14:paraId="08781974" w14:textId="77777777" w:rsidR="005F3103" w:rsidRPr="00E50E90" w:rsidRDefault="005F3103" w:rsidP="006017D7">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25</w:t>
            </w:r>
          </w:p>
        </w:tc>
      </w:tr>
    </w:tbl>
    <w:p w14:paraId="6551C864" w14:textId="1C34F23A" w:rsidR="00683C48" w:rsidRPr="00A80B53" w:rsidRDefault="00683C48" w:rsidP="00683C48">
      <w:pPr>
        <w:rPr>
          <w:rFonts w:ascii="Times New Roman" w:hAnsi="Times New Roman" w:cs="Times New Roman"/>
          <w:b/>
          <w:color w:val="767171"/>
        </w:rPr>
      </w:pPr>
      <w:r>
        <w:rPr>
          <w:rFonts w:ascii="Times New Roman" w:hAnsi="Times New Roman" w:cs="Times New Roman"/>
          <w:color w:val="767171"/>
        </w:rPr>
        <w:t xml:space="preserve">                                       </w:t>
      </w:r>
      <w:r w:rsidRPr="00A80B53">
        <w:rPr>
          <w:rFonts w:ascii="Times New Roman" w:hAnsi="Times New Roman" w:cs="Times New Roman"/>
          <w:color w:val="767171"/>
        </w:rPr>
        <w:t xml:space="preserve"> </w:t>
      </w:r>
      <w:r w:rsidRPr="00683C48">
        <w:rPr>
          <w:rFonts w:ascii="Times New Roman" w:hAnsi="Times New Roman" w:cs="Times New Roman"/>
          <w:b/>
          <w:color w:val="4C4747"/>
        </w:rPr>
        <w:t>Fuente: Depto. de Recursos Humanos</w:t>
      </w:r>
    </w:p>
    <w:p w14:paraId="3DC856F4" w14:textId="78C7FC56" w:rsidR="005F3103" w:rsidRDefault="005F3103" w:rsidP="002D2034">
      <w:pPr>
        <w:spacing w:line="360" w:lineRule="auto"/>
        <w:rPr>
          <w:rFonts w:ascii="Times New Roman" w:eastAsia="Calibri" w:hAnsi="Times New Roman" w:cs="Times New Roman"/>
          <w:b/>
          <w:color w:val="767171"/>
          <w:spacing w:val="20"/>
          <w:sz w:val="24"/>
          <w:szCs w:val="24"/>
        </w:rPr>
      </w:pPr>
    </w:p>
    <w:p w14:paraId="2B28663B" w14:textId="47E6A9FE" w:rsidR="00582715" w:rsidRDefault="00582715" w:rsidP="002D2034">
      <w:pPr>
        <w:spacing w:line="360" w:lineRule="auto"/>
        <w:rPr>
          <w:rFonts w:ascii="Times New Roman" w:eastAsia="Calibri" w:hAnsi="Times New Roman" w:cs="Times New Roman"/>
          <w:b/>
          <w:color w:val="767171"/>
          <w:spacing w:val="20"/>
          <w:sz w:val="24"/>
          <w:szCs w:val="24"/>
        </w:rPr>
      </w:pPr>
    </w:p>
    <w:p w14:paraId="771456D4" w14:textId="6253EFE2" w:rsidR="00582715" w:rsidRDefault="00582715" w:rsidP="002D2034">
      <w:pPr>
        <w:spacing w:line="360" w:lineRule="auto"/>
        <w:rPr>
          <w:rFonts w:ascii="Times New Roman" w:eastAsia="Calibri" w:hAnsi="Times New Roman" w:cs="Times New Roman"/>
          <w:b/>
          <w:color w:val="767171"/>
          <w:spacing w:val="20"/>
          <w:sz w:val="24"/>
          <w:szCs w:val="24"/>
        </w:rPr>
      </w:pPr>
    </w:p>
    <w:p w14:paraId="4926AE75" w14:textId="6BFF93EB" w:rsidR="00582715" w:rsidRDefault="00582715" w:rsidP="002D2034">
      <w:pPr>
        <w:spacing w:line="360" w:lineRule="auto"/>
        <w:rPr>
          <w:rFonts w:ascii="Times New Roman" w:eastAsia="Calibri" w:hAnsi="Times New Roman" w:cs="Times New Roman"/>
          <w:b/>
          <w:color w:val="767171"/>
          <w:spacing w:val="20"/>
          <w:sz w:val="24"/>
          <w:szCs w:val="24"/>
        </w:rPr>
      </w:pPr>
    </w:p>
    <w:p w14:paraId="46DAA145" w14:textId="4C69BA7E" w:rsidR="00582715" w:rsidRDefault="00582715" w:rsidP="002D2034">
      <w:pPr>
        <w:spacing w:line="360" w:lineRule="auto"/>
        <w:rPr>
          <w:rFonts w:ascii="Times New Roman" w:eastAsia="Calibri" w:hAnsi="Times New Roman" w:cs="Times New Roman"/>
          <w:b/>
          <w:color w:val="767171"/>
          <w:spacing w:val="20"/>
          <w:sz w:val="24"/>
          <w:szCs w:val="24"/>
        </w:rPr>
      </w:pPr>
    </w:p>
    <w:p w14:paraId="0F24593B" w14:textId="007FDDAA" w:rsidR="00582715" w:rsidRDefault="00582715" w:rsidP="002D2034">
      <w:pPr>
        <w:spacing w:line="360" w:lineRule="auto"/>
        <w:rPr>
          <w:rFonts w:ascii="Times New Roman" w:eastAsia="Calibri" w:hAnsi="Times New Roman" w:cs="Times New Roman"/>
          <w:b/>
          <w:color w:val="767171"/>
          <w:spacing w:val="20"/>
          <w:sz w:val="24"/>
          <w:szCs w:val="24"/>
        </w:rPr>
      </w:pPr>
    </w:p>
    <w:p w14:paraId="44678332" w14:textId="5220F719" w:rsidR="00582715" w:rsidRDefault="00582715" w:rsidP="002D2034">
      <w:pPr>
        <w:spacing w:line="360" w:lineRule="auto"/>
        <w:rPr>
          <w:rFonts w:ascii="Times New Roman" w:eastAsia="Calibri" w:hAnsi="Times New Roman" w:cs="Times New Roman"/>
          <w:b/>
          <w:color w:val="767171"/>
          <w:spacing w:val="20"/>
          <w:sz w:val="24"/>
          <w:szCs w:val="24"/>
        </w:rPr>
      </w:pPr>
    </w:p>
    <w:p w14:paraId="55B44888" w14:textId="004F6A11" w:rsidR="00582715" w:rsidRDefault="00582715" w:rsidP="002D2034">
      <w:pPr>
        <w:spacing w:line="360" w:lineRule="auto"/>
        <w:rPr>
          <w:rFonts w:ascii="Times New Roman" w:eastAsia="Calibri" w:hAnsi="Times New Roman" w:cs="Times New Roman"/>
          <w:b/>
          <w:color w:val="767171"/>
          <w:spacing w:val="20"/>
          <w:sz w:val="24"/>
          <w:szCs w:val="24"/>
        </w:rPr>
      </w:pPr>
    </w:p>
    <w:p w14:paraId="01A4CDCB" w14:textId="2A77A064" w:rsidR="00582715" w:rsidRDefault="00582715" w:rsidP="002D2034">
      <w:pPr>
        <w:spacing w:line="360" w:lineRule="auto"/>
        <w:rPr>
          <w:rFonts w:ascii="Times New Roman" w:eastAsia="Calibri" w:hAnsi="Times New Roman" w:cs="Times New Roman"/>
          <w:b/>
          <w:color w:val="767171"/>
          <w:spacing w:val="20"/>
          <w:sz w:val="24"/>
          <w:szCs w:val="24"/>
        </w:rPr>
      </w:pPr>
    </w:p>
    <w:p w14:paraId="4A50F4A8" w14:textId="555CD435" w:rsidR="00582715" w:rsidRDefault="00582715" w:rsidP="002D2034">
      <w:pPr>
        <w:spacing w:line="360" w:lineRule="auto"/>
        <w:rPr>
          <w:rFonts w:ascii="Times New Roman" w:eastAsia="Calibri" w:hAnsi="Times New Roman" w:cs="Times New Roman"/>
          <w:b/>
          <w:color w:val="767171"/>
          <w:spacing w:val="20"/>
          <w:sz w:val="24"/>
          <w:szCs w:val="24"/>
        </w:rPr>
      </w:pPr>
    </w:p>
    <w:p w14:paraId="6545E62B" w14:textId="77777777" w:rsidR="00E50010" w:rsidRDefault="00E50010" w:rsidP="002D2034">
      <w:pPr>
        <w:spacing w:line="360" w:lineRule="auto"/>
        <w:rPr>
          <w:rFonts w:ascii="Times New Roman" w:eastAsia="Calibri" w:hAnsi="Times New Roman" w:cs="Times New Roman"/>
          <w:b/>
          <w:color w:val="767171"/>
          <w:spacing w:val="20"/>
          <w:sz w:val="24"/>
          <w:szCs w:val="24"/>
        </w:rPr>
      </w:pPr>
    </w:p>
    <w:p w14:paraId="45C42820" w14:textId="77777777" w:rsidR="00582715" w:rsidRDefault="00582715" w:rsidP="002D2034">
      <w:pPr>
        <w:spacing w:line="360" w:lineRule="auto"/>
        <w:rPr>
          <w:rFonts w:ascii="Times New Roman" w:eastAsia="Calibri" w:hAnsi="Times New Roman" w:cs="Times New Roman"/>
          <w:b/>
          <w:color w:val="767171"/>
          <w:spacing w:val="20"/>
          <w:sz w:val="24"/>
          <w:szCs w:val="24"/>
        </w:rPr>
      </w:pPr>
    </w:p>
    <w:p w14:paraId="4CFF51C2" w14:textId="7B860E06" w:rsidR="005F3103" w:rsidRPr="00E50010" w:rsidRDefault="005F3103" w:rsidP="005F3103">
      <w:pPr>
        <w:spacing w:after="0" w:line="240" w:lineRule="auto"/>
        <w:contextualSpacing/>
        <w:jc w:val="both"/>
        <w:rPr>
          <w:rFonts w:ascii="Times New Roman" w:hAnsi="Times New Roman" w:cs="Times New Roman"/>
          <w:color w:val="4C4747"/>
          <w:sz w:val="24"/>
          <w:szCs w:val="24"/>
        </w:rPr>
      </w:pPr>
      <w:r w:rsidRPr="00E50010">
        <w:rPr>
          <w:rFonts w:ascii="Times New Roman" w:eastAsia="Calibri" w:hAnsi="Times New Roman" w:cs="Times New Roman"/>
          <w:color w:val="4C4747"/>
          <w:spacing w:val="20"/>
          <w:sz w:val="24"/>
          <w:szCs w:val="24"/>
          <w:lang w:val="es-ES"/>
        </w:rPr>
        <w:lastRenderedPageBreak/>
        <w:t xml:space="preserve">         </w:t>
      </w:r>
      <w:r w:rsidR="00E50010" w:rsidRPr="00E50010">
        <w:rPr>
          <w:rFonts w:ascii="Times New Roman" w:eastAsia="Calibri" w:hAnsi="Times New Roman" w:cs="Times New Roman"/>
          <w:color w:val="4C4747"/>
          <w:spacing w:val="20"/>
          <w:sz w:val="24"/>
          <w:szCs w:val="24"/>
          <w:lang w:val="es-ES"/>
        </w:rPr>
        <w:t xml:space="preserve">        </w:t>
      </w:r>
      <w:r w:rsidRPr="00E50010">
        <w:rPr>
          <w:rFonts w:ascii="Times New Roman" w:hAnsi="Times New Roman" w:cs="Times New Roman"/>
          <w:color w:val="4C4747"/>
          <w:sz w:val="24"/>
          <w:szCs w:val="24"/>
        </w:rPr>
        <w:t>Capacitaciones realizadas por el personal mensualmente</w:t>
      </w:r>
    </w:p>
    <w:p w14:paraId="79F06633" w14:textId="77777777" w:rsidR="005F3103" w:rsidRPr="00E50010" w:rsidRDefault="005F3103" w:rsidP="005F3103">
      <w:pPr>
        <w:spacing w:after="0" w:line="240" w:lineRule="auto"/>
        <w:contextualSpacing/>
        <w:jc w:val="both"/>
        <w:rPr>
          <w:rFonts w:ascii="Times New Roman" w:hAnsi="Times New Roman" w:cs="Times New Roman"/>
          <w:color w:val="4C4747"/>
          <w:sz w:val="24"/>
          <w:szCs w:val="24"/>
        </w:rPr>
      </w:pPr>
    </w:p>
    <w:p w14:paraId="168DB3DB" w14:textId="18EE13CE" w:rsidR="005F3103" w:rsidRPr="00E50010" w:rsidRDefault="005F3103" w:rsidP="005F3103">
      <w:pPr>
        <w:spacing w:after="0" w:line="240" w:lineRule="auto"/>
        <w:jc w:val="center"/>
        <w:rPr>
          <w:rFonts w:ascii="Times New Roman" w:hAnsi="Times New Roman" w:cs="Times New Roman"/>
          <w:color w:val="4C4747"/>
          <w:sz w:val="24"/>
          <w:szCs w:val="24"/>
        </w:rPr>
      </w:pPr>
      <w:r w:rsidRPr="00E50010">
        <w:rPr>
          <w:rFonts w:ascii="Times New Roman" w:hAnsi="Times New Roman" w:cs="Times New Roman"/>
          <w:color w:val="4C4747"/>
          <w:sz w:val="24"/>
          <w:szCs w:val="24"/>
        </w:rPr>
        <w:t>Enero–</w:t>
      </w:r>
      <w:proofErr w:type="gramStart"/>
      <w:r w:rsidRPr="00E50010">
        <w:rPr>
          <w:rFonts w:ascii="Times New Roman" w:hAnsi="Times New Roman" w:cs="Times New Roman"/>
          <w:color w:val="4C4747"/>
          <w:sz w:val="24"/>
          <w:szCs w:val="24"/>
        </w:rPr>
        <w:t>Noviembre</w:t>
      </w:r>
      <w:proofErr w:type="gramEnd"/>
      <w:r w:rsidRPr="00E50010">
        <w:rPr>
          <w:rFonts w:ascii="Times New Roman" w:hAnsi="Times New Roman" w:cs="Times New Roman"/>
          <w:color w:val="4C4747"/>
          <w:sz w:val="24"/>
          <w:szCs w:val="24"/>
        </w:rPr>
        <w:t xml:space="preserve"> 2023</w:t>
      </w:r>
    </w:p>
    <w:p w14:paraId="70D922F8" w14:textId="77777777" w:rsidR="005F3103" w:rsidRPr="005F3103" w:rsidRDefault="005F3103" w:rsidP="005F3103">
      <w:pPr>
        <w:spacing w:after="0" w:line="240" w:lineRule="auto"/>
        <w:jc w:val="center"/>
        <w:rPr>
          <w:rFonts w:ascii="Times New Roman" w:eastAsia="Calibri" w:hAnsi="Times New Roman" w:cs="Times New Roman"/>
          <w:spacing w:val="20"/>
          <w:sz w:val="24"/>
          <w:szCs w:val="24"/>
          <w:lang w:val="es-ES"/>
        </w:rPr>
      </w:pPr>
    </w:p>
    <w:tbl>
      <w:tblPr>
        <w:tblW w:w="0" w:type="auto"/>
        <w:jc w:val="center"/>
        <w:tblCellMar>
          <w:left w:w="70" w:type="dxa"/>
          <w:right w:w="70" w:type="dxa"/>
        </w:tblCellMar>
        <w:tblLook w:val="04A0" w:firstRow="1" w:lastRow="0" w:firstColumn="1" w:lastColumn="0" w:noHBand="0" w:noVBand="1"/>
      </w:tblPr>
      <w:tblGrid>
        <w:gridCol w:w="1434"/>
        <w:gridCol w:w="3206"/>
      </w:tblGrid>
      <w:tr w:rsidR="005F3103" w:rsidRPr="005F3103" w14:paraId="1CBA5814"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5399FD0" w14:textId="77777777" w:rsidR="005F3103" w:rsidRPr="005F3103" w:rsidRDefault="005F3103" w:rsidP="005F3103">
            <w:pPr>
              <w:spacing w:line="360" w:lineRule="auto"/>
              <w:jc w:val="both"/>
              <w:rPr>
                <w:rFonts w:ascii="Times New Roman" w:eastAsia="Calibri" w:hAnsi="Times New Roman" w:cs="Times New Roman"/>
                <w:spacing w:val="20"/>
                <w:sz w:val="24"/>
                <w:szCs w:val="24"/>
                <w:lang w:val="es-ES"/>
              </w:rPr>
            </w:pPr>
            <w:r w:rsidRPr="005F3103">
              <w:rPr>
                <w:rFonts w:ascii="Times New Roman" w:eastAsia="Calibri" w:hAnsi="Times New Roman" w:cs="Times New Roman"/>
                <w:spacing w:val="20"/>
                <w:sz w:val="24"/>
                <w:szCs w:val="24"/>
                <w:lang w:val="es-ES"/>
              </w:rPr>
              <w:t>Mes</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1EB4E4CD" w14:textId="77777777" w:rsidR="005F3103" w:rsidRPr="005F3103" w:rsidRDefault="005F3103" w:rsidP="005F3103">
            <w:pPr>
              <w:spacing w:line="360" w:lineRule="auto"/>
              <w:jc w:val="both"/>
              <w:rPr>
                <w:rFonts w:ascii="Times New Roman" w:eastAsia="Calibri" w:hAnsi="Times New Roman" w:cs="Times New Roman"/>
                <w:spacing w:val="20"/>
                <w:sz w:val="24"/>
                <w:szCs w:val="24"/>
                <w:lang w:val="es-ES"/>
              </w:rPr>
            </w:pPr>
            <w:r w:rsidRPr="005F3103">
              <w:rPr>
                <w:rFonts w:ascii="Times New Roman" w:eastAsia="Calibri" w:hAnsi="Times New Roman" w:cs="Times New Roman"/>
                <w:spacing w:val="20"/>
                <w:sz w:val="24"/>
                <w:szCs w:val="24"/>
                <w:lang w:val="es-ES"/>
              </w:rPr>
              <w:t>Número de Capacitaciones</w:t>
            </w:r>
          </w:p>
        </w:tc>
      </w:tr>
      <w:tr w:rsidR="005F3103" w:rsidRPr="005F3103" w14:paraId="270C34A4"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33D1B54F"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Enero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0F255A77"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6</w:t>
            </w:r>
          </w:p>
        </w:tc>
      </w:tr>
      <w:tr w:rsidR="005F3103" w:rsidRPr="005F3103" w14:paraId="7B5168B5"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1A4C2DE7"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Febrero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7789C4D7"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22</w:t>
            </w:r>
          </w:p>
        </w:tc>
      </w:tr>
      <w:tr w:rsidR="005F3103" w:rsidRPr="005F3103" w14:paraId="24795140"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7D2AEAA6"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Marzo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7278EF18"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w:t>
            </w:r>
          </w:p>
        </w:tc>
      </w:tr>
      <w:tr w:rsidR="005F3103" w:rsidRPr="005F3103" w14:paraId="448798EA"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5D2EBC85"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Abril</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650323F7"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23</w:t>
            </w:r>
          </w:p>
        </w:tc>
      </w:tr>
      <w:tr w:rsidR="005F3103" w:rsidRPr="005F3103" w14:paraId="24855E37"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21022F36"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Mayo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6BD9FB2A"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25</w:t>
            </w:r>
          </w:p>
        </w:tc>
      </w:tr>
      <w:tr w:rsidR="005F3103" w:rsidRPr="005F3103" w14:paraId="4CE1873E"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2B7C2372"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Junio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5468A07C"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33</w:t>
            </w:r>
          </w:p>
        </w:tc>
      </w:tr>
      <w:tr w:rsidR="005F3103" w:rsidRPr="005F3103" w14:paraId="26E7695B"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tcPr>
          <w:p w14:paraId="030E3955"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Julio</w:t>
            </w:r>
          </w:p>
        </w:tc>
        <w:tc>
          <w:tcPr>
            <w:tcW w:w="0" w:type="auto"/>
            <w:tcBorders>
              <w:top w:val="single" w:sz="12" w:space="0" w:color="1F4E79"/>
              <w:left w:val="nil"/>
              <w:bottom w:val="single" w:sz="12" w:space="0" w:color="1F4E79"/>
              <w:right w:val="single" w:sz="12" w:space="0" w:color="1F4E79"/>
            </w:tcBorders>
            <w:shd w:val="clear" w:color="auto" w:fill="auto"/>
            <w:vAlign w:val="center"/>
          </w:tcPr>
          <w:p w14:paraId="53BA2341"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13</w:t>
            </w:r>
          </w:p>
        </w:tc>
      </w:tr>
      <w:tr w:rsidR="005F3103" w:rsidRPr="005F3103" w14:paraId="460DD918"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tcPr>
          <w:p w14:paraId="16C19264"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Agosto</w:t>
            </w:r>
          </w:p>
        </w:tc>
        <w:tc>
          <w:tcPr>
            <w:tcW w:w="0" w:type="auto"/>
            <w:tcBorders>
              <w:top w:val="single" w:sz="12" w:space="0" w:color="1F4E79"/>
              <w:left w:val="nil"/>
              <w:bottom w:val="single" w:sz="12" w:space="0" w:color="1F4E79"/>
              <w:right w:val="single" w:sz="12" w:space="0" w:color="1F4E79"/>
            </w:tcBorders>
            <w:shd w:val="clear" w:color="auto" w:fill="auto"/>
            <w:vAlign w:val="center"/>
          </w:tcPr>
          <w:p w14:paraId="1B19C100"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20</w:t>
            </w:r>
          </w:p>
        </w:tc>
      </w:tr>
      <w:tr w:rsidR="005F3103" w:rsidRPr="005F3103" w14:paraId="0727A54E"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tcPr>
          <w:p w14:paraId="1C4E3B1F"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Septiembre</w:t>
            </w:r>
          </w:p>
        </w:tc>
        <w:tc>
          <w:tcPr>
            <w:tcW w:w="0" w:type="auto"/>
            <w:tcBorders>
              <w:top w:val="single" w:sz="12" w:space="0" w:color="1F4E79"/>
              <w:left w:val="nil"/>
              <w:bottom w:val="single" w:sz="12" w:space="0" w:color="1F4E79"/>
              <w:right w:val="single" w:sz="12" w:space="0" w:color="1F4E79"/>
            </w:tcBorders>
            <w:shd w:val="clear" w:color="auto" w:fill="auto"/>
            <w:vAlign w:val="center"/>
          </w:tcPr>
          <w:p w14:paraId="003EE018"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27</w:t>
            </w:r>
          </w:p>
        </w:tc>
      </w:tr>
      <w:tr w:rsidR="005F3103" w:rsidRPr="005F3103" w14:paraId="106B611F"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tcPr>
          <w:p w14:paraId="16FD57BD"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Octubre</w:t>
            </w:r>
          </w:p>
        </w:tc>
        <w:tc>
          <w:tcPr>
            <w:tcW w:w="0" w:type="auto"/>
            <w:tcBorders>
              <w:top w:val="single" w:sz="12" w:space="0" w:color="1F4E79"/>
              <w:left w:val="nil"/>
              <w:bottom w:val="single" w:sz="12" w:space="0" w:color="1F4E79"/>
              <w:right w:val="single" w:sz="12" w:space="0" w:color="1F4E79"/>
            </w:tcBorders>
            <w:shd w:val="clear" w:color="auto" w:fill="auto"/>
            <w:vAlign w:val="center"/>
          </w:tcPr>
          <w:p w14:paraId="101BAA92"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20</w:t>
            </w:r>
          </w:p>
        </w:tc>
      </w:tr>
      <w:tr w:rsidR="005F3103" w:rsidRPr="005F3103" w14:paraId="155760E0"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tcPr>
          <w:p w14:paraId="02799554" w14:textId="77777777" w:rsidR="005F3103" w:rsidRPr="00E50E90" w:rsidRDefault="005F3103" w:rsidP="005F3103">
            <w:pPr>
              <w:spacing w:line="360" w:lineRule="auto"/>
              <w:jc w:val="both"/>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Noviembre</w:t>
            </w:r>
          </w:p>
        </w:tc>
        <w:tc>
          <w:tcPr>
            <w:tcW w:w="0" w:type="auto"/>
            <w:tcBorders>
              <w:top w:val="single" w:sz="12" w:space="0" w:color="1F4E79"/>
              <w:left w:val="nil"/>
              <w:bottom w:val="single" w:sz="12" w:space="0" w:color="1F4E79"/>
              <w:right w:val="single" w:sz="12" w:space="0" w:color="1F4E79"/>
            </w:tcBorders>
            <w:shd w:val="clear" w:color="auto" w:fill="auto"/>
            <w:vAlign w:val="center"/>
          </w:tcPr>
          <w:p w14:paraId="0D62760C" w14:textId="77777777" w:rsidR="005F3103" w:rsidRPr="00E50E90" w:rsidRDefault="005F3103" w:rsidP="005F3103">
            <w:pPr>
              <w:spacing w:line="360" w:lineRule="auto"/>
              <w:jc w:val="center"/>
              <w:rPr>
                <w:rFonts w:ascii="Times New Roman" w:eastAsia="Calibri" w:hAnsi="Times New Roman" w:cs="Times New Roman"/>
                <w:color w:val="4C4747"/>
                <w:spacing w:val="20"/>
                <w:sz w:val="24"/>
                <w:szCs w:val="24"/>
                <w:lang w:val="es-ES"/>
              </w:rPr>
            </w:pPr>
            <w:r w:rsidRPr="00E50E90">
              <w:rPr>
                <w:rFonts w:ascii="Times New Roman" w:eastAsia="Calibri" w:hAnsi="Times New Roman" w:cs="Times New Roman"/>
                <w:color w:val="4C4747"/>
                <w:spacing w:val="20"/>
                <w:sz w:val="24"/>
                <w:szCs w:val="24"/>
                <w:lang w:val="es-ES"/>
              </w:rPr>
              <w:t>11</w:t>
            </w:r>
          </w:p>
        </w:tc>
      </w:tr>
      <w:tr w:rsidR="005F3103" w:rsidRPr="005F3103" w14:paraId="6596ED76" w14:textId="77777777" w:rsidTr="00F94B59">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002060"/>
            <w:vAlign w:val="center"/>
            <w:hideMark/>
          </w:tcPr>
          <w:p w14:paraId="542C2E2E" w14:textId="77777777" w:rsidR="005F3103" w:rsidRPr="005F3103" w:rsidRDefault="005F3103" w:rsidP="005F3103">
            <w:pPr>
              <w:spacing w:line="360" w:lineRule="auto"/>
              <w:jc w:val="center"/>
              <w:rPr>
                <w:rFonts w:ascii="Times New Roman" w:eastAsia="Calibri" w:hAnsi="Times New Roman" w:cs="Times New Roman"/>
                <w:spacing w:val="20"/>
                <w:sz w:val="24"/>
                <w:szCs w:val="24"/>
                <w:lang w:val="es-ES"/>
              </w:rPr>
            </w:pPr>
            <w:r w:rsidRPr="005F3103">
              <w:rPr>
                <w:rFonts w:ascii="Times New Roman" w:eastAsia="Calibri" w:hAnsi="Times New Roman" w:cs="Times New Roman"/>
                <w:spacing w:val="20"/>
                <w:sz w:val="24"/>
                <w:szCs w:val="24"/>
                <w:lang w:val="es-ES"/>
              </w:rPr>
              <w:t>Total</w:t>
            </w:r>
          </w:p>
        </w:tc>
        <w:tc>
          <w:tcPr>
            <w:tcW w:w="0" w:type="auto"/>
            <w:tcBorders>
              <w:top w:val="single" w:sz="12" w:space="0" w:color="1F4E79"/>
              <w:left w:val="nil"/>
              <w:bottom w:val="single" w:sz="12" w:space="0" w:color="1F4E79"/>
              <w:right w:val="single" w:sz="12" w:space="0" w:color="1F4E79"/>
            </w:tcBorders>
            <w:shd w:val="clear" w:color="auto" w:fill="002060"/>
            <w:vAlign w:val="center"/>
            <w:hideMark/>
          </w:tcPr>
          <w:p w14:paraId="3DF470C4" w14:textId="77777777" w:rsidR="005F3103" w:rsidRPr="005F3103" w:rsidRDefault="005F3103" w:rsidP="005F3103">
            <w:pPr>
              <w:spacing w:line="360" w:lineRule="auto"/>
              <w:jc w:val="center"/>
              <w:rPr>
                <w:rFonts w:ascii="Times New Roman" w:eastAsia="Calibri" w:hAnsi="Times New Roman" w:cs="Times New Roman"/>
                <w:spacing w:val="20"/>
                <w:sz w:val="24"/>
                <w:szCs w:val="24"/>
                <w:lang w:val="es-ES"/>
              </w:rPr>
            </w:pPr>
            <w:r w:rsidRPr="005F3103">
              <w:rPr>
                <w:rFonts w:ascii="Times New Roman" w:eastAsia="Calibri" w:hAnsi="Times New Roman" w:cs="Times New Roman"/>
                <w:spacing w:val="20"/>
                <w:sz w:val="24"/>
                <w:szCs w:val="24"/>
                <w:lang w:val="es-ES"/>
              </w:rPr>
              <w:t>203</w:t>
            </w:r>
          </w:p>
        </w:tc>
      </w:tr>
    </w:tbl>
    <w:p w14:paraId="0DA5C37E" w14:textId="114426F3" w:rsidR="00683C48" w:rsidRDefault="005F3103" w:rsidP="00683C48">
      <w:pPr>
        <w:rPr>
          <w:rFonts w:ascii="Times New Roman" w:hAnsi="Times New Roman" w:cs="Times New Roman"/>
          <w:b/>
          <w:color w:val="4C4747"/>
        </w:rPr>
      </w:pPr>
      <w:r w:rsidRPr="005F3103">
        <w:rPr>
          <w:rFonts w:ascii="Times New Roman" w:eastAsia="Calibri" w:hAnsi="Times New Roman" w:cs="Times New Roman"/>
          <w:spacing w:val="20"/>
          <w:sz w:val="24"/>
          <w:szCs w:val="24"/>
          <w:lang w:val="es-ES"/>
        </w:rPr>
        <w:t xml:space="preserve">                  </w:t>
      </w:r>
      <w:r w:rsidR="00683C48">
        <w:rPr>
          <w:rFonts w:ascii="Times New Roman" w:hAnsi="Times New Roman" w:cs="Times New Roman"/>
          <w:color w:val="767171"/>
        </w:rPr>
        <w:t xml:space="preserve">               </w:t>
      </w:r>
      <w:r w:rsidR="00683C48" w:rsidRPr="00683C48">
        <w:rPr>
          <w:rFonts w:ascii="Times New Roman" w:hAnsi="Times New Roman" w:cs="Times New Roman"/>
          <w:b/>
          <w:color w:val="4C4747"/>
        </w:rPr>
        <w:t>Fuente: Depto. de Recursos Humanos</w:t>
      </w:r>
    </w:p>
    <w:p w14:paraId="7E96EB26" w14:textId="7EC81DD1" w:rsidR="00582715" w:rsidRDefault="00582715" w:rsidP="00683C48">
      <w:pPr>
        <w:rPr>
          <w:rFonts w:ascii="Times New Roman" w:hAnsi="Times New Roman" w:cs="Times New Roman"/>
          <w:b/>
          <w:color w:val="767171"/>
        </w:rPr>
      </w:pPr>
    </w:p>
    <w:p w14:paraId="5E2CD56F" w14:textId="7904DC90" w:rsidR="00582715" w:rsidRDefault="00582715" w:rsidP="00683C48">
      <w:pPr>
        <w:rPr>
          <w:rFonts w:ascii="Times New Roman" w:hAnsi="Times New Roman" w:cs="Times New Roman"/>
          <w:b/>
          <w:color w:val="767171"/>
        </w:rPr>
      </w:pPr>
    </w:p>
    <w:p w14:paraId="4A8E66F7" w14:textId="5410E5E0" w:rsidR="00582715" w:rsidRDefault="00582715" w:rsidP="00683C48">
      <w:pPr>
        <w:rPr>
          <w:rFonts w:ascii="Times New Roman" w:hAnsi="Times New Roman" w:cs="Times New Roman"/>
          <w:b/>
          <w:color w:val="767171"/>
        </w:rPr>
      </w:pPr>
    </w:p>
    <w:p w14:paraId="274F9B8B" w14:textId="77777777" w:rsidR="00582715" w:rsidRPr="00A80B53" w:rsidRDefault="00582715" w:rsidP="00683C48">
      <w:pPr>
        <w:rPr>
          <w:rFonts w:ascii="Times New Roman" w:hAnsi="Times New Roman" w:cs="Times New Roman"/>
          <w:b/>
          <w:color w:val="767171"/>
        </w:rPr>
      </w:pPr>
    </w:p>
    <w:p w14:paraId="231B2C01" w14:textId="77777777" w:rsidR="00683C48" w:rsidRDefault="00683C48" w:rsidP="005F3103">
      <w:pPr>
        <w:spacing w:line="360" w:lineRule="auto"/>
        <w:jc w:val="both"/>
        <w:rPr>
          <w:rFonts w:ascii="Times New Roman" w:eastAsia="Calibri" w:hAnsi="Times New Roman" w:cs="Times New Roman"/>
          <w:b/>
          <w:sz w:val="24"/>
          <w:szCs w:val="24"/>
          <w:lang w:val="es-ES"/>
        </w:rPr>
      </w:pPr>
    </w:p>
    <w:p w14:paraId="6693125E" w14:textId="6473DC81" w:rsidR="005F3103" w:rsidRPr="0087558E" w:rsidRDefault="005F3103" w:rsidP="005F3103">
      <w:pPr>
        <w:spacing w:line="360" w:lineRule="auto"/>
        <w:jc w:val="both"/>
        <w:rPr>
          <w:rFonts w:ascii="Times New Roman" w:eastAsia="Calibri" w:hAnsi="Times New Roman" w:cs="Times New Roman"/>
          <w:b/>
          <w:color w:val="4C4747"/>
          <w:sz w:val="24"/>
          <w:szCs w:val="24"/>
          <w:lang w:val="es-ES"/>
        </w:rPr>
      </w:pPr>
      <w:r w:rsidRPr="0087558E">
        <w:rPr>
          <w:rFonts w:ascii="Times New Roman" w:eastAsia="Calibri" w:hAnsi="Times New Roman" w:cs="Times New Roman"/>
          <w:b/>
          <w:color w:val="4C4747"/>
          <w:sz w:val="24"/>
          <w:szCs w:val="24"/>
          <w:lang w:val="es-ES"/>
        </w:rPr>
        <w:lastRenderedPageBreak/>
        <w:t>Promedio del desempeño de los colaboradores por grupo ocupacional</w:t>
      </w:r>
    </w:p>
    <w:p w14:paraId="33349424" w14:textId="77777777" w:rsidR="005F3103" w:rsidRPr="0087558E" w:rsidRDefault="005F3103" w:rsidP="005F3103">
      <w:pPr>
        <w:spacing w:line="360" w:lineRule="auto"/>
        <w:jc w:val="both"/>
        <w:rPr>
          <w:rFonts w:ascii="Times New Roman" w:eastAsia="Calibri" w:hAnsi="Times New Roman" w:cs="Times New Roman"/>
          <w:color w:val="4C4747"/>
          <w:sz w:val="24"/>
          <w:szCs w:val="24"/>
          <w:lang w:val="es-ES"/>
        </w:rPr>
      </w:pPr>
      <w:r w:rsidRPr="0087558E">
        <w:rPr>
          <w:rFonts w:ascii="Times New Roman" w:eastAsia="Calibri" w:hAnsi="Times New Roman" w:cs="Times New Roman"/>
          <w:color w:val="4C4747"/>
          <w:sz w:val="24"/>
          <w:szCs w:val="24"/>
          <w:lang w:val="es-ES"/>
        </w:rPr>
        <w:t>Desempeño de los empleados del BCRD: PERIODO PROBATORIO</w:t>
      </w:r>
    </w:p>
    <w:tbl>
      <w:tblPr>
        <w:tblW w:w="7869" w:type="dxa"/>
        <w:tblCellMar>
          <w:left w:w="70" w:type="dxa"/>
          <w:right w:w="70" w:type="dxa"/>
        </w:tblCellMar>
        <w:tblLook w:val="04A0" w:firstRow="1" w:lastRow="0" w:firstColumn="1" w:lastColumn="0" w:noHBand="0" w:noVBand="1"/>
      </w:tblPr>
      <w:tblGrid>
        <w:gridCol w:w="2560"/>
        <w:gridCol w:w="1840"/>
        <w:gridCol w:w="1509"/>
        <w:gridCol w:w="1960"/>
      </w:tblGrid>
      <w:tr w:rsidR="005F3103" w:rsidRPr="005F3103" w14:paraId="1F3AA54E" w14:textId="77777777" w:rsidTr="00582715">
        <w:trPr>
          <w:trHeight w:val="615"/>
          <w:tblHeader/>
        </w:trPr>
        <w:tc>
          <w:tcPr>
            <w:tcW w:w="2560" w:type="dxa"/>
            <w:tcBorders>
              <w:top w:val="single" w:sz="12" w:space="0" w:color="1F3864"/>
              <w:left w:val="single" w:sz="8" w:space="0" w:color="auto"/>
              <w:bottom w:val="single" w:sz="12" w:space="0" w:color="1F3864"/>
              <w:right w:val="single" w:sz="12" w:space="0" w:color="1F3864"/>
            </w:tcBorders>
            <w:shd w:val="clear" w:color="auto" w:fill="1F3864" w:themeFill="accent1" w:themeFillShade="80"/>
            <w:noWrap/>
            <w:vAlign w:val="center"/>
            <w:hideMark/>
          </w:tcPr>
          <w:p w14:paraId="0323FA74" w14:textId="77777777" w:rsidR="005F3103" w:rsidRPr="0087558E" w:rsidRDefault="005F3103" w:rsidP="005F3103">
            <w:pPr>
              <w:jc w:val="both"/>
              <w:rPr>
                <w:rFonts w:ascii="Times New Roman" w:eastAsia="Times New Roman" w:hAnsi="Times New Roman" w:cs="Times New Roman"/>
                <w:b/>
                <w:bCs/>
                <w:sz w:val="24"/>
                <w:szCs w:val="24"/>
                <w:lang w:val="es-ES"/>
              </w:rPr>
            </w:pPr>
            <w:r w:rsidRPr="0087558E">
              <w:rPr>
                <w:rFonts w:ascii="Times New Roman" w:eastAsia="Times New Roman" w:hAnsi="Times New Roman" w:cs="Times New Roman"/>
                <w:b/>
                <w:bCs/>
                <w:sz w:val="24"/>
                <w:szCs w:val="24"/>
                <w:lang w:val="es-ES"/>
              </w:rPr>
              <w:t>Grupo Ocupacional</w:t>
            </w:r>
          </w:p>
        </w:tc>
        <w:tc>
          <w:tcPr>
            <w:tcW w:w="1840" w:type="dxa"/>
            <w:tcBorders>
              <w:top w:val="single" w:sz="12" w:space="0" w:color="1F3864"/>
              <w:left w:val="single" w:sz="12" w:space="0" w:color="1F3864"/>
              <w:bottom w:val="single" w:sz="12" w:space="0" w:color="1F3864"/>
              <w:right w:val="single" w:sz="12" w:space="0" w:color="1F3864" w:themeColor="accent1" w:themeShade="80"/>
            </w:tcBorders>
            <w:shd w:val="clear" w:color="auto" w:fill="1F3864" w:themeFill="accent1" w:themeFillShade="80"/>
            <w:vAlign w:val="center"/>
            <w:hideMark/>
          </w:tcPr>
          <w:p w14:paraId="164BF1A9" w14:textId="77777777" w:rsidR="005F3103" w:rsidRPr="0087558E" w:rsidRDefault="005F3103" w:rsidP="005F3103">
            <w:pPr>
              <w:jc w:val="both"/>
              <w:rPr>
                <w:rFonts w:ascii="Times New Roman" w:eastAsia="Times New Roman" w:hAnsi="Times New Roman" w:cs="Times New Roman"/>
                <w:b/>
                <w:bCs/>
                <w:sz w:val="24"/>
                <w:szCs w:val="24"/>
                <w:lang w:val="es-ES"/>
              </w:rPr>
            </w:pPr>
            <w:r w:rsidRPr="0087558E">
              <w:rPr>
                <w:rFonts w:ascii="Times New Roman" w:eastAsia="Times New Roman" w:hAnsi="Times New Roman" w:cs="Times New Roman"/>
                <w:b/>
                <w:bCs/>
                <w:sz w:val="24"/>
                <w:szCs w:val="24"/>
                <w:lang w:val="es-ES"/>
              </w:rPr>
              <w:t>Cantidad de Empleados</w:t>
            </w:r>
          </w:p>
        </w:tc>
        <w:tc>
          <w:tcPr>
            <w:tcW w:w="1509" w:type="dxa"/>
            <w:tcBorders>
              <w:top w:val="single" w:sz="12" w:space="0" w:color="1F3864"/>
              <w:left w:val="single" w:sz="12" w:space="0" w:color="1F3864" w:themeColor="accent1" w:themeShade="80"/>
              <w:bottom w:val="single" w:sz="12" w:space="0" w:color="1F3864"/>
              <w:right w:val="single" w:sz="12" w:space="0" w:color="1F3864"/>
            </w:tcBorders>
            <w:shd w:val="clear" w:color="auto" w:fill="1F3864" w:themeFill="accent1" w:themeFillShade="80"/>
            <w:vAlign w:val="center"/>
            <w:hideMark/>
          </w:tcPr>
          <w:p w14:paraId="7A8298BD" w14:textId="77777777" w:rsidR="005F3103" w:rsidRPr="0087558E" w:rsidRDefault="005F3103" w:rsidP="005F3103">
            <w:pPr>
              <w:jc w:val="both"/>
              <w:rPr>
                <w:rFonts w:ascii="Times New Roman" w:eastAsia="Times New Roman" w:hAnsi="Times New Roman" w:cs="Times New Roman"/>
                <w:b/>
                <w:bCs/>
                <w:sz w:val="24"/>
                <w:szCs w:val="24"/>
                <w:lang w:val="es-ES"/>
              </w:rPr>
            </w:pPr>
            <w:r w:rsidRPr="0087558E">
              <w:rPr>
                <w:rFonts w:ascii="Times New Roman" w:eastAsia="Times New Roman" w:hAnsi="Times New Roman" w:cs="Times New Roman"/>
                <w:b/>
                <w:bCs/>
                <w:sz w:val="24"/>
                <w:szCs w:val="24"/>
                <w:lang w:val="es-ES"/>
              </w:rPr>
              <w:t>Promedio Desempeño</w:t>
            </w:r>
          </w:p>
        </w:tc>
        <w:tc>
          <w:tcPr>
            <w:tcW w:w="1960" w:type="dxa"/>
            <w:tcBorders>
              <w:top w:val="single" w:sz="12" w:space="0" w:color="1F3864"/>
              <w:left w:val="single" w:sz="12" w:space="0" w:color="1F3864"/>
              <w:bottom w:val="single" w:sz="12" w:space="0" w:color="1F3864"/>
              <w:right w:val="single" w:sz="12" w:space="0" w:color="1F3864"/>
            </w:tcBorders>
            <w:shd w:val="clear" w:color="auto" w:fill="1F3864" w:themeFill="accent1" w:themeFillShade="80"/>
            <w:vAlign w:val="center"/>
            <w:hideMark/>
          </w:tcPr>
          <w:p w14:paraId="7F2A9247" w14:textId="77777777" w:rsidR="005F3103" w:rsidRPr="0087558E" w:rsidRDefault="005F3103" w:rsidP="005F3103">
            <w:pPr>
              <w:jc w:val="both"/>
              <w:rPr>
                <w:rFonts w:ascii="Times New Roman" w:eastAsia="Times New Roman" w:hAnsi="Times New Roman" w:cs="Times New Roman"/>
                <w:b/>
                <w:bCs/>
                <w:sz w:val="24"/>
                <w:szCs w:val="24"/>
                <w:lang w:val="es-ES"/>
              </w:rPr>
            </w:pPr>
            <w:r w:rsidRPr="0087558E">
              <w:rPr>
                <w:rFonts w:ascii="Times New Roman" w:eastAsia="Times New Roman" w:hAnsi="Times New Roman" w:cs="Times New Roman"/>
                <w:b/>
                <w:bCs/>
                <w:sz w:val="24"/>
                <w:szCs w:val="24"/>
                <w:lang w:val="es-ES"/>
              </w:rPr>
              <w:t>Porcentaje de Empleados</w:t>
            </w:r>
          </w:p>
        </w:tc>
      </w:tr>
      <w:tr w:rsidR="005F3103" w:rsidRPr="005F3103" w14:paraId="1912EB4E" w14:textId="77777777" w:rsidTr="00582715">
        <w:trPr>
          <w:trHeight w:val="315"/>
          <w:tblHeader/>
        </w:trPr>
        <w:tc>
          <w:tcPr>
            <w:tcW w:w="2560" w:type="dxa"/>
            <w:tcBorders>
              <w:top w:val="single" w:sz="12" w:space="0" w:color="1F3864"/>
              <w:left w:val="single" w:sz="12" w:space="0" w:color="1F3864"/>
              <w:bottom w:val="single" w:sz="12" w:space="0" w:color="1F3864"/>
              <w:right w:val="single" w:sz="12" w:space="0" w:color="1F3864"/>
            </w:tcBorders>
            <w:shd w:val="clear" w:color="auto" w:fill="auto"/>
            <w:noWrap/>
            <w:hideMark/>
          </w:tcPr>
          <w:p w14:paraId="27E47063" w14:textId="77777777" w:rsidR="005F3103" w:rsidRPr="00E50E90" w:rsidRDefault="005F3103" w:rsidP="005F3103">
            <w:pPr>
              <w:jc w:val="both"/>
              <w:rPr>
                <w:rFonts w:ascii="Times New Roman" w:eastAsia="Times New Roman" w:hAnsi="Times New Roman" w:cs="Times New Roman"/>
                <w:color w:val="4C4747"/>
                <w:sz w:val="24"/>
                <w:szCs w:val="24"/>
                <w:lang w:val="es-ES"/>
              </w:rPr>
            </w:pPr>
            <w:r w:rsidRPr="00E50E90">
              <w:rPr>
                <w:rFonts w:ascii="Times New Roman" w:eastAsia="Times New Roman" w:hAnsi="Times New Roman" w:cs="Times New Roman"/>
                <w:color w:val="4C4747"/>
                <w:sz w:val="24"/>
                <w:szCs w:val="24"/>
                <w:lang w:val="es-ES"/>
              </w:rPr>
              <w:t>Apoyo</w:t>
            </w:r>
          </w:p>
        </w:tc>
        <w:tc>
          <w:tcPr>
            <w:tcW w:w="1840" w:type="dxa"/>
            <w:tcBorders>
              <w:top w:val="single" w:sz="12" w:space="0" w:color="1F3864"/>
              <w:left w:val="single" w:sz="12" w:space="0" w:color="1F3864"/>
              <w:bottom w:val="single" w:sz="12" w:space="0" w:color="1F3864"/>
              <w:right w:val="single" w:sz="12" w:space="0" w:color="1F3864" w:themeColor="accent1" w:themeShade="80"/>
            </w:tcBorders>
            <w:shd w:val="clear" w:color="auto" w:fill="auto"/>
            <w:noWrap/>
            <w:vAlign w:val="center"/>
            <w:hideMark/>
          </w:tcPr>
          <w:p w14:paraId="01B851A6"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11</w:t>
            </w:r>
          </w:p>
        </w:tc>
        <w:tc>
          <w:tcPr>
            <w:tcW w:w="1509" w:type="dxa"/>
            <w:tcBorders>
              <w:top w:val="single" w:sz="12" w:space="0" w:color="1F3864"/>
              <w:left w:val="single" w:sz="12" w:space="0" w:color="1F3864" w:themeColor="accent1" w:themeShade="80"/>
              <w:bottom w:val="single" w:sz="12" w:space="0" w:color="1F3864"/>
              <w:right w:val="single" w:sz="12" w:space="0" w:color="1F3864"/>
            </w:tcBorders>
            <w:shd w:val="clear" w:color="auto" w:fill="auto"/>
            <w:noWrap/>
            <w:vAlign w:val="center"/>
            <w:hideMark/>
          </w:tcPr>
          <w:p w14:paraId="1720EBF4"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411.27</w:t>
            </w:r>
          </w:p>
        </w:tc>
        <w:tc>
          <w:tcPr>
            <w:tcW w:w="1960"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6508AE48"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33.33%</w:t>
            </w:r>
          </w:p>
        </w:tc>
      </w:tr>
      <w:tr w:rsidR="005F3103" w:rsidRPr="005F3103" w14:paraId="2A7F6978" w14:textId="77777777" w:rsidTr="00582715">
        <w:trPr>
          <w:trHeight w:val="300"/>
          <w:tblHeader/>
        </w:trPr>
        <w:tc>
          <w:tcPr>
            <w:tcW w:w="2560" w:type="dxa"/>
            <w:tcBorders>
              <w:top w:val="single" w:sz="12" w:space="0" w:color="1F3864"/>
              <w:left w:val="single" w:sz="12" w:space="0" w:color="1F3864"/>
              <w:bottom w:val="single" w:sz="12" w:space="0" w:color="1F3864"/>
              <w:right w:val="single" w:sz="12" w:space="0" w:color="1F3864"/>
            </w:tcBorders>
            <w:shd w:val="clear" w:color="auto" w:fill="auto"/>
            <w:noWrap/>
            <w:hideMark/>
          </w:tcPr>
          <w:p w14:paraId="05D9DF70" w14:textId="77777777" w:rsidR="005F3103" w:rsidRPr="00E50E90" w:rsidRDefault="005F3103" w:rsidP="005F3103">
            <w:pPr>
              <w:jc w:val="both"/>
              <w:rPr>
                <w:rFonts w:ascii="Times New Roman" w:eastAsia="Times New Roman" w:hAnsi="Times New Roman" w:cs="Times New Roman"/>
                <w:color w:val="4C4747"/>
                <w:sz w:val="24"/>
                <w:szCs w:val="24"/>
                <w:lang w:val="es-ES"/>
              </w:rPr>
            </w:pPr>
            <w:r w:rsidRPr="00E50E90">
              <w:rPr>
                <w:rFonts w:ascii="Times New Roman" w:eastAsia="Times New Roman" w:hAnsi="Times New Roman" w:cs="Times New Roman"/>
                <w:color w:val="4C4747"/>
                <w:sz w:val="24"/>
                <w:szCs w:val="24"/>
                <w:lang w:val="es-ES"/>
              </w:rPr>
              <w:t>Profesional o Técnico</w:t>
            </w:r>
          </w:p>
        </w:tc>
        <w:tc>
          <w:tcPr>
            <w:tcW w:w="1840"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125D85D6"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22</w:t>
            </w:r>
          </w:p>
        </w:tc>
        <w:tc>
          <w:tcPr>
            <w:tcW w:w="1509"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28E4146C"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413.1</w:t>
            </w:r>
          </w:p>
        </w:tc>
        <w:tc>
          <w:tcPr>
            <w:tcW w:w="1960"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50F0371E"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66.67%</w:t>
            </w:r>
          </w:p>
        </w:tc>
      </w:tr>
      <w:tr w:rsidR="005F3103" w:rsidRPr="005F3103" w14:paraId="104F7BBD" w14:textId="77777777" w:rsidTr="00582715">
        <w:trPr>
          <w:trHeight w:val="300"/>
          <w:tblHeader/>
        </w:trPr>
        <w:tc>
          <w:tcPr>
            <w:tcW w:w="2560" w:type="dxa"/>
            <w:tcBorders>
              <w:top w:val="single" w:sz="12" w:space="0" w:color="1F3864"/>
              <w:left w:val="single" w:sz="12" w:space="0" w:color="1F3864"/>
              <w:bottom w:val="single" w:sz="12" w:space="0" w:color="1F3864"/>
              <w:right w:val="single" w:sz="12" w:space="0" w:color="1F3864"/>
            </w:tcBorders>
            <w:shd w:val="clear" w:color="auto" w:fill="auto"/>
            <w:noWrap/>
            <w:hideMark/>
          </w:tcPr>
          <w:p w14:paraId="74FDE5D3" w14:textId="77777777" w:rsidR="005F3103" w:rsidRPr="00E50E90" w:rsidRDefault="005F3103" w:rsidP="005F3103">
            <w:pPr>
              <w:jc w:val="right"/>
              <w:rPr>
                <w:rFonts w:ascii="Times New Roman" w:eastAsia="Times New Roman" w:hAnsi="Times New Roman" w:cs="Times New Roman"/>
                <w:color w:val="4C4747"/>
                <w:sz w:val="24"/>
                <w:szCs w:val="24"/>
                <w:lang w:val="es-ES"/>
              </w:rPr>
            </w:pPr>
            <w:r w:rsidRPr="00E50E90">
              <w:rPr>
                <w:rFonts w:ascii="Times New Roman" w:eastAsia="Times New Roman" w:hAnsi="Times New Roman" w:cs="Times New Roman"/>
                <w:color w:val="4C4747"/>
                <w:sz w:val="24"/>
                <w:szCs w:val="24"/>
                <w:lang w:val="es-ES"/>
              </w:rPr>
              <w:t>Mandos Medios</w:t>
            </w:r>
          </w:p>
        </w:tc>
        <w:tc>
          <w:tcPr>
            <w:tcW w:w="1840"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4B66C98F"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0</w:t>
            </w:r>
          </w:p>
        </w:tc>
        <w:tc>
          <w:tcPr>
            <w:tcW w:w="1509"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414F612B"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0</w:t>
            </w:r>
          </w:p>
        </w:tc>
        <w:tc>
          <w:tcPr>
            <w:tcW w:w="1960"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1D4F8FE1"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0%</w:t>
            </w:r>
          </w:p>
        </w:tc>
      </w:tr>
      <w:tr w:rsidR="005F3103" w:rsidRPr="005F3103" w14:paraId="2DCB8B23" w14:textId="77777777" w:rsidTr="00582715">
        <w:trPr>
          <w:trHeight w:val="315"/>
          <w:tblHeader/>
        </w:trPr>
        <w:tc>
          <w:tcPr>
            <w:tcW w:w="2560" w:type="dxa"/>
            <w:tcBorders>
              <w:top w:val="single" w:sz="12" w:space="0" w:color="1F3864"/>
              <w:left w:val="single" w:sz="12" w:space="0" w:color="1F3864"/>
              <w:bottom w:val="single" w:sz="12" w:space="0" w:color="1F3864"/>
              <w:right w:val="single" w:sz="12" w:space="0" w:color="1F3864"/>
            </w:tcBorders>
            <w:shd w:val="clear" w:color="auto" w:fill="auto"/>
            <w:noWrap/>
            <w:hideMark/>
          </w:tcPr>
          <w:p w14:paraId="544AC2B2" w14:textId="77777777" w:rsidR="005F3103" w:rsidRPr="00E50E90" w:rsidRDefault="005F3103" w:rsidP="005F3103">
            <w:pPr>
              <w:jc w:val="right"/>
              <w:rPr>
                <w:rFonts w:ascii="Times New Roman" w:eastAsia="Times New Roman" w:hAnsi="Times New Roman" w:cs="Times New Roman"/>
                <w:color w:val="4C4747"/>
                <w:sz w:val="24"/>
                <w:szCs w:val="24"/>
                <w:lang w:val="es-ES"/>
              </w:rPr>
            </w:pPr>
            <w:proofErr w:type="spellStart"/>
            <w:r w:rsidRPr="00E50E90">
              <w:rPr>
                <w:rFonts w:ascii="Times New Roman" w:eastAsia="Times New Roman" w:hAnsi="Times New Roman" w:cs="Times New Roman"/>
                <w:color w:val="4C4747"/>
                <w:sz w:val="24"/>
                <w:szCs w:val="24"/>
                <w:lang w:val="es-ES"/>
              </w:rPr>
              <w:t>Subdirectivo</w:t>
            </w:r>
            <w:proofErr w:type="spellEnd"/>
          </w:p>
        </w:tc>
        <w:tc>
          <w:tcPr>
            <w:tcW w:w="1840"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531C19FA"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0</w:t>
            </w:r>
          </w:p>
        </w:tc>
        <w:tc>
          <w:tcPr>
            <w:tcW w:w="1509"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781D7A90"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0</w:t>
            </w:r>
          </w:p>
        </w:tc>
        <w:tc>
          <w:tcPr>
            <w:tcW w:w="1960" w:type="dxa"/>
            <w:tcBorders>
              <w:top w:val="single" w:sz="12" w:space="0" w:color="1F3864"/>
              <w:left w:val="single" w:sz="12" w:space="0" w:color="1F3864"/>
              <w:bottom w:val="single" w:sz="12" w:space="0" w:color="1F3864"/>
              <w:right w:val="single" w:sz="12" w:space="0" w:color="1F3864"/>
            </w:tcBorders>
            <w:shd w:val="clear" w:color="auto" w:fill="auto"/>
            <w:noWrap/>
            <w:vAlign w:val="center"/>
            <w:hideMark/>
          </w:tcPr>
          <w:p w14:paraId="1DF3D1FD" w14:textId="77777777" w:rsidR="005F3103" w:rsidRPr="00E50E90" w:rsidRDefault="005F3103" w:rsidP="005F3103">
            <w:pPr>
              <w:jc w:val="center"/>
              <w:rPr>
                <w:rFonts w:ascii="Times New Roman" w:eastAsia="Times New Roman" w:hAnsi="Times New Roman" w:cs="Times New Roman"/>
                <w:color w:val="4C4747"/>
                <w:sz w:val="24"/>
                <w:szCs w:val="24"/>
                <w:lang w:val="es-ES"/>
              </w:rPr>
            </w:pPr>
            <w:r w:rsidRPr="00E50E90">
              <w:rPr>
                <w:rFonts w:ascii="Times New Roman" w:eastAsia="Calibri" w:hAnsi="Times New Roman" w:cs="Times New Roman"/>
                <w:color w:val="4C4747"/>
                <w:sz w:val="24"/>
                <w:szCs w:val="24"/>
                <w:lang w:val="es-ES"/>
              </w:rPr>
              <w:t>0%</w:t>
            </w:r>
          </w:p>
        </w:tc>
      </w:tr>
      <w:tr w:rsidR="005F3103" w:rsidRPr="005F3103" w14:paraId="30FACD9D" w14:textId="77777777" w:rsidTr="00582715">
        <w:trPr>
          <w:trHeight w:val="315"/>
          <w:tblHeader/>
        </w:trPr>
        <w:tc>
          <w:tcPr>
            <w:tcW w:w="2560" w:type="dxa"/>
            <w:tcBorders>
              <w:top w:val="single" w:sz="12" w:space="0" w:color="1F3864"/>
              <w:left w:val="nil"/>
              <w:bottom w:val="nil"/>
              <w:right w:val="single" w:sz="12" w:space="0" w:color="1F3864"/>
            </w:tcBorders>
            <w:shd w:val="clear" w:color="auto" w:fill="auto"/>
            <w:noWrap/>
            <w:hideMark/>
          </w:tcPr>
          <w:p w14:paraId="74A58857" w14:textId="77777777" w:rsidR="005F3103" w:rsidRPr="0087558E" w:rsidRDefault="005F3103" w:rsidP="005F3103">
            <w:pPr>
              <w:jc w:val="both"/>
              <w:rPr>
                <w:rFonts w:ascii="Times New Roman" w:eastAsia="Times New Roman" w:hAnsi="Times New Roman" w:cs="Times New Roman"/>
                <w:sz w:val="24"/>
                <w:szCs w:val="24"/>
                <w:lang w:val="es-ES"/>
              </w:rPr>
            </w:pPr>
            <w:r w:rsidRPr="0087558E">
              <w:rPr>
                <w:rFonts w:ascii="Times New Roman" w:eastAsia="Times New Roman" w:hAnsi="Times New Roman" w:cs="Times New Roman"/>
                <w:sz w:val="24"/>
                <w:szCs w:val="24"/>
                <w:lang w:val="es-ES"/>
              </w:rPr>
              <w:t> </w:t>
            </w:r>
          </w:p>
        </w:tc>
        <w:tc>
          <w:tcPr>
            <w:tcW w:w="1840" w:type="dxa"/>
            <w:tcBorders>
              <w:top w:val="single" w:sz="12" w:space="0" w:color="1F3864"/>
              <w:left w:val="single" w:sz="12" w:space="0" w:color="1F3864"/>
              <w:bottom w:val="single" w:sz="12" w:space="0" w:color="1F3864"/>
              <w:right w:val="single" w:sz="12" w:space="0" w:color="1F3864"/>
            </w:tcBorders>
            <w:shd w:val="clear" w:color="auto" w:fill="1F3864" w:themeFill="accent1" w:themeFillShade="80"/>
            <w:noWrap/>
            <w:vAlign w:val="center"/>
            <w:hideMark/>
          </w:tcPr>
          <w:p w14:paraId="0D6C6E84" w14:textId="77777777" w:rsidR="005F3103" w:rsidRPr="0087558E" w:rsidRDefault="005F3103" w:rsidP="005F3103">
            <w:pPr>
              <w:jc w:val="center"/>
              <w:rPr>
                <w:rFonts w:ascii="Times New Roman" w:eastAsia="Times New Roman" w:hAnsi="Times New Roman" w:cs="Times New Roman"/>
                <w:bCs/>
                <w:sz w:val="24"/>
                <w:szCs w:val="24"/>
                <w:lang w:val="es-ES"/>
              </w:rPr>
            </w:pPr>
            <w:r w:rsidRPr="0087558E">
              <w:rPr>
                <w:rFonts w:ascii="Times New Roman" w:eastAsia="Calibri" w:hAnsi="Times New Roman" w:cs="Times New Roman"/>
                <w:b/>
                <w:bCs/>
                <w:color w:val="FFFFFF"/>
                <w:sz w:val="24"/>
                <w:szCs w:val="24"/>
                <w:lang w:val="es-ES"/>
              </w:rPr>
              <w:t>33</w:t>
            </w:r>
          </w:p>
        </w:tc>
        <w:tc>
          <w:tcPr>
            <w:tcW w:w="1509" w:type="dxa"/>
            <w:tcBorders>
              <w:top w:val="single" w:sz="12" w:space="0" w:color="1F3864"/>
              <w:left w:val="single" w:sz="12" w:space="0" w:color="1F3864"/>
              <w:bottom w:val="single" w:sz="12" w:space="0" w:color="1F3864"/>
              <w:right w:val="single" w:sz="12" w:space="0" w:color="1F3864"/>
            </w:tcBorders>
            <w:shd w:val="clear" w:color="auto" w:fill="1F3864" w:themeFill="accent1" w:themeFillShade="80"/>
            <w:noWrap/>
            <w:vAlign w:val="center"/>
            <w:hideMark/>
          </w:tcPr>
          <w:p w14:paraId="13D869A4" w14:textId="77777777" w:rsidR="005F3103" w:rsidRPr="0087558E" w:rsidRDefault="005F3103" w:rsidP="005F3103">
            <w:pPr>
              <w:jc w:val="center"/>
              <w:rPr>
                <w:rFonts w:ascii="Times New Roman" w:eastAsia="Times New Roman" w:hAnsi="Times New Roman" w:cs="Times New Roman"/>
                <w:bCs/>
                <w:sz w:val="24"/>
                <w:szCs w:val="24"/>
                <w:lang w:val="es-ES"/>
              </w:rPr>
            </w:pPr>
            <w:r w:rsidRPr="0087558E">
              <w:rPr>
                <w:rFonts w:ascii="Times New Roman" w:eastAsia="Calibri" w:hAnsi="Times New Roman" w:cs="Times New Roman"/>
                <w:b/>
                <w:bCs/>
                <w:color w:val="FFFFFF"/>
                <w:sz w:val="24"/>
                <w:szCs w:val="24"/>
                <w:lang w:val="es-ES"/>
              </w:rPr>
              <w:t>412.19</w:t>
            </w:r>
          </w:p>
        </w:tc>
        <w:tc>
          <w:tcPr>
            <w:tcW w:w="1960" w:type="dxa"/>
            <w:tcBorders>
              <w:top w:val="single" w:sz="12" w:space="0" w:color="1F3864"/>
              <w:left w:val="single" w:sz="12" w:space="0" w:color="1F3864"/>
              <w:bottom w:val="single" w:sz="12" w:space="0" w:color="1F3864"/>
              <w:right w:val="single" w:sz="12" w:space="0" w:color="1F3864"/>
            </w:tcBorders>
            <w:shd w:val="clear" w:color="auto" w:fill="1F3864" w:themeFill="accent1" w:themeFillShade="80"/>
            <w:noWrap/>
            <w:vAlign w:val="center"/>
            <w:hideMark/>
          </w:tcPr>
          <w:p w14:paraId="70596814" w14:textId="77777777" w:rsidR="005F3103" w:rsidRPr="0087558E" w:rsidRDefault="005F3103" w:rsidP="005F3103">
            <w:pPr>
              <w:jc w:val="center"/>
              <w:rPr>
                <w:rFonts w:ascii="Times New Roman" w:eastAsia="Times New Roman" w:hAnsi="Times New Roman" w:cs="Times New Roman"/>
                <w:bCs/>
                <w:sz w:val="24"/>
                <w:szCs w:val="24"/>
                <w:lang w:val="es-ES"/>
              </w:rPr>
            </w:pPr>
            <w:r w:rsidRPr="0087558E">
              <w:rPr>
                <w:rFonts w:ascii="Times New Roman" w:eastAsia="Calibri" w:hAnsi="Times New Roman" w:cs="Times New Roman"/>
                <w:b/>
                <w:bCs/>
                <w:color w:val="FFFFFF"/>
                <w:sz w:val="24"/>
                <w:szCs w:val="24"/>
                <w:lang w:val="es-ES"/>
              </w:rPr>
              <w:t>100%</w:t>
            </w:r>
          </w:p>
        </w:tc>
      </w:tr>
    </w:tbl>
    <w:p w14:paraId="73EA552A" w14:textId="3DD4A419" w:rsidR="0087558E" w:rsidRPr="00582715" w:rsidRDefault="00683C48" w:rsidP="00582715">
      <w:pPr>
        <w:spacing w:line="360" w:lineRule="auto"/>
        <w:rPr>
          <w:rFonts w:ascii="Times New Roman" w:eastAsia="Calibri" w:hAnsi="Times New Roman" w:cs="Times New Roman"/>
          <w:b/>
          <w:color w:val="4C4747"/>
          <w:spacing w:val="20"/>
        </w:rPr>
      </w:pPr>
      <w:r w:rsidRPr="00683C48">
        <w:rPr>
          <w:rFonts w:ascii="Times New Roman" w:eastAsia="Calibri" w:hAnsi="Times New Roman" w:cs="Times New Roman"/>
          <w:b/>
          <w:color w:val="767171"/>
          <w:spacing w:val="20"/>
          <w:sz w:val="24"/>
          <w:szCs w:val="24"/>
        </w:rPr>
        <w:t xml:space="preserve">                   </w:t>
      </w:r>
      <w:r w:rsidR="00B46D33">
        <w:rPr>
          <w:rFonts w:ascii="Times New Roman" w:eastAsia="Calibri" w:hAnsi="Times New Roman" w:cs="Times New Roman"/>
          <w:b/>
          <w:color w:val="767171"/>
          <w:spacing w:val="20"/>
          <w:sz w:val="24"/>
          <w:szCs w:val="24"/>
        </w:rPr>
        <w:t xml:space="preserve">  </w:t>
      </w:r>
      <w:r w:rsidRPr="0087558E">
        <w:rPr>
          <w:rFonts w:ascii="Times New Roman" w:eastAsia="Calibri" w:hAnsi="Times New Roman" w:cs="Times New Roman"/>
          <w:b/>
          <w:color w:val="4C4747"/>
          <w:spacing w:val="20"/>
        </w:rPr>
        <w:t>Fuente: Depto. de Recursos Humanos</w:t>
      </w:r>
    </w:p>
    <w:p w14:paraId="542C36F2" w14:textId="5964324B" w:rsidR="005F3103" w:rsidRPr="00683C48" w:rsidRDefault="005F3103" w:rsidP="005F3103">
      <w:pPr>
        <w:spacing w:line="360" w:lineRule="auto"/>
        <w:jc w:val="both"/>
        <w:rPr>
          <w:rFonts w:ascii="Times New Roman" w:eastAsia="Times New Roman" w:hAnsi="Times New Roman" w:cs="Times New Roman"/>
          <w:b/>
          <w:color w:val="4C4747"/>
          <w:sz w:val="24"/>
          <w:szCs w:val="24"/>
          <w:lang w:val="es-ES"/>
        </w:rPr>
      </w:pPr>
      <w:r w:rsidRPr="00683C48">
        <w:rPr>
          <w:rFonts w:ascii="Times New Roman" w:eastAsia="Times New Roman" w:hAnsi="Times New Roman" w:cs="Times New Roman"/>
          <w:b/>
          <w:color w:val="4C4747"/>
          <w:sz w:val="24"/>
          <w:szCs w:val="24"/>
          <w:lang w:val="es-ES"/>
        </w:rPr>
        <w:t>Programas de Becas</w:t>
      </w:r>
    </w:p>
    <w:p w14:paraId="3F44B516" w14:textId="77777777" w:rsidR="005F3103" w:rsidRPr="0087558E" w:rsidRDefault="005F3103" w:rsidP="005F3103">
      <w:pPr>
        <w:spacing w:after="0"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El programa de becas de la Institución tiene como objetivo otorgar becas a estudiantes sobresalientes externos de escasos recursos. A través de este programa se han beneficiado más de 1,400 jóvenes de todo el territorio nacional, con cobertura al 100%, en las distintas carreras que ofrecen el Instituto Tecnológico de Santo Domingo (INTEC), la Pontificia Universidad Católica Madre y Maestra (PUCMM) y la Universidad Acción Pro Educación y Cultura (APEC). Al día de hoy, dicho programa tiene 72 becas activas en INTEC y PUCMM.</w:t>
      </w:r>
    </w:p>
    <w:p w14:paraId="49E3D84B" w14:textId="77777777" w:rsidR="005F3103" w:rsidRPr="005F3103" w:rsidRDefault="005F3103" w:rsidP="005F3103">
      <w:pPr>
        <w:spacing w:after="0" w:line="360" w:lineRule="auto"/>
        <w:jc w:val="both"/>
        <w:rPr>
          <w:rFonts w:ascii="Times New Roman" w:hAnsi="Times New Roman" w:cs="Times New Roman"/>
          <w:sz w:val="24"/>
          <w:szCs w:val="24"/>
        </w:rPr>
      </w:pPr>
    </w:p>
    <w:tbl>
      <w:tblPr>
        <w:tblW w:w="5755" w:type="dxa"/>
        <w:tblInd w:w="1070" w:type="dxa"/>
        <w:tblCellMar>
          <w:left w:w="0" w:type="dxa"/>
          <w:right w:w="0" w:type="dxa"/>
        </w:tblCellMar>
        <w:tblLook w:val="04A0" w:firstRow="1" w:lastRow="0" w:firstColumn="1" w:lastColumn="0" w:noHBand="0" w:noVBand="1"/>
      </w:tblPr>
      <w:tblGrid>
        <w:gridCol w:w="4945"/>
        <w:gridCol w:w="810"/>
      </w:tblGrid>
      <w:tr w:rsidR="005F3103" w:rsidRPr="005F3103" w14:paraId="6BBECC52" w14:textId="77777777" w:rsidTr="00582715">
        <w:trPr>
          <w:trHeight w:val="315"/>
          <w:tblHeader/>
        </w:trPr>
        <w:tc>
          <w:tcPr>
            <w:tcW w:w="5755" w:type="dxa"/>
            <w:gridSpan w:val="2"/>
            <w:tcBorders>
              <w:top w:val="single" w:sz="12" w:space="0" w:color="1F3864"/>
              <w:left w:val="single" w:sz="8" w:space="0" w:color="auto"/>
              <w:bottom w:val="single" w:sz="12" w:space="0" w:color="1F3864"/>
              <w:right w:val="single" w:sz="12" w:space="0" w:color="1F3864"/>
            </w:tcBorders>
            <w:shd w:val="clear" w:color="auto" w:fill="203764"/>
            <w:noWrap/>
            <w:tcMar>
              <w:top w:w="0" w:type="dxa"/>
              <w:left w:w="70" w:type="dxa"/>
              <w:bottom w:w="0" w:type="dxa"/>
              <w:right w:w="70" w:type="dxa"/>
            </w:tcMar>
            <w:vAlign w:val="bottom"/>
            <w:hideMark/>
          </w:tcPr>
          <w:p w14:paraId="44EDA424" w14:textId="60FD9926" w:rsidR="005F3103" w:rsidRPr="005F3103" w:rsidRDefault="00683C48" w:rsidP="00683C48">
            <w:pPr>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s-ES"/>
              </w:rPr>
              <w:t>B</w:t>
            </w:r>
            <w:r w:rsidR="005F3103" w:rsidRPr="005F3103">
              <w:rPr>
                <w:rFonts w:ascii="Times New Roman" w:eastAsia="Calibri" w:hAnsi="Times New Roman" w:cs="Times New Roman"/>
                <w:b/>
                <w:bCs/>
                <w:sz w:val="24"/>
                <w:szCs w:val="24"/>
                <w:lang w:val="es-ES"/>
              </w:rPr>
              <w:t>ecas activas 2023</w:t>
            </w:r>
          </w:p>
        </w:tc>
      </w:tr>
      <w:tr w:rsidR="005F3103" w:rsidRPr="005F3103" w14:paraId="3F2A2017" w14:textId="77777777" w:rsidTr="00582715">
        <w:trPr>
          <w:trHeight w:val="315"/>
          <w:tblHeader/>
        </w:trPr>
        <w:tc>
          <w:tcPr>
            <w:tcW w:w="4945" w:type="dxa"/>
            <w:tcBorders>
              <w:top w:val="nil"/>
              <w:left w:val="single" w:sz="12" w:space="0" w:color="1F3864"/>
              <w:bottom w:val="single" w:sz="12" w:space="0" w:color="1F3864"/>
              <w:right w:val="single" w:sz="12" w:space="0" w:color="1F3864"/>
            </w:tcBorders>
            <w:noWrap/>
            <w:tcMar>
              <w:top w:w="0" w:type="dxa"/>
              <w:left w:w="70" w:type="dxa"/>
              <w:bottom w:w="0" w:type="dxa"/>
              <w:right w:w="70" w:type="dxa"/>
            </w:tcMar>
            <w:vAlign w:val="bottom"/>
            <w:hideMark/>
          </w:tcPr>
          <w:p w14:paraId="11B15E6D" w14:textId="77777777" w:rsidR="005F3103" w:rsidRPr="0087558E" w:rsidRDefault="005F3103" w:rsidP="00683C48">
            <w:pPr>
              <w:jc w:val="center"/>
              <w:rPr>
                <w:rFonts w:ascii="Times New Roman" w:eastAsia="Calibri" w:hAnsi="Times New Roman" w:cs="Times New Roman"/>
                <w:color w:val="4C4747"/>
                <w:sz w:val="24"/>
                <w:szCs w:val="24"/>
                <w:lang w:val="es-ES"/>
              </w:rPr>
            </w:pPr>
            <w:r w:rsidRPr="0087558E">
              <w:rPr>
                <w:rFonts w:ascii="Times New Roman" w:eastAsia="Calibri" w:hAnsi="Times New Roman" w:cs="Times New Roman"/>
                <w:color w:val="4C4747"/>
                <w:sz w:val="24"/>
                <w:szCs w:val="24"/>
                <w:lang w:val="es-ES"/>
              </w:rPr>
              <w:t>Instituto Tecnológico de Santo Domingo (INTEC)</w:t>
            </w:r>
          </w:p>
        </w:tc>
        <w:tc>
          <w:tcPr>
            <w:tcW w:w="810" w:type="dxa"/>
            <w:tcBorders>
              <w:top w:val="nil"/>
              <w:left w:val="nil"/>
              <w:bottom w:val="single" w:sz="12" w:space="0" w:color="1F3864"/>
              <w:right w:val="single" w:sz="12" w:space="0" w:color="1F3864"/>
            </w:tcBorders>
            <w:noWrap/>
            <w:tcMar>
              <w:top w:w="0" w:type="dxa"/>
              <w:left w:w="70" w:type="dxa"/>
              <w:bottom w:w="0" w:type="dxa"/>
              <w:right w:w="70" w:type="dxa"/>
            </w:tcMar>
            <w:vAlign w:val="bottom"/>
            <w:hideMark/>
          </w:tcPr>
          <w:p w14:paraId="5C804028" w14:textId="77777777" w:rsidR="005F3103" w:rsidRPr="0087558E" w:rsidRDefault="005F3103" w:rsidP="00683C48">
            <w:pPr>
              <w:jc w:val="center"/>
              <w:rPr>
                <w:rFonts w:ascii="Times New Roman" w:eastAsia="Calibri" w:hAnsi="Times New Roman" w:cs="Times New Roman"/>
                <w:color w:val="4C4747"/>
                <w:sz w:val="24"/>
                <w:szCs w:val="24"/>
                <w:lang w:val="es-ES"/>
              </w:rPr>
            </w:pPr>
            <w:r w:rsidRPr="0087558E">
              <w:rPr>
                <w:rFonts w:ascii="Times New Roman" w:eastAsia="Calibri" w:hAnsi="Times New Roman" w:cs="Times New Roman"/>
                <w:color w:val="4C4747"/>
                <w:sz w:val="24"/>
                <w:szCs w:val="24"/>
                <w:lang w:val="es-ES"/>
              </w:rPr>
              <w:t>43</w:t>
            </w:r>
          </w:p>
        </w:tc>
      </w:tr>
      <w:tr w:rsidR="005F3103" w:rsidRPr="005F3103" w14:paraId="530B3257" w14:textId="77777777" w:rsidTr="00582715">
        <w:trPr>
          <w:trHeight w:val="315"/>
          <w:tblHeader/>
        </w:trPr>
        <w:tc>
          <w:tcPr>
            <w:tcW w:w="4945" w:type="dxa"/>
            <w:tcBorders>
              <w:top w:val="nil"/>
              <w:left w:val="single" w:sz="12" w:space="0" w:color="1F3864"/>
              <w:bottom w:val="single" w:sz="12" w:space="0" w:color="1F3864"/>
              <w:right w:val="single" w:sz="12" w:space="0" w:color="1F3864"/>
            </w:tcBorders>
            <w:noWrap/>
            <w:tcMar>
              <w:top w:w="0" w:type="dxa"/>
              <w:left w:w="70" w:type="dxa"/>
              <w:bottom w:w="0" w:type="dxa"/>
              <w:right w:w="70" w:type="dxa"/>
            </w:tcMar>
            <w:vAlign w:val="bottom"/>
            <w:hideMark/>
          </w:tcPr>
          <w:p w14:paraId="4E1DD8DD" w14:textId="77777777" w:rsidR="005F3103" w:rsidRPr="0087558E" w:rsidRDefault="005F3103" w:rsidP="00683C48">
            <w:pPr>
              <w:jc w:val="center"/>
              <w:rPr>
                <w:rFonts w:ascii="Times New Roman" w:eastAsia="Calibri" w:hAnsi="Times New Roman" w:cs="Times New Roman"/>
                <w:color w:val="4C4747"/>
                <w:sz w:val="24"/>
                <w:szCs w:val="24"/>
                <w:lang w:val="es-ES"/>
              </w:rPr>
            </w:pPr>
            <w:r w:rsidRPr="0087558E">
              <w:rPr>
                <w:rFonts w:ascii="Times New Roman" w:eastAsia="Calibri" w:hAnsi="Times New Roman" w:cs="Times New Roman"/>
                <w:color w:val="4C4747"/>
                <w:sz w:val="24"/>
                <w:szCs w:val="24"/>
                <w:lang w:val="es-ES"/>
              </w:rPr>
              <w:t>Pontificia Universidad Católica Madre y Maestra (PUCMM)</w:t>
            </w:r>
          </w:p>
        </w:tc>
        <w:tc>
          <w:tcPr>
            <w:tcW w:w="810" w:type="dxa"/>
            <w:tcBorders>
              <w:top w:val="nil"/>
              <w:left w:val="nil"/>
              <w:bottom w:val="single" w:sz="12" w:space="0" w:color="1F3864"/>
              <w:right w:val="single" w:sz="12" w:space="0" w:color="1F3864"/>
            </w:tcBorders>
            <w:noWrap/>
            <w:tcMar>
              <w:top w:w="0" w:type="dxa"/>
              <w:left w:w="70" w:type="dxa"/>
              <w:bottom w:w="0" w:type="dxa"/>
              <w:right w:w="70" w:type="dxa"/>
            </w:tcMar>
            <w:vAlign w:val="bottom"/>
            <w:hideMark/>
          </w:tcPr>
          <w:p w14:paraId="6A156D33" w14:textId="77777777" w:rsidR="005F3103" w:rsidRPr="0087558E" w:rsidRDefault="005F3103" w:rsidP="00683C48">
            <w:pPr>
              <w:jc w:val="center"/>
              <w:rPr>
                <w:rFonts w:ascii="Times New Roman" w:eastAsia="Calibri" w:hAnsi="Times New Roman" w:cs="Times New Roman"/>
                <w:color w:val="4C4747"/>
                <w:sz w:val="24"/>
                <w:szCs w:val="24"/>
                <w:lang w:val="es-ES"/>
              </w:rPr>
            </w:pPr>
            <w:r w:rsidRPr="0087558E">
              <w:rPr>
                <w:rFonts w:ascii="Times New Roman" w:eastAsia="Calibri" w:hAnsi="Times New Roman" w:cs="Times New Roman"/>
                <w:color w:val="4C4747"/>
                <w:sz w:val="24"/>
                <w:szCs w:val="24"/>
                <w:lang w:val="es-ES"/>
              </w:rPr>
              <w:t>29</w:t>
            </w:r>
          </w:p>
        </w:tc>
      </w:tr>
      <w:tr w:rsidR="005F3103" w:rsidRPr="005F3103" w14:paraId="6D70E981" w14:textId="77777777" w:rsidTr="00582715">
        <w:trPr>
          <w:trHeight w:val="315"/>
          <w:tblHeader/>
        </w:trPr>
        <w:tc>
          <w:tcPr>
            <w:tcW w:w="4945" w:type="dxa"/>
            <w:tcBorders>
              <w:top w:val="nil"/>
              <w:left w:val="nil"/>
              <w:bottom w:val="nil"/>
              <w:right w:val="single" w:sz="12" w:space="0" w:color="1F3864"/>
            </w:tcBorders>
            <w:noWrap/>
            <w:tcMar>
              <w:top w:w="0" w:type="dxa"/>
              <w:left w:w="70" w:type="dxa"/>
              <w:bottom w:w="0" w:type="dxa"/>
              <w:right w:w="70" w:type="dxa"/>
            </w:tcMar>
            <w:vAlign w:val="bottom"/>
            <w:hideMark/>
          </w:tcPr>
          <w:p w14:paraId="6F971443" w14:textId="244ABECD" w:rsidR="005F3103" w:rsidRPr="0087558E" w:rsidRDefault="00683C48" w:rsidP="00683C48">
            <w:pPr>
              <w:jc w:val="center"/>
              <w:rPr>
                <w:rFonts w:ascii="Times New Roman" w:eastAsia="Calibri" w:hAnsi="Times New Roman" w:cs="Times New Roman"/>
                <w:color w:val="4C4747"/>
                <w:sz w:val="24"/>
                <w:szCs w:val="24"/>
                <w:lang w:val="es-ES"/>
              </w:rPr>
            </w:pPr>
            <w:r w:rsidRPr="0087558E">
              <w:rPr>
                <w:rFonts w:ascii="Times New Roman" w:eastAsia="Calibri" w:hAnsi="Times New Roman" w:cs="Times New Roman"/>
                <w:color w:val="4C4747"/>
                <w:sz w:val="24"/>
                <w:szCs w:val="24"/>
                <w:lang w:val="es-ES"/>
              </w:rPr>
              <w:t>Total</w:t>
            </w:r>
          </w:p>
        </w:tc>
        <w:tc>
          <w:tcPr>
            <w:tcW w:w="810" w:type="dxa"/>
            <w:tcBorders>
              <w:top w:val="nil"/>
              <w:left w:val="nil"/>
              <w:bottom w:val="single" w:sz="12" w:space="0" w:color="1F3864"/>
              <w:right w:val="single" w:sz="12" w:space="0" w:color="1F3864"/>
            </w:tcBorders>
            <w:shd w:val="clear" w:color="auto" w:fill="1F3864"/>
            <w:noWrap/>
            <w:tcMar>
              <w:top w:w="0" w:type="dxa"/>
              <w:left w:w="70" w:type="dxa"/>
              <w:bottom w:w="0" w:type="dxa"/>
              <w:right w:w="70" w:type="dxa"/>
            </w:tcMar>
            <w:vAlign w:val="bottom"/>
            <w:hideMark/>
          </w:tcPr>
          <w:p w14:paraId="11F13452" w14:textId="77777777" w:rsidR="005F3103" w:rsidRPr="0087558E" w:rsidRDefault="005F3103" w:rsidP="00683C48">
            <w:pPr>
              <w:jc w:val="center"/>
              <w:rPr>
                <w:rFonts w:ascii="Times New Roman" w:hAnsi="Times New Roman" w:cs="Times New Roman"/>
                <w:color w:val="4C4747"/>
                <w:sz w:val="24"/>
                <w:szCs w:val="24"/>
                <w:lang w:val="es-ES"/>
              </w:rPr>
            </w:pPr>
            <w:r w:rsidRPr="0087558E">
              <w:rPr>
                <w:rFonts w:ascii="Times New Roman" w:eastAsia="Calibri" w:hAnsi="Times New Roman" w:cs="Times New Roman"/>
                <w:color w:val="FFFFFF" w:themeColor="background1"/>
                <w:sz w:val="24"/>
                <w:szCs w:val="24"/>
                <w:lang w:val="es-ES"/>
              </w:rPr>
              <w:t>72</w:t>
            </w:r>
          </w:p>
        </w:tc>
      </w:tr>
    </w:tbl>
    <w:p w14:paraId="1FBAF127" w14:textId="7452687C" w:rsidR="005F3103" w:rsidRPr="00B46D33" w:rsidRDefault="00683C48" w:rsidP="005F3103">
      <w:pPr>
        <w:spacing w:after="0" w:line="240" w:lineRule="auto"/>
        <w:jc w:val="both"/>
        <w:rPr>
          <w:rFonts w:ascii="Times New Roman" w:hAnsi="Times New Roman" w:cs="Times New Roman"/>
          <w:b/>
          <w:bCs/>
          <w:color w:val="4C4747"/>
        </w:rPr>
      </w:pPr>
      <w:r w:rsidRPr="00683C48">
        <w:rPr>
          <w:rFonts w:ascii="Times New Roman" w:hAnsi="Times New Roman" w:cs="Times New Roman"/>
          <w:b/>
          <w:bCs/>
          <w:color w:val="4C4747"/>
          <w:sz w:val="24"/>
          <w:szCs w:val="24"/>
        </w:rPr>
        <w:t xml:space="preserve">                             </w:t>
      </w:r>
      <w:r>
        <w:rPr>
          <w:rFonts w:ascii="Times New Roman" w:hAnsi="Times New Roman" w:cs="Times New Roman"/>
          <w:b/>
          <w:bCs/>
          <w:color w:val="4C4747"/>
          <w:sz w:val="24"/>
          <w:szCs w:val="24"/>
        </w:rPr>
        <w:t xml:space="preserve"> </w:t>
      </w:r>
      <w:bookmarkStart w:id="36" w:name="_Hlk153790791"/>
      <w:r w:rsidR="00B46D33">
        <w:rPr>
          <w:rFonts w:ascii="Times New Roman" w:hAnsi="Times New Roman" w:cs="Times New Roman"/>
          <w:b/>
          <w:bCs/>
          <w:color w:val="4C4747"/>
          <w:sz w:val="24"/>
          <w:szCs w:val="24"/>
        </w:rPr>
        <w:t xml:space="preserve">  </w:t>
      </w:r>
      <w:r w:rsidRPr="00B46D33">
        <w:rPr>
          <w:rFonts w:ascii="Times New Roman" w:hAnsi="Times New Roman" w:cs="Times New Roman"/>
          <w:b/>
          <w:bCs/>
          <w:color w:val="4C4747"/>
        </w:rPr>
        <w:t>Fuente: Depto. de Recursos Humanos</w:t>
      </w:r>
      <w:bookmarkEnd w:id="36"/>
    </w:p>
    <w:p w14:paraId="61C21F3C" w14:textId="77777777" w:rsidR="005F3103" w:rsidRPr="005F3103" w:rsidRDefault="005F3103" w:rsidP="005F3103">
      <w:pPr>
        <w:spacing w:after="0" w:line="240" w:lineRule="auto"/>
        <w:jc w:val="both"/>
        <w:rPr>
          <w:rFonts w:ascii="Times New Roman" w:hAnsi="Times New Roman" w:cs="Times New Roman"/>
          <w:b/>
          <w:bCs/>
          <w:sz w:val="24"/>
          <w:szCs w:val="24"/>
        </w:rPr>
      </w:pPr>
    </w:p>
    <w:p w14:paraId="6F35383B" w14:textId="77777777" w:rsidR="005F3103" w:rsidRPr="0087558E" w:rsidRDefault="005F3103" w:rsidP="0087558E">
      <w:pPr>
        <w:spacing w:after="0" w:line="360" w:lineRule="auto"/>
        <w:jc w:val="both"/>
        <w:rPr>
          <w:rFonts w:ascii="Times New Roman" w:hAnsi="Times New Roman" w:cs="Times New Roman"/>
          <w:b/>
          <w:bCs/>
          <w:color w:val="4C4747"/>
          <w:sz w:val="24"/>
          <w:szCs w:val="24"/>
        </w:rPr>
      </w:pPr>
      <w:r w:rsidRPr="0087558E">
        <w:rPr>
          <w:rFonts w:ascii="Times New Roman" w:hAnsi="Times New Roman" w:cs="Times New Roman"/>
          <w:b/>
          <w:bCs/>
          <w:color w:val="4C4747"/>
          <w:sz w:val="24"/>
          <w:szCs w:val="24"/>
        </w:rPr>
        <w:lastRenderedPageBreak/>
        <w:t>Resumen Acuerdo BCRD-INFOTEP</w:t>
      </w:r>
    </w:p>
    <w:p w14:paraId="67BB1DCD" w14:textId="77777777" w:rsidR="005F3103" w:rsidRPr="0087558E" w:rsidRDefault="005F3103" w:rsidP="0087558E">
      <w:pPr>
        <w:spacing w:after="0" w:line="360" w:lineRule="auto"/>
        <w:jc w:val="both"/>
        <w:rPr>
          <w:rFonts w:ascii="Times New Roman" w:hAnsi="Times New Roman" w:cs="Times New Roman"/>
          <w:b/>
          <w:bCs/>
          <w:color w:val="4C4747"/>
          <w:sz w:val="24"/>
          <w:szCs w:val="24"/>
        </w:rPr>
      </w:pPr>
    </w:p>
    <w:p w14:paraId="3CF01106" w14:textId="77777777" w:rsidR="0087558E" w:rsidRDefault="005F3103" w:rsidP="0087558E">
      <w:pPr>
        <w:spacing w:after="0"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El Acuerdo entre el Banco Central de la República Dominicana (BCRD) y el Instituto Nacional de Formación Técnico Profesional (INFOTEP), tiene como enfoque principal aportar al desarrollo y formación de los habitantes del municipio Santo Domingo Este, específicamente las comunidades Moneda I y II.</w:t>
      </w:r>
    </w:p>
    <w:p w14:paraId="3C65F833" w14:textId="77777777" w:rsidR="0087558E" w:rsidRDefault="0087558E" w:rsidP="0087558E">
      <w:pPr>
        <w:spacing w:after="0" w:line="360" w:lineRule="auto"/>
        <w:jc w:val="both"/>
        <w:rPr>
          <w:rFonts w:ascii="Times New Roman" w:hAnsi="Times New Roman" w:cs="Times New Roman"/>
          <w:color w:val="4C4747"/>
          <w:sz w:val="24"/>
          <w:szCs w:val="24"/>
        </w:rPr>
      </w:pPr>
    </w:p>
    <w:p w14:paraId="107330BF" w14:textId="34D08F35" w:rsidR="005F3103" w:rsidRPr="0087558E" w:rsidRDefault="005F3103" w:rsidP="0087558E">
      <w:pPr>
        <w:spacing w:after="0"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 En esta fase final, se incluyó a los empleados de la Institución, brindando estas capacitaciones en las instalaciones de este Banco Central. La responsabilidad de ejecución de las capacitaciones y/o formación a los residentes de dicha zona o municipio, y en un futuro a los empleados activos de la Institución, está a cargo de la Subdirección de Desarrollo de Personal del Departamento de Recursos Humanos de este Banco Central. </w:t>
      </w:r>
    </w:p>
    <w:p w14:paraId="2E21B8C0" w14:textId="77777777" w:rsidR="005F3103" w:rsidRPr="0087558E" w:rsidRDefault="005F3103" w:rsidP="0087558E">
      <w:pPr>
        <w:spacing w:after="0" w:line="360" w:lineRule="auto"/>
        <w:jc w:val="both"/>
        <w:rPr>
          <w:rFonts w:ascii="Times New Roman" w:hAnsi="Times New Roman" w:cs="Times New Roman"/>
          <w:color w:val="4C4747"/>
          <w:sz w:val="24"/>
          <w:szCs w:val="24"/>
        </w:rPr>
      </w:pPr>
    </w:p>
    <w:p w14:paraId="5EB95B6A" w14:textId="77777777" w:rsidR="005F3103" w:rsidRPr="0087558E" w:rsidRDefault="005F3103" w:rsidP="0087558E">
      <w:pPr>
        <w:spacing w:after="0"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En ese sentido, es oportuno mencionar que se han ejecutado 64 capacitaciones a la fecha, impactando diferentes públicos (estudiantes, operarios, técnicos y mandos medios), con una cantidad de 1,164 beneficiados. </w:t>
      </w:r>
    </w:p>
    <w:p w14:paraId="07F4DE28" w14:textId="77777777" w:rsidR="005F3103" w:rsidRPr="005F3103" w:rsidRDefault="005F3103" w:rsidP="005F3103">
      <w:pPr>
        <w:spacing w:after="0" w:line="360" w:lineRule="auto"/>
        <w:jc w:val="both"/>
        <w:rPr>
          <w:rFonts w:ascii="Times New Roman" w:hAnsi="Times New Roman" w:cs="Times New Roman"/>
          <w:sz w:val="24"/>
          <w:szCs w:val="24"/>
        </w:rPr>
      </w:pPr>
    </w:p>
    <w:tbl>
      <w:tblPr>
        <w:tblW w:w="5125" w:type="dxa"/>
        <w:tblInd w:w="1388" w:type="dxa"/>
        <w:tblCellMar>
          <w:left w:w="0" w:type="dxa"/>
          <w:right w:w="0" w:type="dxa"/>
        </w:tblCellMar>
        <w:tblLook w:val="04A0" w:firstRow="1" w:lastRow="0" w:firstColumn="1" w:lastColumn="0" w:noHBand="0" w:noVBand="1"/>
      </w:tblPr>
      <w:tblGrid>
        <w:gridCol w:w="3595"/>
        <w:gridCol w:w="1530"/>
      </w:tblGrid>
      <w:tr w:rsidR="005F3103" w:rsidRPr="005F3103" w14:paraId="6299BD4F" w14:textId="77777777" w:rsidTr="00582715">
        <w:trPr>
          <w:trHeight w:val="315"/>
          <w:tblHeader/>
        </w:trPr>
        <w:tc>
          <w:tcPr>
            <w:tcW w:w="5125" w:type="dxa"/>
            <w:gridSpan w:val="2"/>
            <w:tcBorders>
              <w:top w:val="single" w:sz="8" w:space="0" w:color="auto"/>
              <w:left w:val="single" w:sz="8" w:space="0" w:color="auto"/>
              <w:bottom w:val="single" w:sz="8" w:space="0" w:color="auto"/>
              <w:right w:val="single" w:sz="8" w:space="0" w:color="auto"/>
            </w:tcBorders>
            <w:shd w:val="clear" w:color="auto" w:fill="203764"/>
            <w:noWrap/>
            <w:tcMar>
              <w:top w:w="0" w:type="dxa"/>
              <w:left w:w="70" w:type="dxa"/>
              <w:bottom w:w="0" w:type="dxa"/>
              <w:right w:w="70" w:type="dxa"/>
            </w:tcMar>
            <w:vAlign w:val="bottom"/>
            <w:hideMark/>
          </w:tcPr>
          <w:p w14:paraId="737C350E" w14:textId="77777777" w:rsidR="00683C48" w:rsidRDefault="00683C48" w:rsidP="00683C48">
            <w:pPr>
              <w:spacing w:after="0"/>
              <w:jc w:val="center"/>
              <w:rPr>
                <w:rFonts w:ascii="Times New Roman" w:eastAsia="Calibri" w:hAnsi="Times New Roman" w:cs="Times New Roman"/>
                <w:b/>
                <w:bCs/>
                <w:sz w:val="24"/>
                <w:szCs w:val="24"/>
                <w:lang w:val="es-ES"/>
              </w:rPr>
            </w:pPr>
            <w:r>
              <w:rPr>
                <w:rFonts w:ascii="Times New Roman" w:eastAsia="Calibri" w:hAnsi="Times New Roman" w:cs="Times New Roman"/>
                <w:b/>
                <w:bCs/>
                <w:sz w:val="24"/>
                <w:szCs w:val="24"/>
                <w:lang w:val="es-ES"/>
              </w:rPr>
              <w:t>C</w:t>
            </w:r>
            <w:r w:rsidR="005F3103" w:rsidRPr="005F3103">
              <w:rPr>
                <w:rFonts w:ascii="Times New Roman" w:eastAsia="Calibri" w:hAnsi="Times New Roman" w:cs="Times New Roman"/>
                <w:b/>
                <w:bCs/>
                <w:sz w:val="24"/>
                <w:szCs w:val="24"/>
                <w:lang w:val="es-ES"/>
              </w:rPr>
              <w:t>apacitaciones y beneficiados Proyecto</w:t>
            </w:r>
          </w:p>
          <w:p w14:paraId="57FB668B" w14:textId="1E3BB42F" w:rsidR="005F3103" w:rsidRPr="005F3103" w:rsidRDefault="005F3103" w:rsidP="00683C48">
            <w:pPr>
              <w:spacing w:after="0"/>
              <w:jc w:val="center"/>
              <w:rPr>
                <w:rFonts w:ascii="Times New Roman" w:eastAsia="Calibri" w:hAnsi="Times New Roman" w:cs="Times New Roman"/>
                <w:b/>
                <w:bCs/>
                <w:sz w:val="24"/>
                <w:szCs w:val="24"/>
              </w:rPr>
            </w:pPr>
            <w:r w:rsidRPr="005F3103">
              <w:rPr>
                <w:rFonts w:ascii="Times New Roman" w:eastAsia="Calibri" w:hAnsi="Times New Roman" w:cs="Times New Roman"/>
                <w:b/>
                <w:bCs/>
                <w:sz w:val="24"/>
                <w:szCs w:val="24"/>
                <w:lang w:val="es-ES"/>
              </w:rPr>
              <w:t xml:space="preserve"> BCRD-INFOTEP</w:t>
            </w:r>
          </w:p>
        </w:tc>
      </w:tr>
      <w:tr w:rsidR="005F3103" w:rsidRPr="005F3103" w14:paraId="4C132BEA" w14:textId="77777777" w:rsidTr="00582715">
        <w:trPr>
          <w:trHeight w:val="315"/>
          <w:tblHeader/>
        </w:trPr>
        <w:tc>
          <w:tcPr>
            <w:tcW w:w="35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F005F3C" w14:textId="77777777" w:rsidR="005F3103" w:rsidRPr="005F3103" w:rsidRDefault="005F3103" w:rsidP="002E7B17">
            <w:pPr>
              <w:jc w:val="center"/>
              <w:rPr>
                <w:rFonts w:ascii="Times New Roman" w:eastAsia="Calibri" w:hAnsi="Times New Roman" w:cs="Times New Roman"/>
                <w:sz w:val="24"/>
                <w:szCs w:val="24"/>
                <w:lang w:val="es-ES"/>
              </w:rPr>
            </w:pPr>
            <w:r w:rsidRPr="005F3103">
              <w:rPr>
                <w:rFonts w:ascii="Times New Roman" w:eastAsia="Calibri" w:hAnsi="Times New Roman" w:cs="Times New Roman"/>
                <w:sz w:val="24"/>
                <w:szCs w:val="24"/>
                <w:lang w:val="es-ES"/>
              </w:rPr>
              <w:t>Capacitaciones</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C524AFB" w14:textId="77777777" w:rsidR="005F3103" w:rsidRPr="005F3103" w:rsidRDefault="005F3103" w:rsidP="002E7B17">
            <w:pPr>
              <w:jc w:val="center"/>
              <w:rPr>
                <w:rFonts w:ascii="Times New Roman" w:eastAsia="Calibri" w:hAnsi="Times New Roman" w:cs="Times New Roman"/>
                <w:sz w:val="24"/>
                <w:szCs w:val="24"/>
                <w:lang w:val="es-ES"/>
              </w:rPr>
            </w:pPr>
            <w:r w:rsidRPr="005F3103">
              <w:rPr>
                <w:rFonts w:ascii="Times New Roman" w:eastAsia="Calibri" w:hAnsi="Times New Roman" w:cs="Times New Roman"/>
                <w:sz w:val="24"/>
                <w:szCs w:val="24"/>
                <w:lang w:val="es-ES"/>
              </w:rPr>
              <w:t>64</w:t>
            </w:r>
          </w:p>
        </w:tc>
      </w:tr>
      <w:tr w:rsidR="005F3103" w:rsidRPr="005F3103" w14:paraId="56980EA7" w14:textId="77777777" w:rsidTr="00582715">
        <w:trPr>
          <w:trHeight w:val="315"/>
          <w:tblHeader/>
        </w:trPr>
        <w:tc>
          <w:tcPr>
            <w:tcW w:w="3595" w:type="dxa"/>
            <w:tcBorders>
              <w:top w:val="nil"/>
              <w:left w:val="single" w:sz="8" w:space="0" w:color="auto"/>
              <w:bottom w:val="nil"/>
              <w:right w:val="single" w:sz="8" w:space="0" w:color="auto"/>
            </w:tcBorders>
            <w:noWrap/>
            <w:tcMar>
              <w:top w:w="0" w:type="dxa"/>
              <w:left w:w="70" w:type="dxa"/>
              <w:bottom w:w="0" w:type="dxa"/>
              <w:right w:w="70" w:type="dxa"/>
            </w:tcMar>
            <w:vAlign w:val="bottom"/>
            <w:hideMark/>
          </w:tcPr>
          <w:p w14:paraId="16889AB5" w14:textId="77777777" w:rsidR="005F3103" w:rsidRPr="005F3103" w:rsidRDefault="005F3103" w:rsidP="002E7B17">
            <w:pPr>
              <w:jc w:val="center"/>
              <w:rPr>
                <w:rFonts w:ascii="Times New Roman" w:eastAsia="Calibri" w:hAnsi="Times New Roman" w:cs="Times New Roman"/>
                <w:sz w:val="24"/>
                <w:szCs w:val="24"/>
                <w:lang w:val="es-ES"/>
              </w:rPr>
            </w:pPr>
            <w:r w:rsidRPr="005F3103">
              <w:rPr>
                <w:rFonts w:ascii="Times New Roman" w:eastAsia="Calibri" w:hAnsi="Times New Roman" w:cs="Times New Roman"/>
                <w:sz w:val="24"/>
                <w:szCs w:val="24"/>
                <w:lang w:val="es-ES"/>
              </w:rPr>
              <w:t>Beneficiados</w:t>
            </w:r>
          </w:p>
        </w:tc>
        <w:tc>
          <w:tcPr>
            <w:tcW w:w="1530" w:type="dxa"/>
            <w:tcBorders>
              <w:top w:val="nil"/>
              <w:left w:val="nil"/>
              <w:bottom w:val="nil"/>
              <w:right w:val="single" w:sz="8" w:space="0" w:color="auto"/>
            </w:tcBorders>
            <w:noWrap/>
            <w:tcMar>
              <w:top w:w="0" w:type="dxa"/>
              <w:left w:w="70" w:type="dxa"/>
              <w:bottom w:w="0" w:type="dxa"/>
              <w:right w:w="70" w:type="dxa"/>
            </w:tcMar>
            <w:vAlign w:val="bottom"/>
            <w:hideMark/>
          </w:tcPr>
          <w:p w14:paraId="11A3DE69" w14:textId="77777777" w:rsidR="005F3103" w:rsidRPr="005F3103" w:rsidRDefault="005F3103" w:rsidP="002E7B17">
            <w:pPr>
              <w:jc w:val="center"/>
              <w:rPr>
                <w:rFonts w:ascii="Times New Roman" w:eastAsia="Calibri" w:hAnsi="Times New Roman" w:cs="Times New Roman"/>
                <w:sz w:val="24"/>
                <w:szCs w:val="24"/>
                <w:lang w:val="es-ES"/>
              </w:rPr>
            </w:pPr>
            <w:r w:rsidRPr="005F3103">
              <w:rPr>
                <w:rFonts w:ascii="Times New Roman" w:eastAsia="Calibri" w:hAnsi="Times New Roman" w:cs="Times New Roman"/>
                <w:sz w:val="24"/>
                <w:szCs w:val="24"/>
                <w:lang w:val="es-ES"/>
              </w:rPr>
              <w:t>1,164</w:t>
            </w:r>
          </w:p>
        </w:tc>
      </w:tr>
      <w:tr w:rsidR="00683C48" w:rsidRPr="005F3103" w14:paraId="21F3FFC4" w14:textId="77777777" w:rsidTr="00582715">
        <w:trPr>
          <w:trHeight w:val="315"/>
          <w:tblHeader/>
        </w:trPr>
        <w:tc>
          <w:tcPr>
            <w:tcW w:w="359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tcPr>
          <w:p w14:paraId="7C0CD221" w14:textId="251B5EC5" w:rsidR="00683C48" w:rsidRPr="005F3103" w:rsidRDefault="00683C48" w:rsidP="00683C48">
            <w:pPr>
              <w:rPr>
                <w:rFonts w:ascii="Times New Roman" w:eastAsia="Calibri" w:hAnsi="Times New Roman" w:cs="Times New Roman"/>
                <w:sz w:val="24"/>
                <w:szCs w:val="24"/>
                <w:lang w:val="es-ES"/>
              </w:rPr>
            </w:pPr>
            <w:r>
              <w:rPr>
                <w:rFonts w:ascii="Times New Roman" w:eastAsia="Calibri" w:hAnsi="Times New Roman" w:cs="Times New Roman"/>
                <w:sz w:val="24"/>
                <w:szCs w:val="24"/>
                <w:lang w:val="es-ES"/>
              </w:rPr>
              <w:t xml:space="preserve">                       Total</w:t>
            </w:r>
          </w:p>
        </w:tc>
        <w:tc>
          <w:tcPr>
            <w:tcW w:w="153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2E623B1" w14:textId="2977EB7A" w:rsidR="00683C48" w:rsidRPr="005F3103" w:rsidRDefault="00683C48" w:rsidP="002E7B17">
            <w:pPr>
              <w:jc w:val="center"/>
              <w:rPr>
                <w:rFonts w:ascii="Times New Roman" w:eastAsia="Calibri" w:hAnsi="Times New Roman" w:cs="Times New Roman"/>
                <w:sz w:val="24"/>
                <w:szCs w:val="24"/>
                <w:lang w:val="es-ES"/>
              </w:rPr>
            </w:pPr>
            <w:r w:rsidRPr="00683C48">
              <w:rPr>
                <w:rFonts w:ascii="Times New Roman" w:eastAsia="Calibri" w:hAnsi="Times New Roman" w:cs="Times New Roman"/>
                <w:sz w:val="24"/>
                <w:szCs w:val="24"/>
                <w:lang w:val="es-ES"/>
              </w:rPr>
              <w:t>1,228</w:t>
            </w:r>
            <w:r w:rsidRPr="00683C48">
              <w:rPr>
                <w:rFonts w:ascii="Times New Roman" w:eastAsia="Calibri" w:hAnsi="Times New Roman" w:cs="Times New Roman"/>
                <w:sz w:val="24"/>
                <w:szCs w:val="24"/>
                <w:lang w:val="es-ES"/>
              </w:rPr>
              <w:t>‬</w:t>
            </w:r>
          </w:p>
        </w:tc>
      </w:tr>
    </w:tbl>
    <w:p w14:paraId="484071E2" w14:textId="3ABE9198" w:rsidR="005F3103" w:rsidRPr="00B46D33" w:rsidRDefault="00683C48" w:rsidP="0087558E">
      <w:pPr>
        <w:spacing w:after="0" w:line="360" w:lineRule="auto"/>
        <w:jc w:val="both"/>
        <w:rPr>
          <w:rFonts w:ascii="Times New Roman" w:eastAsia="Calibri" w:hAnsi="Times New Roman" w:cs="Times New Roman"/>
          <w:b/>
          <w:color w:val="4C4747"/>
          <w:spacing w:val="20"/>
        </w:rPr>
      </w:pPr>
      <w:bookmarkStart w:id="37" w:name="_Hlk153791212"/>
      <w:r w:rsidRPr="0087558E">
        <w:rPr>
          <w:rFonts w:ascii="Times New Roman" w:eastAsia="Calibri" w:hAnsi="Times New Roman" w:cs="Times New Roman"/>
          <w:color w:val="4C4747"/>
          <w:spacing w:val="20"/>
        </w:rPr>
        <w:t xml:space="preserve">                     </w:t>
      </w:r>
      <w:r w:rsidR="0087558E">
        <w:rPr>
          <w:rFonts w:ascii="Times New Roman" w:eastAsia="Calibri" w:hAnsi="Times New Roman" w:cs="Times New Roman"/>
          <w:color w:val="4C4747"/>
          <w:spacing w:val="20"/>
        </w:rPr>
        <w:t xml:space="preserve">    </w:t>
      </w:r>
      <w:r w:rsidRPr="00B46D33">
        <w:rPr>
          <w:rFonts w:ascii="Times New Roman" w:hAnsi="Times New Roman" w:cs="Times New Roman"/>
          <w:b/>
          <w:color w:val="4C4747"/>
        </w:rPr>
        <w:t>Fuente: Depto. de Recursos Humanos</w:t>
      </w:r>
    </w:p>
    <w:bookmarkEnd w:id="37"/>
    <w:p w14:paraId="4BCD4B89" w14:textId="77777777" w:rsidR="00582715" w:rsidRDefault="00582715" w:rsidP="00683C48">
      <w:pPr>
        <w:spacing w:before="360" w:line="360" w:lineRule="auto"/>
        <w:rPr>
          <w:rFonts w:ascii="Times New Roman" w:hAnsi="Times New Roman" w:cs="Times New Roman"/>
          <w:b/>
          <w:color w:val="4C4747"/>
          <w:sz w:val="24"/>
          <w:szCs w:val="24"/>
        </w:rPr>
      </w:pPr>
    </w:p>
    <w:p w14:paraId="74C62C01" w14:textId="77777777" w:rsidR="00582715" w:rsidRDefault="00582715" w:rsidP="00683C48">
      <w:pPr>
        <w:spacing w:before="360" w:line="360" w:lineRule="auto"/>
        <w:rPr>
          <w:rFonts w:ascii="Times New Roman" w:hAnsi="Times New Roman" w:cs="Times New Roman"/>
          <w:b/>
          <w:color w:val="4C4747"/>
          <w:sz w:val="24"/>
          <w:szCs w:val="24"/>
        </w:rPr>
      </w:pPr>
    </w:p>
    <w:p w14:paraId="0622B132" w14:textId="1DD7A448" w:rsidR="005F3103" w:rsidRPr="0087558E" w:rsidRDefault="005F3103" w:rsidP="00683C48">
      <w:pPr>
        <w:spacing w:before="360" w:line="360" w:lineRule="auto"/>
        <w:rPr>
          <w:rFonts w:ascii="Times New Roman" w:hAnsi="Times New Roman" w:cs="Times New Roman"/>
          <w:b/>
          <w:color w:val="4C4747"/>
          <w:sz w:val="24"/>
          <w:szCs w:val="24"/>
        </w:rPr>
      </w:pPr>
      <w:r w:rsidRPr="0087558E">
        <w:rPr>
          <w:rFonts w:ascii="Times New Roman" w:hAnsi="Times New Roman" w:cs="Times New Roman"/>
          <w:b/>
          <w:color w:val="4C4747"/>
          <w:sz w:val="24"/>
          <w:szCs w:val="24"/>
        </w:rPr>
        <w:lastRenderedPageBreak/>
        <w:t>Bienestar Laboral</w:t>
      </w:r>
    </w:p>
    <w:p w14:paraId="7BF46F0D" w14:textId="77777777" w:rsidR="005F3103" w:rsidRPr="0087558E" w:rsidRDefault="005F3103" w:rsidP="00683C48">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El Banco Central de la República Dominicana cuenta con el Reglamento Interno de Administración de Recursos Humanos, el cual rige todos los procesos de Gestión Humana de la institución, en procura de elevar el bienestar y la calidad de vida de todo el personal del BCRD.</w:t>
      </w:r>
    </w:p>
    <w:p w14:paraId="6B554626" w14:textId="77777777" w:rsidR="005F3103" w:rsidRPr="0087558E" w:rsidRDefault="005F3103" w:rsidP="00683C48">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Dentro del portafolio de beneficios del BCRD, destinado a los colaboradores, están los siguientes:</w:t>
      </w:r>
    </w:p>
    <w:p w14:paraId="41710688" w14:textId="77777777" w:rsidR="005F3103" w:rsidRPr="0087558E" w:rsidRDefault="005F3103" w:rsidP="00683C48">
      <w:pPr>
        <w:numPr>
          <w:ilvl w:val="0"/>
          <w:numId w:val="10"/>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Seguro médico a través de la ARS Plan Salud.</w:t>
      </w:r>
    </w:p>
    <w:p w14:paraId="28146A72" w14:textId="77777777" w:rsidR="005F3103" w:rsidRPr="0087558E" w:rsidRDefault="005F3103" w:rsidP="00683C48">
      <w:pPr>
        <w:numPr>
          <w:ilvl w:val="0"/>
          <w:numId w:val="10"/>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Seguro Colectivo de vida</w:t>
      </w:r>
    </w:p>
    <w:p w14:paraId="3244657E" w14:textId="77777777" w:rsidR="005F3103" w:rsidRPr="0087558E" w:rsidRDefault="005F3103" w:rsidP="00683C48">
      <w:pPr>
        <w:numPr>
          <w:ilvl w:val="0"/>
          <w:numId w:val="10"/>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Club de Empleados del BCRD</w:t>
      </w:r>
    </w:p>
    <w:p w14:paraId="04F65098" w14:textId="77777777" w:rsidR="005F3103" w:rsidRPr="0087558E" w:rsidRDefault="005F3103" w:rsidP="00683C48">
      <w:pPr>
        <w:numPr>
          <w:ilvl w:val="0"/>
          <w:numId w:val="10"/>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Programas de Subsidio Educativo</w:t>
      </w:r>
    </w:p>
    <w:p w14:paraId="787E8512" w14:textId="77777777" w:rsidR="005F3103" w:rsidRPr="0087558E" w:rsidRDefault="005F3103" w:rsidP="00683C48">
      <w:pPr>
        <w:numPr>
          <w:ilvl w:val="0"/>
          <w:numId w:val="10"/>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Pensión.</w:t>
      </w:r>
    </w:p>
    <w:p w14:paraId="28C40A09" w14:textId="77777777" w:rsidR="005F3103" w:rsidRPr="0087558E" w:rsidRDefault="005F3103" w:rsidP="00683C48">
      <w:pPr>
        <w:numPr>
          <w:ilvl w:val="0"/>
          <w:numId w:val="10"/>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Servicios Funerarios, a través de una Red de funerarias a nivel nacional.</w:t>
      </w:r>
    </w:p>
    <w:p w14:paraId="03C1D6E9" w14:textId="77777777" w:rsidR="005F3103" w:rsidRPr="0087558E" w:rsidRDefault="005F3103" w:rsidP="00683C48">
      <w:pPr>
        <w:numPr>
          <w:ilvl w:val="0"/>
          <w:numId w:val="10"/>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Consultorio médico en la Sede Principal, Oficinal Regional y Club de Empleados del Banco Central</w:t>
      </w:r>
    </w:p>
    <w:p w14:paraId="45D8793C" w14:textId="6A90D43B" w:rsidR="005F3103" w:rsidRDefault="005F3103" w:rsidP="00683C48">
      <w:pPr>
        <w:numPr>
          <w:ilvl w:val="0"/>
          <w:numId w:val="10"/>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Programa de consultas y apoyo psicológico a todo el personal de la institución.</w:t>
      </w:r>
    </w:p>
    <w:p w14:paraId="512AD471" w14:textId="77777777" w:rsidR="0087558E" w:rsidRPr="0087558E" w:rsidRDefault="0087558E" w:rsidP="0087558E">
      <w:pPr>
        <w:spacing w:line="360" w:lineRule="auto"/>
        <w:ind w:left="720"/>
        <w:contextualSpacing/>
        <w:jc w:val="both"/>
        <w:rPr>
          <w:rFonts w:ascii="Times New Roman" w:hAnsi="Times New Roman" w:cs="Times New Roman"/>
          <w:color w:val="4C4747"/>
          <w:sz w:val="24"/>
          <w:szCs w:val="24"/>
        </w:rPr>
      </w:pPr>
    </w:p>
    <w:p w14:paraId="1477EEAD" w14:textId="77777777" w:rsidR="00683C48" w:rsidRPr="0087558E" w:rsidRDefault="005F3103" w:rsidP="00683C48">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Además, el BCRD otorga permisos especiales a los colaboradores y conforme a lo establecido en su Reglamento Interno, dentro de los cuales destacamos la licencia por maternidad y lactancia, licencia por paternidad, por adopción, por matrimonio, por fallecimiento de padres, hijos, hermanos, conyugue, abuelos, nietos, tíos, sobrinos, suegro, nuera, yerno o cuñado. </w:t>
      </w:r>
    </w:p>
    <w:p w14:paraId="1CAFCA04" w14:textId="4A2BFC39" w:rsidR="005F3103" w:rsidRPr="0087558E" w:rsidRDefault="005F3103" w:rsidP="00683C48">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Con la finalidad de garantizar que el personal se mantenga actualizado con los temas de la institución al momento de hacer uso de estas facilidades, se cuenta con una plataforma tecnológica que permite disponer en todo momento de informaciones de interés de la institución para todo el personal. </w:t>
      </w:r>
    </w:p>
    <w:p w14:paraId="1EE5BF6A" w14:textId="77777777" w:rsidR="005F3103" w:rsidRPr="0087558E" w:rsidRDefault="005F3103" w:rsidP="00683C48">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lastRenderedPageBreak/>
        <w:t>Otras facilidades que otorgó la institución fueron programas orientados a atender necesidades especiales de los colaboradores o de aquellos de menor ingreso, como son los siguientes:</w:t>
      </w:r>
    </w:p>
    <w:p w14:paraId="6EED15AE" w14:textId="77777777" w:rsidR="005F3103" w:rsidRPr="0087558E" w:rsidRDefault="005F3103" w:rsidP="00683C48">
      <w:pPr>
        <w:numPr>
          <w:ilvl w:val="0"/>
          <w:numId w:val="31"/>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Programa de ayuda para la Primera Infancia.</w:t>
      </w:r>
    </w:p>
    <w:p w14:paraId="18659BB1" w14:textId="77777777" w:rsidR="005F3103" w:rsidRPr="0087558E" w:rsidRDefault="005F3103" w:rsidP="00683C48">
      <w:pPr>
        <w:numPr>
          <w:ilvl w:val="0"/>
          <w:numId w:val="31"/>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Ayuda a través de los programas de estudio para hijos del personal.</w:t>
      </w:r>
    </w:p>
    <w:p w14:paraId="0D1282F0" w14:textId="77777777" w:rsidR="005F3103" w:rsidRPr="0087558E" w:rsidRDefault="005F3103" w:rsidP="00683C48">
      <w:pPr>
        <w:numPr>
          <w:ilvl w:val="0"/>
          <w:numId w:val="31"/>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Tarjeta metro.</w:t>
      </w:r>
    </w:p>
    <w:p w14:paraId="1A35D60E" w14:textId="77777777" w:rsidR="005F3103" w:rsidRPr="0087558E" w:rsidRDefault="005F3103" w:rsidP="00683C48">
      <w:pPr>
        <w:numPr>
          <w:ilvl w:val="0"/>
          <w:numId w:val="31"/>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Facilidades de Préstamos Personales e Hipotecarios.</w:t>
      </w:r>
    </w:p>
    <w:p w14:paraId="1E6198A7" w14:textId="77777777" w:rsidR="005F3103" w:rsidRPr="0087558E" w:rsidRDefault="005F3103" w:rsidP="00683C48">
      <w:pPr>
        <w:numPr>
          <w:ilvl w:val="0"/>
          <w:numId w:val="31"/>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Facilidad para la adquisición de útiles escolares, a través del Voluntariado del BCRD.</w:t>
      </w:r>
    </w:p>
    <w:p w14:paraId="2129EFAC" w14:textId="77777777" w:rsidR="005F3103" w:rsidRPr="0087558E" w:rsidRDefault="005F3103" w:rsidP="00683C48">
      <w:pPr>
        <w:numPr>
          <w:ilvl w:val="0"/>
          <w:numId w:val="31"/>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Sala de lactancia en la sede central.</w:t>
      </w:r>
    </w:p>
    <w:p w14:paraId="60DC6B61" w14:textId="77777777" w:rsidR="005F3103" w:rsidRPr="0087558E" w:rsidRDefault="005F3103" w:rsidP="00683C48">
      <w:pPr>
        <w:numPr>
          <w:ilvl w:val="0"/>
          <w:numId w:val="31"/>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Cafeterías.</w:t>
      </w:r>
    </w:p>
    <w:p w14:paraId="03105689" w14:textId="77777777" w:rsidR="005F3103" w:rsidRPr="0087558E" w:rsidRDefault="005F3103" w:rsidP="00683C48">
      <w:pPr>
        <w:numPr>
          <w:ilvl w:val="0"/>
          <w:numId w:val="31"/>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Subsidio para almuerzo.</w:t>
      </w:r>
    </w:p>
    <w:p w14:paraId="24D487A2" w14:textId="77777777" w:rsidR="005F3103" w:rsidRPr="0087558E" w:rsidRDefault="005F3103" w:rsidP="00683C48">
      <w:pPr>
        <w:spacing w:after="0" w:line="360" w:lineRule="auto"/>
        <w:rPr>
          <w:rFonts w:ascii="Times New Roman" w:hAnsi="Times New Roman" w:cs="Times New Roman"/>
          <w:color w:val="4C4747"/>
          <w:sz w:val="24"/>
          <w:szCs w:val="24"/>
        </w:rPr>
      </w:pPr>
      <w:r w:rsidRPr="0087558E">
        <w:rPr>
          <w:rFonts w:ascii="Times New Roman" w:hAnsi="Times New Roman" w:cs="Times New Roman"/>
          <w:color w:val="4C4747"/>
          <w:sz w:val="24"/>
          <w:szCs w:val="24"/>
        </w:rPr>
        <w:br w:type="page"/>
      </w:r>
    </w:p>
    <w:p w14:paraId="08641EBC" w14:textId="77777777" w:rsidR="005F3103" w:rsidRPr="0087558E" w:rsidRDefault="005F3103" w:rsidP="005F3103">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lastRenderedPageBreak/>
        <w:t>Además, el BCRD en procura de la búsqueda del bienestar de todo colaborador de la institución, se cuenta con gimnasios en las instalaciones del Club de Empleados del Banco Central y se otorgan diferentes tipos de obsequios para premiar y reconocer la antigüedad del personal, por ejemplo:</w:t>
      </w:r>
    </w:p>
    <w:p w14:paraId="03FBC45A" w14:textId="77777777" w:rsidR="005F3103" w:rsidRPr="0087558E" w:rsidRDefault="005F3103" w:rsidP="00776E7D">
      <w:pPr>
        <w:numPr>
          <w:ilvl w:val="0"/>
          <w:numId w:val="32"/>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Programa de ejercicios dentro de las instalaciones del CEBC.</w:t>
      </w:r>
    </w:p>
    <w:p w14:paraId="6CA8710E" w14:textId="77777777" w:rsidR="005F3103" w:rsidRPr="0087558E" w:rsidRDefault="005F3103" w:rsidP="00776E7D">
      <w:pPr>
        <w:numPr>
          <w:ilvl w:val="0"/>
          <w:numId w:val="32"/>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Beneficio de tarjeta metro al personal de menor ingreso.</w:t>
      </w:r>
    </w:p>
    <w:p w14:paraId="1506276A" w14:textId="77777777" w:rsidR="005F3103" w:rsidRPr="0087558E" w:rsidRDefault="005F3103" w:rsidP="00776E7D">
      <w:pPr>
        <w:numPr>
          <w:ilvl w:val="0"/>
          <w:numId w:val="32"/>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Charlas en temas económicos y financieros para no economistas.</w:t>
      </w:r>
    </w:p>
    <w:p w14:paraId="2822D4C4" w14:textId="77777777" w:rsidR="005F3103" w:rsidRPr="0087558E" w:rsidRDefault="005F3103" w:rsidP="00776E7D">
      <w:pPr>
        <w:numPr>
          <w:ilvl w:val="0"/>
          <w:numId w:val="32"/>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Actividad día de las madres.</w:t>
      </w:r>
    </w:p>
    <w:p w14:paraId="5B493313" w14:textId="77777777" w:rsidR="005F3103" w:rsidRPr="0087558E" w:rsidRDefault="005F3103" w:rsidP="00776E7D">
      <w:pPr>
        <w:numPr>
          <w:ilvl w:val="0"/>
          <w:numId w:val="32"/>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Regalo del día de los padres.</w:t>
      </w:r>
    </w:p>
    <w:p w14:paraId="223951DF" w14:textId="77777777" w:rsidR="005F3103" w:rsidRPr="0087558E" w:rsidRDefault="005F3103" w:rsidP="00776E7D">
      <w:pPr>
        <w:numPr>
          <w:ilvl w:val="0"/>
          <w:numId w:val="32"/>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Actividad del día de la mujer.</w:t>
      </w:r>
    </w:p>
    <w:p w14:paraId="0C06960E" w14:textId="77777777" w:rsidR="005F3103" w:rsidRPr="0087558E" w:rsidRDefault="005F3103" w:rsidP="00776E7D">
      <w:pPr>
        <w:numPr>
          <w:ilvl w:val="0"/>
          <w:numId w:val="32"/>
        </w:numPr>
        <w:spacing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Actividad día de la secretaria</w:t>
      </w:r>
    </w:p>
    <w:p w14:paraId="73B759D8" w14:textId="77777777" w:rsidR="005F3103" w:rsidRPr="005F3103" w:rsidRDefault="005F3103" w:rsidP="005F3103">
      <w:pPr>
        <w:spacing w:line="276" w:lineRule="auto"/>
        <w:jc w:val="both"/>
        <w:rPr>
          <w:rFonts w:ascii="Times New Roman" w:hAnsi="Times New Roman" w:cs="Times New Roman"/>
          <w:sz w:val="24"/>
          <w:szCs w:val="24"/>
        </w:rPr>
      </w:pPr>
    </w:p>
    <w:p w14:paraId="5BFEAD9A" w14:textId="77777777" w:rsidR="005F3103" w:rsidRPr="0087558E" w:rsidRDefault="005F3103" w:rsidP="00683C48">
      <w:pPr>
        <w:spacing w:line="360" w:lineRule="auto"/>
        <w:rPr>
          <w:rFonts w:ascii="Times New Roman" w:hAnsi="Times New Roman" w:cs="Times New Roman"/>
          <w:b/>
          <w:color w:val="4C4747"/>
          <w:sz w:val="24"/>
          <w:szCs w:val="24"/>
        </w:rPr>
      </w:pPr>
      <w:r w:rsidRPr="0087558E">
        <w:rPr>
          <w:rFonts w:ascii="Times New Roman" w:hAnsi="Times New Roman" w:cs="Times New Roman"/>
          <w:b/>
          <w:color w:val="4C4747"/>
          <w:sz w:val="24"/>
          <w:szCs w:val="24"/>
        </w:rPr>
        <w:t>Prevención de Riesgos</w:t>
      </w:r>
    </w:p>
    <w:p w14:paraId="5456C9C8" w14:textId="77777777" w:rsidR="005F3103" w:rsidRPr="0087558E" w:rsidRDefault="005F3103" w:rsidP="00683C48">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La institución reafirma el compromiso con la seguridad del personal y el cuidado al medioambiente, desarrollando planes y actividades, tales como: </w:t>
      </w:r>
    </w:p>
    <w:p w14:paraId="2087D985" w14:textId="77777777" w:rsidR="005F3103" w:rsidRPr="0087558E" w:rsidRDefault="005F3103" w:rsidP="00683C48">
      <w:pPr>
        <w:numPr>
          <w:ilvl w:val="0"/>
          <w:numId w:val="10"/>
        </w:numPr>
        <w:spacing w:after="0"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Planes de emergencia y evacuación.</w:t>
      </w:r>
    </w:p>
    <w:p w14:paraId="16B09152" w14:textId="77777777" w:rsidR="005F3103" w:rsidRPr="0087558E" w:rsidRDefault="005F3103" w:rsidP="00683C48">
      <w:pPr>
        <w:numPr>
          <w:ilvl w:val="0"/>
          <w:numId w:val="10"/>
        </w:numPr>
        <w:spacing w:after="0"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Auditorías en las instalaciones de la institución para garantizar que las condiciones de trabajo sean seguras y cumplan con las normativas aplicables.</w:t>
      </w:r>
    </w:p>
    <w:p w14:paraId="0EC3ADA4" w14:textId="77777777" w:rsidR="005F3103" w:rsidRPr="0087558E" w:rsidRDefault="005F3103" w:rsidP="00683C48">
      <w:pPr>
        <w:numPr>
          <w:ilvl w:val="0"/>
          <w:numId w:val="10"/>
        </w:numPr>
        <w:spacing w:after="0" w:line="360" w:lineRule="auto"/>
        <w:contextualSpacing/>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Provee los Equipos de Protección Personal (EPP) necesarios para la ejecución de los trabajos de manera segura.</w:t>
      </w:r>
    </w:p>
    <w:p w14:paraId="03E91E8F" w14:textId="77777777" w:rsidR="005F3103" w:rsidRPr="0087558E" w:rsidRDefault="005F3103" w:rsidP="005F3103">
      <w:pPr>
        <w:spacing w:line="360" w:lineRule="auto"/>
        <w:jc w:val="both"/>
        <w:rPr>
          <w:rFonts w:ascii="Times New Roman" w:hAnsi="Times New Roman" w:cs="Times New Roman"/>
          <w:color w:val="4C4747"/>
          <w:sz w:val="24"/>
          <w:szCs w:val="24"/>
        </w:rPr>
      </w:pPr>
    </w:p>
    <w:p w14:paraId="21460D59" w14:textId="77777777" w:rsidR="005F3103" w:rsidRPr="0087558E" w:rsidRDefault="005F3103" w:rsidP="005F3103">
      <w:pPr>
        <w:spacing w:line="360" w:lineRule="auto"/>
        <w:jc w:val="both"/>
        <w:rPr>
          <w:rFonts w:ascii="Times New Roman" w:eastAsia="Calibri" w:hAnsi="Times New Roman" w:cs="Times New Roman"/>
          <w:color w:val="4C4747"/>
          <w:spacing w:val="20"/>
          <w:sz w:val="24"/>
          <w:szCs w:val="24"/>
        </w:rPr>
      </w:pPr>
    </w:p>
    <w:p w14:paraId="29A9CF90" w14:textId="77777777" w:rsidR="005F3103" w:rsidRPr="0087558E" w:rsidRDefault="005F3103" w:rsidP="002D2034">
      <w:pPr>
        <w:spacing w:line="360" w:lineRule="auto"/>
        <w:rPr>
          <w:rFonts w:ascii="Times New Roman" w:eastAsia="Calibri" w:hAnsi="Times New Roman" w:cs="Times New Roman"/>
          <w:b/>
          <w:color w:val="4C4747"/>
          <w:spacing w:val="20"/>
          <w:sz w:val="24"/>
          <w:szCs w:val="24"/>
        </w:rPr>
      </w:pPr>
    </w:p>
    <w:p w14:paraId="644D5384" w14:textId="7A81B077" w:rsidR="00332E05" w:rsidRDefault="00332E05" w:rsidP="00C87A84">
      <w:pPr>
        <w:rPr>
          <w:rFonts w:ascii="Times New Roman" w:eastAsia="Calibri" w:hAnsi="Times New Roman" w:cs="Times New Roman"/>
          <w:b/>
          <w:color w:val="767171"/>
          <w:spacing w:val="20"/>
          <w:sz w:val="24"/>
          <w:szCs w:val="24"/>
        </w:rPr>
      </w:pPr>
    </w:p>
    <w:p w14:paraId="5C5BCD9A" w14:textId="77777777" w:rsidR="005F3103" w:rsidRDefault="005F3103" w:rsidP="00C87A84">
      <w:pPr>
        <w:rPr>
          <w:rFonts w:ascii="Times New Roman" w:hAnsi="Times New Roman" w:cs="Times New Roman"/>
          <w:color w:val="4C4747"/>
          <w:sz w:val="24"/>
          <w:szCs w:val="24"/>
        </w:rPr>
      </w:pPr>
    </w:p>
    <w:p w14:paraId="62F4C48A" w14:textId="724A328F" w:rsidR="00EC6B6D" w:rsidRPr="0087558E" w:rsidRDefault="00ED3488" w:rsidP="00543A92">
      <w:pPr>
        <w:pStyle w:val="Heading2"/>
        <w:spacing w:line="360" w:lineRule="auto"/>
        <w:rPr>
          <w:rFonts w:ascii="Times New Roman" w:hAnsi="Times New Roman" w:cs="Times New Roman"/>
          <w:color w:val="4C4747"/>
          <w:sz w:val="24"/>
          <w:szCs w:val="24"/>
        </w:rPr>
      </w:pPr>
      <w:bookmarkStart w:id="38" w:name="_Toc155259672"/>
      <w:r w:rsidRPr="0087558E">
        <w:rPr>
          <w:rFonts w:ascii="Times New Roman" w:hAnsi="Times New Roman" w:cs="Times New Roman"/>
          <w:color w:val="4C4747"/>
          <w:sz w:val="24"/>
          <w:szCs w:val="24"/>
        </w:rPr>
        <w:lastRenderedPageBreak/>
        <w:t>4.3</w:t>
      </w:r>
      <w:r w:rsidR="00957E6E" w:rsidRPr="0087558E">
        <w:rPr>
          <w:rFonts w:ascii="Times New Roman" w:hAnsi="Times New Roman" w:cs="Times New Roman"/>
          <w:color w:val="4C4747"/>
          <w:sz w:val="24"/>
          <w:szCs w:val="24"/>
        </w:rPr>
        <w:t xml:space="preserve"> </w:t>
      </w:r>
      <w:r w:rsidRPr="0087558E">
        <w:rPr>
          <w:rFonts w:ascii="Times New Roman" w:hAnsi="Times New Roman" w:cs="Times New Roman"/>
          <w:color w:val="4C4747"/>
          <w:sz w:val="24"/>
          <w:szCs w:val="24"/>
        </w:rPr>
        <w:t>Desempeño de los Procesos Jurídicos</w:t>
      </w:r>
      <w:bookmarkEnd w:id="38"/>
    </w:p>
    <w:p w14:paraId="23829E3A" w14:textId="77777777" w:rsidR="00543A92" w:rsidRPr="00543A92" w:rsidRDefault="00543A92" w:rsidP="00543A92"/>
    <w:p w14:paraId="018F8B4C" w14:textId="4D3981D2" w:rsidR="00C55C8E" w:rsidRPr="00683C48" w:rsidRDefault="00430773" w:rsidP="00683C48">
      <w:pPr>
        <w:spacing w:line="360" w:lineRule="auto"/>
        <w:jc w:val="both"/>
        <w:rPr>
          <w:rFonts w:ascii="Times New Roman" w:eastAsia="Calibri" w:hAnsi="Times New Roman" w:cs="Times New Roman"/>
          <w:color w:val="4C4747"/>
          <w:sz w:val="24"/>
          <w:szCs w:val="24"/>
        </w:rPr>
      </w:pPr>
      <w:r w:rsidRPr="00683C48">
        <w:rPr>
          <w:rFonts w:ascii="Times New Roman" w:hAnsi="Times New Roman" w:cs="Times New Roman"/>
          <w:color w:val="4C4747"/>
          <w:sz w:val="24"/>
          <w:szCs w:val="24"/>
        </w:rPr>
        <w:t>A</w:t>
      </w:r>
      <w:r w:rsidR="00C55C8E" w:rsidRPr="00683C48">
        <w:rPr>
          <w:rFonts w:ascii="Times New Roman" w:eastAsia="Calibri" w:hAnsi="Times New Roman" w:cs="Times New Roman"/>
          <w:color w:val="4C4747"/>
          <w:sz w:val="24"/>
          <w:szCs w:val="24"/>
        </w:rPr>
        <w:t xml:space="preserve">l período indicado la Consultoría Jurídica participó en la revisión, </w:t>
      </w:r>
      <w:r w:rsidR="003E63DA" w:rsidRPr="00683C48">
        <w:rPr>
          <w:rFonts w:ascii="Times New Roman" w:eastAsia="Calibri" w:hAnsi="Times New Roman" w:cs="Times New Roman"/>
          <w:color w:val="4C4747"/>
          <w:sz w:val="24"/>
          <w:szCs w:val="24"/>
        </w:rPr>
        <w:t>y elaboración de veinte (20) acuerdos seis (6) nacionales y catorce (14) internacionales, de los cuales fueron suscritos cuatro (4) nacionales y diez (10) internacionales, quedando en la actualidad seis (6) acuerdos en proceso de formalización y negociación. Informamos, además, que fueron realizadas un total de ciento cincuenta y seis (156) gestiones nacionales e internacionales</w:t>
      </w:r>
      <w:r w:rsidR="00C55C8E" w:rsidRPr="00683C48">
        <w:rPr>
          <w:rFonts w:ascii="Times New Roman" w:eastAsia="Calibri" w:hAnsi="Times New Roman" w:cs="Times New Roman"/>
          <w:color w:val="4C4747"/>
          <w:sz w:val="24"/>
          <w:szCs w:val="24"/>
        </w:rPr>
        <w:t>, según se detalla a continuación:</w:t>
      </w:r>
    </w:p>
    <w:p w14:paraId="69B245FF" w14:textId="75287766" w:rsidR="000C1A03" w:rsidRPr="00683C48" w:rsidRDefault="00044896" w:rsidP="00683C48">
      <w:pPr>
        <w:spacing w:line="360" w:lineRule="auto"/>
        <w:rPr>
          <w:rFonts w:ascii="Times New Roman" w:hAnsi="Times New Roman" w:cs="Times New Roman"/>
          <w:b/>
          <w:color w:val="4C4747"/>
          <w:sz w:val="24"/>
          <w:szCs w:val="24"/>
        </w:rPr>
      </w:pPr>
      <w:r w:rsidRPr="00683C48">
        <w:rPr>
          <w:rFonts w:ascii="Times New Roman" w:hAnsi="Times New Roman" w:cs="Times New Roman"/>
          <w:b/>
          <w:color w:val="4C4747"/>
          <w:sz w:val="24"/>
          <w:szCs w:val="24"/>
        </w:rPr>
        <w:t>Acuerdo Nacional</w:t>
      </w:r>
    </w:p>
    <w:p w14:paraId="732E5AFD" w14:textId="54CE1B53" w:rsidR="003E63DA" w:rsidRPr="00543A92" w:rsidRDefault="003E63DA" w:rsidP="00543A92">
      <w:pPr>
        <w:pStyle w:val="ListParagraph"/>
        <w:numPr>
          <w:ilvl w:val="0"/>
          <w:numId w:val="11"/>
        </w:numPr>
        <w:tabs>
          <w:tab w:val="left" w:pos="450"/>
          <w:tab w:val="left" w:pos="1440"/>
        </w:tabs>
        <w:spacing w:after="0" w:line="360" w:lineRule="auto"/>
        <w:jc w:val="both"/>
        <w:rPr>
          <w:rFonts w:ascii="Times New Roman" w:hAnsi="Times New Roman" w:cs="Times New Roman"/>
          <w:b/>
          <w:iCs/>
          <w:color w:val="4C4747"/>
          <w:sz w:val="24"/>
          <w:szCs w:val="24"/>
        </w:rPr>
      </w:pPr>
      <w:r w:rsidRPr="00683C48">
        <w:rPr>
          <w:rFonts w:ascii="Times New Roman" w:hAnsi="Times New Roman" w:cs="Times New Roman"/>
          <w:b/>
          <w:iCs/>
          <w:color w:val="4C4747"/>
          <w:sz w:val="24"/>
          <w:szCs w:val="24"/>
        </w:rPr>
        <w:t>Contratos de Propiedad Intelectual</w:t>
      </w:r>
    </w:p>
    <w:p w14:paraId="08BAD0B4" w14:textId="3698A568" w:rsidR="003E63DA" w:rsidRDefault="003E63DA" w:rsidP="00683C48">
      <w:pPr>
        <w:tabs>
          <w:tab w:val="left" w:pos="450"/>
          <w:tab w:val="left" w:pos="1440"/>
        </w:tabs>
        <w:spacing w:after="0" w:line="360" w:lineRule="auto"/>
        <w:ind w:right="144"/>
        <w:jc w:val="both"/>
        <w:rPr>
          <w:rFonts w:ascii="Times New Roman" w:hAnsi="Times New Roman" w:cs="Times New Roman"/>
          <w:color w:val="4C4747"/>
          <w:sz w:val="24"/>
          <w:szCs w:val="24"/>
        </w:rPr>
      </w:pPr>
      <w:r w:rsidRPr="00683C48">
        <w:rPr>
          <w:rFonts w:ascii="Times New Roman" w:hAnsi="Times New Roman" w:cs="Times New Roman"/>
          <w:color w:val="4C4747"/>
          <w:sz w:val="24"/>
          <w:szCs w:val="24"/>
        </w:rPr>
        <w:t xml:space="preserve">Asimismo, fueron elaboradas y suscritas cuatro (4) declaraciones de autorización para la reproducción de imágenes y/o fotografías en los libros indicados precedentemente, para ser publicados por esta entidad.  Así como también, la declaración de autorización suscrita en fecha 20 de junio de 2023, con el señor </w:t>
      </w:r>
      <w:proofErr w:type="spellStart"/>
      <w:r w:rsidRPr="00683C48">
        <w:rPr>
          <w:rFonts w:ascii="Times New Roman" w:hAnsi="Times New Roman" w:cs="Times New Roman"/>
          <w:color w:val="4C4747"/>
          <w:sz w:val="24"/>
          <w:szCs w:val="24"/>
        </w:rPr>
        <w:t>Brayham</w:t>
      </w:r>
      <w:proofErr w:type="spellEnd"/>
      <w:r w:rsidRPr="00683C48">
        <w:rPr>
          <w:rFonts w:ascii="Times New Roman" w:hAnsi="Times New Roman" w:cs="Times New Roman"/>
          <w:color w:val="4C4747"/>
          <w:sz w:val="24"/>
          <w:szCs w:val="24"/>
        </w:rPr>
        <w:t xml:space="preserve"> Jerez de Jesús, para la utilización y reproducción de su imagen en una de las fotografías que forman parte de la Memoria Anual 2022 de este Banco Central, de la autoría del fotógrafo Fernando Calzada.</w:t>
      </w:r>
    </w:p>
    <w:p w14:paraId="190E65DE" w14:textId="77777777" w:rsidR="00543A92" w:rsidRPr="00543A92" w:rsidRDefault="00543A92" w:rsidP="00683C48">
      <w:pPr>
        <w:tabs>
          <w:tab w:val="left" w:pos="450"/>
          <w:tab w:val="left" w:pos="1440"/>
        </w:tabs>
        <w:spacing w:after="0" w:line="360" w:lineRule="auto"/>
        <w:ind w:right="144"/>
        <w:jc w:val="both"/>
        <w:rPr>
          <w:rFonts w:ascii="Times New Roman" w:hAnsi="Times New Roman" w:cs="Times New Roman"/>
          <w:color w:val="4C4747"/>
          <w:sz w:val="24"/>
          <w:szCs w:val="24"/>
        </w:rPr>
      </w:pPr>
    </w:p>
    <w:p w14:paraId="726B4484" w14:textId="25038AF7" w:rsidR="003E63DA" w:rsidRPr="00683C48" w:rsidRDefault="003E63DA" w:rsidP="00683C48">
      <w:pPr>
        <w:pStyle w:val="ListParagraph"/>
        <w:numPr>
          <w:ilvl w:val="0"/>
          <w:numId w:val="12"/>
        </w:numPr>
        <w:spacing w:line="360" w:lineRule="auto"/>
        <w:rPr>
          <w:rFonts w:ascii="Times New Roman" w:eastAsia="Calibri" w:hAnsi="Times New Roman" w:cs="Times New Roman"/>
          <w:b/>
          <w:color w:val="4C4747"/>
          <w:sz w:val="24"/>
          <w:szCs w:val="24"/>
        </w:rPr>
      </w:pPr>
      <w:r w:rsidRPr="00683C48">
        <w:rPr>
          <w:rFonts w:ascii="Times New Roman" w:eastAsia="Calibri" w:hAnsi="Times New Roman" w:cs="Times New Roman"/>
          <w:b/>
          <w:color w:val="4C4747"/>
          <w:sz w:val="24"/>
          <w:szCs w:val="24"/>
        </w:rPr>
        <w:t xml:space="preserve"> INFOSEC Latín América, Inc. – Acuerdo de confidencialidad</w:t>
      </w:r>
    </w:p>
    <w:p w14:paraId="16EC6A5E" w14:textId="7F176D5F" w:rsidR="003E63DA" w:rsidRPr="00683C48" w:rsidRDefault="003E63DA" w:rsidP="00683C48">
      <w:pPr>
        <w:tabs>
          <w:tab w:val="left" w:pos="450"/>
          <w:tab w:val="left" w:pos="1440"/>
        </w:tabs>
        <w:spacing w:line="360" w:lineRule="auto"/>
        <w:jc w:val="both"/>
        <w:rPr>
          <w:rFonts w:ascii="Times New Roman" w:hAnsi="Times New Roman" w:cs="Times New Roman"/>
          <w:color w:val="4C4747"/>
          <w:sz w:val="24"/>
          <w:szCs w:val="24"/>
        </w:rPr>
      </w:pPr>
      <w:r w:rsidRPr="00683C48">
        <w:rPr>
          <w:rFonts w:ascii="Times New Roman" w:hAnsi="Times New Roman" w:cs="Times New Roman"/>
          <w:color w:val="4C4747"/>
          <w:sz w:val="24"/>
          <w:szCs w:val="24"/>
        </w:rPr>
        <w:t>Una (1) ronda de revisión y comentarios al acuerdo de confidencialidad a ser suscrito con INFOSEC Latín América, Inc., como parte del proceso de membresía del Banco Central en la confederación internacional de equipos confiables de respuesta a incidentes informáticos (</w:t>
      </w:r>
      <w:proofErr w:type="spellStart"/>
      <w:r w:rsidRPr="00683C48">
        <w:rPr>
          <w:rFonts w:ascii="Times New Roman" w:hAnsi="Times New Roman" w:cs="Times New Roman"/>
          <w:color w:val="4C4747"/>
          <w:sz w:val="24"/>
          <w:szCs w:val="24"/>
        </w:rPr>
        <w:t>Forum</w:t>
      </w:r>
      <w:proofErr w:type="spellEnd"/>
      <w:r w:rsidRPr="00683C48">
        <w:rPr>
          <w:rFonts w:ascii="Times New Roman" w:hAnsi="Times New Roman" w:cs="Times New Roman"/>
          <w:color w:val="4C4747"/>
          <w:sz w:val="24"/>
          <w:szCs w:val="24"/>
        </w:rPr>
        <w:t xml:space="preserve"> </w:t>
      </w:r>
      <w:proofErr w:type="spellStart"/>
      <w:r w:rsidRPr="00683C48">
        <w:rPr>
          <w:rFonts w:ascii="Times New Roman" w:hAnsi="Times New Roman" w:cs="Times New Roman"/>
          <w:color w:val="4C4747"/>
          <w:sz w:val="24"/>
          <w:szCs w:val="24"/>
        </w:rPr>
        <w:t>of</w:t>
      </w:r>
      <w:proofErr w:type="spellEnd"/>
      <w:r w:rsidRPr="00683C48">
        <w:rPr>
          <w:rFonts w:ascii="Times New Roman" w:hAnsi="Times New Roman" w:cs="Times New Roman"/>
          <w:color w:val="4C4747"/>
          <w:sz w:val="24"/>
          <w:szCs w:val="24"/>
        </w:rPr>
        <w:t xml:space="preserve"> </w:t>
      </w:r>
      <w:proofErr w:type="spellStart"/>
      <w:r w:rsidRPr="00683C48">
        <w:rPr>
          <w:rFonts w:ascii="Times New Roman" w:hAnsi="Times New Roman" w:cs="Times New Roman"/>
          <w:color w:val="4C4747"/>
          <w:sz w:val="24"/>
          <w:szCs w:val="24"/>
        </w:rPr>
        <w:t>Incident</w:t>
      </w:r>
      <w:proofErr w:type="spellEnd"/>
      <w:r w:rsidRPr="00683C48">
        <w:rPr>
          <w:rFonts w:ascii="Times New Roman" w:hAnsi="Times New Roman" w:cs="Times New Roman"/>
          <w:color w:val="4C4747"/>
          <w:sz w:val="24"/>
          <w:szCs w:val="24"/>
        </w:rPr>
        <w:t xml:space="preserve"> Response and Security </w:t>
      </w:r>
      <w:proofErr w:type="spellStart"/>
      <w:r w:rsidRPr="00683C48">
        <w:rPr>
          <w:rFonts w:ascii="Times New Roman" w:hAnsi="Times New Roman" w:cs="Times New Roman"/>
          <w:color w:val="4C4747"/>
          <w:sz w:val="24"/>
          <w:szCs w:val="24"/>
        </w:rPr>
        <w:t>Teams</w:t>
      </w:r>
      <w:proofErr w:type="spellEnd"/>
      <w:r w:rsidRPr="00683C48">
        <w:rPr>
          <w:rFonts w:ascii="Times New Roman" w:hAnsi="Times New Roman" w:cs="Times New Roman"/>
          <w:color w:val="4C4747"/>
          <w:sz w:val="24"/>
          <w:szCs w:val="24"/>
        </w:rPr>
        <w:t xml:space="preserve"> - FIRST).</w:t>
      </w:r>
    </w:p>
    <w:p w14:paraId="3CE1A9CE" w14:textId="77777777" w:rsidR="003E63DA" w:rsidRPr="00683C48" w:rsidRDefault="003E63DA" w:rsidP="00683C48">
      <w:pPr>
        <w:pStyle w:val="ListParagraph"/>
        <w:numPr>
          <w:ilvl w:val="0"/>
          <w:numId w:val="12"/>
        </w:numPr>
        <w:spacing w:line="360" w:lineRule="auto"/>
        <w:rPr>
          <w:rFonts w:ascii="Times New Roman" w:eastAsia="Calibri" w:hAnsi="Times New Roman" w:cs="Times New Roman"/>
          <w:b/>
          <w:color w:val="4C4747"/>
          <w:sz w:val="24"/>
          <w:szCs w:val="24"/>
        </w:rPr>
      </w:pPr>
      <w:r w:rsidRPr="00683C48">
        <w:rPr>
          <w:rFonts w:ascii="Times New Roman" w:eastAsia="Calibri" w:hAnsi="Times New Roman" w:cs="Times New Roman"/>
          <w:b/>
          <w:color w:val="4C4747"/>
          <w:sz w:val="24"/>
          <w:szCs w:val="24"/>
        </w:rPr>
        <w:t>Contratos de Propiedad Intelectual</w:t>
      </w:r>
    </w:p>
    <w:p w14:paraId="5ED28F99" w14:textId="6C5F3645" w:rsidR="003E63DA" w:rsidRPr="00683C48" w:rsidRDefault="003E63DA" w:rsidP="00683C48">
      <w:pPr>
        <w:tabs>
          <w:tab w:val="left" w:pos="450"/>
          <w:tab w:val="left" w:pos="1440"/>
        </w:tabs>
        <w:spacing w:line="360" w:lineRule="auto"/>
        <w:ind w:right="144"/>
        <w:jc w:val="both"/>
        <w:rPr>
          <w:rFonts w:ascii="Times New Roman" w:hAnsi="Times New Roman" w:cs="Times New Roman"/>
          <w:iCs/>
          <w:color w:val="4C4747"/>
          <w:sz w:val="24"/>
          <w:szCs w:val="24"/>
        </w:rPr>
      </w:pPr>
      <w:r w:rsidRPr="00683C48">
        <w:rPr>
          <w:rFonts w:ascii="Times New Roman" w:hAnsi="Times New Roman" w:cs="Times New Roman"/>
          <w:iCs/>
          <w:color w:val="4C4747"/>
          <w:sz w:val="24"/>
          <w:szCs w:val="24"/>
        </w:rPr>
        <w:t xml:space="preserve">Elaboración y revisión de un (1) contrato de propiedad intelectual, para la edición e impresión de la obra literaria de la señora Altagracia Margarita Edith Hernández </w:t>
      </w:r>
      <w:r w:rsidRPr="00683C48">
        <w:rPr>
          <w:rFonts w:ascii="Times New Roman" w:hAnsi="Times New Roman" w:cs="Times New Roman"/>
          <w:iCs/>
          <w:color w:val="4C4747"/>
          <w:sz w:val="24"/>
          <w:szCs w:val="24"/>
        </w:rPr>
        <w:lastRenderedPageBreak/>
        <w:t>de Pool del libro “El trac en los artistas. Un estudio sobre el miedo al escenario”, así como también la declaración de autorización para reproducir la obra que formará parte de la portada del citado libro.</w:t>
      </w:r>
    </w:p>
    <w:p w14:paraId="1D048973" w14:textId="77777777" w:rsidR="003E63DA" w:rsidRPr="00683C48" w:rsidRDefault="003E63DA" w:rsidP="00683C48">
      <w:pPr>
        <w:pStyle w:val="ListParagraph"/>
        <w:numPr>
          <w:ilvl w:val="0"/>
          <w:numId w:val="12"/>
        </w:numPr>
        <w:spacing w:line="360" w:lineRule="auto"/>
        <w:rPr>
          <w:rFonts w:ascii="Times New Roman" w:eastAsia="Calibri" w:hAnsi="Times New Roman" w:cs="Times New Roman"/>
          <w:b/>
          <w:color w:val="4C4747"/>
          <w:sz w:val="24"/>
          <w:szCs w:val="24"/>
        </w:rPr>
      </w:pPr>
      <w:r w:rsidRPr="00683C48">
        <w:rPr>
          <w:rFonts w:ascii="Times New Roman" w:eastAsia="Calibri" w:hAnsi="Times New Roman" w:cs="Times New Roman"/>
          <w:b/>
          <w:color w:val="4C4747"/>
          <w:sz w:val="24"/>
          <w:szCs w:val="24"/>
        </w:rPr>
        <w:t>Gestiones realizadas en el ámbito Nacional:</w:t>
      </w:r>
    </w:p>
    <w:p w14:paraId="3EB67A4F" w14:textId="7FC5AB27" w:rsidR="003E63DA" w:rsidRPr="00683C48" w:rsidRDefault="003E63DA" w:rsidP="00683C48">
      <w:pPr>
        <w:tabs>
          <w:tab w:val="left" w:pos="450"/>
          <w:tab w:val="left" w:pos="1440"/>
        </w:tabs>
        <w:spacing w:line="360" w:lineRule="auto"/>
        <w:ind w:right="144"/>
        <w:jc w:val="both"/>
        <w:rPr>
          <w:rFonts w:ascii="Times New Roman" w:hAnsi="Times New Roman" w:cs="Times New Roman"/>
          <w:iCs/>
          <w:color w:val="4C4747"/>
          <w:sz w:val="24"/>
          <w:szCs w:val="24"/>
        </w:rPr>
      </w:pPr>
      <w:r w:rsidRPr="00683C48">
        <w:rPr>
          <w:rFonts w:ascii="Times New Roman" w:hAnsi="Times New Roman" w:cs="Times New Roman"/>
          <w:iCs/>
          <w:color w:val="4C4747"/>
          <w:sz w:val="24"/>
          <w:szCs w:val="24"/>
        </w:rPr>
        <w:t xml:space="preserve">Revisión y análisis del acuerdo marco para la adquisición de inmuebles ubicados en los terrenos de Zona Franca San Isidro a ser suscrito entre esta última y las entidades Constructora Prats &amp; Asociados, S.R.L. y </w:t>
      </w:r>
      <w:proofErr w:type="spellStart"/>
      <w:r w:rsidRPr="00683C48">
        <w:rPr>
          <w:rFonts w:ascii="Times New Roman" w:hAnsi="Times New Roman" w:cs="Times New Roman"/>
          <w:iCs/>
          <w:color w:val="4C4747"/>
          <w:sz w:val="24"/>
          <w:szCs w:val="24"/>
        </w:rPr>
        <w:t>Certina</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Group</w:t>
      </w:r>
      <w:proofErr w:type="spellEnd"/>
      <w:r w:rsidRPr="00683C48">
        <w:rPr>
          <w:rFonts w:ascii="Times New Roman" w:hAnsi="Times New Roman" w:cs="Times New Roman"/>
          <w:iCs/>
          <w:color w:val="4C4747"/>
          <w:sz w:val="24"/>
          <w:szCs w:val="24"/>
        </w:rPr>
        <w:t>, LTD. y Fiduciaria Unión Corporativa, FIDUNION, S.A.</w:t>
      </w:r>
    </w:p>
    <w:p w14:paraId="514BE43E" w14:textId="0B72D4C6" w:rsidR="003E63DA" w:rsidRPr="00683C48" w:rsidRDefault="003E63DA" w:rsidP="00683C48">
      <w:pPr>
        <w:tabs>
          <w:tab w:val="left" w:pos="450"/>
          <w:tab w:val="left" w:pos="1440"/>
        </w:tabs>
        <w:spacing w:line="360" w:lineRule="auto"/>
        <w:ind w:right="144"/>
        <w:jc w:val="both"/>
        <w:rPr>
          <w:rFonts w:ascii="Times New Roman" w:hAnsi="Times New Roman" w:cs="Times New Roman"/>
          <w:iCs/>
          <w:color w:val="4C4747"/>
          <w:sz w:val="24"/>
          <w:szCs w:val="24"/>
        </w:rPr>
      </w:pPr>
      <w:r w:rsidRPr="00683C48">
        <w:rPr>
          <w:rFonts w:ascii="Times New Roman" w:hAnsi="Times New Roman" w:cs="Times New Roman"/>
          <w:iCs/>
          <w:color w:val="4C4747"/>
          <w:sz w:val="24"/>
          <w:szCs w:val="24"/>
        </w:rPr>
        <w:t>Reviso el acuerdo marco de permuta de inmuebles a ser suscrito entre el BCRD y la Corporación Estatal del Azúcar (CEA).</w:t>
      </w:r>
    </w:p>
    <w:p w14:paraId="2420BD1C" w14:textId="2FA40495" w:rsidR="003E63DA" w:rsidRPr="00543A92" w:rsidRDefault="003E63DA" w:rsidP="00543A92">
      <w:pPr>
        <w:pStyle w:val="ListParagraph"/>
        <w:numPr>
          <w:ilvl w:val="0"/>
          <w:numId w:val="12"/>
        </w:numPr>
        <w:spacing w:line="360" w:lineRule="auto"/>
        <w:jc w:val="both"/>
        <w:rPr>
          <w:rFonts w:ascii="Times New Roman" w:eastAsia="Calibri" w:hAnsi="Times New Roman" w:cs="Times New Roman"/>
          <w:b/>
          <w:color w:val="4C4747"/>
          <w:sz w:val="24"/>
          <w:szCs w:val="24"/>
        </w:rPr>
      </w:pPr>
      <w:r w:rsidRPr="00683C48">
        <w:rPr>
          <w:rFonts w:ascii="Times New Roman" w:eastAsia="Calibri" w:hAnsi="Times New Roman" w:cs="Times New Roman"/>
          <w:b/>
          <w:color w:val="4C4747"/>
          <w:sz w:val="24"/>
          <w:szCs w:val="24"/>
        </w:rPr>
        <w:t>Proyecto de Reglamento de Derivados – revisión integral del borrador de reglamento, en colaboración con la Corporación Financiera Internacional (IFC, por sus siglas en inglés)</w:t>
      </w:r>
    </w:p>
    <w:p w14:paraId="02BD175B" w14:textId="67DE7560" w:rsidR="003E63DA" w:rsidRPr="00683C48" w:rsidRDefault="007A2CFD" w:rsidP="00683C48">
      <w:pPr>
        <w:tabs>
          <w:tab w:val="left" w:pos="450"/>
          <w:tab w:val="left" w:pos="1440"/>
        </w:tabs>
        <w:spacing w:line="360" w:lineRule="auto"/>
        <w:ind w:right="144"/>
        <w:jc w:val="both"/>
        <w:rPr>
          <w:rFonts w:ascii="Times New Roman" w:hAnsi="Times New Roman" w:cs="Times New Roman"/>
          <w:iCs/>
          <w:color w:val="4C4747"/>
          <w:sz w:val="24"/>
          <w:szCs w:val="24"/>
        </w:rPr>
      </w:pPr>
      <w:r w:rsidRPr="00683C48">
        <w:rPr>
          <w:rFonts w:ascii="Times New Roman" w:hAnsi="Times New Roman" w:cs="Times New Roman"/>
          <w:iCs/>
          <w:color w:val="4C4747"/>
          <w:sz w:val="24"/>
          <w:szCs w:val="24"/>
        </w:rPr>
        <w:t xml:space="preserve">Revisión integral, análisis y comentarios del borrador de reglamento de derivados, a solicitud del Departamento de Regulación y Estabilidad Financiera, contentivo de las observaciones de la “International </w:t>
      </w:r>
      <w:proofErr w:type="spellStart"/>
      <w:r w:rsidRPr="00683C48">
        <w:rPr>
          <w:rFonts w:ascii="Times New Roman" w:hAnsi="Times New Roman" w:cs="Times New Roman"/>
          <w:iCs/>
          <w:color w:val="4C4747"/>
          <w:sz w:val="24"/>
          <w:szCs w:val="24"/>
        </w:rPr>
        <w:t>Finance</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Corporation</w:t>
      </w:r>
      <w:proofErr w:type="spellEnd"/>
      <w:r w:rsidRPr="00683C48">
        <w:rPr>
          <w:rFonts w:ascii="Times New Roman" w:hAnsi="Times New Roman" w:cs="Times New Roman"/>
          <w:iCs/>
          <w:color w:val="4C4747"/>
          <w:sz w:val="24"/>
          <w:szCs w:val="24"/>
        </w:rPr>
        <w:t>” (IFC).</w:t>
      </w:r>
    </w:p>
    <w:p w14:paraId="7EE19010" w14:textId="6EC58722" w:rsidR="007A2CFD" w:rsidRPr="00683C48" w:rsidRDefault="007A2CFD" w:rsidP="00683C48">
      <w:pPr>
        <w:tabs>
          <w:tab w:val="left" w:pos="450"/>
          <w:tab w:val="left" w:pos="1440"/>
        </w:tabs>
        <w:spacing w:line="360" w:lineRule="auto"/>
        <w:ind w:right="144"/>
        <w:jc w:val="both"/>
        <w:rPr>
          <w:rFonts w:ascii="Times New Roman" w:hAnsi="Times New Roman" w:cs="Times New Roman"/>
          <w:iCs/>
          <w:color w:val="4C4747"/>
          <w:sz w:val="24"/>
          <w:szCs w:val="24"/>
        </w:rPr>
      </w:pPr>
      <w:r w:rsidRPr="00683C48">
        <w:rPr>
          <w:rFonts w:ascii="Times New Roman" w:hAnsi="Times New Roman" w:cs="Times New Roman"/>
          <w:iCs/>
          <w:color w:val="4C4747"/>
          <w:sz w:val="24"/>
          <w:szCs w:val="24"/>
        </w:rPr>
        <w:t>Investigación relativa a requerimientos de margen para derivados OTC, al amparo de lo estipulado por el Comité de Basilea de Supervisión Bancaria (</w:t>
      </w:r>
      <w:proofErr w:type="spellStart"/>
      <w:r w:rsidRPr="00683C48">
        <w:rPr>
          <w:rFonts w:ascii="Times New Roman" w:hAnsi="Times New Roman" w:cs="Times New Roman"/>
          <w:iCs/>
          <w:color w:val="4C4747"/>
          <w:sz w:val="24"/>
          <w:szCs w:val="24"/>
        </w:rPr>
        <w:t>Basel</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Committee</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on</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Banking</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Supervision</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Margin</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requirements</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for</w:t>
      </w:r>
      <w:proofErr w:type="spellEnd"/>
      <w:r w:rsidRPr="00683C48">
        <w:rPr>
          <w:rFonts w:ascii="Times New Roman" w:hAnsi="Times New Roman" w:cs="Times New Roman"/>
          <w:iCs/>
          <w:color w:val="4C4747"/>
          <w:sz w:val="24"/>
          <w:szCs w:val="24"/>
        </w:rPr>
        <w:t xml:space="preserve"> non-</w:t>
      </w:r>
      <w:proofErr w:type="spellStart"/>
      <w:r w:rsidRPr="00683C48">
        <w:rPr>
          <w:rFonts w:ascii="Times New Roman" w:hAnsi="Times New Roman" w:cs="Times New Roman"/>
          <w:iCs/>
          <w:color w:val="4C4747"/>
          <w:sz w:val="24"/>
          <w:szCs w:val="24"/>
        </w:rPr>
        <w:t>centrally</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cleared</w:t>
      </w:r>
      <w:proofErr w:type="spellEnd"/>
      <w:r w:rsidRPr="00683C48">
        <w:rPr>
          <w:rFonts w:ascii="Times New Roman" w:hAnsi="Times New Roman" w:cs="Times New Roman"/>
          <w:iCs/>
          <w:color w:val="4C4747"/>
          <w:sz w:val="24"/>
          <w:szCs w:val="24"/>
        </w:rPr>
        <w:t xml:space="preserve"> </w:t>
      </w:r>
      <w:proofErr w:type="spellStart"/>
      <w:r w:rsidRPr="00683C48">
        <w:rPr>
          <w:rFonts w:ascii="Times New Roman" w:hAnsi="Times New Roman" w:cs="Times New Roman"/>
          <w:iCs/>
          <w:color w:val="4C4747"/>
          <w:sz w:val="24"/>
          <w:szCs w:val="24"/>
        </w:rPr>
        <w:t>derivates</w:t>
      </w:r>
      <w:proofErr w:type="spellEnd"/>
      <w:r w:rsidRPr="00683C48">
        <w:rPr>
          <w:rFonts w:ascii="Times New Roman" w:hAnsi="Times New Roman" w:cs="Times New Roman"/>
          <w:iCs/>
          <w:color w:val="4C4747"/>
          <w:sz w:val="24"/>
          <w:szCs w:val="24"/>
        </w:rPr>
        <w:t>).</w:t>
      </w:r>
    </w:p>
    <w:p w14:paraId="7442A144" w14:textId="71D3F14D" w:rsidR="007A2CFD" w:rsidRPr="00D8254D" w:rsidRDefault="007A2CFD" w:rsidP="00D8254D">
      <w:pPr>
        <w:tabs>
          <w:tab w:val="left" w:pos="450"/>
          <w:tab w:val="left" w:pos="1440"/>
        </w:tabs>
        <w:spacing w:line="360" w:lineRule="auto"/>
        <w:ind w:right="144"/>
        <w:jc w:val="both"/>
        <w:rPr>
          <w:rFonts w:ascii="Times New Roman" w:hAnsi="Times New Roman" w:cs="Times New Roman"/>
          <w:iCs/>
          <w:color w:val="4C4747"/>
          <w:sz w:val="24"/>
          <w:szCs w:val="24"/>
        </w:rPr>
      </w:pPr>
      <w:r w:rsidRPr="00683C48">
        <w:rPr>
          <w:rFonts w:ascii="Times New Roman" w:hAnsi="Times New Roman" w:cs="Times New Roman"/>
          <w:iCs/>
          <w:color w:val="4C4747"/>
          <w:sz w:val="24"/>
          <w:szCs w:val="24"/>
        </w:rPr>
        <w:t>Estudio comparado relativo a la figura de la prenda/colateral en la legislación dominicana, al tenor del Código Civil dominicano, la Ley 45-20 de garantías mobiliarias, la Ley del Mercado de Valores núm.249-17, así como las disposiciones del derecho privado internacional en la materia.</w:t>
      </w:r>
    </w:p>
    <w:p w14:paraId="61539F96" w14:textId="77777777" w:rsidR="007A2CFD" w:rsidRPr="00683C48" w:rsidRDefault="007A2CFD" w:rsidP="00683C48">
      <w:pPr>
        <w:pStyle w:val="ListParagraph"/>
        <w:numPr>
          <w:ilvl w:val="0"/>
          <w:numId w:val="12"/>
        </w:numPr>
        <w:spacing w:line="360" w:lineRule="auto"/>
        <w:jc w:val="both"/>
        <w:rPr>
          <w:rFonts w:ascii="Times New Roman" w:eastAsia="Calibri" w:hAnsi="Times New Roman" w:cs="Times New Roman"/>
          <w:b/>
          <w:color w:val="4C4747"/>
          <w:sz w:val="24"/>
          <w:szCs w:val="24"/>
        </w:rPr>
      </w:pPr>
      <w:r w:rsidRPr="00683C48">
        <w:rPr>
          <w:rFonts w:ascii="Times New Roman" w:eastAsia="Calibri" w:hAnsi="Times New Roman" w:cs="Times New Roman"/>
          <w:b/>
          <w:color w:val="4C4747"/>
          <w:sz w:val="24"/>
          <w:szCs w:val="24"/>
        </w:rPr>
        <w:lastRenderedPageBreak/>
        <w:t>Superintendencia de Bancos – Consulta sobre operaciones de reporto y derivados entre entidades de intermediación financiera dominicanas y entidades extranjeras.</w:t>
      </w:r>
    </w:p>
    <w:p w14:paraId="3C472729" w14:textId="77777777" w:rsidR="007A2CFD" w:rsidRPr="00683C48" w:rsidRDefault="007A2CFD" w:rsidP="00683C48">
      <w:pPr>
        <w:spacing w:line="360" w:lineRule="auto"/>
        <w:jc w:val="both"/>
        <w:rPr>
          <w:rFonts w:ascii="Times New Roman" w:hAnsi="Times New Roman" w:cs="Times New Roman"/>
          <w:color w:val="4C4747"/>
          <w:sz w:val="24"/>
          <w:szCs w:val="24"/>
        </w:rPr>
      </w:pPr>
      <w:r w:rsidRPr="00683C48">
        <w:rPr>
          <w:rFonts w:ascii="Times New Roman" w:hAnsi="Times New Roman" w:cs="Times New Roman"/>
          <w:color w:val="4C4747"/>
          <w:sz w:val="24"/>
          <w:szCs w:val="24"/>
        </w:rPr>
        <w:t xml:space="preserve">Revisión, análisis y respuesta a la consulta realizada por la Superintendencia de Bancos (SBRD) a esta entidad, al tenor de la opinión solicitada a la SBRD por la firma </w:t>
      </w:r>
      <w:proofErr w:type="spellStart"/>
      <w:r w:rsidRPr="00683C48">
        <w:rPr>
          <w:rFonts w:ascii="Times New Roman" w:hAnsi="Times New Roman" w:cs="Times New Roman"/>
          <w:color w:val="4C4747"/>
          <w:sz w:val="24"/>
          <w:szCs w:val="24"/>
        </w:rPr>
        <w:t>Squire</w:t>
      </w:r>
      <w:proofErr w:type="spellEnd"/>
      <w:r w:rsidRPr="00683C48">
        <w:rPr>
          <w:rFonts w:ascii="Times New Roman" w:hAnsi="Times New Roman" w:cs="Times New Roman"/>
          <w:color w:val="4C4747"/>
          <w:sz w:val="24"/>
          <w:szCs w:val="24"/>
        </w:rPr>
        <w:t xml:space="preserve"> </w:t>
      </w:r>
      <w:proofErr w:type="spellStart"/>
      <w:r w:rsidRPr="00683C48">
        <w:rPr>
          <w:rFonts w:ascii="Times New Roman" w:hAnsi="Times New Roman" w:cs="Times New Roman"/>
          <w:color w:val="4C4747"/>
          <w:sz w:val="24"/>
          <w:szCs w:val="24"/>
        </w:rPr>
        <w:t>Patton</w:t>
      </w:r>
      <w:proofErr w:type="spellEnd"/>
      <w:r w:rsidRPr="00683C48">
        <w:rPr>
          <w:rFonts w:ascii="Times New Roman" w:hAnsi="Times New Roman" w:cs="Times New Roman"/>
          <w:color w:val="4C4747"/>
          <w:sz w:val="24"/>
          <w:szCs w:val="24"/>
        </w:rPr>
        <w:t xml:space="preserve"> Boggs Peña Prieto </w:t>
      </w:r>
      <w:proofErr w:type="spellStart"/>
      <w:r w:rsidRPr="00683C48">
        <w:rPr>
          <w:rFonts w:ascii="Times New Roman" w:hAnsi="Times New Roman" w:cs="Times New Roman"/>
          <w:color w:val="4C4747"/>
          <w:sz w:val="24"/>
          <w:szCs w:val="24"/>
        </w:rPr>
        <w:t>Gamundi</w:t>
      </w:r>
      <w:proofErr w:type="spellEnd"/>
      <w:r w:rsidRPr="00683C48">
        <w:rPr>
          <w:rFonts w:ascii="Times New Roman" w:hAnsi="Times New Roman" w:cs="Times New Roman"/>
          <w:color w:val="4C4747"/>
          <w:sz w:val="24"/>
          <w:szCs w:val="24"/>
        </w:rPr>
        <w:t xml:space="preserve">, acerca de la posibilidad de que las entidades de intermediación financiera dominicanas realicen operaciones de reporto y derivados con entidades financieras extranjeras, amparadas bajo los contratos marco GMRA e ISDA, respectivamente. </w:t>
      </w:r>
    </w:p>
    <w:p w14:paraId="2D3FCDA3" w14:textId="77777777" w:rsidR="007A2CFD" w:rsidRPr="00683C48" w:rsidRDefault="007A2CFD" w:rsidP="00683C48">
      <w:pPr>
        <w:pStyle w:val="ListParagraph"/>
        <w:numPr>
          <w:ilvl w:val="0"/>
          <w:numId w:val="12"/>
        </w:numPr>
        <w:spacing w:line="360" w:lineRule="auto"/>
        <w:jc w:val="both"/>
        <w:rPr>
          <w:rFonts w:ascii="Times New Roman" w:eastAsia="Calibri" w:hAnsi="Times New Roman" w:cs="Times New Roman"/>
          <w:b/>
          <w:color w:val="4C4747"/>
          <w:sz w:val="24"/>
          <w:szCs w:val="24"/>
        </w:rPr>
      </w:pPr>
      <w:r w:rsidRPr="00683C48">
        <w:rPr>
          <w:rFonts w:ascii="Times New Roman" w:eastAsia="Calibri" w:hAnsi="Times New Roman" w:cs="Times New Roman"/>
          <w:b/>
          <w:color w:val="4C4747"/>
          <w:sz w:val="24"/>
          <w:szCs w:val="24"/>
        </w:rPr>
        <w:t>QIK Banco Digital Dominicano, S.A. – Banco Múltiple – Contrato de participación en la Plataforma Cambiaria BCRD</w:t>
      </w:r>
    </w:p>
    <w:p w14:paraId="24E4230E" w14:textId="719317FF" w:rsidR="007A2CFD" w:rsidRDefault="007A2CFD" w:rsidP="00683C48">
      <w:pPr>
        <w:tabs>
          <w:tab w:val="left" w:pos="450"/>
          <w:tab w:val="left" w:pos="1440"/>
        </w:tabs>
        <w:spacing w:after="0" w:line="360" w:lineRule="auto"/>
        <w:jc w:val="both"/>
        <w:rPr>
          <w:rFonts w:ascii="Times New Roman" w:hAnsi="Times New Roman" w:cs="Times New Roman"/>
          <w:color w:val="4C4747"/>
          <w:sz w:val="24"/>
          <w:szCs w:val="24"/>
        </w:rPr>
      </w:pPr>
      <w:r w:rsidRPr="00683C48">
        <w:rPr>
          <w:rFonts w:ascii="Times New Roman" w:hAnsi="Times New Roman" w:cs="Times New Roman"/>
          <w:color w:val="4C4747"/>
          <w:sz w:val="24"/>
          <w:szCs w:val="24"/>
        </w:rPr>
        <w:t>Revisión y remisión de comentarios u observaciones al contrato de participación en la Plataforma Cambiaria BCRD a ser suscrito con QIK Banco Digital Dominicano, S.A. – Banco Múltiple y este BCRD.  Así también la declaración jurada a ser firmada por QIK Banco Digital Dominicano, S.A. – Banco Múltiple, respecto al Código Global de Conducta del Mercado Cambiario, para su participación en la Plataforma Cambiaria BCRD.</w:t>
      </w:r>
    </w:p>
    <w:p w14:paraId="330C98BC" w14:textId="77777777" w:rsidR="00582715" w:rsidRPr="00683C48" w:rsidRDefault="00582715" w:rsidP="00683C48">
      <w:pPr>
        <w:tabs>
          <w:tab w:val="left" w:pos="450"/>
          <w:tab w:val="left" w:pos="1440"/>
        </w:tabs>
        <w:spacing w:after="0" w:line="360" w:lineRule="auto"/>
        <w:jc w:val="both"/>
        <w:rPr>
          <w:rFonts w:ascii="Times New Roman" w:hAnsi="Times New Roman" w:cs="Times New Roman"/>
          <w:color w:val="4C4747"/>
          <w:sz w:val="24"/>
          <w:szCs w:val="24"/>
        </w:rPr>
      </w:pPr>
    </w:p>
    <w:p w14:paraId="6C35C2AE" w14:textId="77777777" w:rsidR="007A2CFD" w:rsidRPr="00683C48" w:rsidRDefault="007A2CFD" w:rsidP="00683C48">
      <w:pPr>
        <w:pStyle w:val="ListParagraph"/>
        <w:numPr>
          <w:ilvl w:val="0"/>
          <w:numId w:val="12"/>
        </w:numPr>
        <w:spacing w:line="360" w:lineRule="auto"/>
        <w:jc w:val="both"/>
        <w:rPr>
          <w:rFonts w:ascii="Times New Roman" w:hAnsi="Times New Roman" w:cs="Times New Roman"/>
          <w:b/>
          <w:color w:val="4C4747"/>
          <w:sz w:val="24"/>
          <w:szCs w:val="24"/>
        </w:rPr>
      </w:pPr>
      <w:r w:rsidRPr="00683C48">
        <w:rPr>
          <w:rFonts w:ascii="Times New Roman" w:hAnsi="Times New Roman" w:cs="Times New Roman"/>
          <w:iCs/>
          <w:color w:val="4C4747"/>
          <w:sz w:val="24"/>
          <w:szCs w:val="24"/>
        </w:rPr>
        <w:tab/>
      </w:r>
      <w:r w:rsidRPr="00683C48">
        <w:rPr>
          <w:rFonts w:ascii="Times New Roman" w:eastAsia="Calibri" w:hAnsi="Times New Roman" w:cs="Times New Roman"/>
          <w:b/>
          <w:color w:val="4C4747"/>
          <w:sz w:val="24"/>
          <w:szCs w:val="24"/>
        </w:rPr>
        <w:t>Banco Múltiple Santa Cruz, S.A.</w:t>
      </w:r>
    </w:p>
    <w:p w14:paraId="6D0D1368" w14:textId="1FEF1262" w:rsidR="007A2CFD" w:rsidRPr="00683C48" w:rsidRDefault="007A2CFD" w:rsidP="00683C48">
      <w:pPr>
        <w:tabs>
          <w:tab w:val="left" w:pos="1440"/>
        </w:tabs>
        <w:spacing w:line="360" w:lineRule="auto"/>
        <w:ind w:right="144"/>
        <w:jc w:val="both"/>
        <w:rPr>
          <w:rFonts w:ascii="Times New Roman" w:hAnsi="Times New Roman" w:cs="Times New Roman"/>
          <w:iCs/>
          <w:color w:val="4C4747"/>
          <w:sz w:val="24"/>
          <w:szCs w:val="24"/>
        </w:rPr>
      </w:pPr>
      <w:r w:rsidRPr="00683C48">
        <w:rPr>
          <w:rFonts w:ascii="Times New Roman" w:hAnsi="Times New Roman" w:cs="Times New Roman"/>
          <w:iCs/>
          <w:color w:val="4C4747"/>
          <w:sz w:val="24"/>
          <w:szCs w:val="24"/>
        </w:rPr>
        <w:t>Dos (2) rondas de revisión y adecuación de la minuta de la comunicación a ser enviada a Banco Múltiple Santa Cruz, S.A., relativas a las operaciones cambiarias realizadas por esa entidad, en atención a los términos del Reglamento Cambiario y del Contrato de Participación en la Plataforma Cambiaria BCRD.</w:t>
      </w:r>
    </w:p>
    <w:p w14:paraId="58773480" w14:textId="794C0D7C" w:rsidR="000C1A03" w:rsidRDefault="000C1A03" w:rsidP="000C1A03">
      <w:pPr>
        <w:jc w:val="both"/>
        <w:rPr>
          <w:rFonts w:ascii="Times New Roman" w:hAnsi="Times New Roman" w:cs="Times New Roman"/>
          <w:color w:val="4C4747"/>
          <w:sz w:val="24"/>
          <w:szCs w:val="24"/>
        </w:rPr>
      </w:pPr>
    </w:p>
    <w:p w14:paraId="75AE3765" w14:textId="37900684" w:rsidR="00543A92" w:rsidRDefault="00543A92" w:rsidP="000C1A03">
      <w:pPr>
        <w:jc w:val="both"/>
        <w:rPr>
          <w:rFonts w:ascii="Times New Roman" w:hAnsi="Times New Roman" w:cs="Times New Roman"/>
          <w:color w:val="4C4747"/>
          <w:sz w:val="24"/>
          <w:szCs w:val="24"/>
        </w:rPr>
      </w:pPr>
    </w:p>
    <w:p w14:paraId="2B56D44A" w14:textId="3D1AE8A9" w:rsidR="00543A92" w:rsidRDefault="00543A92" w:rsidP="000C1A03">
      <w:pPr>
        <w:jc w:val="both"/>
        <w:rPr>
          <w:rFonts w:ascii="Times New Roman" w:hAnsi="Times New Roman" w:cs="Times New Roman"/>
          <w:color w:val="4C4747"/>
          <w:sz w:val="24"/>
          <w:szCs w:val="24"/>
        </w:rPr>
      </w:pPr>
    </w:p>
    <w:p w14:paraId="4C5C63B3" w14:textId="77777777" w:rsidR="00543A92" w:rsidRPr="000C1A03" w:rsidRDefault="00543A92" w:rsidP="000C1A03">
      <w:pPr>
        <w:jc w:val="both"/>
        <w:rPr>
          <w:rFonts w:ascii="Times New Roman" w:hAnsi="Times New Roman" w:cs="Times New Roman"/>
          <w:color w:val="4C4747"/>
          <w:sz w:val="24"/>
          <w:szCs w:val="24"/>
        </w:rPr>
      </w:pPr>
    </w:p>
    <w:p w14:paraId="75CE0550" w14:textId="7C451652" w:rsidR="007A2CFD" w:rsidRPr="00543A92" w:rsidRDefault="000C1A03" w:rsidP="00543A92">
      <w:pPr>
        <w:spacing w:line="360" w:lineRule="auto"/>
        <w:rPr>
          <w:rFonts w:ascii="Times New Roman" w:hAnsi="Times New Roman" w:cs="Times New Roman"/>
          <w:b/>
          <w:color w:val="4C4747"/>
          <w:sz w:val="24"/>
          <w:szCs w:val="24"/>
        </w:rPr>
      </w:pPr>
      <w:r w:rsidRPr="00683C48">
        <w:rPr>
          <w:rFonts w:ascii="Times New Roman" w:hAnsi="Times New Roman" w:cs="Times New Roman"/>
          <w:b/>
          <w:color w:val="4C4747"/>
          <w:sz w:val="24"/>
          <w:szCs w:val="24"/>
        </w:rPr>
        <w:t>Contratos Internacionales</w:t>
      </w:r>
      <w:r w:rsidR="00683C48" w:rsidRPr="00683C48">
        <w:rPr>
          <w:rFonts w:ascii="Times New Roman" w:hAnsi="Times New Roman" w:cs="Times New Roman"/>
          <w:b/>
          <w:color w:val="4C4747"/>
          <w:sz w:val="24"/>
          <w:szCs w:val="24"/>
        </w:rPr>
        <w:t xml:space="preserve">: </w:t>
      </w:r>
      <w:r w:rsidR="007A2CFD" w:rsidRPr="00683C48">
        <w:rPr>
          <w:rFonts w:ascii="Times New Roman" w:eastAsia="SimSun" w:hAnsi="Times New Roman" w:cs="Times New Roman"/>
          <w:b/>
          <w:color w:val="4C4747"/>
          <w:sz w:val="24"/>
          <w:szCs w:val="24"/>
        </w:rPr>
        <w:t>Contratos marco ISDA y GMRA</w:t>
      </w:r>
    </w:p>
    <w:p w14:paraId="144D0670" w14:textId="03873A23" w:rsidR="007A2CFD" w:rsidRPr="0087558E" w:rsidRDefault="007A2CFD"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r w:rsidRPr="0087558E">
        <w:rPr>
          <w:rFonts w:ascii="Times New Roman" w:eastAsia="SimSun" w:hAnsi="Times New Roman" w:cs="Times New Roman"/>
          <w:color w:val="4C4747"/>
          <w:sz w:val="24"/>
          <w:szCs w:val="24"/>
        </w:rPr>
        <w:t xml:space="preserve">La Consultoría Jurídica participa como integrante del equipo liderado por el departamento de Tesorería de este Banco Central, para apoyar y asistir en todos los aspectos legales relativos a la estrategia de desarrollo del mercado cambiario dominicano y la efectiva gestión de las Reservas Internacionales, para lo cual se pondera expandir los instrumentos de inversión disponibles para el Portafolio de Reservas, incluyendo los derivados cambiarios.  </w:t>
      </w:r>
    </w:p>
    <w:p w14:paraId="69FCACB5" w14:textId="77777777" w:rsidR="007A2CFD" w:rsidRPr="0087558E" w:rsidRDefault="007A2CFD"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p>
    <w:p w14:paraId="320B57EE" w14:textId="31A5B4B7" w:rsidR="007A2CFD" w:rsidRPr="0087558E" w:rsidRDefault="007A2CFD"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r w:rsidRPr="0087558E">
        <w:rPr>
          <w:rFonts w:ascii="Times New Roman" w:eastAsia="SimSun" w:hAnsi="Times New Roman" w:cs="Times New Roman"/>
          <w:color w:val="4C4747"/>
          <w:sz w:val="24"/>
          <w:szCs w:val="24"/>
        </w:rPr>
        <w:t>De igual modo, esta dependencia se mantiene trabajando activamente para asistir en la negociación, revisión y análisis de todos los acuerdos marco ISDA y GMRA con las contrapartes internacionales autorizadas por esta entidad, al tiempo que continúa cumpliendo con los requisitos regulatorios de las contrapartes con las que ya ha suscrito estos y otros contratos.</w:t>
      </w:r>
    </w:p>
    <w:p w14:paraId="3D129EEE" w14:textId="77777777" w:rsidR="00543A92" w:rsidRPr="0087558E" w:rsidRDefault="00543A92"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p>
    <w:p w14:paraId="47B05F2F" w14:textId="77777777" w:rsidR="007A2CFD" w:rsidRPr="0087558E" w:rsidRDefault="007A2CFD"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r w:rsidRPr="0087558E">
        <w:rPr>
          <w:rFonts w:ascii="Times New Roman" w:eastAsia="SimSun" w:hAnsi="Times New Roman" w:cs="Times New Roman"/>
          <w:color w:val="4C4747"/>
          <w:sz w:val="24"/>
          <w:szCs w:val="24"/>
        </w:rPr>
        <w:t xml:space="preserve">En ese tenor, durante el período enero – noviembre de 2023, el Banco Central formalizó la suscripción de un (1) contrato marco ISDA (International Swaps and </w:t>
      </w:r>
      <w:proofErr w:type="spellStart"/>
      <w:r w:rsidRPr="0087558E">
        <w:rPr>
          <w:rFonts w:ascii="Times New Roman" w:eastAsia="SimSun" w:hAnsi="Times New Roman" w:cs="Times New Roman"/>
          <w:color w:val="4C4747"/>
          <w:sz w:val="24"/>
          <w:szCs w:val="24"/>
        </w:rPr>
        <w:t>Derivatives</w:t>
      </w:r>
      <w:proofErr w:type="spellEnd"/>
      <w:r w:rsidRPr="0087558E">
        <w:rPr>
          <w:rFonts w:ascii="Times New Roman" w:eastAsia="SimSun" w:hAnsi="Times New Roman" w:cs="Times New Roman"/>
          <w:color w:val="4C4747"/>
          <w:sz w:val="24"/>
          <w:szCs w:val="24"/>
        </w:rPr>
        <w:t xml:space="preserve"> </w:t>
      </w:r>
      <w:proofErr w:type="spellStart"/>
      <w:r w:rsidRPr="0087558E">
        <w:rPr>
          <w:rFonts w:ascii="Times New Roman" w:eastAsia="SimSun" w:hAnsi="Times New Roman" w:cs="Times New Roman"/>
          <w:color w:val="4C4747"/>
          <w:sz w:val="24"/>
          <w:szCs w:val="24"/>
        </w:rPr>
        <w:t>Association</w:t>
      </w:r>
      <w:proofErr w:type="spellEnd"/>
      <w:r w:rsidRPr="0087558E">
        <w:rPr>
          <w:rFonts w:ascii="Times New Roman" w:eastAsia="SimSun" w:hAnsi="Times New Roman" w:cs="Times New Roman"/>
          <w:color w:val="4C4747"/>
          <w:sz w:val="24"/>
          <w:szCs w:val="24"/>
        </w:rPr>
        <w:t xml:space="preserve">) para realizar operaciones de derivados y un (1) Documento de Confirmación y una (1) enmienda a dicho documento para efectuar operaciones de reporto bajo un GMRA (Global Master </w:t>
      </w:r>
      <w:proofErr w:type="spellStart"/>
      <w:r w:rsidRPr="0087558E">
        <w:rPr>
          <w:rFonts w:ascii="Times New Roman" w:eastAsia="SimSun" w:hAnsi="Times New Roman" w:cs="Times New Roman"/>
          <w:color w:val="4C4747"/>
          <w:sz w:val="24"/>
          <w:szCs w:val="24"/>
        </w:rPr>
        <w:t>Repurchase</w:t>
      </w:r>
      <w:proofErr w:type="spellEnd"/>
      <w:r w:rsidRPr="0087558E">
        <w:rPr>
          <w:rFonts w:ascii="Times New Roman" w:eastAsia="SimSun" w:hAnsi="Times New Roman" w:cs="Times New Roman"/>
          <w:color w:val="4C4747"/>
          <w:sz w:val="24"/>
          <w:szCs w:val="24"/>
        </w:rPr>
        <w:t xml:space="preserve"> </w:t>
      </w:r>
      <w:proofErr w:type="spellStart"/>
      <w:r w:rsidRPr="0087558E">
        <w:rPr>
          <w:rFonts w:ascii="Times New Roman" w:eastAsia="SimSun" w:hAnsi="Times New Roman" w:cs="Times New Roman"/>
          <w:color w:val="4C4747"/>
          <w:sz w:val="24"/>
          <w:szCs w:val="24"/>
        </w:rPr>
        <w:t>Agreement</w:t>
      </w:r>
      <w:proofErr w:type="spellEnd"/>
      <w:r w:rsidRPr="0087558E">
        <w:rPr>
          <w:rFonts w:ascii="Times New Roman" w:eastAsia="SimSun" w:hAnsi="Times New Roman" w:cs="Times New Roman"/>
          <w:color w:val="4C4747"/>
          <w:sz w:val="24"/>
          <w:szCs w:val="24"/>
        </w:rPr>
        <w:t xml:space="preserve">) previamente suscrito.   </w:t>
      </w:r>
    </w:p>
    <w:p w14:paraId="54406C42" w14:textId="77777777" w:rsidR="007A2CFD" w:rsidRPr="0087558E" w:rsidRDefault="007A2CFD"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p>
    <w:p w14:paraId="40E030C0" w14:textId="5338CBDE" w:rsidR="007A2CFD" w:rsidRPr="0087558E" w:rsidRDefault="007A2CFD"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r w:rsidRPr="0087558E">
        <w:rPr>
          <w:rFonts w:ascii="Times New Roman" w:eastAsia="SimSun" w:hAnsi="Times New Roman" w:cs="Times New Roman"/>
          <w:color w:val="4C4747"/>
          <w:sz w:val="24"/>
          <w:szCs w:val="24"/>
        </w:rPr>
        <w:t>La suscripción de estos contratos resultó en alrededor de veintiséis (26) gestiones de revisiones, elaboración de propuestas, gestiones de debida diligencia, análisis de los documentos presentados por las contrapartes como requisito para la firma, elaboración de informes en los casos requeridos.</w:t>
      </w:r>
    </w:p>
    <w:p w14:paraId="44F1EA4D" w14:textId="0E67F11F" w:rsidR="00683C48" w:rsidRDefault="00683C48"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p>
    <w:p w14:paraId="4499F1E0" w14:textId="77777777" w:rsidR="00543A92" w:rsidRDefault="00543A92"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p>
    <w:p w14:paraId="628C7852" w14:textId="77777777" w:rsidR="00683C48" w:rsidRPr="00683C48" w:rsidRDefault="00683C48" w:rsidP="00683C48">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p>
    <w:p w14:paraId="2F9E5582" w14:textId="41F0C9B7" w:rsidR="007A2CFD" w:rsidRPr="00AF1992" w:rsidRDefault="007A2CFD" w:rsidP="007A2CFD">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r w:rsidRPr="00AF1992">
        <w:rPr>
          <w:rFonts w:ascii="Times New Roman" w:eastAsia="SimSun" w:hAnsi="Times New Roman" w:cs="Times New Roman"/>
          <w:b/>
          <w:color w:val="4C4747"/>
          <w:sz w:val="24"/>
          <w:szCs w:val="24"/>
        </w:rPr>
        <w:t>Contratos Marco ISDA</w:t>
      </w:r>
    </w:p>
    <w:p w14:paraId="72A32574" w14:textId="77777777" w:rsidR="007A2CFD" w:rsidRPr="00AF1992" w:rsidRDefault="007A2CFD" w:rsidP="007A2CFD">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p>
    <w:p w14:paraId="17111798" w14:textId="19BB7597" w:rsidR="007A2CFD" w:rsidRPr="0087558E" w:rsidRDefault="007A2CFD" w:rsidP="007A2CFD">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r w:rsidRPr="0087558E">
        <w:rPr>
          <w:rFonts w:ascii="Times New Roman" w:eastAsia="SimSun" w:hAnsi="Times New Roman" w:cs="Times New Roman"/>
          <w:b/>
          <w:color w:val="4C4747"/>
          <w:sz w:val="24"/>
          <w:szCs w:val="24"/>
        </w:rPr>
        <w:t xml:space="preserve">Bank </w:t>
      </w:r>
      <w:proofErr w:type="spellStart"/>
      <w:r w:rsidRPr="0087558E">
        <w:rPr>
          <w:rFonts w:ascii="Times New Roman" w:eastAsia="SimSun" w:hAnsi="Times New Roman" w:cs="Times New Roman"/>
          <w:b/>
          <w:color w:val="4C4747"/>
          <w:sz w:val="24"/>
          <w:szCs w:val="24"/>
        </w:rPr>
        <w:t>of</w:t>
      </w:r>
      <w:proofErr w:type="spellEnd"/>
      <w:r w:rsidRPr="0087558E">
        <w:rPr>
          <w:rFonts w:ascii="Times New Roman" w:eastAsia="SimSun" w:hAnsi="Times New Roman" w:cs="Times New Roman"/>
          <w:b/>
          <w:color w:val="4C4747"/>
          <w:sz w:val="24"/>
          <w:szCs w:val="24"/>
        </w:rPr>
        <w:t xml:space="preserve"> América, N. A.: </w:t>
      </w:r>
    </w:p>
    <w:p w14:paraId="08096EDC" w14:textId="546513AF" w:rsidR="007A2CFD" w:rsidRPr="0087558E" w:rsidRDefault="007A2CFD" w:rsidP="007A2CFD">
      <w:pPr>
        <w:tabs>
          <w:tab w:val="left" w:pos="450"/>
          <w:tab w:val="left" w:pos="1776"/>
        </w:tabs>
        <w:spacing w:after="0" w:line="360" w:lineRule="auto"/>
        <w:contextualSpacing/>
        <w:jc w:val="both"/>
        <w:rPr>
          <w:rFonts w:ascii="Times New Roman" w:hAnsi="Times New Roman" w:cs="Times New Roman"/>
          <w:bCs/>
          <w:iCs/>
          <w:color w:val="4C4747"/>
          <w:sz w:val="24"/>
          <w:szCs w:val="24"/>
        </w:rPr>
      </w:pPr>
      <w:r w:rsidRPr="0087558E">
        <w:rPr>
          <w:rFonts w:ascii="Times New Roman" w:hAnsi="Times New Roman" w:cs="Times New Roman"/>
          <w:bCs/>
          <w:iCs/>
          <w:color w:val="4C4747"/>
          <w:sz w:val="24"/>
          <w:szCs w:val="24"/>
        </w:rPr>
        <w:t>Suscripción, en fecha 5 de abril de 2023, del contrato marco ISDA (ISDA Schedule) para efectuar operaciones de derivados con dicha entidad en los mercados financieros internacionales, así como el Acuerdo de Confidencialidad, relativo al contrato marco.</w:t>
      </w:r>
    </w:p>
    <w:p w14:paraId="44B0F997" w14:textId="77777777" w:rsidR="00AF1992" w:rsidRPr="0087558E" w:rsidRDefault="00AF1992" w:rsidP="007A2CFD">
      <w:pPr>
        <w:tabs>
          <w:tab w:val="left" w:pos="450"/>
          <w:tab w:val="left" w:pos="1776"/>
        </w:tabs>
        <w:spacing w:after="0" w:line="360" w:lineRule="auto"/>
        <w:contextualSpacing/>
        <w:jc w:val="both"/>
        <w:rPr>
          <w:rFonts w:ascii="Times New Roman" w:hAnsi="Times New Roman" w:cs="Times New Roman"/>
          <w:bCs/>
          <w:iCs/>
          <w:color w:val="4C4747"/>
          <w:sz w:val="24"/>
          <w:szCs w:val="24"/>
        </w:rPr>
      </w:pPr>
    </w:p>
    <w:p w14:paraId="14980668" w14:textId="1EB45ABB" w:rsidR="007A2CFD" w:rsidRPr="0087558E" w:rsidRDefault="007A2CFD" w:rsidP="007A2CFD">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r w:rsidRPr="0087558E">
        <w:rPr>
          <w:rFonts w:ascii="Times New Roman" w:eastAsia="SimSun" w:hAnsi="Times New Roman" w:cs="Times New Roman"/>
          <w:b/>
          <w:color w:val="4C4747"/>
          <w:sz w:val="24"/>
          <w:szCs w:val="24"/>
        </w:rPr>
        <w:t>Contratos Marco GMRA:</w:t>
      </w:r>
    </w:p>
    <w:p w14:paraId="08089FC8" w14:textId="77777777" w:rsidR="007A2CFD" w:rsidRPr="0087558E" w:rsidRDefault="007A2CFD" w:rsidP="007A2CFD">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p>
    <w:p w14:paraId="6ED56AB3" w14:textId="2A5B7D71" w:rsidR="007A2CFD" w:rsidRPr="0087558E" w:rsidRDefault="007A2CFD" w:rsidP="00AF1992">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r w:rsidRPr="0087558E">
        <w:rPr>
          <w:rFonts w:ascii="Times New Roman" w:eastAsia="SimSun" w:hAnsi="Times New Roman" w:cs="Times New Roman"/>
          <w:b/>
          <w:color w:val="4C4747"/>
          <w:sz w:val="24"/>
          <w:szCs w:val="24"/>
        </w:rPr>
        <w:t xml:space="preserve">J. P. Morgan </w:t>
      </w:r>
      <w:proofErr w:type="spellStart"/>
      <w:r w:rsidRPr="0087558E">
        <w:rPr>
          <w:rFonts w:ascii="Times New Roman" w:eastAsia="SimSun" w:hAnsi="Times New Roman" w:cs="Times New Roman"/>
          <w:b/>
          <w:color w:val="4C4747"/>
          <w:sz w:val="24"/>
          <w:szCs w:val="24"/>
        </w:rPr>
        <w:t>Securities</w:t>
      </w:r>
      <w:proofErr w:type="spellEnd"/>
      <w:r w:rsidRPr="0087558E">
        <w:rPr>
          <w:rFonts w:ascii="Times New Roman" w:eastAsia="SimSun" w:hAnsi="Times New Roman" w:cs="Times New Roman"/>
          <w:b/>
          <w:color w:val="4C4747"/>
          <w:sz w:val="24"/>
          <w:szCs w:val="24"/>
        </w:rPr>
        <w:t xml:space="preserve"> PLC (JPM):</w:t>
      </w:r>
    </w:p>
    <w:p w14:paraId="2C549D1F" w14:textId="451C6EDA" w:rsidR="007A2CFD" w:rsidRPr="0087558E" w:rsidRDefault="007A2CFD" w:rsidP="00072286">
      <w:pPr>
        <w:tabs>
          <w:tab w:val="left" w:pos="450"/>
          <w:tab w:val="left" w:pos="1776"/>
        </w:tabs>
        <w:spacing w:after="0" w:line="360" w:lineRule="auto"/>
        <w:contextualSpacing/>
        <w:jc w:val="both"/>
        <w:rPr>
          <w:rFonts w:ascii="Times New Roman" w:hAnsi="Times New Roman" w:cs="Times New Roman"/>
          <w:bCs/>
          <w:iCs/>
          <w:color w:val="4C4747"/>
          <w:sz w:val="24"/>
          <w:szCs w:val="24"/>
        </w:rPr>
      </w:pPr>
      <w:r w:rsidRPr="0087558E">
        <w:rPr>
          <w:rFonts w:ascii="Times New Roman" w:hAnsi="Times New Roman" w:cs="Times New Roman"/>
          <w:bCs/>
          <w:iCs/>
          <w:color w:val="4C4747"/>
          <w:sz w:val="24"/>
          <w:szCs w:val="24"/>
        </w:rPr>
        <w:t>Informamos, además, que durante el período enero – noviembre 2023, esta dependencia analizó, estudió y verificó la nueva modalidad de cálculo de intereses publicada por la ISDA “</w:t>
      </w:r>
      <w:proofErr w:type="spellStart"/>
      <w:r w:rsidRPr="0087558E">
        <w:rPr>
          <w:rFonts w:ascii="Times New Roman" w:hAnsi="Times New Roman" w:cs="Times New Roman"/>
          <w:bCs/>
          <w:iCs/>
          <w:color w:val="4C4747"/>
          <w:sz w:val="24"/>
          <w:szCs w:val="24"/>
        </w:rPr>
        <w:t>Compounding</w:t>
      </w:r>
      <w:proofErr w:type="spellEnd"/>
      <w:r w:rsidRPr="0087558E">
        <w:rPr>
          <w:rFonts w:ascii="Times New Roman" w:hAnsi="Times New Roman" w:cs="Times New Roman"/>
          <w:bCs/>
          <w:iCs/>
          <w:color w:val="4C4747"/>
          <w:sz w:val="24"/>
          <w:szCs w:val="24"/>
        </w:rPr>
        <w:t xml:space="preserve"> </w:t>
      </w:r>
      <w:proofErr w:type="spellStart"/>
      <w:r w:rsidRPr="0087558E">
        <w:rPr>
          <w:rFonts w:ascii="Times New Roman" w:hAnsi="Times New Roman" w:cs="Times New Roman"/>
          <w:bCs/>
          <w:iCs/>
          <w:color w:val="4C4747"/>
          <w:sz w:val="24"/>
          <w:szCs w:val="24"/>
        </w:rPr>
        <w:t>with</w:t>
      </w:r>
      <w:proofErr w:type="spellEnd"/>
      <w:r w:rsidRPr="0087558E">
        <w:rPr>
          <w:rFonts w:ascii="Times New Roman" w:hAnsi="Times New Roman" w:cs="Times New Roman"/>
          <w:bCs/>
          <w:iCs/>
          <w:color w:val="4C4747"/>
          <w:sz w:val="24"/>
          <w:szCs w:val="24"/>
        </w:rPr>
        <w:t xml:space="preserve"> </w:t>
      </w:r>
      <w:proofErr w:type="spellStart"/>
      <w:r w:rsidRPr="0087558E">
        <w:rPr>
          <w:rFonts w:ascii="Times New Roman" w:hAnsi="Times New Roman" w:cs="Times New Roman"/>
          <w:bCs/>
          <w:iCs/>
          <w:color w:val="4C4747"/>
          <w:sz w:val="24"/>
          <w:szCs w:val="24"/>
        </w:rPr>
        <w:t>lookback</w:t>
      </w:r>
      <w:proofErr w:type="spellEnd"/>
      <w:r w:rsidRPr="0087558E">
        <w:rPr>
          <w:rFonts w:ascii="Times New Roman" w:hAnsi="Times New Roman" w:cs="Times New Roman"/>
          <w:bCs/>
          <w:iCs/>
          <w:color w:val="4C4747"/>
          <w:sz w:val="24"/>
          <w:szCs w:val="24"/>
        </w:rPr>
        <w:t xml:space="preserve">”, incorporada en la enmienda al Documento de Confirmación correspondiente a las operaciones de reporto con J.P. Morgan </w:t>
      </w:r>
      <w:proofErr w:type="spellStart"/>
      <w:r w:rsidRPr="0087558E">
        <w:rPr>
          <w:rFonts w:ascii="Times New Roman" w:hAnsi="Times New Roman" w:cs="Times New Roman"/>
          <w:bCs/>
          <w:iCs/>
          <w:color w:val="4C4747"/>
          <w:sz w:val="24"/>
          <w:szCs w:val="24"/>
        </w:rPr>
        <w:t>Securities</w:t>
      </w:r>
      <w:proofErr w:type="spellEnd"/>
      <w:r w:rsidRPr="0087558E">
        <w:rPr>
          <w:rFonts w:ascii="Times New Roman" w:hAnsi="Times New Roman" w:cs="Times New Roman"/>
          <w:bCs/>
          <w:iCs/>
          <w:color w:val="4C4747"/>
          <w:sz w:val="24"/>
          <w:szCs w:val="24"/>
        </w:rPr>
        <w:t xml:space="preserve"> PLC, suscrita en fecha 15 de junio de 2023.</w:t>
      </w:r>
    </w:p>
    <w:p w14:paraId="45563AF5" w14:textId="77777777" w:rsidR="007A2CFD" w:rsidRPr="0087558E" w:rsidRDefault="007A2CFD" w:rsidP="000C1A03">
      <w:pPr>
        <w:tabs>
          <w:tab w:val="left" w:pos="450"/>
          <w:tab w:val="left" w:pos="1776"/>
        </w:tabs>
        <w:spacing w:after="0" w:line="360" w:lineRule="auto"/>
        <w:contextualSpacing/>
        <w:jc w:val="both"/>
        <w:rPr>
          <w:rFonts w:ascii="Times New Roman" w:hAnsi="Times New Roman" w:cs="Times New Roman"/>
          <w:bCs/>
          <w:iCs/>
          <w:color w:val="4C4747"/>
          <w:sz w:val="24"/>
          <w:szCs w:val="24"/>
        </w:rPr>
      </w:pPr>
    </w:p>
    <w:p w14:paraId="0FBE9661" w14:textId="6D312709" w:rsidR="00582715" w:rsidRDefault="007A2CFD" w:rsidP="000C1A03">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r w:rsidRPr="0087558E">
        <w:rPr>
          <w:rFonts w:ascii="Times New Roman" w:eastAsia="SimSun" w:hAnsi="Times New Roman" w:cs="Times New Roman"/>
          <w:b/>
          <w:color w:val="4C4747"/>
          <w:sz w:val="24"/>
          <w:szCs w:val="24"/>
        </w:rPr>
        <w:t>Contratos relativos al Programa de Administradores Externos para las Reservas Internacionales:</w:t>
      </w:r>
    </w:p>
    <w:p w14:paraId="11B37411" w14:textId="77777777" w:rsidR="00582715" w:rsidRPr="00582715" w:rsidRDefault="00582715" w:rsidP="000C1A03">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p>
    <w:p w14:paraId="5C91CAE8" w14:textId="0D444959" w:rsidR="007A2CFD" w:rsidRPr="0087558E" w:rsidRDefault="007A2CFD" w:rsidP="000C1A03">
      <w:pPr>
        <w:tabs>
          <w:tab w:val="left" w:pos="450"/>
          <w:tab w:val="left" w:pos="1776"/>
        </w:tabs>
        <w:spacing w:after="0" w:line="360" w:lineRule="auto"/>
        <w:contextualSpacing/>
        <w:jc w:val="both"/>
        <w:rPr>
          <w:rFonts w:ascii="Times New Roman" w:hAnsi="Times New Roman" w:cs="Times New Roman"/>
          <w:bCs/>
          <w:iCs/>
          <w:color w:val="4C4747"/>
          <w:sz w:val="24"/>
          <w:szCs w:val="24"/>
        </w:rPr>
      </w:pPr>
      <w:r w:rsidRPr="0087558E">
        <w:rPr>
          <w:rFonts w:ascii="Times New Roman" w:hAnsi="Times New Roman" w:cs="Times New Roman"/>
          <w:bCs/>
          <w:iCs/>
          <w:color w:val="4C4747"/>
          <w:sz w:val="24"/>
          <w:szCs w:val="24"/>
        </w:rPr>
        <w:t xml:space="preserve">Desde el año 2022, el BCRD cuenta con un Programa de Administradores Externos para las Reservas Internacionales, el cual tiene como objetivo delegar una porción de las reservas internacionales para que sean administradas por gestores externos. Bajo esa premisa, se suscribieron tres (3) contratos de Gestión de Inversión (IMA) con (a) BNP </w:t>
      </w:r>
      <w:proofErr w:type="spellStart"/>
      <w:r w:rsidRPr="0087558E">
        <w:rPr>
          <w:rFonts w:ascii="Times New Roman" w:hAnsi="Times New Roman" w:cs="Times New Roman"/>
          <w:bCs/>
          <w:iCs/>
          <w:color w:val="4C4747"/>
          <w:sz w:val="24"/>
          <w:szCs w:val="24"/>
        </w:rPr>
        <w:t>Paribas</w:t>
      </w:r>
      <w:proofErr w:type="spellEnd"/>
      <w:r w:rsidRPr="0087558E">
        <w:rPr>
          <w:rFonts w:ascii="Times New Roman" w:hAnsi="Times New Roman" w:cs="Times New Roman"/>
          <w:bCs/>
          <w:iCs/>
          <w:color w:val="4C4747"/>
          <w:sz w:val="24"/>
          <w:szCs w:val="24"/>
        </w:rPr>
        <w:t xml:space="preserve"> </w:t>
      </w:r>
      <w:proofErr w:type="spellStart"/>
      <w:r w:rsidRPr="0087558E">
        <w:rPr>
          <w:rFonts w:ascii="Times New Roman" w:hAnsi="Times New Roman" w:cs="Times New Roman"/>
          <w:bCs/>
          <w:iCs/>
          <w:color w:val="4C4747"/>
          <w:sz w:val="24"/>
          <w:szCs w:val="24"/>
        </w:rPr>
        <w:t>Asset</w:t>
      </w:r>
      <w:proofErr w:type="spellEnd"/>
      <w:r w:rsidRPr="0087558E">
        <w:rPr>
          <w:rFonts w:ascii="Times New Roman" w:hAnsi="Times New Roman" w:cs="Times New Roman"/>
          <w:bCs/>
          <w:iCs/>
          <w:color w:val="4C4747"/>
          <w:sz w:val="24"/>
          <w:szCs w:val="24"/>
        </w:rPr>
        <w:t xml:space="preserve"> Management USA, Inc., (b) </w:t>
      </w:r>
      <w:proofErr w:type="spellStart"/>
      <w:r w:rsidRPr="0087558E">
        <w:rPr>
          <w:rFonts w:ascii="Times New Roman" w:hAnsi="Times New Roman" w:cs="Times New Roman"/>
          <w:bCs/>
          <w:iCs/>
          <w:color w:val="4C4747"/>
          <w:sz w:val="24"/>
          <w:szCs w:val="24"/>
        </w:rPr>
        <w:t>BlackRock</w:t>
      </w:r>
      <w:proofErr w:type="spellEnd"/>
      <w:r w:rsidRPr="0087558E">
        <w:rPr>
          <w:rFonts w:ascii="Times New Roman" w:hAnsi="Times New Roman" w:cs="Times New Roman"/>
          <w:bCs/>
          <w:iCs/>
          <w:color w:val="4C4747"/>
          <w:sz w:val="24"/>
          <w:szCs w:val="24"/>
        </w:rPr>
        <w:t xml:space="preserve"> </w:t>
      </w:r>
      <w:proofErr w:type="spellStart"/>
      <w:r w:rsidRPr="0087558E">
        <w:rPr>
          <w:rFonts w:ascii="Times New Roman" w:hAnsi="Times New Roman" w:cs="Times New Roman"/>
          <w:bCs/>
          <w:iCs/>
          <w:color w:val="4C4747"/>
          <w:sz w:val="24"/>
          <w:szCs w:val="24"/>
        </w:rPr>
        <w:t>Financial</w:t>
      </w:r>
      <w:proofErr w:type="spellEnd"/>
      <w:r w:rsidRPr="0087558E">
        <w:rPr>
          <w:rFonts w:ascii="Times New Roman" w:hAnsi="Times New Roman" w:cs="Times New Roman"/>
          <w:bCs/>
          <w:iCs/>
          <w:color w:val="4C4747"/>
          <w:sz w:val="24"/>
          <w:szCs w:val="24"/>
        </w:rPr>
        <w:t xml:space="preserve"> Management, Inc. y (c) J.P. Morgan </w:t>
      </w:r>
      <w:proofErr w:type="spellStart"/>
      <w:r w:rsidRPr="0087558E">
        <w:rPr>
          <w:rFonts w:ascii="Times New Roman" w:hAnsi="Times New Roman" w:cs="Times New Roman"/>
          <w:bCs/>
          <w:iCs/>
          <w:color w:val="4C4747"/>
          <w:sz w:val="24"/>
          <w:szCs w:val="24"/>
        </w:rPr>
        <w:t>Asset</w:t>
      </w:r>
      <w:proofErr w:type="spellEnd"/>
      <w:r w:rsidRPr="0087558E">
        <w:rPr>
          <w:rFonts w:ascii="Times New Roman" w:hAnsi="Times New Roman" w:cs="Times New Roman"/>
          <w:bCs/>
          <w:iCs/>
          <w:color w:val="4C4747"/>
          <w:sz w:val="24"/>
          <w:szCs w:val="24"/>
        </w:rPr>
        <w:t xml:space="preserve"> Management (UK) </w:t>
      </w:r>
      <w:proofErr w:type="spellStart"/>
      <w:r w:rsidRPr="0087558E">
        <w:rPr>
          <w:rFonts w:ascii="Times New Roman" w:hAnsi="Times New Roman" w:cs="Times New Roman"/>
          <w:bCs/>
          <w:iCs/>
          <w:color w:val="4C4747"/>
          <w:sz w:val="24"/>
          <w:szCs w:val="24"/>
        </w:rPr>
        <w:t>Limited</w:t>
      </w:r>
      <w:proofErr w:type="spellEnd"/>
      <w:r w:rsidRPr="0087558E">
        <w:rPr>
          <w:rFonts w:ascii="Times New Roman" w:hAnsi="Times New Roman" w:cs="Times New Roman"/>
          <w:bCs/>
          <w:iCs/>
          <w:color w:val="4C4747"/>
          <w:sz w:val="24"/>
          <w:szCs w:val="24"/>
        </w:rPr>
        <w:t xml:space="preserve">, respectivamente; las cuales, a su vez, para ejecutar las operaciones en base a los </w:t>
      </w:r>
      <w:r w:rsidRPr="0087558E">
        <w:rPr>
          <w:rFonts w:ascii="Times New Roman" w:hAnsi="Times New Roman" w:cs="Times New Roman"/>
          <w:bCs/>
          <w:iCs/>
          <w:color w:val="4C4747"/>
          <w:sz w:val="24"/>
          <w:szCs w:val="24"/>
        </w:rPr>
        <w:lastRenderedPageBreak/>
        <w:t>lineamientos de inversión establecidos en los contratos de gestión (</w:t>
      </w:r>
      <w:proofErr w:type="spellStart"/>
      <w:r w:rsidRPr="0087558E">
        <w:rPr>
          <w:rFonts w:ascii="Times New Roman" w:hAnsi="Times New Roman" w:cs="Times New Roman"/>
          <w:bCs/>
          <w:iCs/>
          <w:color w:val="4C4747"/>
          <w:sz w:val="24"/>
          <w:szCs w:val="24"/>
        </w:rPr>
        <w:t>IMAs</w:t>
      </w:r>
      <w:proofErr w:type="spellEnd"/>
      <w:r w:rsidRPr="0087558E">
        <w:rPr>
          <w:rFonts w:ascii="Times New Roman" w:hAnsi="Times New Roman" w:cs="Times New Roman"/>
          <w:bCs/>
          <w:iCs/>
          <w:color w:val="4C4747"/>
          <w:sz w:val="24"/>
          <w:szCs w:val="24"/>
        </w:rPr>
        <w:t>), deben suscribir acuerdos conexos con diversas contrapartes.</w:t>
      </w:r>
    </w:p>
    <w:p w14:paraId="4062F52A" w14:textId="77777777" w:rsidR="007A2CFD" w:rsidRPr="0087558E" w:rsidRDefault="007A2CFD" w:rsidP="000C1A03">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p>
    <w:p w14:paraId="1579D4E0" w14:textId="15E6554C" w:rsidR="007A2CFD" w:rsidRPr="0087558E" w:rsidRDefault="007A2CFD" w:rsidP="0087558E">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r w:rsidRPr="0087558E">
        <w:rPr>
          <w:rFonts w:ascii="Times New Roman" w:eastAsia="SimSun" w:hAnsi="Times New Roman" w:cs="Times New Roman"/>
          <w:b/>
          <w:color w:val="4C4747"/>
          <w:sz w:val="24"/>
          <w:szCs w:val="24"/>
        </w:rPr>
        <w:t>Gestiones y operaciones realizadas en el ámbito Internacional</w:t>
      </w:r>
    </w:p>
    <w:p w14:paraId="6DFA1CFD" w14:textId="77777777" w:rsidR="007A2CFD" w:rsidRPr="0087558E" w:rsidRDefault="007A2CFD" w:rsidP="0087558E">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p>
    <w:p w14:paraId="248281C6" w14:textId="4637E6AC" w:rsidR="007A2CFD" w:rsidRDefault="007A2CFD" w:rsidP="0087558E">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r w:rsidRPr="0087558E">
        <w:rPr>
          <w:rFonts w:ascii="Times New Roman" w:eastAsia="SimSun" w:hAnsi="Times New Roman" w:cs="Times New Roman"/>
          <w:b/>
          <w:color w:val="4C4747"/>
          <w:sz w:val="24"/>
          <w:szCs w:val="24"/>
        </w:rPr>
        <w:t xml:space="preserve">Fondo Monetario Internacional (FMI) – Monedas virtuales de bancos centrales: </w:t>
      </w:r>
      <w:r w:rsidRPr="0087558E">
        <w:rPr>
          <w:rFonts w:ascii="Times New Roman" w:eastAsia="SimSun" w:hAnsi="Times New Roman" w:cs="Times New Roman"/>
          <w:color w:val="4C4747"/>
          <w:sz w:val="24"/>
          <w:szCs w:val="24"/>
        </w:rPr>
        <w:t>Análisis, revisión y respuesta al cuestionario de aspectos legales presentado por el Fondo Monetario Internacional, relativo a la asistencia de ese organismo internacional respecto de las monedas virtuales de bancos centrales (CBDC).</w:t>
      </w:r>
    </w:p>
    <w:p w14:paraId="69993883" w14:textId="77777777" w:rsidR="00582715" w:rsidRPr="00582715" w:rsidRDefault="00582715" w:rsidP="0087558E">
      <w:pPr>
        <w:tabs>
          <w:tab w:val="left" w:pos="450"/>
          <w:tab w:val="left" w:pos="1776"/>
        </w:tabs>
        <w:spacing w:after="0" w:line="360" w:lineRule="auto"/>
        <w:contextualSpacing/>
        <w:jc w:val="both"/>
        <w:rPr>
          <w:rFonts w:ascii="Times New Roman" w:eastAsia="SimSun" w:hAnsi="Times New Roman" w:cs="Times New Roman"/>
          <w:color w:val="4C4747"/>
          <w:sz w:val="24"/>
          <w:szCs w:val="24"/>
        </w:rPr>
      </w:pPr>
    </w:p>
    <w:p w14:paraId="2779C6DC" w14:textId="49D8B42E" w:rsidR="007A2CFD" w:rsidRPr="0087558E" w:rsidRDefault="007A2CFD" w:rsidP="0087558E">
      <w:pPr>
        <w:tabs>
          <w:tab w:val="left" w:pos="450"/>
          <w:tab w:val="left" w:pos="1776"/>
        </w:tabs>
        <w:spacing w:after="0" w:line="360" w:lineRule="auto"/>
        <w:contextualSpacing/>
        <w:jc w:val="both"/>
        <w:rPr>
          <w:rFonts w:ascii="Times New Roman" w:eastAsia="SimSun" w:hAnsi="Times New Roman" w:cs="Times New Roman"/>
          <w:b/>
          <w:color w:val="4C4747"/>
          <w:sz w:val="24"/>
          <w:szCs w:val="24"/>
        </w:rPr>
      </w:pPr>
      <w:r w:rsidRPr="0087558E">
        <w:rPr>
          <w:rFonts w:ascii="Times New Roman" w:eastAsia="SimSun" w:hAnsi="Times New Roman" w:cs="Times New Roman"/>
          <w:b/>
          <w:color w:val="4C4747"/>
          <w:sz w:val="24"/>
          <w:szCs w:val="24"/>
        </w:rPr>
        <w:t xml:space="preserve">Bank </w:t>
      </w:r>
      <w:proofErr w:type="spellStart"/>
      <w:r w:rsidRPr="0087558E">
        <w:rPr>
          <w:rFonts w:ascii="Times New Roman" w:eastAsia="SimSun" w:hAnsi="Times New Roman" w:cs="Times New Roman"/>
          <w:b/>
          <w:color w:val="4C4747"/>
          <w:sz w:val="24"/>
          <w:szCs w:val="24"/>
        </w:rPr>
        <w:t>of</w:t>
      </w:r>
      <w:proofErr w:type="spellEnd"/>
      <w:r w:rsidRPr="0087558E">
        <w:rPr>
          <w:rFonts w:ascii="Times New Roman" w:eastAsia="SimSun" w:hAnsi="Times New Roman" w:cs="Times New Roman"/>
          <w:b/>
          <w:color w:val="4C4747"/>
          <w:sz w:val="24"/>
          <w:szCs w:val="24"/>
        </w:rPr>
        <w:t xml:space="preserve"> New York Mellon-Declaración para Eurobonos Japoneses: </w:t>
      </w:r>
      <w:r w:rsidRPr="0087558E">
        <w:rPr>
          <w:rFonts w:ascii="Times New Roman" w:eastAsia="SimSun" w:hAnsi="Times New Roman" w:cs="Times New Roman"/>
          <w:color w:val="4C4747"/>
          <w:sz w:val="24"/>
          <w:szCs w:val="24"/>
        </w:rPr>
        <w:t xml:space="preserve">Revisión y verificación de los términos de la Carta de Declaración por parte del BCRD, remitida por Bank </w:t>
      </w:r>
      <w:proofErr w:type="spellStart"/>
      <w:r w:rsidRPr="0087558E">
        <w:rPr>
          <w:rFonts w:ascii="Times New Roman" w:eastAsia="SimSun" w:hAnsi="Times New Roman" w:cs="Times New Roman"/>
          <w:color w:val="4C4747"/>
          <w:sz w:val="24"/>
          <w:szCs w:val="24"/>
        </w:rPr>
        <w:t>of</w:t>
      </w:r>
      <w:proofErr w:type="spellEnd"/>
      <w:r w:rsidRPr="0087558E">
        <w:rPr>
          <w:rFonts w:ascii="Times New Roman" w:eastAsia="SimSun" w:hAnsi="Times New Roman" w:cs="Times New Roman"/>
          <w:color w:val="4C4747"/>
          <w:sz w:val="24"/>
          <w:szCs w:val="24"/>
        </w:rPr>
        <w:t xml:space="preserve"> New York Mellon, en su calidad de custodio de esta entidad, acerca de los eurobonos japoneses propiedad del BCRD, con el propósito de cumplir con requisitos regulatorios de desgravación fiscal, con efectividad al 1 de febrero de 2023.</w:t>
      </w:r>
    </w:p>
    <w:p w14:paraId="5222ADBE" w14:textId="77777777" w:rsidR="00B87C5A" w:rsidRPr="00B87C5A" w:rsidRDefault="00B87C5A" w:rsidP="0087558E">
      <w:pPr>
        <w:spacing w:after="0" w:line="360" w:lineRule="auto"/>
        <w:jc w:val="both"/>
        <w:rPr>
          <w:rFonts w:ascii="Times New Roman" w:hAnsi="Times New Roman" w:cs="Times New Roman"/>
          <w:sz w:val="24"/>
          <w:szCs w:val="24"/>
        </w:rPr>
      </w:pPr>
    </w:p>
    <w:p w14:paraId="25B61DC4" w14:textId="212CAE4E" w:rsidR="00BF19C4" w:rsidRPr="0087558E" w:rsidRDefault="00044896" w:rsidP="0087558E">
      <w:pPr>
        <w:spacing w:line="360" w:lineRule="auto"/>
        <w:rPr>
          <w:rFonts w:ascii="Times New Roman" w:hAnsi="Times New Roman" w:cs="Times New Roman"/>
          <w:b/>
          <w:color w:val="4C4747"/>
          <w:sz w:val="24"/>
          <w:szCs w:val="24"/>
        </w:rPr>
      </w:pPr>
      <w:bookmarkStart w:id="39" w:name="_Toc89962703"/>
      <w:r w:rsidRPr="0087558E">
        <w:rPr>
          <w:rFonts w:ascii="Times New Roman" w:hAnsi="Times New Roman" w:cs="Times New Roman"/>
          <w:b/>
          <w:color w:val="4C4747"/>
          <w:sz w:val="24"/>
          <w:szCs w:val="24"/>
        </w:rPr>
        <w:t>Opiniones legales</w:t>
      </w:r>
      <w:bookmarkEnd w:id="39"/>
    </w:p>
    <w:p w14:paraId="61DCBE93" w14:textId="77777777" w:rsidR="00F94B59" w:rsidRPr="00582715" w:rsidRDefault="00F94B59" w:rsidP="0087558E">
      <w:pPr>
        <w:spacing w:after="0" w:line="360" w:lineRule="auto"/>
        <w:jc w:val="both"/>
        <w:rPr>
          <w:rFonts w:ascii="Times New Roman" w:eastAsia="SimSun" w:hAnsi="Times New Roman" w:cs="Times New Roman"/>
          <w:color w:val="4C4747"/>
          <w:sz w:val="24"/>
          <w:szCs w:val="24"/>
        </w:rPr>
      </w:pPr>
      <w:r w:rsidRPr="00582715">
        <w:rPr>
          <w:rFonts w:ascii="Times New Roman" w:eastAsia="SimSun" w:hAnsi="Times New Roman" w:cs="Times New Roman"/>
          <w:color w:val="4C4747"/>
          <w:sz w:val="24"/>
          <w:szCs w:val="24"/>
        </w:rPr>
        <w:t xml:space="preserve">En este período, la Consultoría Jurídica realizó las labores de asistencia legal, tanto a lo interno del Banco Central, así como a lo externo, a fin de tomar las acciones previsoras para evitar contingencias legales a la institución. </w:t>
      </w:r>
    </w:p>
    <w:p w14:paraId="6C87E6DD" w14:textId="77777777" w:rsidR="00F94B59" w:rsidRPr="00582715" w:rsidRDefault="00F94B59" w:rsidP="0087558E">
      <w:pPr>
        <w:spacing w:after="0" w:line="360" w:lineRule="auto"/>
        <w:ind w:left="360"/>
        <w:jc w:val="both"/>
        <w:rPr>
          <w:rFonts w:ascii="Times New Roman" w:eastAsia="SimSun" w:hAnsi="Times New Roman" w:cs="Times New Roman"/>
          <w:color w:val="4C4747"/>
          <w:sz w:val="24"/>
          <w:szCs w:val="24"/>
        </w:rPr>
      </w:pPr>
    </w:p>
    <w:p w14:paraId="4D255CD6" w14:textId="77777777" w:rsidR="00AF1992" w:rsidRPr="00582715" w:rsidRDefault="00F94B59" w:rsidP="0087558E">
      <w:pPr>
        <w:spacing w:after="0" w:line="360" w:lineRule="auto"/>
        <w:ind w:right="144"/>
        <w:jc w:val="both"/>
        <w:rPr>
          <w:rFonts w:ascii="Times New Roman" w:eastAsia="SimSun" w:hAnsi="Times New Roman" w:cs="Times New Roman"/>
          <w:color w:val="4C4747"/>
          <w:sz w:val="24"/>
          <w:szCs w:val="24"/>
        </w:rPr>
      </w:pPr>
      <w:r w:rsidRPr="00582715">
        <w:rPr>
          <w:rFonts w:ascii="Times New Roman" w:eastAsia="SimSun" w:hAnsi="Times New Roman" w:cs="Times New Roman"/>
          <w:color w:val="4C4747"/>
          <w:sz w:val="24"/>
          <w:szCs w:val="24"/>
        </w:rPr>
        <w:t>En ese sentido, fueron elaboradas ochenta y siete (87) opiniones legales y comunicaciones, dirigidas a distintas dependencias de la institución, relativas a convenios, acuerdos y contratos, proyectos de leyes, inversionistas fallecidos y determinación de herederos; así como también, las relativas a operaciones y actividades propias de las entidades de intermediación financiera.</w:t>
      </w:r>
    </w:p>
    <w:p w14:paraId="727D8AF1" w14:textId="77777777" w:rsidR="00AF1992" w:rsidRPr="00582715" w:rsidRDefault="00AF1992" w:rsidP="0087558E">
      <w:pPr>
        <w:spacing w:after="0" w:line="360" w:lineRule="auto"/>
        <w:ind w:right="144"/>
        <w:jc w:val="both"/>
        <w:rPr>
          <w:rFonts w:ascii="Times New Roman" w:eastAsia="SimSun" w:hAnsi="Times New Roman" w:cs="Times New Roman"/>
          <w:color w:val="4C4747"/>
          <w:sz w:val="24"/>
          <w:szCs w:val="24"/>
        </w:rPr>
      </w:pPr>
    </w:p>
    <w:p w14:paraId="541F2B44" w14:textId="73D442FA" w:rsidR="00F94B59" w:rsidRPr="00582715" w:rsidRDefault="00F94B59" w:rsidP="0087558E">
      <w:pPr>
        <w:spacing w:after="0" w:line="360" w:lineRule="auto"/>
        <w:ind w:right="144"/>
        <w:jc w:val="both"/>
        <w:rPr>
          <w:rFonts w:ascii="Times New Roman" w:eastAsia="SimSun" w:hAnsi="Times New Roman" w:cs="Times New Roman"/>
          <w:color w:val="4C4747"/>
          <w:sz w:val="24"/>
          <w:szCs w:val="24"/>
        </w:rPr>
      </w:pPr>
      <w:r w:rsidRPr="00582715">
        <w:rPr>
          <w:rFonts w:ascii="Times New Roman" w:eastAsia="SimSun" w:hAnsi="Times New Roman" w:cs="Times New Roman"/>
          <w:color w:val="4C4747"/>
          <w:sz w:val="24"/>
          <w:szCs w:val="24"/>
        </w:rPr>
        <w:t xml:space="preserve">Entre estas podemos citar, las solicitudes de desistimiento de liquidación y salida voluntaria del mercado cambiario; autorización de traspaso y venta de acciones; traspaso de activos y pasivos; procesos de fusión por absorción; procedimientos de autorización para operar como sistemas de pagos de servicios de tarjetas de crédito, como agente de cambio en el mercado cambiario nacional y como administrador de un sistema de pago o de liquidación de valores, respectivamente. También fueron elaboradas las relativas a las solicitudes de autorización para operar como empresa de </w:t>
      </w:r>
      <w:proofErr w:type="spellStart"/>
      <w:r w:rsidRPr="00582715">
        <w:rPr>
          <w:rFonts w:ascii="Times New Roman" w:eastAsia="SimSun" w:hAnsi="Times New Roman" w:cs="Times New Roman"/>
          <w:color w:val="4C4747"/>
          <w:sz w:val="24"/>
          <w:szCs w:val="24"/>
        </w:rPr>
        <w:t>adquirencia</w:t>
      </w:r>
      <w:proofErr w:type="spellEnd"/>
      <w:r w:rsidRPr="00582715">
        <w:rPr>
          <w:rFonts w:ascii="Times New Roman" w:eastAsia="SimSun" w:hAnsi="Times New Roman" w:cs="Times New Roman"/>
          <w:color w:val="4C4747"/>
          <w:sz w:val="24"/>
          <w:szCs w:val="24"/>
        </w:rPr>
        <w:t xml:space="preserve"> o adquirente y de registro como agregador de pago, entre otras</w:t>
      </w:r>
      <w:r w:rsidR="0087558E" w:rsidRPr="00582715">
        <w:rPr>
          <w:rFonts w:ascii="Times New Roman" w:eastAsia="SimSun" w:hAnsi="Times New Roman" w:cs="Times New Roman"/>
          <w:color w:val="4C4747"/>
          <w:sz w:val="24"/>
          <w:szCs w:val="24"/>
        </w:rPr>
        <w:t>.</w:t>
      </w:r>
    </w:p>
    <w:p w14:paraId="063EDC9D" w14:textId="77777777" w:rsidR="00F94B59" w:rsidRPr="00582715" w:rsidRDefault="00F94B59" w:rsidP="0087558E">
      <w:pPr>
        <w:spacing w:after="0" w:line="360" w:lineRule="auto"/>
        <w:ind w:right="144"/>
        <w:jc w:val="both"/>
        <w:rPr>
          <w:rFonts w:ascii="Times New Roman" w:eastAsia="SimSun" w:hAnsi="Times New Roman" w:cs="Times New Roman"/>
          <w:color w:val="4C4747"/>
          <w:sz w:val="24"/>
          <w:szCs w:val="24"/>
        </w:rPr>
      </w:pPr>
    </w:p>
    <w:p w14:paraId="0BB66630" w14:textId="77777777" w:rsidR="006D14D1" w:rsidRPr="0087558E" w:rsidRDefault="006D14D1" w:rsidP="0087558E">
      <w:pPr>
        <w:spacing w:line="360" w:lineRule="auto"/>
        <w:rPr>
          <w:color w:val="4C4747"/>
        </w:rPr>
      </w:pPr>
    </w:p>
    <w:p w14:paraId="760BBF06" w14:textId="77777777" w:rsidR="00BD284F" w:rsidRPr="0087558E" w:rsidRDefault="00BD284F" w:rsidP="0087558E">
      <w:pPr>
        <w:tabs>
          <w:tab w:val="left" w:pos="709"/>
        </w:tabs>
        <w:autoSpaceDE w:val="0"/>
        <w:autoSpaceDN w:val="0"/>
        <w:adjustRightInd w:val="0"/>
        <w:spacing w:after="0" w:line="360" w:lineRule="auto"/>
        <w:ind w:right="90"/>
        <w:jc w:val="both"/>
        <w:rPr>
          <w:rFonts w:ascii="Times New Roman" w:hAnsi="Times New Roman" w:cs="Times New Roman"/>
          <w:bCs/>
          <w:color w:val="4C4747"/>
          <w:sz w:val="24"/>
          <w:szCs w:val="24"/>
        </w:rPr>
      </w:pPr>
    </w:p>
    <w:p w14:paraId="56DEE40E" w14:textId="77777777" w:rsidR="00044896" w:rsidRPr="0087558E" w:rsidRDefault="00044896" w:rsidP="0087558E">
      <w:pPr>
        <w:spacing w:after="0" w:line="360" w:lineRule="auto"/>
        <w:ind w:right="144"/>
        <w:jc w:val="both"/>
        <w:rPr>
          <w:rFonts w:ascii="Times New Roman" w:hAnsi="Times New Roman" w:cs="Times New Roman"/>
          <w:color w:val="4C4747"/>
          <w:sz w:val="24"/>
          <w:szCs w:val="24"/>
        </w:rPr>
      </w:pPr>
      <w:bookmarkStart w:id="40" w:name="_Hlk77065467"/>
    </w:p>
    <w:bookmarkEnd w:id="40"/>
    <w:p w14:paraId="0E4E948D" w14:textId="77A59819" w:rsidR="005A3B36" w:rsidRDefault="005A3B36" w:rsidP="006D14D1">
      <w:pPr>
        <w:spacing w:after="0" w:line="360" w:lineRule="auto"/>
        <w:ind w:right="25"/>
        <w:jc w:val="both"/>
        <w:rPr>
          <w:rFonts w:ascii="Times New Roman" w:hAnsi="Times New Roman" w:cs="Times New Roman"/>
          <w:color w:val="4C4747"/>
          <w:sz w:val="24"/>
          <w:szCs w:val="24"/>
        </w:rPr>
      </w:pPr>
    </w:p>
    <w:p w14:paraId="26C8DDBC" w14:textId="02EF4972" w:rsidR="005A3B36" w:rsidRDefault="005A3B36" w:rsidP="006D14D1">
      <w:pPr>
        <w:spacing w:after="0" w:line="360" w:lineRule="auto"/>
        <w:ind w:right="25"/>
        <w:jc w:val="both"/>
        <w:rPr>
          <w:rFonts w:ascii="Times New Roman" w:hAnsi="Times New Roman" w:cs="Times New Roman"/>
          <w:color w:val="4C4747"/>
          <w:sz w:val="24"/>
          <w:szCs w:val="24"/>
        </w:rPr>
      </w:pPr>
    </w:p>
    <w:p w14:paraId="30E14D37" w14:textId="4E5C16AA" w:rsidR="005A3B36" w:rsidRDefault="005A3B36" w:rsidP="006D14D1">
      <w:pPr>
        <w:spacing w:after="0" w:line="360" w:lineRule="auto"/>
        <w:ind w:right="25"/>
        <w:jc w:val="both"/>
        <w:rPr>
          <w:rFonts w:ascii="Times New Roman" w:hAnsi="Times New Roman" w:cs="Times New Roman"/>
          <w:color w:val="4C4747"/>
          <w:sz w:val="24"/>
          <w:szCs w:val="24"/>
        </w:rPr>
      </w:pPr>
    </w:p>
    <w:p w14:paraId="34577C0E" w14:textId="72E5DBA1" w:rsidR="005A3B36" w:rsidRDefault="005A3B36" w:rsidP="006D14D1">
      <w:pPr>
        <w:spacing w:after="0" w:line="360" w:lineRule="auto"/>
        <w:ind w:right="25"/>
        <w:jc w:val="both"/>
        <w:rPr>
          <w:rFonts w:ascii="Times New Roman" w:hAnsi="Times New Roman" w:cs="Times New Roman"/>
          <w:color w:val="4C4747"/>
          <w:sz w:val="24"/>
          <w:szCs w:val="24"/>
        </w:rPr>
      </w:pPr>
    </w:p>
    <w:p w14:paraId="7727A772" w14:textId="4997C584" w:rsidR="00AA0A4A" w:rsidRDefault="00AA0A4A" w:rsidP="006D14D1">
      <w:pPr>
        <w:spacing w:after="0" w:line="360" w:lineRule="auto"/>
        <w:ind w:right="25"/>
        <w:jc w:val="both"/>
        <w:rPr>
          <w:rFonts w:ascii="Times New Roman" w:hAnsi="Times New Roman" w:cs="Times New Roman"/>
          <w:color w:val="4C4747"/>
          <w:sz w:val="24"/>
          <w:szCs w:val="24"/>
        </w:rPr>
      </w:pPr>
    </w:p>
    <w:p w14:paraId="5E8124B4" w14:textId="1B69FFBC" w:rsidR="00AA0A4A" w:rsidRDefault="00AA0A4A" w:rsidP="006D14D1">
      <w:pPr>
        <w:spacing w:after="0" w:line="360" w:lineRule="auto"/>
        <w:ind w:right="25"/>
        <w:jc w:val="both"/>
        <w:rPr>
          <w:rFonts w:ascii="Times New Roman" w:hAnsi="Times New Roman" w:cs="Times New Roman"/>
          <w:color w:val="4C4747"/>
          <w:sz w:val="24"/>
          <w:szCs w:val="24"/>
        </w:rPr>
      </w:pPr>
    </w:p>
    <w:p w14:paraId="4C8489D1" w14:textId="13A7EB73" w:rsidR="00AA0A4A" w:rsidRDefault="00AA0A4A" w:rsidP="006D14D1">
      <w:pPr>
        <w:spacing w:after="0" w:line="360" w:lineRule="auto"/>
        <w:ind w:right="25"/>
        <w:jc w:val="both"/>
        <w:rPr>
          <w:rFonts w:ascii="Times New Roman" w:hAnsi="Times New Roman" w:cs="Times New Roman"/>
          <w:color w:val="4C4747"/>
          <w:sz w:val="24"/>
          <w:szCs w:val="24"/>
        </w:rPr>
      </w:pPr>
    </w:p>
    <w:p w14:paraId="2C004A0F" w14:textId="2225EC88" w:rsidR="00AA0A4A" w:rsidRDefault="00AA0A4A" w:rsidP="006D14D1">
      <w:pPr>
        <w:spacing w:after="0" w:line="360" w:lineRule="auto"/>
        <w:ind w:right="25"/>
        <w:jc w:val="both"/>
        <w:rPr>
          <w:rFonts w:ascii="Times New Roman" w:hAnsi="Times New Roman" w:cs="Times New Roman"/>
          <w:color w:val="4C4747"/>
          <w:sz w:val="24"/>
          <w:szCs w:val="24"/>
        </w:rPr>
      </w:pPr>
    </w:p>
    <w:p w14:paraId="23EFD109" w14:textId="4232FF84" w:rsidR="00AA0A4A" w:rsidRDefault="00AA0A4A" w:rsidP="006D14D1">
      <w:pPr>
        <w:spacing w:after="0" w:line="360" w:lineRule="auto"/>
        <w:ind w:right="25"/>
        <w:jc w:val="both"/>
        <w:rPr>
          <w:rFonts w:ascii="Times New Roman" w:hAnsi="Times New Roman" w:cs="Times New Roman"/>
          <w:color w:val="4C4747"/>
          <w:sz w:val="24"/>
          <w:szCs w:val="24"/>
        </w:rPr>
      </w:pPr>
    </w:p>
    <w:p w14:paraId="39813C1A" w14:textId="2DEB806C" w:rsidR="00AA0A4A" w:rsidRDefault="00AA0A4A" w:rsidP="006D14D1">
      <w:pPr>
        <w:spacing w:after="0" w:line="360" w:lineRule="auto"/>
        <w:ind w:right="25"/>
        <w:jc w:val="both"/>
        <w:rPr>
          <w:rFonts w:ascii="Times New Roman" w:hAnsi="Times New Roman" w:cs="Times New Roman"/>
          <w:color w:val="4C4747"/>
          <w:sz w:val="24"/>
          <w:szCs w:val="24"/>
        </w:rPr>
      </w:pPr>
    </w:p>
    <w:p w14:paraId="3EAA73F2" w14:textId="2C2ED40C" w:rsidR="00AA0A4A" w:rsidRDefault="00AA0A4A" w:rsidP="006D14D1">
      <w:pPr>
        <w:spacing w:after="0" w:line="360" w:lineRule="auto"/>
        <w:ind w:right="25"/>
        <w:jc w:val="both"/>
        <w:rPr>
          <w:rFonts w:ascii="Times New Roman" w:hAnsi="Times New Roman" w:cs="Times New Roman"/>
          <w:color w:val="4C4747"/>
          <w:sz w:val="24"/>
          <w:szCs w:val="24"/>
        </w:rPr>
      </w:pPr>
    </w:p>
    <w:p w14:paraId="1B898EA1" w14:textId="073167CB" w:rsidR="00AA0A4A" w:rsidRDefault="00AA0A4A" w:rsidP="006D14D1">
      <w:pPr>
        <w:spacing w:after="0" w:line="360" w:lineRule="auto"/>
        <w:ind w:right="25"/>
        <w:jc w:val="both"/>
        <w:rPr>
          <w:rFonts w:ascii="Times New Roman" w:hAnsi="Times New Roman" w:cs="Times New Roman"/>
          <w:color w:val="4C4747"/>
          <w:sz w:val="24"/>
          <w:szCs w:val="24"/>
        </w:rPr>
      </w:pPr>
    </w:p>
    <w:p w14:paraId="0D679E28" w14:textId="5B2B1BFA" w:rsidR="00AA0A4A" w:rsidRDefault="00AA0A4A" w:rsidP="006D14D1">
      <w:pPr>
        <w:spacing w:after="0" w:line="360" w:lineRule="auto"/>
        <w:ind w:right="25"/>
        <w:jc w:val="both"/>
        <w:rPr>
          <w:rFonts w:ascii="Times New Roman" w:hAnsi="Times New Roman" w:cs="Times New Roman"/>
          <w:color w:val="4C4747"/>
          <w:sz w:val="24"/>
          <w:szCs w:val="24"/>
        </w:rPr>
      </w:pPr>
    </w:p>
    <w:p w14:paraId="57F51C3B" w14:textId="7148DB66" w:rsidR="005A3B36" w:rsidRDefault="005A3B36" w:rsidP="006D14D1">
      <w:pPr>
        <w:spacing w:after="0" w:line="360" w:lineRule="auto"/>
        <w:ind w:right="25"/>
        <w:jc w:val="both"/>
        <w:rPr>
          <w:rFonts w:ascii="Times New Roman" w:hAnsi="Times New Roman" w:cs="Times New Roman"/>
          <w:color w:val="4C4747"/>
          <w:sz w:val="24"/>
          <w:szCs w:val="24"/>
        </w:rPr>
      </w:pPr>
    </w:p>
    <w:p w14:paraId="5EB40E81" w14:textId="07BF5089" w:rsidR="003B6C58" w:rsidRPr="0087558E" w:rsidRDefault="00ED3488" w:rsidP="00AA0A4A">
      <w:pPr>
        <w:pStyle w:val="Heading2"/>
        <w:rPr>
          <w:rFonts w:ascii="Times New Roman" w:hAnsi="Times New Roman" w:cs="Times New Roman"/>
          <w:b/>
          <w:color w:val="4C4747"/>
          <w:sz w:val="24"/>
          <w:szCs w:val="24"/>
        </w:rPr>
      </w:pPr>
      <w:bookmarkStart w:id="41" w:name="_Toc155259673"/>
      <w:r w:rsidRPr="0087558E">
        <w:rPr>
          <w:rFonts w:ascii="Times New Roman" w:hAnsi="Times New Roman" w:cs="Times New Roman"/>
          <w:b/>
          <w:color w:val="4C4747"/>
          <w:sz w:val="24"/>
          <w:szCs w:val="24"/>
        </w:rPr>
        <w:lastRenderedPageBreak/>
        <w:t>4.4</w:t>
      </w:r>
      <w:r w:rsidR="0092786C" w:rsidRPr="0087558E">
        <w:rPr>
          <w:rFonts w:ascii="Times New Roman" w:hAnsi="Times New Roman" w:cs="Times New Roman"/>
          <w:b/>
          <w:color w:val="4C4747"/>
          <w:sz w:val="24"/>
          <w:szCs w:val="24"/>
        </w:rPr>
        <w:t xml:space="preserve"> </w:t>
      </w:r>
      <w:r w:rsidRPr="0087558E">
        <w:rPr>
          <w:rFonts w:ascii="Times New Roman" w:hAnsi="Times New Roman" w:cs="Times New Roman"/>
          <w:b/>
          <w:color w:val="4C4747"/>
          <w:sz w:val="24"/>
          <w:szCs w:val="24"/>
        </w:rPr>
        <w:t>Desempeño de la Tecnología</w:t>
      </w:r>
      <w:bookmarkEnd w:id="41"/>
    </w:p>
    <w:p w14:paraId="51814C4B" w14:textId="053BDB37" w:rsidR="00D54541" w:rsidRDefault="00D54541" w:rsidP="00D54541"/>
    <w:p w14:paraId="500ED03B" w14:textId="77777777" w:rsidR="00D54541" w:rsidRPr="00582715" w:rsidRDefault="00D54541" w:rsidP="0087558E">
      <w:pPr>
        <w:spacing w:line="360" w:lineRule="auto"/>
        <w:rPr>
          <w:rFonts w:ascii="Times New Roman" w:hAnsi="Times New Roman" w:cs="Times New Roman"/>
          <w:b/>
          <w:color w:val="4C4747"/>
          <w:sz w:val="24"/>
          <w:szCs w:val="24"/>
        </w:rPr>
      </w:pPr>
      <w:r w:rsidRPr="00582715">
        <w:rPr>
          <w:rFonts w:ascii="Times New Roman" w:hAnsi="Times New Roman" w:cs="Times New Roman"/>
          <w:b/>
          <w:color w:val="4C4747"/>
          <w:sz w:val="24"/>
          <w:szCs w:val="24"/>
        </w:rPr>
        <w:t>Innovaciones e implementaciones</w:t>
      </w:r>
    </w:p>
    <w:p w14:paraId="63573C7A" w14:textId="77777777" w:rsidR="00D54541" w:rsidRPr="0087558E" w:rsidRDefault="00D54541" w:rsidP="0087558E">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Como parte de las funciones concernientes al análisis y la documentación de los procesos relacionados con las operaciones del banco se elaboraron y actualizaron 38 documentos, según se indica: 12 procedimientos, 14 formularios, 2 normativas, 1 guía, 4 Manuales Orgánicos Funcionales, 1 instructivo, 1 otro documento y 2 Planes de Gestión de Continuidad y el Plan de recuperación ante desastres.</w:t>
      </w:r>
    </w:p>
    <w:p w14:paraId="24B7F461" w14:textId="77777777" w:rsidR="00D54541" w:rsidRPr="0087558E" w:rsidRDefault="00D54541" w:rsidP="0087558E">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Del mismo modo, se implementaron 119 solicitudes de mejoras y correcciones a 47 sistemas y módulos en producción. A continuación, destacamos algunos de los logros más significativos: </w:t>
      </w:r>
    </w:p>
    <w:p w14:paraId="337E24FE" w14:textId="14ED4441" w:rsidR="00D54541" w:rsidRPr="0087558E" w:rsidRDefault="00D54541" w:rsidP="0087558E">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Actualización de la Plataforma de Gestión de Servicios TI: Se llevó a cabo una actualización de la plataforma institucional que se utiliza para la gestión de los servicios de Tecnología y su interacción con el usuario. Esta actualización trajo consigo mejoras organizacionales en las diferentes prácticas del marco metodológico ITIL. </w:t>
      </w:r>
    </w:p>
    <w:p w14:paraId="095DEB3C" w14:textId="77777777" w:rsidR="00D54541" w:rsidRPr="0087558E" w:rsidRDefault="00D54541" w:rsidP="0087558E">
      <w:p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Entre las mejoras más destacadas se encuentran:</w:t>
      </w:r>
    </w:p>
    <w:p w14:paraId="731610CB" w14:textId="276D2B6C" w:rsidR="00D54541" w:rsidRPr="0087558E" w:rsidRDefault="00D54541"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La alineación de TI con la estrategia del negocio.</w:t>
      </w:r>
    </w:p>
    <w:p w14:paraId="308F3E33" w14:textId="5CCC6F1F" w:rsidR="00D54541" w:rsidRPr="0087558E" w:rsidRDefault="00D54541"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La provisión de servicios de calidad por parte de TI.</w:t>
      </w:r>
    </w:p>
    <w:p w14:paraId="0251E726" w14:textId="15B80B2E" w:rsidR="00D54541" w:rsidRPr="0087558E" w:rsidRDefault="00D54541"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La comprensión por parte de TI de la importancia y criticidad de sus servicios para el negocio.</w:t>
      </w:r>
    </w:p>
    <w:p w14:paraId="1B1D4E43" w14:textId="3AE33A73" w:rsidR="00D54541" w:rsidRPr="0087558E" w:rsidRDefault="00D54541"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La transformación de TI en un “asesor” para el negocio, generando nuevas soluciones y servicios.</w:t>
      </w:r>
    </w:p>
    <w:p w14:paraId="7068A95C" w14:textId="68EC0E3E" w:rsidR="00D54541" w:rsidRPr="0087558E" w:rsidRDefault="00D54541"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Sistema de Gestión de Efectivo (SGE): Durante la fase de estabilización del nuevo sistema, se llevaron a cabo 14 desarrollos específicos para introducir mejoras y nuevas funcionalidades. Estos avances han tenido un impacto </w:t>
      </w:r>
      <w:r w:rsidRPr="0087558E">
        <w:rPr>
          <w:rFonts w:ascii="Times New Roman" w:hAnsi="Times New Roman" w:cs="Times New Roman"/>
          <w:color w:val="4C4747"/>
          <w:sz w:val="24"/>
          <w:szCs w:val="24"/>
        </w:rPr>
        <w:lastRenderedPageBreak/>
        <w:t xml:space="preserve">considerable en la optimización de los procesos, mejorando la experiencia del usuario y fortaleciendo los controles operativos. </w:t>
      </w:r>
    </w:p>
    <w:p w14:paraId="7A360FD3" w14:textId="77777777" w:rsidR="00D54541" w:rsidRPr="0087558E" w:rsidRDefault="00D54541" w:rsidP="0087558E">
      <w:pPr>
        <w:pStyle w:val="ListParagraph"/>
        <w:spacing w:line="360" w:lineRule="auto"/>
        <w:jc w:val="both"/>
        <w:rPr>
          <w:rFonts w:ascii="Times New Roman" w:hAnsi="Times New Roman" w:cs="Times New Roman"/>
          <w:color w:val="4C4747"/>
          <w:sz w:val="24"/>
          <w:szCs w:val="24"/>
        </w:rPr>
      </w:pPr>
    </w:p>
    <w:p w14:paraId="65406CFD" w14:textId="11A9B297" w:rsidR="00D8254D" w:rsidRPr="0087558E" w:rsidRDefault="00D54541"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Oracle PeopleSoft: Se completó con éxito el proyecto de actualización de Oracle </w:t>
      </w:r>
      <w:proofErr w:type="spellStart"/>
      <w:r w:rsidRPr="0087558E">
        <w:rPr>
          <w:rFonts w:ascii="Times New Roman" w:hAnsi="Times New Roman" w:cs="Times New Roman"/>
          <w:color w:val="4C4747"/>
          <w:sz w:val="24"/>
          <w:szCs w:val="24"/>
        </w:rPr>
        <w:t>PeopleTools</w:t>
      </w:r>
      <w:proofErr w:type="spellEnd"/>
      <w:r w:rsidRPr="0087558E">
        <w:rPr>
          <w:rFonts w:ascii="Times New Roman" w:hAnsi="Times New Roman" w:cs="Times New Roman"/>
          <w:color w:val="4C4747"/>
          <w:sz w:val="24"/>
          <w:szCs w:val="24"/>
        </w:rPr>
        <w:t>. Esta infraestructura es fundamental para el funcionamiento del Sistema de Recursos Humanos, PeopleSoft. Para llevar a cabo este proyecto, se contó con la colaboración de consultores externos. El proyecto incluyó la adaptación de todas las interfaces existentes, la integración con el directorio activo y la instalación de las últimas versiones de bases de datos y sistemas operativos, entre otras tareas importantes.</w:t>
      </w:r>
    </w:p>
    <w:p w14:paraId="36350048" w14:textId="77777777" w:rsidR="00D8254D" w:rsidRPr="0087558E" w:rsidRDefault="00D8254D" w:rsidP="0087558E">
      <w:pPr>
        <w:pStyle w:val="ListParagraph"/>
        <w:spacing w:line="360" w:lineRule="auto"/>
        <w:jc w:val="both"/>
        <w:rPr>
          <w:rFonts w:ascii="Times New Roman" w:hAnsi="Times New Roman" w:cs="Times New Roman"/>
          <w:color w:val="4C4747"/>
          <w:sz w:val="24"/>
          <w:szCs w:val="24"/>
        </w:rPr>
      </w:pPr>
    </w:p>
    <w:p w14:paraId="793E7B1D" w14:textId="64113E65" w:rsidR="00D8254D" w:rsidRPr="0087558E" w:rsidRDefault="00D8254D"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Módulo de aplicaciones personalizadas del Oracle EBS: Como parte de la estrategia para fortalecer los controles preventivos a nivel de aplicación y optimizar las operaciones que el sistema respalda, se implementaron 12 mejoras y correcciones. Este esfuerzo incluyó mejoras en el proceso de registro y control de costos de fabricación de efectivo, la generación de nuevos informes y la optimización de varios informes ya existentes. Estas mejoras han resultado en una experiencia de uso del Sistema Oracle EBS más eficiente y efectiva.</w:t>
      </w:r>
    </w:p>
    <w:p w14:paraId="1C2A0669" w14:textId="77777777" w:rsidR="00D8254D" w:rsidRPr="0087558E" w:rsidRDefault="00D8254D" w:rsidP="0087558E">
      <w:pPr>
        <w:pStyle w:val="ListParagraph"/>
        <w:spacing w:line="360" w:lineRule="auto"/>
        <w:jc w:val="both"/>
        <w:rPr>
          <w:rFonts w:ascii="Times New Roman" w:hAnsi="Times New Roman" w:cs="Times New Roman"/>
          <w:color w:val="4C4747"/>
          <w:sz w:val="24"/>
          <w:szCs w:val="24"/>
        </w:rPr>
      </w:pPr>
    </w:p>
    <w:p w14:paraId="1344B3CD" w14:textId="030DE4D1" w:rsidR="00D8254D" w:rsidRPr="0087558E" w:rsidRDefault="00D8254D"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Sistema Repositorio de Informaciones Financieras (SRIF): En respuesta a las necesidades de las Entidades de Intermediación Financiera (EIF), se han realizado múltiples mejoras, particularmente enfocadas en la versión de uso externo del sistema (SRIF Externo). Adicionalmente, se han introducido ajustes para manejar de manera eficiente las solicitudes de las entidades en relación con las nuevas Facilidades de Liquidez Rápida, de acuerdo con lo establecido por la resolución de la Junta Monetaria.</w:t>
      </w:r>
    </w:p>
    <w:p w14:paraId="439BB28B" w14:textId="77777777" w:rsidR="00D8254D" w:rsidRPr="0087558E" w:rsidRDefault="00D8254D" w:rsidP="0087558E">
      <w:pPr>
        <w:pStyle w:val="ListParagraph"/>
        <w:spacing w:line="360" w:lineRule="auto"/>
        <w:rPr>
          <w:rFonts w:ascii="Times New Roman" w:hAnsi="Times New Roman" w:cs="Times New Roman"/>
          <w:color w:val="4C4747"/>
          <w:sz w:val="24"/>
          <w:szCs w:val="24"/>
        </w:rPr>
      </w:pPr>
    </w:p>
    <w:p w14:paraId="470FC8EB" w14:textId="77777777" w:rsidR="00D8254D" w:rsidRPr="0087558E" w:rsidRDefault="00D8254D" w:rsidP="0087558E">
      <w:pPr>
        <w:pStyle w:val="ListParagraph"/>
        <w:spacing w:line="360" w:lineRule="auto"/>
        <w:jc w:val="both"/>
        <w:rPr>
          <w:rFonts w:ascii="Times New Roman" w:hAnsi="Times New Roman" w:cs="Times New Roman"/>
          <w:color w:val="4C4747"/>
          <w:sz w:val="24"/>
          <w:szCs w:val="24"/>
        </w:rPr>
      </w:pPr>
    </w:p>
    <w:p w14:paraId="19560A80" w14:textId="77777777" w:rsidR="007120EC" w:rsidRPr="0087558E" w:rsidRDefault="00D8254D"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lastRenderedPageBreak/>
        <w:t xml:space="preserve">Plataforma de Gestión de Reservas Internacionales, CALYPSO: En colaboración con los proveedores, se ha estado trabajando en la configuración e implementación de los ajustes acordados durante la fase de Blue </w:t>
      </w:r>
      <w:proofErr w:type="spellStart"/>
      <w:r w:rsidRPr="0087558E">
        <w:rPr>
          <w:rFonts w:ascii="Times New Roman" w:hAnsi="Times New Roman" w:cs="Times New Roman"/>
          <w:color w:val="4C4747"/>
          <w:sz w:val="24"/>
          <w:szCs w:val="24"/>
        </w:rPr>
        <w:t>Print</w:t>
      </w:r>
      <w:proofErr w:type="spellEnd"/>
      <w:r w:rsidRPr="0087558E">
        <w:rPr>
          <w:rFonts w:ascii="Times New Roman" w:hAnsi="Times New Roman" w:cs="Times New Roman"/>
          <w:color w:val="4C4747"/>
          <w:sz w:val="24"/>
          <w:szCs w:val="24"/>
        </w:rPr>
        <w:t>. Como parte de este proceso, se ha preparado el entorno de desarrollo en la nube de la plataforma, donde se ha configurado el servicio de conectividad con Bloomberg.</w:t>
      </w:r>
    </w:p>
    <w:p w14:paraId="0C82995B" w14:textId="77777777" w:rsidR="007120EC" w:rsidRPr="0087558E" w:rsidRDefault="007120EC" w:rsidP="0087558E">
      <w:pPr>
        <w:pStyle w:val="ListParagraph"/>
        <w:spacing w:line="360" w:lineRule="auto"/>
        <w:jc w:val="both"/>
        <w:rPr>
          <w:rFonts w:ascii="Times New Roman" w:hAnsi="Times New Roman" w:cs="Times New Roman"/>
          <w:color w:val="4C4747"/>
          <w:sz w:val="24"/>
          <w:szCs w:val="24"/>
        </w:rPr>
      </w:pPr>
    </w:p>
    <w:p w14:paraId="551E2159" w14:textId="01E83554" w:rsidR="00D8254D" w:rsidRPr="0087558E" w:rsidRDefault="00D8254D" w:rsidP="0087558E">
      <w:pPr>
        <w:pStyle w:val="ListParagraph"/>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Asimismo, se ha validado la comunicación entre el servicio de dicha plataforma y los servicios internos del Banco. Este trabajo incluye la implementación de la comunicación SFTP para garantizar la transferencia segura de archivos. Del mismo modo, se han realizado pruebas de mensajería SWIFT, las cuales se originan y se reciben en la misma plataforma, pasando por una serie de validaciones internas antes de su transmisión a través de la nube SWIFT.</w:t>
      </w:r>
    </w:p>
    <w:p w14:paraId="5A0D5B29" w14:textId="77777777" w:rsidR="00D8254D" w:rsidRPr="0087558E" w:rsidRDefault="00D8254D" w:rsidP="0087558E">
      <w:pPr>
        <w:pStyle w:val="ListParagraph"/>
        <w:spacing w:line="360" w:lineRule="auto"/>
        <w:jc w:val="both"/>
        <w:rPr>
          <w:rFonts w:ascii="Times New Roman" w:hAnsi="Times New Roman" w:cs="Times New Roman"/>
          <w:color w:val="4C4747"/>
          <w:sz w:val="24"/>
          <w:szCs w:val="24"/>
        </w:rPr>
      </w:pPr>
    </w:p>
    <w:p w14:paraId="0C1CFBBC" w14:textId="163BB48E" w:rsidR="00D8254D" w:rsidRPr="0087558E" w:rsidRDefault="00D8254D"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Nueva Facilidad de Liquidez Rápida (FLR 2.0): En respuesta a la decisión de la Junta Monetaria de incrementar la disponibilidad de recursos del encaje legal mediante las Facilidades de Liquidez Rápida, se llevaron a cabo múltiples mejoras en los sistemas internos, para la correcta administración de estos fondos. Estos ajustes incluyeron mejoras en el Sistema de Gestión de Créditos (SGC), el Sistema Repositorio de Informaciones Financieras (SRIF), sumando un total de 11 mejoras.</w:t>
      </w:r>
    </w:p>
    <w:p w14:paraId="0B8A6AE7" w14:textId="77777777" w:rsidR="00D8254D" w:rsidRPr="0087558E" w:rsidRDefault="00D8254D" w:rsidP="0087558E">
      <w:pPr>
        <w:pStyle w:val="ListParagraph"/>
        <w:spacing w:line="360" w:lineRule="auto"/>
        <w:jc w:val="both"/>
        <w:rPr>
          <w:rFonts w:ascii="Times New Roman" w:hAnsi="Times New Roman" w:cs="Times New Roman"/>
          <w:color w:val="4C4747"/>
          <w:sz w:val="24"/>
          <w:szCs w:val="24"/>
        </w:rPr>
      </w:pPr>
    </w:p>
    <w:p w14:paraId="2FC0EECF" w14:textId="71D84D42" w:rsidR="00D54541" w:rsidRPr="0087558E" w:rsidRDefault="00D8254D"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 xml:space="preserve">Portal de la Administración Monetaria y Financiera (PAMF e </w:t>
      </w:r>
      <w:proofErr w:type="spellStart"/>
      <w:r w:rsidRPr="0087558E">
        <w:rPr>
          <w:rFonts w:ascii="Times New Roman" w:hAnsi="Times New Roman" w:cs="Times New Roman"/>
          <w:color w:val="4C4747"/>
          <w:sz w:val="24"/>
          <w:szCs w:val="24"/>
        </w:rPr>
        <w:t>iPAMF</w:t>
      </w:r>
      <w:proofErr w:type="spellEnd"/>
      <w:r w:rsidRPr="0087558E">
        <w:rPr>
          <w:rFonts w:ascii="Times New Roman" w:hAnsi="Times New Roman" w:cs="Times New Roman"/>
          <w:color w:val="4C4747"/>
          <w:sz w:val="24"/>
          <w:szCs w:val="24"/>
        </w:rPr>
        <w:t xml:space="preserve">): En colaboración con la Superintendencia de Bancos y asesores externos, se han efectuado mejoras significativas en los módulos de soporte y sanciones del Portal de la Administración Monetaria y Financiera (PAMF e </w:t>
      </w:r>
      <w:proofErr w:type="spellStart"/>
      <w:r w:rsidRPr="0087558E">
        <w:rPr>
          <w:rFonts w:ascii="Times New Roman" w:hAnsi="Times New Roman" w:cs="Times New Roman"/>
          <w:color w:val="4C4747"/>
          <w:sz w:val="24"/>
          <w:szCs w:val="24"/>
        </w:rPr>
        <w:t>iPAMF</w:t>
      </w:r>
      <w:proofErr w:type="spellEnd"/>
      <w:r w:rsidRPr="0087558E">
        <w:rPr>
          <w:rFonts w:ascii="Times New Roman" w:hAnsi="Times New Roman" w:cs="Times New Roman"/>
          <w:color w:val="4C4747"/>
          <w:sz w:val="24"/>
          <w:szCs w:val="24"/>
        </w:rPr>
        <w:t>).</w:t>
      </w:r>
    </w:p>
    <w:p w14:paraId="7C54DD4B" w14:textId="5EBA8B04" w:rsidR="00D54541" w:rsidRPr="0087558E" w:rsidRDefault="00D54541" w:rsidP="0087558E">
      <w:pPr>
        <w:spacing w:line="360" w:lineRule="auto"/>
        <w:rPr>
          <w:color w:val="4C4747"/>
        </w:rPr>
      </w:pPr>
    </w:p>
    <w:p w14:paraId="35741390" w14:textId="411F3F7F" w:rsidR="00D54541" w:rsidRPr="0087558E" w:rsidRDefault="00D54541" w:rsidP="0087558E">
      <w:pPr>
        <w:spacing w:line="360" w:lineRule="auto"/>
        <w:rPr>
          <w:color w:val="4C4747"/>
        </w:rPr>
      </w:pPr>
    </w:p>
    <w:p w14:paraId="3CB1E625" w14:textId="77777777" w:rsidR="00D8254D" w:rsidRPr="0087558E" w:rsidRDefault="00D8254D"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Plataforma de Intercambio Electrónico de Divisas: Tras la implementación en producción de la versión 8.50.2 de SIOPEL, se han llevado a cabo actualizaciones significativas para optimizar la experiencia del usuario en la plataforma. Estas actualizaciones incluyen la integración de nuevos paquetes de funcionalidades, resaltando especialmente el módulo Supervisor del Mercado. Este módulo permite realizar un seguimiento más eficiente y detallado de las operaciones negociadas, tanto en tiempo real como históricamente, mejorando así la capacidad de respuesta del sistema</w:t>
      </w:r>
    </w:p>
    <w:p w14:paraId="0FD6F5FB" w14:textId="77777777" w:rsidR="00D8254D" w:rsidRPr="0087558E" w:rsidRDefault="00D8254D" w:rsidP="0087558E">
      <w:pPr>
        <w:pStyle w:val="ListParagraph"/>
        <w:spacing w:line="360" w:lineRule="auto"/>
        <w:jc w:val="both"/>
        <w:rPr>
          <w:rFonts w:ascii="Times New Roman" w:hAnsi="Times New Roman" w:cs="Times New Roman"/>
          <w:color w:val="4C4747"/>
          <w:sz w:val="24"/>
          <w:szCs w:val="24"/>
        </w:rPr>
      </w:pPr>
    </w:p>
    <w:p w14:paraId="44A75E2C" w14:textId="77777777" w:rsidR="00D8254D" w:rsidRPr="0087558E" w:rsidRDefault="00D8254D"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BCRD-API: En el marco de las mejoras continuas, se incluyeron nuevos métodos para la obtención de informaciones estadísticas. Del mismo modo, se incorporaron los “</w:t>
      </w:r>
      <w:proofErr w:type="spellStart"/>
      <w:r w:rsidRPr="0087558E">
        <w:rPr>
          <w:rFonts w:ascii="Times New Roman" w:hAnsi="Times New Roman" w:cs="Times New Roman"/>
          <w:color w:val="4C4747"/>
          <w:sz w:val="24"/>
          <w:szCs w:val="24"/>
        </w:rPr>
        <w:t>endpoints</w:t>
      </w:r>
      <w:proofErr w:type="spellEnd"/>
      <w:r w:rsidRPr="0087558E">
        <w:rPr>
          <w:rFonts w:ascii="Times New Roman" w:hAnsi="Times New Roman" w:cs="Times New Roman"/>
          <w:color w:val="4C4747"/>
          <w:sz w:val="24"/>
          <w:szCs w:val="24"/>
        </w:rPr>
        <w:t>” relativos al IPC, permitiendo así la obtención de los registros según rango de fechas. Estas incorporaciones representan un avance significativo en la personalización del acceso a los datos.</w:t>
      </w:r>
    </w:p>
    <w:p w14:paraId="63D49C78" w14:textId="77777777" w:rsidR="00D8254D" w:rsidRPr="0087558E" w:rsidRDefault="00D8254D" w:rsidP="0087558E">
      <w:pPr>
        <w:pStyle w:val="ListParagraph"/>
        <w:spacing w:line="360" w:lineRule="auto"/>
        <w:jc w:val="both"/>
        <w:rPr>
          <w:rFonts w:ascii="Times New Roman" w:hAnsi="Times New Roman" w:cs="Times New Roman"/>
          <w:color w:val="4C4747"/>
          <w:sz w:val="24"/>
          <w:szCs w:val="24"/>
        </w:rPr>
      </w:pPr>
    </w:p>
    <w:p w14:paraId="20D9D591" w14:textId="31912168" w:rsidR="00D8254D" w:rsidRDefault="00D8254D" w:rsidP="005D08D4">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Aplicación Móvil Institucional: Se incluyeron mejoras de seguridad y en la experiencia de usuario. Asimismo, se implementó una nueva y mejorada consulta del histórico del tipo de cambio. Adicionalmente, se optimizó la navegación general de la aplicación y la distribución del contenido de algunas secciones. Estos cambios reflejan nuestro compromiso con la mejora continua y la satisfacción del usuario.</w:t>
      </w:r>
    </w:p>
    <w:p w14:paraId="5B236E5D" w14:textId="77777777" w:rsidR="005D08D4" w:rsidRPr="005D08D4" w:rsidRDefault="005D08D4" w:rsidP="005D08D4">
      <w:pPr>
        <w:pStyle w:val="ListParagraph"/>
        <w:rPr>
          <w:rFonts w:ascii="Times New Roman" w:hAnsi="Times New Roman" w:cs="Times New Roman"/>
          <w:color w:val="4C4747"/>
          <w:sz w:val="24"/>
          <w:szCs w:val="24"/>
        </w:rPr>
      </w:pPr>
    </w:p>
    <w:p w14:paraId="27BB6521" w14:textId="77777777" w:rsidR="005D08D4" w:rsidRPr="005D08D4" w:rsidRDefault="005D08D4" w:rsidP="005D08D4">
      <w:pPr>
        <w:pStyle w:val="ListParagraph"/>
        <w:spacing w:line="360" w:lineRule="auto"/>
        <w:jc w:val="both"/>
        <w:rPr>
          <w:rFonts w:ascii="Times New Roman" w:hAnsi="Times New Roman" w:cs="Times New Roman"/>
          <w:color w:val="4C4747"/>
          <w:sz w:val="24"/>
          <w:szCs w:val="24"/>
        </w:rPr>
      </w:pPr>
    </w:p>
    <w:p w14:paraId="7C0B2040" w14:textId="77777777" w:rsidR="00E50E90" w:rsidRDefault="00D8254D" w:rsidP="0087558E">
      <w:pPr>
        <w:pStyle w:val="ListParagraph"/>
        <w:numPr>
          <w:ilvl w:val="0"/>
          <w:numId w:val="40"/>
        </w:numPr>
        <w:spacing w:line="360" w:lineRule="auto"/>
        <w:jc w:val="both"/>
        <w:rPr>
          <w:rFonts w:ascii="Times New Roman" w:hAnsi="Times New Roman" w:cs="Times New Roman"/>
          <w:color w:val="4C4747"/>
          <w:sz w:val="24"/>
          <w:szCs w:val="24"/>
        </w:rPr>
      </w:pPr>
      <w:r w:rsidRPr="0087558E">
        <w:rPr>
          <w:rFonts w:ascii="Times New Roman" w:hAnsi="Times New Roman" w:cs="Times New Roman"/>
          <w:color w:val="4C4747"/>
          <w:sz w:val="24"/>
          <w:szCs w:val="24"/>
        </w:rPr>
        <w:t>Portal Web Institucional: Se rediseñaron secciones y elementos de la plantilla del portal, específicamente la de billetes y monedas. Se implementó un nuevo reporte estadístico en relación con la serie histórica del tipo de cambio, incluyendo una consulta gráfica novedosa y dinámica.</w:t>
      </w:r>
    </w:p>
    <w:p w14:paraId="70D12FB5" w14:textId="75F2BCFE" w:rsidR="00D8254D" w:rsidRPr="00E50E90" w:rsidRDefault="00D8254D" w:rsidP="00E50E90">
      <w:pPr>
        <w:spacing w:line="360" w:lineRule="auto"/>
        <w:jc w:val="both"/>
        <w:rPr>
          <w:rFonts w:ascii="Times New Roman" w:hAnsi="Times New Roman" w:cs="Times New Roman"/>
          <w:color w:val="4C4747"/>
          <w:sz w:val="24"/>
          <w:szCs w:val="24"/>
        </w:rPr>
      </w:pPr>
      <w:r w:rsidRPr="00E50E90">
        <w:rPr>
          <w:rFonts w:ascii="Times New Roman" w:hAnsi="Times New Roman" w:cs="Times New Roman"/>
          <w:color w:val="4C4747"/>
          <w:sz w:val="24"/>
          <w:szCs w:val="24"/>
        </w:rPr>
        <w:lastRenderedPageBreak/>
        <w:t xml:space="preserve">Además, se realizaron los ajustes para la inclusión de reportes y tableros estadísticos dinámicos con Microsoft </w:t>
      </w:r>
      <w:proofErr w:type="spellStart"/>
      <w:r w:rsidRPr="00E50E90">
        <w:rPr>
          <w:rFonts w:ascii="Times New Roman" w:hAnsi="Times New Roman" w:cs="Times New Roman"/>
          <w:color w:val="4C4747"/>
          <w:sz w:val="24"/>
          <w:szCs w:val="24"/>
        </w:rPr>
        <w:t>PowerBI</w:t>
      </w:r>
      <w:proofErr w:type="spellEnd"/>
      <w:r w:rsidRPr="00E50E90">
        <w:rPr>
          <w:rFonts w:ascii="Times New Roman" w:hAnsi="Times New Roman" w:cs="Times New Roman"/>
          <w:color w:val="4C4747"/>
          <w:sz w:val="24"/>
          <w:szCs w:val="24"/>
        </w:rPr>
        <w:t xml:space="preserve"> y otras tecnologías de reporterías utilizadas por economistas e investigadores. Asimismo, se incorporaron nuevas consultas de encuestadores MIPYMES. </w:t>
      </w:r>
    </w:p>
    <w:p w14:paraId="24201570" w14:textId="4DE402FC" w:rsidR="00D8254D" w:rsidRPr="005D08D4" w:rsidRDefault="005D08D4" w:rsidP="00D8254D">
      <w:pPr>
        <w:spacing w:line="360" w:lineRule="auto"/>
        <w:jc w:val="both"/>
        <w:rPr>
          <w:rFonts w:ascii="Times New Roman" w:hAnsi="Times New Roman" w:cs="Times New Roman"/>
          <w:b/>
          <w:color w:val="4C4747"/>
          <w:sz w:val="24"/>
          <w:szCs w:val="24"/>
        </w:rPr>
      </w:pPr>
      <w:r w:rsidRPr="005D08D4">
        <w:rPr>
          <w:rFonts w:ascii="Times New Roman" w:hAnsi="Times New Roman" w:cs="Times New Roman"/>
          <w:b/>
          <w:color w:val="4C4747"/>
          <w:sz w:val="24"/>
          <w:szCs w:val="24"/>
        </w:rPr>
        <w:t>Uso de TIC para simplificación de trámites y mejorar procesos</w:t>
      </w:r>
    </w:p>
    <w:p w14:paraId="6E43052A" w14:textId="1688CF5C" w:rsidR="00D8254D" w:rsidRDefault="00D8254D" w:rsidP="005D08D4">
      <w:pPr>
        <w:pStyle w:val="ListParagraph"/>
        <w:numPr>
          <w:ilvl w:val="0"/>
          <w:numId w:val="40"/>
        </w:numPr>
        <w:spacing w:line="360" w:lineRule="auto"/>
        <w:jc w:val="both"/>
        <w:rPr>
          <w:rFonts w:ascii="Times New Roman" w:hAnsi="Times New Roman" w:cs="Times New Roman"/>
          <w:color w:val="4C4747"/>
          <w:sz w:val="24"/>
          <w:szCs w:val="24"/>
        </w:rPr>
      </w:pPr>
      <w:r w:rsidRPr="00D8254D">
        <w:rPr>
          <w:rFonts w:ascii="Times New Roman" w:hAnsi="Times New Roman" w:cs="Times New Roman"/>
          <w:color w:val="4C4747"/>
          <w:sz w:val="24"/>
          <w:szCs w:val="24"/>
        </w:rPr>
        <w:t>Gestor de Firmas Digitales (BCCOM): Continuando con el compromiso institucional de minimizar el uso de papel, la implementación de la plataforma de gestión de firmas digitales se expande. Se han incorporado funcionalidades para la firma de comunicaciones y se han añadido facilidades para realizar comunicaciones con listas de correos para información masiva. La experiencia del usuario en las diferentes etapas ha sido mejorada y se ha facilitado el envío de correos externos con las comunicacione</w:t>
      </w:r>
      <w:r>
        <w:rPr>
          <w:rFonts w:ascii="Times New Roman" w:hAnsi="Times New Roman" w:cs="Times New Roman"/>
          <w:color w:val="4C4747"/>
          <w:sz w:val="24"/>
          <w:szCs w:val="24"/>
        </w:rPr>
        <w:t>s.</w:t>
      </w:r>
    </w:p>
    <w:p w14:paraId="1987BEE3" w14:textId="77777777" w:rsidR="00D8254D" w:rsidRPr="00D8254D" w:rsidRDefault="00D8254D" w:rsidP="005D08D4">
      <w:pPr>
        <w:pStyle w:val="ListParagraph"/>
        <w:spacing w:line="360" w:lineRule="auto"/>
        <w:jc w:val="both"/>
        <w:rPr>
          <w:rFonts w:ascii="Times New Roman" w:hAnsi="Times New Roman" w:cs="Times New Roman"/>
          <w:color w:val="4C4747"/>
          <w:sz w:val="24"/>
          <w:szCs w:val="24"/>
        </w:rPr>
      </w:pPr>
    </w:p>
    <w:p w14:paraId="2D7003A6" w14:textId="2A60C8C5" w:rsidR="00D8254D" w:rsidRPr="00E50E90" w:rsidRDefault="00D8254D" w:rsidP="00E50E90">
      <w:pPr>
        <w:pStyle w:val="ListParagraph"/>
        <w:numPr>
          <w:ilvl w:val="0"/>
          <w:numId w:val="40"/>
        </w:numPr>
        <w:spacing w:line="360" w:lineRule="auto"/>
        <w:jc w:val="both"/>
        <w:rPr>
          <w:rFonts w:ascii="Times New Roman" w:hAnsi="Times New Roman" w:cs="Times New Roman"/>
          <w:color w:val="4C4747"/>
          <w:sz w:val="24"/>
          <w:szCs w:val="24"/>
        </w:rPr>
      </w:pPr>
      <w:r w:rsidRPr="00D8254D">
        <w:rPr>
          <w:rFonts w:ascii="Times New Roman" w:hAnsi="Times New Roman" w:cs="Times New Roman"/>
          <w:color w:val="4C4747"/>
          <w:sz w:val="24"/>
          <w:szCs w:val="24"/>
        </w:rPr>
        <w:t xml:space="preserve">Expansión del Sistema de Información Gerencial (SIG): Se ha continuado avanzando en la expansión del Sistema de Información Gerencial (SIG) en colaboración con los departamentos técnicos de la institución. Además de los modelos existentes, se han desarrollado nuevos modelos enfocados en el Sistema de Pagos, Instrumentos de Pagos, Empresas de </w:t>
      </w:r>
      <w:proofErr w:type="spellStart"/>
      <w:r w:rsidRPr="00D8254D">
        <w:rPr>
          <w:rFonts w:ascii="Times New Roman" w:hAnsi="Times New Roman" w:cs="Times New Roman"/>
          <w:color w:val="4C4747"/>
          <w:sz w:val="24"/>
          <w:szCs w:val="24"/>
        </w:rPr>
        <w:t>Adquirencia</w:t>
      </w:r>
      <w:proofErr w:type="spellEnd"/>
      <w:r w:rsidRPr="00D8254D">
        <w:rPr>
          <w:rFonts w:ascii="Times New Roman" w:hAnsi="Times New Roman" w:cs="Times New Roman"/>
          <w:color w:val="4C4747"/>
          <w:sz w:val="24"/>
          <w:szCs w:val="24"/>
        </w:rPr>
        <w:t xml:space="preserve"> e Instrumentos de Pagos.</w:t>
      </w:r>
    </w:p>
    <w:p w14:paraId="462C900D" w14:textId="7C49464B" w:rsidR="00D8254D" w:rsidRDefault="00D8254D" w:rsidP="00E50E90">
      <w:pPr>
        <w:spacing w:line="360" w:lineRule="auto"/>
        <w:jc w:val="both"/>
        <w:rPr>
          <w:rFonts w:ascii="Times New Roman" w:hAnsi="Times New Roman" w:cs="Times New Roman"/>
          <w:color w:val="4C4747"/>
          <w:sz w:val="24"/>
          <w:szCs w:val="24"/>
        </w:rPr>
      </w:pPr>
      <w:r w:rsidRPr="00D8254D">
        <w:rPr>
          <w:rFonts w:ascii="Times New Roman" w:hAnsi="Times New Roman" w:cs="Times New Roman"/>
          <w:color w:val="4C4747"/>
          <w:sz w:val="24"/>
          <w:szCs w:val="24"/>
        </w:rPr>
        <w:t>Asimismo, se han creado modelos especializados para el Departamento de Emisión y Custodia, lo que ha mejorado la eficiencia interna y fortalecido la seguridad en estas operaciones. Este progreso significativo refuerza la capacidad analítica del SIG y respalda la toma de decisiones estratégicas de la institución, manteniendo nuestro compromiso con una gestión informada y basada en datos.</w:t>
      </w:r>
    </w:p>
    <w:p w14:paraId="221AAC5A" w14:textId="77777777" w:rsidR="00E50E90" w:rsidRDefault="00E50E90" w:rsidP="00E50E90">
      <w:pPr>
        <w:spacing w:line="360" w:lineRule="auto"/>
        <w:jc w:val="both"/>
        <w:rPr>
          <w:rFonts w:ascii="Times New Roman" w:hAnsi="Times New Roman" w:cs="Times New Roman"/>
          <w:color w:val="4C4747"/>
          <w:sz w:val="24"/>
          <w:szCs w:val="24"/>
        </w:rPr>
      </w:pPr>
    </w:p>
    <w:p w14:paraId="307A496B" w14:textId="77777777" w:rsidR="00E50E90" w:rsidRPr="005D08D4" w:rsidRDefault="00E50E90" w:rsidP="00E50E90">
      <w:pPr>
        <w:spacing w:line="360" w:lineRule="auto"/>
        <w:jc w:val="both"/>
        <w:rPr>
          <w:rFonts w:ascii="Times New Roman" w:hAnsi="Times New Roman" w:cs="Times New Roman"/>
          <w:color w:val="4C4747"/>
          <w:sz w:val="24"/>
          <w:szCs w:val="24"/>
        </w:rPr>
      </w:pPr>
    </w:p>
    <w:p w14:paraId="095F9C64" w14:textId="4342E530" w:rsidR="00D8254D" w:rsidRPr="005D08D4" w:rsidRDefault="00D8254D" w:rsidP="00D8254D">
      <w:pPr>
        <w:spacing w:line="360" w:lineRule="auto"/>
        <w:jc w:val="both"/>
        <w:rPr>
          <w:rFonts w:ascii="Times New Roman" w:hAnsi="Times New Roman" w:cs="Times New Roman"/>
          <w:b/>
          <w:color w:val="4C4747"/>
          <w:sz w:val="24"/>
          <w:szCs w:val="24"/>
        </w:rPr>
      </w:pPr>
      <w:r w:rsidRPr="005D08D4">
        <w:rPr>
          <w:rFonts w:ascii="Times New Roman" w:hAnsi="Times New Roman" w:cs="Times New Roman"/>
          <w:b/>
          <w:color w:val="4C4747"/>
          <w:sz w:val="24"/>
          <w:szCs w:val="24"/>
        </w:rPr>
        <w:lastRenderedPageBreak/>
        <w:t>Mesa De Servicio</w:t>
      </w:r>
    </w:p>
    <w:p w14:paraId="33FF5489" w14:textId="77777777" w:rsidR="00D8254D" w:rsidRPr="005D08D4" w:rsidRDefault="00D8254D" w:rsidP="00D8254D">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Durante este periodo, nuestro personal de la mesa de servicio atendió un total de 14,062 llamadas de soporte.  Se registraron un total de 15,436 casos, incluyendo los recibidos por otras vías, los cuales fueron escalados a los departamentos y áreas correspondientes, para su resolución. </w:t>
      </w:r>
    </w:p>
    <w:p w14:paraId="655AEC0D" w14:textId="77777777" w:rsidR="00D8254D" w:rsidRPr="005D08D4" w:rsidRDefault="00D8254D" w:rsidP="00D8254D">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Se realizaron 7,004 actualizaciones de sistemas operativos, softwares y seguridad en las estaciones de trabajo y se migró el sistema operativo de Windows Server 2012 a Windows Server 2022 en los servidores, para su optimización y seguridad. Del mismo modo, se remediaron 17,330 vulnerabilidades en la infraestructura de servidores. </w:t>
      </w:r>
    </w:p>
    <w:p w14:paraId="08857E09" w14:textId="7F011467" w:rsidR="00D8254D" w:rsidRPr="005D08D4" w:rsidRDefault="00D8254D" w:rsidP="00D8254D">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Se procesaron un total de 243 solicitudes de cambios (RFC) en la infraestructura de TI del Banco, de acuerdo con lo establecido en el procedimiento de Gestión de Cambios. 224 RFC fueron procesados como cambios estándares y 19 fueron sometidos a revisión y aprobación del equipo asesor de cambios (CAB por las siglas del inglés Change </w:t>
      </w:r>
      <w:proofErr w:type="spellStart"/>
      <w:r w:rsidRPr="005D08D4">
        <w:rPr>
          <w:rFonts w:ascii="Times New Roman" w:hAnsi="Times New Roman" w:cs="Times New Roman"/>
          <w:color w:val="4C4747"/>
          <w:sz w:val="24"/>
          <w:szCs w:val="24"/>
        </w:rPr>
        <w:t>Advisory</w:t>
      </w:r>
      <w:proofErr w:type="spellEnd"/>
      <w:r w:rsidRPr="005D08D4">
        <w:rPr>
          <w:rFonts w:ascii="Times New Roman" w:hAnsi="Times New Roman" w:cs="Times New Roman"/>
          <w:color w:val="4C4747"/>
          <w:sz w:val="24"/>
          <w:szCs w:val="24"/>
        </w:rPr>
        <w:t xml:space="preserve"> </w:t>
      </w:r>
      <w:proofErr w:type="spellStart"/>
      <w:r w:rsidRPr="005D08D4">
        <w:rPr>
          <w:rFonts w:ascii="Times New Roman" w:hAnsi="Times New Roman" w:cs="Times New Roman"/>
          <w:color w:val="4C4747"/>
          <w:sz w:val="24"/>
          <w:szCs w:val="24"/>
        </w:rPr>
        <w:t>Board</w:t>
      </w:r>
      <w:proofErr w:type="spellEnd"/>
      <w:r w:rsidRPr="005D08D4">
        <w:rPr>
          <w:rFonts w:ascii="Times New Roman" w:hAnsi="Times New Roman" w:cs="Times New Roman"/>
          <w:color w:val="4C4747"/>
          <w:sz w:val="24"/>
          <w:szCs w:val="24"/>
        </w:rPr>
        <w:t>).</w:t>
      </w:r>
    </w:p>
    <w:p w14:paraId="6CC292F4" w14:textId="176A18F8" w:rsidR="00D8254D" w:rsidRPr="005D08D4" w:rsidRDefault="00D8254D" w:rsidP="00D8254D">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Proyectos Para Fortalecimiento Del Área O Competencias Del Personal </w:t>
      </w:r>
    </w:p>
    <w:p w14:paraId="7F8C8928" w14:textId="77777777" w:rsidR="00D8254D" w:rsidRPr="005D08D4" w:rsidRDefault="00D8254D" w:rsidP="00D8254D">
      <w:pPr>
        <w:pStyle w:val="ListParagraph"/>
        <w:numPr>
          <w:ilvl w:val="0"/>
          <w:numId w:val="40"/>
        </w:num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Competencias del personal</w:t>
      </w:r>
    </w:p>
    <w:p w14:paraId="4D76C0BC" w14:textId="77777777" w:rsidR="00D8254D" w:rsidRPr="005D08D4" w:rsidRDefault="00D8254D" w:rsidP="00D8254D">
      <w:pPr>
        <w:pStyle w:val="ListParagraph"/>
        <w:numPr>
          <w:ilvl w:val="0"/>
          <w:numId w:val="40"/>
        </w:num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Durante el presente año, se continuó progresando en las capacitaciones, logrando certificaciones que repercutirán en el buen manejo de nuestro Data Center, según las mejores prácticas amparadas en las normas TIA. De igual manera, se asistió a Conferencias donde se compartió con cientos de profesionales del área en sesiones y laboratorios, destacando Oracle </w:t>
      </w:r>
      <w:proofErr w:type="spellStart"/>
      <w:r w:rsidRPr="005D08D4">
        <w:rPr>
          <w:rFonts w:ascii="Times New Roman" w:hAnsi="Times New Roman" w:cs="Times New Roman"/>
          <w:color w:val="4C4747"/>
          <w:sz w:val="24"/>
          <w:szCs w:val="24"/>
        </w:rPr>
        <w:t>CloudWord</w:t>
      </w:r>
      <w:proofErr w:type="spellEnd"/>
      <w:r w:rsidRPr="005D08D4">
        <w:rPr>
          <w:rFonts w:ascii="Times New Roman" w:hAnsi="Times New Roman" w:cs="Times New Roman"/>
          <w:color w:val="4C4747"/>
          <w:sz w:val="24"/>
          <w:szCs w:val="24"/>
        </w:rPr>
        <w:t>, innovación tecnológica en servicios en la nube, así como aprendiendo sobre las nuevas tendencias y paradigmas en el aseguramiento de la calidad de software.</w:t>
      </w:r>
    </w:p>
    <w:p w14:paraId="50DC5BBA" w14:textId="7C1E0994" w:rsidR="00D8254D" w:rsidRPr="005D08D4" w:rsidRDefault="00D8254D" w:rsidP="00D8254D">
      <w:pPr>
        <w:pStyle w:val="ListParagraph"/>
        <w:numPr>
          <w:ilvl w:val="0"/>
          <w:numId w:val="40"/>
        </w:num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lastRenderedPageBreak/>
        <w:t>La perseverancia en la capacitación demuestra el compromiso del personal en mantenerse actualizados para poder ejecutar con éxito los planes estratégicos de la institución.</w:t>
      </w:r>
    </w:p>
    <w:p w14:paraId="27626B67" w14:textId="77777777" w:rsidR="00D8254D" w:rsidRPr="005D08D4" w:rsidRDefault="00D8254D" w:rsidP="00D8254D">
      <w:pPr>
        <w:pStyle w:val="ListParagraph"/>
        <w:spacing w:line="360" w:lineRule="auto"/>
        <w:jc w:val="both"/>
        <w:rPr>
          <w:rFonts w:ascii="Times New Roman" w:hAnsi="Times New Roman" w:cs="Times New Roman"/>
          <w:color w:val="4C4747"/>
          <w:sz w:val="24"/>
          <w:szCs w:val="24"/>
        </w:rPr>
      </w:pPr>
    </w:p>
    <w:p w14:paraId="0E47E261" w14:textId="05DEFC45" w:rsidR="00D8254D" w:rsidRPr="005D08D4" w:rsidRDefault="00D8254D" w:rsidP="00D8254D">
      <w:pPr>
        <w:pStyle w:val="ListParagraph"/>
        <w:numPr>
          <w:ilvl w:val="0"/>
          <w:numId w:val="40"/>
        </w:num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En el marco de la mejora continua, se puso en marcha un piloto con un personal seleccionado en función de sus roles, cubriendo los esquemas de trabajo remoto. Esta modalidad híbrida (3-2) involucró a varios departamentos internos, demostrando una gestión eficiente de los servicios que brindan los mismos. Además, esta reorganización contribuye a disminuir la rotación del personal, permitiendo aumentar la productividad y eficiencia organizacional.</w:t>
      </w:r>
    </w:p>
    <w:p w14:paraId="137002DC" w14:textId="77777777" w:rsidR="00D8254D" w:rsidRDefault="00D8254D" w:rsidP="00D8254D">
      <w:pPr>
        <w:pStyle w:val="ListParagraph"/>
        <w:spacing w:line="360" w:lineRule="auto"/>
        <w:jc w:val="both"/>
        <w:rPr>
          <w:rFonts w:ascii="Times New Roman" w:hAnsi="Times New Roman" w:cs="Times New Roman"/>
          <w:color w:val="4C4747"/>
          <w:sz w:val="24"/>
          <w:szCs w:val="24"/>
        </w:rPr>
      </w:pPr>
    </w:p>
    <w:p w14:paraId="65794A4D" w14:textId="5F8451F5" w:rsidR="005D08D4" w:rsidRPr="00582715" w:rsidRDefault="00D8254D" w:rsidP="00582715">
      <w:pPr>
        <w:spacing w:line="360" w:lineRule="auto"/>
        <w:jc w:val="both"/>
        <w:rPr>
          <w:rFonts w:ascii="Times New Roman" w:hAnsi="Times New Roman" w:cs="Times New Roman"/>
          <w:b/>
          <w:color w:val="4C4747"/>
          <w:sz w:val="24"/>
          <w:szCs w:val="24"/>
        </w:rPr>
      </w:pPr>
      <w:r w:rsidRPr="00582715">
        <w:rPr>
          <w:rFonts w:ascii="Times New Roman" w:hAnsi="Times New Roman" w:cs="Times New Roman"/>
          <w:b/>
          <w:color w:val="4C4747"/>
          <w:sz w:val="24"/>
          <w:szCs w:val="24"/>
        </w:rPr>
        <w:t xml:space="preserve">Proyectos para fortalecimiento del área </w:t>
      </w:r>
    </w:p>
    <w:p w14:paraId="15B6FB10" w14:textId="510C340A" w:rsidR="00D8254D" w:rsidRPr="005D08D4" w:rsidRDefault="00D8254D" w:rsidP="00582715">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Plataforma </w:t>
      </w:r>
      <w:proofErr w:type="spellStart"/>
      <w:r w:rsidRPr="005D08D4">
        <w:rPr>
          <w:rFonts w:ascii="Times New Roman" w:hAnsi="Times New Roman" w:cs="Times New Roman"/>
          <w:color w:val="4C4747"/>
          <w:sz w:val="24"/>
          <w:szCs w:val="24"/>
        </w:rPr>
        <w:t>Hiperconvergente</w:t>
      </w:r>
      <w:proofErr w:type="spellEnd"/>
      <w:r w:rsidRPr="005D08D4">
        <w:rPr>
          <w:rFonts w:ascii="Times New Roman" w:hAnsi="Times New Roman" w:cs="Times New Roman"/>
          <w:color w:val="4C4747"/>
          <w:sz w:val="24"/>
          <w:szCs w:val="24"/>
        </w:rPr>
        <w:t xml:space="preserve">: La implementación se completó exitosamente, lo que resultó en una mejora significativa en la capacidad de procesamiento y disponibilidad de los sistemas críticos. Esto garantiza una mayor eficiencia y resiliencia en nuestras operaciones. Como parte de este proceso, se realizaron migraciones de sistemas y componentes del Sistema de Pago y Liquidación de Valores de la República Dominicana (SIPARD). </w:t>
      </w:r>
    </w:p>
    <w:p w14:paraId="27CA42AC" w14:textId="77777777" w:rsidR="00D8254D" w:rsidRPr="005D08D4" w:rsidRDefault="00D8254D" w:rsidP="00582715">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Adopción de Windows 11 en la Infraestructura Tecnológica: Se inició la implementación de Windows 11 en las estaciones de trabajo de la infraestructura de la institución. Esto permitirá avanzar en la migración, dada la inminente finalización del soporte para Windows 10. Este nuevo sistema operativo representa un avance significativo en términos de seguridad, rendimiento y experiencia del usuario. </w:t>
      </w:r>
    </w:p>
    <w:p w14:paraId="156C7A42" w14:textId="77777777" w:rsidR="00D8254D" w:rsidRPr="005D08D4" w:rsidRDefault="00D8254D" w:rsidP="00582715">
      <w:pPr>
        <w:spacing w:line="360" w:lineRule="auto"/>
        <w:jc w:val="both"/>
        <w:rPr>
          <w:rFonts w:ascii="Times New Roman" w:hAnsi="Times New Roman" w:cs="Times New Roman"/>
          <w:color w:val="4C4747"/>
          <w:sz w:val="24"/>
          <w:szCs w:val="24"/>
        </w:rPr>
      </w:pPr>
    </w:p>
    <w:p w14:paraId="5426C0C5" w14:textId="5B4CF749" w:rsidR="00EE3086" w:rsidRPr="005D08D4" w:rsidRDefault="00D8254D" w:rsidP="00582715">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lastRenderedPageBreak/>
        <w:t xml:space="preserve">Proyecto de Enlace de Conectividad Alternativa entre los Centros de Procesamiento de Datos, Principal y Alterno: Se estableció un canal de comunicación exclusivo entre los centros de datos de la institución. Este enlace permite una reducción en el Tiempo Objetivo de Recuperación (RTO, por sus siglas en inglés), garantizando la disponibilidad de los servicios de TI frente a cualquier eventualidad que pueda interrumpir las operaciones de la institución. </w:t>
      </w:r>
    </w:p>
    <w:p w14:paraId="3B3CF5D7" w14:textId="02BEC439" w:rsidR="00D8254D" w:rsidRPr="005D08D4" w:rsidRDefault="00D8254D" w:rsidP="00582715">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Además, este canal facilita la réplica en tiempo real de la información procesada en ambos centros, lo que simplifica la gestión técnica de los recursos informáticos. De esta manera, se asegura la capacidad de satisfacer las demandas futuras de servicios de TI.</w:t>
      </w:r>
    </w:p>
    <w:p w14:paraId="1CBE4F01" w14:textId="4F53CF59" w:rsidR="005D08D4" w:rsidRPr="005D08D4" w:rsidRDefault="00D8254D" w:rsidP="00582715">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Instalación de Nuevos Enlaces de Fibra Óptica entre el CPD y Otros Centros de Cableado: Se han establecido nuevos enlaces de fibra óptica en la Sede Principal de la institución, ampliando así los esquemas de redundancia en conectividad. Estos enlaces adicionales facilitan el transporte de los servicios de TI a todos los departamentos de la institución, mejorando la operativa. Además, permiten un aumento en las velocidades de transmisión de datos entre los dispositivos de los usuarios y los servidores.</w:t>
      </w:r>
    </w:p>
    <w:p w14:paraId="77107F66" w14:textId="0C6ADBF1" w:rsidR="00D8254D" w:rsidRPr="005D08D4" w:rsidRDefault="00D8254D" w:rsidP="00582715">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Esta implementación mejora la disponibilidad, asegurando una alta continuidad de los servicios de TI, optimizando nuestras operaciones y garantizando que nuestras operaciones puedan continuar sin interrupciones, incluso en caso de fallos en un enlace.</w:t>
      </w:r>
    </w:p>
    <w:p w14:paraId="4EF455C7" w14:textId="77777777" w:rsidR="00D8254D" w:rsidRPr="005D08D4" w:rsidRDefault="00D8254D" w:rsidP="00582715">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Mejora de los Procesos de Continuidad de Negocio: Se incrementó la capacidad de hardware para escalar los procesos de contingencia. En condiciones normales, estos procesos en el Centro de Procesamiento de Datos (CPD) permiten un acceso seguro a las aplicaciones en todo momento a través de servidores de salto. En situaciones de contingencia, se recurre a los mismos mecanismos, brindando a los usuarios una experiencia optimizada en términos de seguridad y acceso. Se implementó una </w:t>
      </w:r>
      <w:r w:rsidRPr="005D08D4">
        <w:rPr>
          <w:rFonts w:ascii="Times New Roman" w:hAnsi="Times New Roman" w:cs="Times New Roman"/>
          <w:color w:val="4C4747"/>
          <w:sz w:val="24"/>
          <w:szCs w:val="24"/>
        </w:rPr>
        <w:lastRenderedPageBreak/>
        <w:t xml:space="preserve">capacidad idéntica en ambos Centros de Datos, tanto en el principal como en el alterno, con el propósito de asegurar que la misma cantidad de usuarios que acceden a las aplicaciones críticas de manera segura, pudieran hacerlo en cualquier circunstancia. </w:t>
      </w:r>
    </w:p>
    <w:p w14:paraId="0E8B9886" w14:textId="77777777" w:rsidR="00D8254D" w:rsidRPr="005D08D4" w:rsidRDefault="00D8254D" w:rsidP="00582715">
      <w:pPr>
        <w:spacing w:line="360" w:lineRule="auto"/>
        <w:jc w:val="both"/>
        <w:rPr>
          <w:rFonts w:ascii="Times New Roman" w:hAnsi="Times New Roman" w:cs="Times New Roman"/>
          <w:color w:val="4C4747"/>
          <w:sz w:val="24"/>
          <w:szCs w:val="24"/>
        </w:rPr>
      </w:pPr>
    </w:p>
    <w:p w14:paraId="66D3D037" w14:textId="66E7A917" w:rsidR="00D54541" w:rsidRPr="005D08D4" w:rsidRDefault="00D54541" w:rsidP="005D08D4">
      <w:pPr>
        <w:spacing w:line="360" w:lineRule="auto"/>
        <w:rPr>
          <w:color w:val="4C4747"/>
        </w:rPr>
      </w:pPr>
    </w:p>
    <w:p w14:paraId="604ED2C3" w14:textId="4AF862E6" w:rsidR="00D54541" w:rsidRDefault="00D54541" w:rsidP="00D54541"/>
    <w:p w14:paraId="35F6E626" w14:textId="5BE81C6A" w:rsidR="00D54541" w:rsidRDefault="00D54541" w:rsidP="00D54541"/>
    <w:p w14:paraId="7296FBD3" w14:textId="2547CE62" w:rsidR="00D54541" w:rsidRDefault="00D54541" w:rsidP="00D54541"/>
    <w:p w14:paraId="4EC53B79" w14:textId="7F8781CC" w:rsidR="00D54541" w:rsidRDefault="00D54541" w:rsidP="00D54541"/>
    <w:p w14:paraId="0C8B5E15" w14:textId="59A4FF8E" w:rsidR="00D54541" w:rsidRDefault="00D54541" w:rsidP="00D54541"/>
    <w:p w14:paraId="29ECBFB5" w14:textId="7A83436A" w:rsidR="00D54541" w:rsidRDefault="00D54541" w:rsidP="00D54541"/>
    <w:p w14:paraId="18BE3059" w14:textId="53517D1B" w:rsidR="00D54541" w:rsidRDefault="00D54541" w:rsidP="00D54541"/>
    <w:p w14:paraId="7839462D" w14:textId="48463697" w:rsidR="00D54541" w:rsidRDefault="00D54541" w:rsidP="00D54541"/>
    <w:p w14:paraId="48A91DA4" w14:textId="1AE2EDCE" w:rsidR="00D54541" w:rsidRDefault="00D54541" w:rsidP="00D54541"/>
    <w:p w14:paraId="0EC9A76B" w14:textId="69287475" w:rsidR="00D54541" w:rsidRDefault="00D54541" w:rsidP="00D54541"/>
    <w:p w14:paraId="50089C5F" w14:textId="7563C99E" w:rsidR="00D54541" w:rsidRDefault="00D54541" w:rsidP="00D54541"/>
    <w:p w14:paraId="103A9BD3" w14:textId="3378B702" w:rsidR="00D54541" w:rsidRDefault="00D54541" w:rsidP="00D54541"/>
    <w:p w14:paraId="39119AE6" w14:textId="737034DB" w:rsidR="00D54541" w:rsidRDefault="00D54541" w:rsidP="00D54541"/>
    <w:p w14:paraId="32A8A474" w14:textId="0AB9C964" w:rsidR="00D54541" w:rsidRDefault="00D54541" w:rsidP="00D54541"/>
    <w:p w14:paraId="146FAD3D" w14:textId="1B55C192" w:rsidR="00D54541" w:rsidRDefault="00D54541" w:rsidP="00D54541"/>
    <w:p w14:paraId="62AE7D0A" w14:textId="5C354650" w:rsidR="00300831" w:rsidRDefault="00300831" w:rsidP="00300831"/>
    <w:p w14:paraId="02D74D5F" w14:textId="18BFF4FB" w:rsidR="00582715" w:rsidRDefault="00582715" w:rsidP="00300831"/>
    <w:p w14:paraId="1725EEE5" w14:textId="254A8A08" w:rsidR="00582715" w:rsidRDefault="00582715" w:rsidP="00300831"/>
    <w:p w14:paraId="379E0948" w14:textId="77777777" w:rsidR="00582715" w:rsidRDefault="00582715" w:rsidP="00300831"/>
    <w:p w14:paraId="27D4309B" w14:textId="77777777" w:rsidR="00EE3086" w:rsidRDefault="00EE3086" w:rsidP="00300831"/>
    <w:p w14:paraId="6238D29B" w14:textId="2BED7FA2" w:rsidR="00582715" w:rsidRPr="00582715" w:rsidRDefault="00BC4F78" w:rsidP="00582715">
      <w:pPr>
        <w:pStyle w:val="Heading2"/>
        <w:spacing w:line="360" w:lineRule="auto"/>
        <w:rPr>
          <w:rFonts w:ascii="Times New Roman" w:hAnsi="Times New Roman" w:cs="Times New Roman"/>
          <w:b/>
          <w:color w:val="4C4747"/>
          <w:sz w:val="24"/>
          <w:szCs w:val="24"/>
        </w:rPr>
      </w:pPr>
      <w:bookmarkStart w:id="42" w:name="_Toc155259674"/>
      <w:r w:rsidRPr="00B46D33">
        <w:rPr>
          <w:rFonts w:ascii="Times New Roman" w:hAnsi="Times New Roman" w:cs="Times New Roman"/>
          <w:b/>
          <w:color w:val="4C4747"/>
          <w:sz w:val="24"/>
          <w:szCs w:val="24"/>
        </w:rPr>
        <w:lastRenderedPageBreak/>
        <w:t xml:space="preserve">4.4.1 </w:t>
      </w:r>
      <w:r w:rsidR="00D833DD" w:rsidRPr="00B46D33">
        <w:rPr>
          <w:rFonts w:ascii="Times New Roman" w:hAnsi="Times New Roman" w:cs="Times New Roman"/>
          <w:b/>
          <w:color w:val="4C4747"/>
          <w:sz w:val="24"/>
          <w:szCs w:val="24"/>
        </w:rPr>
        <w:t>Seguridad</w:t>
      </w:r>
      <w:r w:rsidR="00D833DD" w:rsidRPr="00AF1992">
        <w:rPr>
          <w:rFonts w:ascii="Times New Roman" w:hAnsi="Times New Roman" w:cs="Times New Roman"/>
          <w:b/>
          <w:color w:val="4C4747"/>
          <w:sz w:val="24"/>
          <w:szCs w:val="24"/>
        </w:rPr>
        <w:t xml:space="preserve"> Cibernética y de la Información</w:t>
      </w:r>
      <w:bookmarkEnd w:id="42"/>
    </w:p>
    <w:p w14:paraId="7DD2E4C3" w14:textId="3632A668" w:rsidR="00585344" w:rsidRPr="005D08D4" w:rsidRDefault="00585344"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Dados los avances experimentados en materia de transacciones electrónicas en el país, el BCRD ha realizado importantes esfuerzos para mejorar su perfil de riesgo y la postura cibernética de la institución.</w:t>
      </w:r>
    </w:p>
    <w:p w14:paraId="4069CAF8" w14:textId="716EB3B3" w:rsidR="009A02D9" w:rsidRPr="005D08D4" w:rsidRDefault="009A02D9"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Las iniciativas contenidas en el POA 2023 responden a los objetivos de expandir la colaboración y el intercambio de información e inteligencia con organismos y entidades locales e internacionales, crear, implementar y distribuir procesos y contenido para la prevención, detección y contención de incidentes de ciberseguridad, así como también expandir y optimizar las capacidades y procesos de las herramientas operativas, flujos de trabajos y servicios internos.</w:t>
      </w:r>
    </w:p>
    <w:p w14:paraId="2D579AD3" w14:textId="2A81ADB5" w:rsidR="009A02D9" w:rsidRPr="005D08D4" w:rsidRDefault="009A02D9"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Dentro de las iniciativas, están, en proceso de gestación, aquellas acciones dirigidas a inspirar y empoderar la participación de las mujeres en el ámbito de las tecnologías y de la ciberseguridad, brindando espacios colaborativos donde puedan compartir conocimientos, experiencias y oportunidades.</w:t>
      </w:r>
    </w:p>
    <w:p w14:paraId="50B48EED" w14:textId="77777777" w:rsidR="009A02D9" w:rsidRPr="005D08D4" w:rsidRDefault="009A02D9"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Durante el año 2023, el Centro de Respuesta a Incidentes de Ciberseguridad para el Sector Financiero (SPRICS) y el Departamento de Seguridad Cibernética y de la Información estuvo focalizando en la creación de capacidades para la gestión de vulnerabilidades, gestión de incidentes de ciberseguridad y correlación de eventos. </w:t>
      </w:r>
    </w:p>
    <w:p w14:paraId="20691233" w14:textId="478B93DE" w:rsidR="009A02D9" w:rsidRPr="005D08D4" w:rsidRDefault="009A02D9"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De igual manera, se trabajó en el fortalecimiento de los procesos internos para la protección, integridad, disponibilidad y confidencialidad de los datos de la organización. </w:t>
      </w:r>
    </w:p>
    <w:p w14:paraId="6E157ACF" w14:textId="5AED5435" w:rsidR="009A02D9" w:rsidRPr="00AF1992" w:rsidRDefault="009A02D9" w:rsidP="00AF1992">
      <w:pPr>
        <w:spacing w:line="360" w:lineRule="auto"/>
        <w:jc w:val="both"/>
        <w:rPr>
          <w:rFonts w:ascii="Times New Roman" w:hAnsi="Times New Roman" w:cs="Times New Roman"/>
          <w:color w:val="4C4747"/>
          <w:sz w:val="24"/>
          <w:szCs w:val="24"/>
        </w:rPr>
      </w:pPr>
      <w:r w:rsidRPr="00AF1992">
        <w:rPr>
          <w:rFonts w:ascii="Times New Roman" w:hAnsi="Times New Roman" w:cs="Times New Roman"/>
          <w:color w:val="4C4747"/>
          <w:sz w:val="24"/>
          <w:szCs w:val="24"/>
        </w:rPr>
        <w:t>Enfoques relativos a la gestión:</w:t>
      </w:r>
    </w:p>
    <w:p w14:paraId="49155C0C" w14:textId="77777777" w:rsidR="009A02D9" w:rsidRPr="00AF1992" w:rsidRDefault="009A02D9" w:rsidP="00AF1992">
      <w:pPr>
        <w:spacing w:line="360" w:lineRule="auto"/>
        <w:jc w:val="both"/>
        <w:rPr>
          <w:rFonts w:ascii="Times New Roman" w:hAnsi="Times New Roman" w:cs="Times New Roman"/>
          <w:color w:val="4C4747"/>
          <w:sz w:val="24"/>
          <w:szCs w:val="24"/>
        </w:rPr>
      </w:pPr>
      <w:r w:rsidRPr="00AF1992">
        <w:rPr>
          <w:rFonts w:ascii="Times New Roman" w:hAnsi="Times New Roman" w:cs="Times New Roman"/>
          <w:color w:val="4C4747"/>
          <w:sz w:val="24"/>
          <w:szCs w:val="24"/>
        </w:rPr>
        <w:t>•</w:t>
      </w:r>
      <w:r w:rsidRPr="00AF1992">
        <w:rPr>
          <w:rFonts w:ascii="Times New Roman" w:hAnsi="Times New Roman" w:cs="Times New Roman"/>
          <w:color w:val="4C4747"/>
          <w:sz w:val="24"/>
          <w:szCs w:val="24"/>
        </w:rPr>
        <w:tab/>
        <w:t>Escaneo continuo de vulnerabilidades</w:t>
      </w:r>
    </w:p>
    <w:p w14:paraId="53791425" w14:textId="77777777" w:rsidR="009A02D9" w:rsidRPr="00AF1992" w:rsidRDefault="009A02D9" w:rsidP="00AF1992">
      <w:pPr>
        <w:spacing w:line="360" w:lineRule="auto"/>
        <w:jc w:val="both"/>
        <w:rPr>
          <w:rFonts w:ascii="Times New Roman" w:hAnsi="Times New Roman" w:cs="Times New Roman"/>
          <w:color w:val="4C4747"/>
          <w:sz w:val="24"/>
          <w:szCs w:val="24"/>
        </w:rPr>
      </w:pPr>
      <w:r w:rsidRPr="00AF1992">
        <w:rPr>
          <w:rFonts w:ascii="Times New Roman" w:hAnsi="Times New Roman" w:cs="Times New Roman"/>
          <w:color w:val="4C4747"/>
          <w:sz w:val="24"/>
          <w:szCs w:val="24"/>
        </w:rPr>
        <w:t>•</w:t>
      </w:r>
      <w:r w:rsidRPr="00AF1992">
        <w:rPr>
          <w:rFonts w:ascii="Times New Roman" w:hAnsi="Times New Roman" w:cs="Times New Roman"/>
          <w:color w:val="4C4747"/>
          <w:sz w:val="24"/>
          <w:szCs w:val="24"/>
        </w:rPr>
        <w:tab/>
        <w:t>Pruebas de Penetración (</w:t>
      </w:r>
      <w:proofErr w:type="spellStart"/>
      <w:r w:rsidRPr="00AF1992">
        <w:rPr>
          <w:rFonts w:ascii="Times New Roman" w:hAnsi="Times New Roman" w:cs="Times New Roman"/>
          <w:color w:val="4C4747"/>
          <w:sz w:val="24"/>
          <w:szCs w:val="24"/>
        </w:rPr>
        <w:t>Pentest</w:t>
      </w:r>
      <w:proofErr w:type="spellEnd"/>
      <w:r w:rsidRPr="00AF1992">
        <w:rPr>
          <w:rFonts w:ascii="Times New Roman" w:hAnsi="Times New Roman" w:cs="Times New Roman"/>
          <w:color w:val="4C4747"/>
          <w:sz w:val="24"/>
          <w:szCs w:val="24"/>
        </w:rPr>
        <w:t>)</w:t>
      </w:r>
    </w:p>
    <w:p w14:paraId="4585DFB1" w14:textId="202132DA" w:rsidR="00585344" w:rsidRPr="00AF1992" w:rsidRDefault="009A02D9" w:rsidP="00AF1992">
      <w:pPr>
        <w:spacing w:line="360" w:lineRule="auto"/>
        <w:jc w:val="both"/>
        <w:rPr>
          <w:rFonts w:ascii="Times New Roman" w:hAnsi="Times New Roman" w:cs="Times New Roman"/>
          <w:color w:val="4C4747"/>
          <w:sz w:val="24"/>
          <w:szCs w:val="24"/>
        </w:rPr>
      </w:pPr>
      <w:r w:rsidRPr="00AF1992">
        <w:rPr>
          <w:rFonts w:ascii="Times New Roman" w:hAnsi="Times New Roman" w:cs="Times New Roman"/>
          <w:color w:val="4C4747"/>
          <w:sz w:val="24"/>
          <w:szCs w:val="24"/>
        </w:rPr>
        <w:t>•</w:t>
      </w:r>
      <w:r w:rsidRPr="00AF1992">
        <w:rPr>
          <w:rFonts w:ascii="Times New Roman" w:hAnsi="Times New Roman" w:cs="Times New Roman"/>
          <w:color w:val="4C4747"/>
          <w:sz w:val="24"/>
          <w:szCs w:val="24"/>
        </w:rPr>
        <w:tab/>
        <w:t>Análisis de código fuente</w:t>
      </w:r>
    </w:p>
    <w:p w14:paraId="0247C3CA" w14:textId="34A88EAB" w:rsidR="009A02D9" w:rsidRPr="00AF1992" w:rsidRDefault="009A02D9" w:rsidP="008D21CF">
      <w:pPr>
        <w:spacing w:line="360" w:lineRule="auto"/>
        <w:jc w:val="both"/>
        <w:rPr>
          <w:rFonts w:ascii="Times New Roman" w:hAnsi="Times New Roman" w:cs="Times New Roman"/>
          <w:b/>
          <w:color w:val="4C4747"/>
          <w:sz w:val="24"/>
          <w:szCs w:val="24"/>
        </w:rPr>
      </w:pPr>
      <w:r w:rsidRPr="00AF1992">
        <w:rPr>
          <w:rFonts w:ascii="Times New Roman" w:hAnsi="Times New Roman" w:cs="Times New Roman"/>
          <w:b/>
          <w:color w:val="4C4747"/>
          <w:sz w:val="24"/>
          <w:szCs w:val="24"/>
        </w:rPr>
        <w:lastRenderedPageBreak/>
        <w:t>Sistema de gestión de seguridad de la información (SGSI)</w:t>
      </w:r>
    </w:p>
    <w:p w14:paraId="77C0F7E0" w14:textId="3D728814" w:rsidR="009A02D9" w:rsidRPr="00B843D6" w:rsidRDefault="009A02D9" w:rsidP="005D08D4">
      <w:pPr>
        <w:spacing w:line="360" w:lineRule="auto"/>
        <w:jc w:val="both"/>
        <w:rPr>
          <w:rFonts w:ascii="Times New Roman" w:hAnsi="Times New Roman" w:cs="Times New Roman"/>
          <w:color w:val="4C4747"/>
          <w:sz w:val="24"/>
          <w:szCs w:val="24"/>
        </w:rPr>
      </w:pPr>
      <w:r w:rsidRPr="00B843D6">
        <w:rPr>
          <w:rFonts w:ascii="Times New Roman" w:hAnsi="Times New Roman" w:cs="Times New Roman"/>
          <w:color w:val="4C4747"/>
          <w:sz w:val="24"/>
          <w:szCs w:val="24"/>
        </w:rPr>
        <w:t>Como parte del seguimiento al sistema de gestión de seguridad de la información (SGSI), el Banco Central</w:t>
      </w:r>
      <w:r w:rsidR="00D65277" w:rsidRPr="00B843D6">
        <w:rPr>
          <w:rFonts w:ascii="Times New Roman" w:hAnsi="Times New Roman" w:cs="Times New Roman"/>
          <w:color w:val="4C4747"/>
          <w:sz w:val="24"/>
          <w:szCs w:val="24"/>
        </w:rPr>
        <w:t xml:space="preserve"> de la República </w:t>
      </w:r>
      <w:r w:rsidR="002E7B17" w:rsidRPr="00B843D6">
        <w:rPr>
          <w:rFonts w:ascii="Times New Roman" w:hAnsi="Times New Roman" w:cs="Times New Roman"/>
          <w:color w:val="4C4747"/>
          <w:sz w:val="24"/>
          <w:szCs w:val="24"/>
        </w:rPr>
        <w:t>Dominicana completó</w:t>
      </w:r>
      <w:r w:rsidRPr="00B843D6">
        <w:rPr>
          <w:rFonts w:ascii="Times New Roman" w:hAnsi="Times New Roman" w:cs="Times New Roman"/>
          <w:color w:val="4C4747"/>
          <w:sz w:val="24"/>
          <w:szCs w:val="24"/>
        </w:rPr>
        <w:t xml:space="preserve"> satisfactoriamente el proceso de auditoría al Sistema de Gestión de Seguridad de la Información basado en la Norma Internacional ISO/IEC 27001:2013, demostrando un incremento en el nivel de madurez de los controles y procesos que componen dicho sistema, logrando mantener su certificación internacional con relación a dicha norma.  </w:t>
      </w:r>
    </w:p>
    <w:p w14:paraId="2693C801" w14:textId="47CA2FFB" w:rsidR="009A02D9" w:rsidRPr="00B843D6" w:rsidRDefault="009A02D9" w:rsidP="005D08D4">
      <w:pPr>
        <w:spacing w:line="360" w:lineRule="auto"/>
        <w:jc w:val="both"/>
        <w:rPr>
          <w:rFonts w:ascii="Times New Roman" w:hAnsi="Times New Roman" w:cs="Times New Roman"/>
          <w:color w:val="4C4747"/>
          <w:sz w:val="24"/>
          <w:szCs w:val="24"/>
        </w:rPr>
      </w:pPr>
      <w:r w:rsidRPr="00B843D6">
        <w:rPr>
          <w:rFonts w:ascii="Times New Roman" w:hAnsi="Times New Roman" w:cs="Times New Roman"/>
          <w:color w:val="4C4747"/>
          <w:sz w:val="24"/>
          <w:szCs w:val="24"/>
        </w:rPr>
        <w:t>Cabe destacar, que durante este año se han realizado actividades claves para la adopción de la nueva versión 2022 de la norma ISO 27001 y la ampliación del alcance del certificado actual.</w:t>
      </w:r>
    </w:p>
    <w:p w14:paraId="4175F5CF" w14:textId="0E6C8690" w:rsidR="009A02D9" w:rsidRPr="00B843D6" w:rsidRDefault="009A02D9" w:rsidP="005D08D4">
      <w:pPr>
        <w:spacing w:line="360" w:lineRule="auto"/>
        <w:jc w:val="both"/>
        <w:rPr>
          <w:rFonts w:ascii="Times New Roman" w:hAnsi="Times New Roman" w:cs="Times New Roman"/>
          <w:color w:val="4C4747"/>
          <w:sz w:val="24"/>
          <w:szCs w:val="24"/>
        </w:rPr>
      </w:pPr>
      <w:r w:rsidRPr="00B843D6">
        <w:rPr>
          <w:rFonts w:ascii="Times New Roman" w:hAnsi="Times New Roman" w:cs="Times New Roman"/>
          <w:color w:val="4C4747"/>
          <w:sz w:val="24"/>
          <w:szCs w:val="24"/>
        </w:rPr>
        <w:t>Desde el punto de vista de Madurez de ciberseguridad, en coordinación con todas las áreas involucradas, en este 2023 se ha desarrollado un esquema de trabajo enfocado en la revisión y evaluación de controles de Seguridad Cibernética y de la Información, acorde a Normas internaciones y marcos de referencias como son ISO27002, NIST, e ISF.</w:t>
      </w:r>
    </w:p>
    <w:p w14:paraId="4FB6151C" w14:textId="4814EF74" w:rsidR="009A02D9" w:rsidRPr="00B843D6" w:rsidRDefault="009A02D9" w:rsidP="009A02D9">
      <w:pPr>
        <w:spacing w:line="360" w:lineRule="auto"/>
        <w:jc w:val="both"/>
        <w:rPr>
          <w:rFonts w:ascii="Times New Roman" w:hAnsi="Times New Roman" w:cs="Times New Roman"/>
          <w:b/>
          <w:color w:val="4C4747"/>
          <w:sz w:val="24"/>
          <w:szCs w:val="24"/>
        </w:rPr>
      </w:pPr>
      <w:r w:rsidRPr="00B843D6">
        <w:rPr>
          <w:rFonts w:ascii="Times New Roman" w:hAnsi="Times New Roman" w:cs="Times New Roman"/>
          <w:b/>
          <w:color w:val="4C4747"/>
          <w:sz w:val="24"/>
          <w:szCs w:val="24"/>
        </w:rPr>
        <w:t>Programa de Concienciación</w:t>
      </w:r>
    </w:p>
    <w:p w14:paraId="2769D329" w14:textId="15848F61" w:rsidR="009A02D9" w:rsidRPr="005D08D4" w:rsidRDefault="009A02D9"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A través del Programa de Concienciación en Seguridad Cibernética y de la Información, el Banco Central busca reforzar el compromiso de involucrar a todo el personal de la organización en la protección de sus activos de información y desarrollar una cultura de ciberseguridad. En ese sentido, enunciamos a continuación las actividades formativas correspondientes al año 2023 que apoyan esta iniciativa: </w:t>
      </w:r>
    </w:p>
    <w:p w14:paraId="21D68644" w14:textId="77777777" w:rsidR="009A02D9" w:rsidRPr="005D08D4" w:rsidRDefault="009A02D9"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w:t>
      </w:r>
      <w:r w:rsidRPr="005D08D4">
        <w:rPr>
          <w:rFonts w:ascii="Times New Roman" w:hAnsi="Times New Roman" w:cs="Times New Roman"/>
          <w:color w:val="4C4747"/>
          <w:sz w:val="24"/>
          <w:szCs w:val="24"/>
        </w:rPr>
        <w:tab/>
        <w:t>Difusión de cápsulas de capacitación.</w:t>
      </w:r>
    </w:p>
    <w:p w14:paraId="3DE9A549" w14:textId="77777777" w:rsidR="009A02D9" w:rsidRPr="005D08D4" w:rsidRDefault="009A02D9"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w:t>
      </w:r>
      <w:r w:rsidRPr="005D08D4">
        <w:rPr>
          <w:rFonts w:ascii="Times New Roman" w:hAnsi="Times New Roman" w:cs="Times New Roman"/>
          <w:color w:val="4C4747"/>
          <w:sz w:val="24"/>
          <w:szCs w:val="24"/>
        </w:rPr>
        <w:tab/>
        <w:t xml:space="preserve">Remisión de boletines informativos. </w:t>
      </w:r>
    </w:p>
    <w:p w14:paraId="4776BF68" w14:textId="77777777" w:rsidR="009A02D9" w:rsidRPr="005D08D4" w:rsidRDefault="009A02D9"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w:t>
      </w:r>
      <w:r w:rsidRPr="005D08D4">
        <w:rPr>
          <w:rFonts w:ascii="Times New Roman" w:hAnsi="Times New Roman" w:cs="Times New Roman"/>
          <w:color w:val="4C4747"/>
          <w:sz w:val="24"/>
          <w:szCs w:val="24"/>
        </w:rPr>
        <w:tab/>
        <w:t xml:space="preserve">Simulaciones de phishing. </w:t>
      </w:r>
    </w:p>
    <w:p w14:paraId="72DEEA34" w14:textId="295D192D" w:rsidR="009A02D9" w:rsidRPr="005D08D4" w:rsidRDefault="009A02D9"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lastRenderedPageBreak/>
        <w:t>-</w:t>
      </w:r>
      <w:r w:rsidRPr="005D08D4">
        <w:rPr>
          <w:rFonts w:ascii="Times New Roman" w:hAnsi="Times New Roman" w:cs="Times New Roman"/>
          <w:color w:val="4C4747"/>
          <w:sz w:val="24"/>
          <w:szCs w:val="24"/>
        </w:rPr>
        <w:tab/>
        <w:t>Actividades de concienciación para funcionarios (</w:t>
      </w:r>
      <w:proofErr w:type="spellStart"/>
      <w:r w:rsidRPr="005D08D4">
        <w:rPr>
          <w:rFonts w:ascii="Times New Roman" w:hAnsi="Times New Roman" w:cs="Times New Roman"/>
          <w:color w:val="4C4747"/>
          <w:sz w:val="24"/>
          <w:szCs w:val="24"/>
        </w:rPr>
        <w:t>Cybertech</w:t>
      </w:r>
      <w:proofErr w:type="spellEnd"/>
      <w:r w:rsidRPr="005D08D4">
        <w:rPr>
          <w:rFonts w:ascii="Times New Roman" w:hAnsi="Times New Roman" w:cs="Times New Roman"/>
          <w:color w:val="4C4747"/>
          <w:sz w:val="24"/>
          <w:szCs w:val="24"/>
        </w:rPr>
        <w:t xml:space="preserve"> Summit).</w:t>
      </w:r>
    </w:p>
    <w:p w14:paraId="7A80E996" w14:textId="77777777" w:rsidR="00AF1992" w:rsidRPr="005D08D4" w:rsidRDefault="009A02D9" w:rsidP="009A02D9">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Para la ejecución de las actividades citadas anteriormente, fueron utilizadas técnicas y herramientas particulares que facilitaron la transmisión de los temas a través de distintos medios de difusión como el correo electrónico institucional, la plataforma de concienciación y las murales físicos y electrónicos colocados estratégicamente en todo el banco.</w:t>
      </w:r>
    </w:p>
    <w:p w14:paraId="6CCBAF58" w14:textId="3E8E09BE" w:rsidR="009A02D9" w:rsidRPr="005D08D4" w:rsidRDefault="009A02D9" w:rsidP="009A02D9">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De igual manera, desarrollamos una interacción directa con los colaboradores para atender dudas, reportes o consultas respecto a temas o herramientas relacionadas a la seguridad cibernética y de la información. </w:t>
      </w:r>
    </w:p>
    <w:p w14:paraId="301AB596" w14:textId="0444ECCC" w:rsidR="009A02D9" w:rsidRPr="00AF1992" w:rsidRDefault="00D65277" w:rsidP="009A02D9">
      <w:pPr>
        <w:spacing w:line="360" w:lineRule="auto"/>
        <w:jc w:val="both"/>
        <w:rPr>
          <w:rFonts w:ascii="Times New Roman" w:hAnsi="Times New Roman" w:cs="Times New Roman"/>
          <w:b/>
          <w:color w:val="4C4747"/>
          <w:sz w:val="24"/>
          <w:szCs w:val="24"/>
        </w:rPr>
      </w:pPr>
      <w:r w:rsidRPr="00AF1992">
        <w:rPr>
          <w:rFonts w:ascii="Times New Roman" w:hAnsi="Times New Roman" w:cs="Times New Roman"/>
          <w:b/>
          <w:color w:val="4C4747"/>
          <w:sz w:val="24"/>
          <w:szCs w:val="24"/>
        </w:rPr>
        <w:t>Centro De Respuesta A Incidentes De Ciberseguridad Para El Sector Financiero (</w:t>
      </w:r>
      <w:proofErr w:type="spellStart"/>
      <w:r w:rsidRPr="00AF1992">
        <w:rPr>
          <w:rFonts w:ascii="Times New Roman" w:hAnsi="Times New Roman" w:cs="Times New Roman"/>
          <w:b/>
          <w:color w:val="4C4747"/>
          <w:sz w:val="24"/>
          <w:szCs w:val="24"/>
        </w:rPr>
        <w:t>Sprics</w:t>
      </w:r>
      <w:proofErr w:type="spellEnd"/>
      <w:r w:rsidRPr="00AF1992">
        <w:rPr>
          <w:rFonts w:ascii="Times New Roman" w:hAnsi="Times New Roman" w:cs="Times New Roman"/>
          <w:b/>
          <w:color w:val="4C4747"/>
          <w:sz w:val="24"/>
          <w:szCs w:val="24"/>
        </w:rPr>
        <w:t>)</w:t>
      </w:r>
    </w:p>
    <w:p w14:paraId="3C7355E3" w14:textId="6E28AC13" w:rsidR="009A02D9" w:rsidRPr="005D08D4" w:rsidRDefault="009A02D9" w:rsidP="009A02D9">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Con la finalidad de elevar el nivel de madurez de la </w:t>
      </w:r>
      <w:proofErr w:type="spellStart"/>
      <w:r w:rsidRPr="005D08D4">
        <w:rPr>
          <w:rFonts w:ascii="Times New Roman" w:hAnsi="Times New Roman" w:cs="Times New Roman"/>
          <w:color w:val="4C4747"/>
          <w:sz w:val="24"/>
          <w:szCs w:val="24"/>
        </w:rPr>
        <w:t>ciberpostura</w:t>
      </w:r>
      <w:proofErr w:type="spellEnd"/>
      <w:r w:rsidRPr="005D08D4">
        <w:rPr>
          <w:rFonts w:ascii="Times New Roman" w:hAnsi="Times New Roman" w:cs="Times New Roman"/>
          <w:color w:val="4C4747"/>
          <w:sz w:val="24"/>
          <w:szCs w:val="24"/>
        </w:rPr>
        <w:t xml:space="preserve"> para hacer frente a los riesgos cibernéticos de las entidades que conforman el Sistema Financiero y de Pagos, el Centro de Respuesta a Incidentes de  Seguridad Cibernética del Sector Financiero (SPRICS) ha integrado nuevas funciones y fortalecido sus servicios actuales para expandir la colaboración y el intercambio de información e inteligencia con organismos locales e internacionales a partir de la elaboración e implementación de informes de inteligencia de ciberseguridad y procesos para la prevención, detección y contención de incidentes de ciberseguridad, así como también la expansión, optimización y el fortalecimiento de las capacidades, la infraestructura tecnológica y los procesos de las herramientas operativas, flujos de trabajos y servicios internos que apoyan las actividades funcionales del SPRICS.</w:t>
      </w:r>
    </w:p>
    <w:p w14:paraId="78D4B452" w14:textId="15D32B5B" w:rsidR="009A02D9" w:rsidRPr="005D08D4" w:rsidRDefault="009A02D9" w:rsidP="009A02D9">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Con nuevas fuentes de inteligencia focalizadas, nuevas capacidades de monitoreo e investigación proactiva, capacitaciones impartidas y medidas preventivas compartidas, las entidades han podido adoptar recomendaciones de mitigación para la protección ante las amenazas de ciberseguridad que pudieran haberles afectado. En ese mismo sentido, el sector ha recibido la asistencia en la respuesta y </w:t>
      </w:r>
      <w:r w:rsidRPr="005D08D4">
        <w:rPr>
          <w:rFonts w:ascii="Times New Roman" w:hAnsi="Times New Roman" w:cs="Times New Roman"/>
          <w:color w:val="4C4747"/>
          <w:sz w:val="24"/>
          <w:szCs w:val="24"/>
        </w:rPr>
        <w:lastRenderedPageBreak/>
        <w:t>contención de los casos de incidentes materializados que tuvieron lugar durante el transcurso de los primeros 11 meses del presente año 2023.</w:t>
      </w:r>
    </w:p>
    <w:p w14:paraId="68DE526E" w14:textId="4354BDA3" w:rsidR="009A02D9" w:rsidRPr="005D08D4" w:rsidRDefault="009A02D9" w:rsidP="009A02D9">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El SPRICS, durante los primeros 11 meses del año, recibió un total de 447,276 eventos de ciberseguridad de parte de las entidades participantes del Sistema Financiero y de Pagos, generando un total de 4,455 eventos notorios (alertas) que fueron gestionadas por el SPRICS en conjunto con las entidades.  De las alertas generadas, 14 se convirtieron en incidentes de ciberseguridad materializados, a partir de los cuales se emitieron medidas reactivas y preventivas para el sector, asistiendo en la contención y respuesta, así como también mitigando otros eventos sistémicos.</w:t>
      </w:r>
    </w:p>
    <w:p w14:paraId="3CA58231" w14:textId="340D25B8" w:rsidR="00585344" w:rsidRPr="005D08D4" w:rsidRDefault="009A02D9" w:rsidP="009A02D9">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La correlación de estos 447,276 eventos de ciberseguridad recibidos de las entidades y las fuentes de inteligencia, permitieron generar un total de 19 boletines de alertas/informativos, 48 boletines de las 10 amenazas más reportadas, y 10,113 Indicadores de Compromisos (</w:t>
      </w:r>
      <w:proofErr w:type="spellStart"/>
      <w:r w:rsidRPr="005D08D4">
        <w:rPr>
          <w:rFonts w:ascii="Times New Roman" w:hAnsi="Times New Roman" w:cs="Times New Roman"/>
          <w:color w:val="4C4747"/>
          <w:sz w:val="24"/>
          <w:szCs w:val="24"/>
        </w:rPr>
        <w:t>IoCs</w:t>
      </w:r>
      <w:proofErr w:type="spellEnd"/>
      <w:r w:rsidRPr="005D08D4">
        <w:rPr>
          <w:rFonts w:ascii="Times New Roman" w:hAnsi="Times New Roman" w:cs="Times New Roman"/>
          <w:color w:val="4C4747"/>
          <w:sz w:val="24"/>
          <w:szCs w:val="24"/>
        </w:rPr>
        <w:t>) que fueron compartidos con las entidades participantes para el establecimiento de medidas preventivas y la mitigación de riesgos cibernéticos.</w:t>
      </w:r>
    </w:p>
    <w:p w14:paraId="3D5DC7DF" w14:textId="51C98FB3" w:rsidR="00585344" w:rsidRPr="005D08D4" w:rsidRDefault="00585344" w:rsidP="008D21CF">
      <w:pPr>
        <w:spacing w:line="360" w:lineRule="auto"/>
        <w:jc w:val="both"/>
        <w:rPr>
          <w:rFonts w:ascii="Times New Roman" w:hAnsi="Times New Roman" w:cs="Times New Roman"/>
          <w:color w:val="4C4747"/>
          <w:sz w:val="24"/>
          <w:szCs w:val="24"/>
        </w:rPr>
      </w:pPr>
    </w:p>
    <w:p w14:paraId="3C9AB020" w14:textId="15639D42" w:rsidR="00585344" w:rsidRDefault="00585344" w:rsidP="008D21CF">
      <w:pPr>
        <w:spacing w:line="360" w:lineRule="auto"/>
        <w:jc w:val="both"/>
        <w:rPr>
          <w:rFonts w:ascii="Times New Roman" w:hAnsi="Times New Roman" w:cs="Times New Roman"/>
          <w:color w:val="767171"/>
          <w:sz w:val="24"/>
          <w:szCs w:val="24"/>
        </w:rPr>
      </w:pPr>
    </w:p>
    <w:p w14:paraId="0A4FAFA4" w14:textId="633CEEC7" w:rsidR="00EC6B6D" w:rsidRDefault="00EC6B6D" w:rsidP="000944CE">
      <w:pPr>
        <w:spacing w:after="0" w:line="360" w:lineRule="auto"/>
        <w:jc w:val="both"/>
        <w:rPr>
          <w:rFonts w:ascii="Times New Roman" w:hAnsi="Times New Roman" w:cs="Times New Roman"/>
          <w:color w:val="767171"/>
          <w:sz w:val="24"/>
          <w:szCs w:val="24"/>
        </w:rPr>
      </w:pPr>
    </w:p>
    <w:p w14:paraId="33A129A0" w14:textId="48C6B717" w:rsidR="00D65277" w:rsidRDefault="00D65277" w:rsidP="000944CE">
      <w:pPr>
        <w:spacing w:after="0" w:line="360" w:lineRule="auto"/>
        <w:jc w:val="both"/>
        <w:rPr>
          <w:rFonts w:ascii="Times New Roman" w:hAnsi="Times New Roman" w:cs="Times New Roman"/>
          <w:color w:val="767171"/>
          <w:sz w:val="24"/>
          <w:szCs w:val="24"/>
        </w:rPr>
      </w:pPr>
    </w:p>
    <w:p w14:paraId="0A6AD0A4" w14:textId="3ED2CA8B" w:rsidR="00D65277" w:rsidRDefault="00D65277" w:rsidP="000944CE">
      <w:pPr>
        <w:spacing w:after="0" w:line="360" w:lineRule="auto"/>
        <w:jc w:val="both"/>
        <w:rPr>
          <w:rFonts w:ascii="Times New Roman" w:hAnsi="Times New Roman" w:cs="Times New Roman"/>
          <w:color w:val="767171"/>
          <w:sz w:val="24"/>
          <w:szCs w:val="24"/>
        </w:rPr>
      </w:pPr>
    </w:p>
    <w:p w14:paraId="37B0FB5B" w14:textId="1BA7A921" w:rsidR="00D65277" w:rsidRDefault="00D65277" w:rsidP="000944CE">
      <w:pPr>
        <w:spacing w:after="0" w:line="360" w:lineRule="auto"/>
        <w:jc w:val="both"/>
        <w:rPr>
          <w:rFonts w:ascii="Times New Roman" w:hAnsi="Times New Roman" w:cs="Times New Roman"/>
          <w:color w:val="767171"/>
          <w:sz w:val="24"/>
          <w:szCs w:val="24"/>
        </w:rPr>
      </w:pPr>
    </w:p>
    <w:p w14:paraId="0A100D04" w14:textId="24D00482" w:rsidR="00D65277" w:rsidRDefault="00D65277" w:rsidP="000944CE">
      <w:pPr>
        <w:spacing w:after="0" w:line="360" w:lineRule="auto"/>
        <w:jc w:val="both"/>
        <w:rPr>
          <w:rFonts w:ascii="Times New Roman" w:hAnsi="Times New Roman" w:cs="Times New Roman"/>
          <w:color w:val="767171"/>
          <w:sz w:val="24"/>
          <w:szCs w:val="24"/>
        </w:rPr>
      </w:pPr>
    </w:p>
    <w:p w14:paraId="5B49AF97" w14:textId="77777777" w:rsidR="00D65277" w:rsidRDefault="00D65277" w:rsidP="000944CE">
      <w:pPr>
        <w:spacing w:after="0" w:line="360" w:lineRule="auto"/>
        <w:jc w:val="both"/>
        <w:rPr>
          <w:rFonts w:ascii="Times New Roman" w:hAnsi="Times New Roman" w:cs="Times New Roman"/>
          <w:color w:val="767171"/>
          <w:sz w:val="24"/>
          <w:szCs w:val="24"/>
        </w:rPr>
      </w:pPr>
    </w:p>
    <w:p w14:paraId="7431B54F" w14:textId="77777777" w:rsidR="009A02D9" w:rsidRPr="00BB311A" w:rsidRDefault="009A02D9" w:rsidP="000944CE">
      <w:pPr>
        <w:spacing w:after="0" w:line="360" w:lineRule="auto"/>
        <w:jc w:val="both"/>
        <w:rPr>
          <w:rFonts w:ascii="Times New Roman" w:hAnsi="Times New Roman" w:cs="Times New Roman"/>
          <w:color w:val="4C4747"/>
          <w:sz w:val="24"/>
          <w:szCs w:val="24"/>
        </w:rPr>
      </w:pPr>
    </w:p>
    <w:p w14:paraId="245580FB" w14:textId="77777777" w:rsidR="00EC6B6D" w:rsidRDefault="00EC6B6D" w:rsidP="000944CE">
      <w:pPr>
        <w:pStyle w:val="Heading2"/>
        <w:rPr>
          <w:rFonts w:ascii="Times New Roman" w:eastAsiaTheme="minorHAnsi" w:hAnsi="Times New Roman" w:cs="Times New Roman"/>
          <w:color w:val="4C4747"/>
          <w:sz w:val="24"/>
          <w:szCs w:val="24"/>
        </w:rPr>
      </w:pPr>
    </w:p>
    <w:p w14:paraId="3C610A9D" w14:textId="212BB1EC" w:rsidR="003B6C58" w:rsidRPr="00AF1992" w:rsidRDefault="00ED3488" w:rsidP="000944CE">
      <w:pPr>
        <w:pStyle w:val="Heading2"/>
        <w:rPr>
          <w:rFonts w:ascii="Times New Roman" w:hAnsi="Times New Roman" w:cs="Times New Roman"/>
          <w:b/>
          <w:color w:val="4C4747"/>
          <w:sz w:val="24"/>
          <w:szCs w:val="24"/>
        </w:rPr>
      </w:pPr>
      <w:bookmarkStart w:id="43" w:name="_Toc155259675"/>
      <w:r w:rsidRPr="00AF1992">
        <w:rPr>
          <w:rFonts w:ascii="Times New Roman" w:hAnsi="Times New Roman" w:cs="Times New Roman"/>
          <w:b/>
          <w:color w:val="4C4747"/>
          <w:sz w:val="24"/>
          <w:szCs w:val="24"/>
        </w:rPr>
        <w:t>4.5</w:t>
      </w:r>
      <w:r w:rsidR="0092786C" w:rsidRPr="00AF1992">
        <w:rPr>
          <w:rFonts w:ascii="Times New Roman" w:hAnsi="Times New Roman" w:cs="Times New Roman"/>
          <w:b/>
          <w:color w:val="4C4747"/>
          <w:sz w:val="24"/>
          <w:szCs w:val="24"/>
        </w:rPr>
        <w:t xml:space="preserve"> </w:t>
      </w:r>
      <w:r w:rsidRPr="00AF1992">
        <w:rPr>
          <w:rFonts w:ascii="Times New Roman" w:hAnsi="Times New Roman" w:cs="Times New Roman"/>
          <w:b/>
          <w:color w:val="4C4747"/>
          <w:sz w:val="24"/>
          <w:szCs w:val="24"/>
        </w:rPr>
        <w:t>Desempeño del Sistema de Planificación y Desarrollo Institucional</w:t>
      </w:r>
      <w:bookmarkEnd w:id="43"/>
    </w:p>
    <w:p w14:paraId="2958DA18" w14:textId="519DA77D" w:rsidR="005A3B36" w:rsidRDefault="005A3B36" w:rsidP="003B6C58"/>
    <w:p w14:paraId="18808F0F" w14:textId="77777777" w:rsidR="002E7B17" w:rsidRPr="005D08D4" w:rsidRDefault="002E7B17" w:rsidP="00AF1992">
      <w:pPr>
        <w:spacing w:line="360" w:lineRule="auto"/>
        <w:jc w:val="both"/>
        <w:rPr>
          <w:rFonts w:ascii="Times New Roman" w:hAnsi="Times New Roman" w:cs="Times New Roman"/>
          <w:color w:val="4C4747"/>
          <w:sz w:val="24"/>
          <w:szCs w:val="24"/>
          <w:lang w:val="es-ES"/>
        </w:rPr>
      </w:pPr>
      <w:r w:rsidRPr="005D08D4">
        <w:rPr>
          <w:rFonts w:ascii="Times New Roman" w:hAnsi="Times New Roman" w:cs="Times New Roman"/>
          <w:color w:val="4C4747"/>
          <w:sz w:val="24"/>
          <w:szCs w:val="24"/>
          <w:lang w:val="es-ES"/>
        </w:rPr>
        <w:t>La ejecución del Plan Estratégico Institucional (PEI) 2022-2025, a diciembre del 2023, culminó cerca de la meta esperada del 50.00 por ciento</w:t>
      </w:r>
      <w:r w:rsidRPr="005D08D4">
        <w:rPr>
          <w:rFonts w:ascii="Times New Roman" w:hAnsi="Times New Roman" w:cs="Times New Roman"/>
          <w:color w:val="4C4747"/>
          <w:sz w:val="24"/>
          <w:szCs w:val="24"/>
          <w:vertAlign w:val="superscript"/>
          <w:lang w:val="es-ES"/>
        </w:rPr>
        <w:footnoteReference w:id="1"/>
      </w:r>
      <w:r w:rsidRPr="005D08D4">
        <w:rPr>
          <w:rFonts w:ascii="Times New Roman" w:hAnsi="Times New Roman" w:cs="Times New Roman"/>
          <w:color w:val="4C4747"/>
          <w:sz w:val="24"/>
          <w:szCs w:val="24"/>
          <w:lang w:val="es-ES"/>
        </w:rPr>
        <w:t>. Al cierre de dicho período, el Banco Central de la República Dominicana mostró un Nivel de Logro (</w:t>
      </w:r>
      <w:proofErr w:type="spellStart"/>
      <w:r w:rsidRPr="005D08D4">
        <w:rPr>
          <w:rFonts w:ascii="Times New Roman" w:hAnsi="Times New Roman" w:cs="Times New Roman"/>
          <w:color w:val="4C4747"/>
          <w:sz w:val="24"/>
          <w:szCs w:val="24"/>
          <w:lang w:val="es-ES"/>
        </w:rPr>
        <w:t>NdL</w:t>
      </w:r>
      <w:proofErr w:type="spellEnd"/>
      <w:r w:rsidRPr="005D08D4">
        <w:rPr>
          <w:rFonts w:ascii="Times New Roman" w:hAnsi="Times New Roman" w:cs="Times New Roman"/>
          <w:color w:val="4C4747"/>
          <w:sz w:val="24"/>
          <w:szCs w:val="24"/>
          <w:lang w:val="es-ES"/>
        </w:rPr>
        <w:t>) del 48.80 por ciento.</w:t>
      </w:r>
    </w:p>
    <w:p w14:paraId="16FCE22E" w14:textId="77777777" w:rsidR="002E7B17" w:rsidRPr="005D08D4" w:rsidRDefault="002E7B17" w:rsidP="00AF1992">
      <w:pPr>
        <w:spacing w:line="360" w:lineRule="auto"/>
        <w:jc w:val="both"/>
        <w:rPr>
          <w:rFonts w:ascii="Times New Roman" w:hAnsi="Times New Roman" w:cs="Times New Roman"/>
          <w:color w:val="4C4747"/>
          <w:sz w:val="24"/>
          <w:szCs w:val="24"/>
          <w:lang w:val="es-ES"/>
        </w:rPr>
      </w:pPr>
      <w:r w:rsidRPr="005D08D4">
        <w:rPr>
          <w:rFonts w:ascii="Times New Roman" w:hAnsi="Times New Roman" w:cs="Times New Roman"/>
          <w:color w:val="4C4747"/>
          <w:sz w:val="24"/>
          <w:szCs w:val="24"/>
          <w:lang w:val="es-ES"/>
        </w:rPr>
        <w:t>El Nivel de Logro (</w:t>
      </w:r>
      <w:proofErr w:type="spellStart"/>
      <w:r w:rsidRPr="005D08D4">
        <w:rPr>
          <w:rFonts w:ascii="Times New Roman" w:hAnsi="Times New Roman" w:cs="Times New Roman"/>
          <w:color w:val="4C4747"/>
          <w:sz w:val="24"/>
          <w:szCs w:val="24"/>
          <w:lang w:val="es-ES"/>
        </w:rPr>
        <w:t>NdL</w:t>
      </w:r>
      <w:proofErr w:type="spellEnd"/>
      <w:r w:rsidRPr="005D08D4">
        <w:rPr>
          <w:rFonts w:ascii="Times New Roman" w:hAnsi="Times New Roman" w:cs="Times New Roman"/>
          <w:color w:val="4C4747"/>
          <w:sz w:val="24"/>
          <w:szCs w:val="24"/>
          <w:lang w:val="es-ES"/>
        </w:rPr>
        <w:t>) del PEI hasta la referida fecha es desagregado por Objetivos Estratégicos, tal y como se muestra en el siguiente detalle:</w:t>
      </w:r>
    </w:p>
    <w:tbl>
      <w:tblPr>
        <w:tblStyle w:val="TableGridLight"/>
        <w:tblW w:w="0" w:type="auto"/>
        <w:jc w:val="right"/>
        <w:shd w:val="clear" w:color="auto" w:fill="142F62"/>
        <w:tblLook w:val="04A0" w:firstRow="1" w:lastRow="0" w:firstColumn="1" w:lastColumn="0" w:noHBand="0" w:noVBand="1"/>
      </w:tblPr>
      <w:tblGrid>
        <w:gridCol w:w="6259"/>
        <w:gridCol w:w="1514"/>
      </w:tblGrid>
      <w:tr w:rsidR="00AF1992" w:rsidRPr="00AF1992" w14:paraId="562E372A" w14:textId="77777777" w:rsidTr="00E50E90">
        <w:trPr>
          <w:trHeight w:val="287"/>
          <w:tblHeader/>
          <w:jc w:val="right"/>
        </w:trPr>
        <w:tc>
          <w:tcPr>
            <w:tcW w:w="6259" w:type="dxa"/>
            <w:shd w:val="clear" w:color="auto" w:fill="011C50"/>
            <w:vAlign w:val="center"/>
          </w:tcPr>
          <w:p w14:paraId="7E7DCD3B" w14:textId="77777777" w:rsidR="002E7B17" w:rsidRPr="005D08D4" w:rsidRDefault="002E7B17" w:rsidP="002E7B17">
            <w:pPr>
              <w:spacing w:line="312" w:lineRule="auto"/>
              <w:jc w:val="center"/>
              <w:rPr>
                <w:rFonts w:ascii="Times New Roman" w:hAnsi="Times New Roman" w:cs="Times New Roman"/>
                <w:color w:val="FFFFFF" w:themeColor="background1"/>
                <w:sz w:val="24"/>
                <w:szCs w:val="24"/>
                <w:lang w:val="es-ES"/>
              </w:rPr>
            </w:pPr>
            <w:r w:rsidRPr="005D08D4">
              <w:rPr>
                <w:rFonts w:ascii="Times New Roman" w:hAnsi="Times New Roman" w:cs="Times New Roman"/>
                <w:color w:val="FFFFFF" w:themeColor="background1"/>
                <w:sz w:val="24"/>
                <w:szCs w:val="24"/>
                <w:lang w:val="es-ES"/>
              </w:rPr>
              <w:t>Objetivos Estratégicos</w:t>
            </w:r>
          </w:p>
        </w:tc>
        <w:tc>
          <w:tcPr>
            <w:tcW w:w="1514" w:type="dxa"/>
            <w:shd w:val="clear" w:color="auto" w:fill="142F62"/>
            <w:vAlign w:val="center"/>
          </w:tcPr>
          <w:p w14:paraId="3B375E6C" w14:textId="77777777" w:rsidR="002E7B17" w:rsidRPr="005D08D4" w:rsidRDefault="002E7B17" w:rsidP="002E7B17">
            <w:pPr>
              <w:spacing w:line="312" w:lineRule="auto"/>
              <w:jc w:val="center"/>
              <w:rPr>
                <w:rFonts w:ascii="Times New Roman" w:hAnsi="Times New Roman" w:cs="Times New Roman"/>
                <w:color w:val="FFFFFF" w:themeColor="background1"/>
                <w:sz w:val="24"/>
                <w:szCs w:val="24"/>
                <w:lang w:val="es-ES"/>
              </w:rPr>
            </w:pPr>
            <w:proofErr w:type="spellStart"/>
            <w:r w:rsidRPr="005D08D4">
              <w:rPr>
                <w:rFonts w:ascii="Times New Roman" w:hAnsi="Times New Roman" w:cs="Times New Roman"/>
                <w:color w:val="FFFFFF" w:themeColor="background1"/>
                <w:sz w:val="24"/>
                <w:szCs w:val="24"/>
                <w:lang w:val="es-ES"/>
              </w:rPr>
              <w:t>NdL</w:t>
            </w:r>
            <w:proofErr w:type="spellEnd"/>
          </w:p>
        </w:tc>
      </w:tr>
      <w:tr w:rsidR="00AF1992" w:rsidRPr="00AF1992" w14:paraId="2EB5D4DF" w14:textId="77777777" w:rsidTr="00E50E90">
        <w:trPr>
          <w:trHeight w:val="413"/>
          <w:tblHeader/>
          <w:jc w:val="right"/>
        </w:trPr>
        <w:tc>
          <w:tcPr>
            <w:tcW w:w="6259" w:type="dxa"/>
            <w:shd w:val="clear" w:color="auto" w:fill="011C50"/>
            <w:vAlign w:val="center"/>
          </w:tcPr>
          <w:p w14:paraId="46072F9B" w14:textId="77777777" w:rsidR="002E7B17" w:rsidRPr="00E50E90" w:rsidRDefault="002E7B17" w:rsidP="002E7B17">
            <w:pPr>
              <w:numPr>
                <w:ilvl w:val="0"/>
                <w:numId w:val="39"/>
              </w:numPr>
              <w:spacing w:line="312" w:lineRule="auto"/>
              <w:jc w:val="both"/>
              <w:rPr>
                <w:rFonts w:ascii="Times New Roman" w:hAnsi="Times New Roman" w:cs="Times New Roman"/>
                <w:color w:val="FFFFFF" w:themeColor="background1"/>
                <w:sz w:val="24"/>
                <w:szCs w:val="24"/>
                <w:lang w:val="es-ES"/>
              </w:rPr>
            </w:pPr>
            <w:r w:rsidRPr="00E50E90">
              <w:rPr>
                <w:rFonts w:ascii="Times New Roman" w:hAnsi="Times New Roman" w:cs="Times New Roman"/>
                <w:color w:val="FFFFFF" w:themeColor="background1"/>
                <w:sz w:val="24"/>
                <w:szCs w:val="24"/>
                <w:lang w:val="es-ES"/>
              </w:rPr>
              <w:t>Mantener la estabilidad de precios.</w:t>
            </w:r>
          </w:p>
        </w:tc>
        <w:tc>
          <w:tcPr>
            <w:tcW w:w="1514" w:type="dxa"/>
            <w:shd w:val="clear" w:color="auto" w:fill="011C50"/>
            <w:vAlign w:val="center"/>
          </w:tcPr>
          <w:p w14:paraId="1CBA35FC" w14:textId="77777777" w:rsidR="002E7B17" w:rsidRPr="00E50E90" w:rsidRDefault="002E7B17" w:rsidP="002E7B17">
            <w:pPr>
              <w:spacing w:line="312" w:lineRule="auto"/>
              <w:jc w:val="both"/>
              <w:rPr>
                <w:rFonts w:ascii="Times New Roman" w:hAnsi="Times New Roman" w:cs="Times New Roman"/>
                <w:b/>
                <w:color w:val="FFFFFF" w:themeColor="background1"/>
                <w:sz w:val="24"/>
                <w:szCs w:val="24"/>
                <w:lang w:val="es-ES"/>
              </w:rPr>
            </w:pPr>
            <w:r w:rsidRPr="00E50E90">
              <w:rPr>
                <w:rFonts w:ascii="Times New Roman" w:hAnsi="Times New Roman" w:cs="Times New Roman"/>
                <w:b/>
                <w:color w:val="FFFFFF" w:themeColor="background1"/>
                <w:sz w:val="24"/>
                <w:szCs w:val="24"/>
                <w:lang w:val="es-ES"/>
              </w:rPr>
              <w:t>52.99 %</w:t>
            </w:r>
          </w:p>
        </w:tc>
      </w:tr>
      <w:tr w:rsidR="00AF1992" w:rsidRPr="00AF1992" w14:paraId="223521C9" w14:textId="77777777" w:rsidTr="00E50E90">
        <w:trPr>
          <w:tblHeader/>
          <w:jc w:val="right"/>
        </w:trPr>
        <w:tc>
          <w:tcPr>
            <w:tcW w:w="6259" w:type="dxa"/>
            <w:shd w:val="clear" w:color="auto" w:fill="011C50"/>
            <w:vAlign w:val="center"/>
          </w:tcPr>
          <w:p w14:paraId="10B43E10" w14:textId="77777777" w:rsidR="002E7B17" w:rsidRPr="00E50E90" w:rsidRDefault="002E7B17" w:rsidP="002E7B17">
            <w:pPr>
              <w:numPr>
                <w:ilvl w:val="0"/>
                <w:numId w:val="39"/>
              </w:numPr>
              <w:spacing w:line="312" w:lineRule="auto"/>
              <w:jc w:val="both"/>
              <w:rPr>
                <w:rFonts w:ascii="Times New Roman" w:hAnsi="Times New Roman" w:cs="Times New Roman"/>
                <w:color w:val="FFFFFF" w:themeColor="background1"/>
                <w:sz w:val="24"/>
                <w:szCs w:val="24"/>
                <w:lang w:val="es-ES"/>
              </w:rPr>
            </w:pPr>
            <w:r w:rsidRPr="00E50E90">
              <w:rPr>
                <w:rFonts w:ascii="Times New Roman" w:hAnsi="Times New Roman" w:cs="Times New Roman"/>
                <w:color w:val="FFFFFF" w:themeColor="background1"/>
                <w:sz w:val="24"/>
                <w:szCs w:val="24"/>
                <w:lang w:val="es-ES"/>
              </w:rPr>
              <w:t>Procurar la estabilidad y fortalecimiento del Sistema Financiero y la eficiencia y seguridad del Sistema de Pagos.</w:t>
            </w:r>
          </w:p>
        </w:tc>
        <w:tc>
          <w:tcPr>
            <w:tcW w:w="1514" w:type="dxa"/>
            <w:shd w:val="clear" w:color="auto" w:fill="011C50"/>
            <w:vAlign w:val="center"/>
          </w:tcPr>
          <w:p w14:paraId="6DBDB77D" w14:textId="77777777" w:rsidR="002E7B17" w:rsidRPr="00E50E90" w:rsidRDefault="002E7B17" w:rsidP="002E7B17">
            <w:pPr>
              <w:spacing w:line="312" w:lineRule="auto"/>
              <w:jc w:val="both"/>
              <w:rPr>
                <w:rFonts w:ascii="Times New Roman" w:hAnsi="Times New Roman" w:cs="Times New Roman"/>
                <w:b/>
                <w:color w:val="FFFFFF" w:themeColor="background1"/>
                <w:sz w:val="24"/>
                <w:szCs w:val="24"/>
                <w:lang w:val="es-ES"/>
              </w:rPr>
            </w:pPr>
            <w:r w:rsidRPr="00E50E90">
              <w:rPr>
                <w:rFonts w:ascii="Times New Roman" w:hAnsi="Times New Roman" w:cs="Times New Roman"/>
                <w:b/>
                <w:color w:val="FFFFFF" w:themeColor="background1"/>
                <w:sz w:val="24"/>
                <w:szCs w:val="24"/>
                <w:lang w:val="es-ES"/>
              </w:rPr>
              <w:t>47.72 %</w:t>
            </w:r>
          </w:p>
        </w:tc>
      </w:tr>
      <w:tr w:rsidR="00AF1992" w:rsidRPr="00AF1992" w14:paraId="4CB04630" w14:textId="77777777" w:rsidTr="00E50E90">
        <w:trPr>
          <w:tblHeader/>
          <w:jc w:val="right"/>
        </w:trPr>
        <w:tc>
          <w:tcPr>
            <w:tcW w:w="6259" w:type="dxa"/>
            <w:shd w:val="clear" w:color="auto" w:fill="011C50"/>
            <w:vAlign w:val="center"/>
          </w:tcPr>
          <w:p w14:paraId="6B5DDABB" w14:textId="77777777" w:rsidR="002E7B17" w:rsidRPr="00E50E90" w:rsidRDefault="002E7B17" w:rsidP="002E7B17">
            <w:pPr>
              <w:numPr>
                <w:ilvl w:val="0"/>
                <w:numId w:val="39"/>
              </w:numPr>
              <w:spacing w:line="312" w:lineRule="auto"/>
              <w:jc w:val="both"/>
              <w:rPr>
                <w:rFonts w:ascii="Times New Roman" w:hAnsi="Times New Roman" w:cs="Times New Roman"/>
                <w:color w:val="FFFFFF" w:themeColor="background1"/>
                <w:sz w:val="24"/>
                <w:szCs w:val="24"/>
                <w:lang w:val="es-ES"/>
              </w:rPr>
            </w:pPr>
            <w:r w:rsidRPr="00E50E90">
              <w:rPr>
                <w:rFonts w:ascii="Times New Roman" w:hAnsi="Times New Roman" w:cs="Times New Roman"/>
                <w:color w:val="FFFFFF" w:themeColor="background1"/>
                <w:sz w:val="24"/>
                <w:szCs w:val="24"/>
                <w:lang w:val="es-ES"/>
              </w:rPr>
              <w:t>Robustecer la toma de decisiones y la ejecución de las operaciones monetarias, cambiarias y de la administración de las reservas internacionales.</w:t>
            </w:r>
          </w:p>
        </w:tc>
        <w:tc>
          <w:tcPr>
            <w:tcW w:w="1514" w:type="dxa"/>
            <w:shd w:val="clear" w:color="auto" w:fill="011C50"/>
            <w:vAlign w:val="center"/>
          </w:tcPr>
          <w:p w14:paraId="0A9D396A" w14:textId="77777777" w:rsidR="002E7B17" w:rsidRPr="00E50E90" w:rsidRDefault="002E7B17" w:rsidP="002E7B17">
            <w:pPr>
              <w:spacing w:line="312" w:lineRule="auto"/>
              <w:jc w:val="both"/>
              <w:rPr>
                <w:rFonts w:ascii="Times New Roman" w:hAnsi="Times New Roman" w:cs="Times New Roman"/>
                <w:b/>
                <w:color w:val="FFFFFF" w:themeColor="background1"/>
                <w:sz w:val="24"/>
                <w:szCs w:val="24"/>
                <w:lang w:val="es-ES"/>
              </w:rPr>
            </w:pPr>
            <w:r w:rsidRPr="00E50E90">
              <w:rPr>
                <w:rFonts w:ascii="Times New Roman" w:hAnsi="Times New Roman" w:cs="Times New Roman"/>
                <w:b/>
                <w:color w:val="FFFFFF" w:themeColor="background1"/>
                <w:sz w:val="24"/>
                <w:szCs w:val="24"/>
                <w:lang w:val="es-ES"/>
              </w:rPr>
              <w:t>49.27 %</w:t>
            </w:r>
          </w:p>
        </w:tc>
      </w:tr>
      <w:tr w:rsidR="00AF1992" w:rsidRPr="00AF1992" w14:paraId="5AD3858B" w14:textId="77777777" w:rsidTr="00E50E90">
        <w:trPr>
          <w:tblHeader/>
          <w:jc w:val="right"/>
        </w:trPr>
        <w:tc>
          <w:tcPr>
            <w:tcW w:w="6259" w:type="dxa"/>
            <w:shd w:val="clear" w:color="auto" w:fill="011C50"/>
            <w:vAlign w:val="center"/>
          </w:tcPr>
          <w:p w14:paraId="21817F7F" w14:textId="77777777" w:rsidR="002E7B17" w:rsidRPr="00E50E90" w:rsidRDefault="002E7B17" w:rsidP="002E7B17">
            <w:pPr>
              <w:numPr>
                <w:ilvl w:val="0"/>
                <w:numId w:val="39"/>
              </w:numPr>
              <w:spacing w:line="312" w:lineRule="auto"/>
              <w:jc w:val="both"/>
              <w:rPr>
                <w:rFonts w:ascii="Times New Roman" w:hAnsi="Times New Roman" w:cs="Times New Roman"/>
                <w:color w:val="FFFFFF" w:themeColor="background1"/>
                <w:sz w:val="24"/>
                <w:szCs w:val="24"/>
                <w:lang w:val="es-ES"/>
              </w:rPr>
            </w:pPr>
            <w:r w:rsidRPr="00E50E90">
              <w:rPr>
                <w:rFonts w:ascii="Times New Roman" w:hAnsi="Times New Roman" w:cs="Times New Roman"/>
                <w:color w:val="FFFFFF" w:themeColor="background1"/>
                <w:sz w:val="24"/>
                <w:szCs w:val="24"/>
                <w:lang w:val="es-ES"/>
              </w:rPr>
              <w:t>Mantener niveles efectivos de comunicación, transparencia y gobernanza institucional.</w:t>
            </w:r>
          </w:p>
        </w:tc>
        <w:tc>
          <w:tcPr>
            <w:tcW w:w="1514" w:type="dxa"/>
            <w:shd w:val="clear" w:color="auto" w:fill="011C50"/>
            <w:vAlign w:val="center"/>
          </w:tcPr>
          <w:p w14:paraId="0004FFBC" w14:textId="77777777" w:rsidR="002E7B17" w:rsidRPr="00E50E90" w:rsidRDefault="002E7B17" w:rsidP="002E7B17">
            <w:pPr>
              <w:spacing w:line="312" w:lineRule="auto"/>
              <w:jc w:val="both"/>
              <w:rPr>
                <w:rFonts w:ascii="Times New Roman" w:hAnsi="Times New Roman" w:cs="Times New Roman"/>
                <w:b/>
                <w:color w:val="FFFFFF" w:themeColor="background1"/>
                <w:sz w:val="24"/>
                <w:szCs w:val="24"/>
                <w:lang w:val="es-ES"/>
              </w:rPr>
            </w:pPr>
            <w:r w:rsidRPr="00E50E90">
              <w:rPr>
                <w:rFonts w:ascii="Times New Roman" w:hAnsi="Times New Roman" w:cs="Times New Roman"/>
                <w:b/>
                <w:color w:val="FFFFFF" w:themeColor="background1"/>
                <w:sz w:val="24"/>
                <w:szCs w:val="24"/>
                <w:lang w:val="es-ES"/>
              </w:rPr>
              <w:t>50.49 %</w:t>
            </w:r>
          </w:p>
        </w:tc>
      </w:tr>
      <w:tr w:rsidR="00AF1992" w:rsidRPr="00AF1992" w14:paraId="67C6D91E" w14:textId="77777777" w:rsidTr="00E50E90">
        <w:trPr>
          <w:trHeight w:val="824"/>
          <w:tblHeader/>
          <w:jc w:val="right"/>
        </w:trPr>
        <w:tc>
          <w:tcPr>
            <w:tcW w:w="6259" w:type="dxa"/>
            <w:shd w:val="clear" w:color="auto" w:fill="011C50"/>
            <w:vAlign w:val="center"/>
          </w:tcPr>
          <w:p w14:paraId="7FB712D0" w14:textId="77777777" w:rsidR="002E7B17" w:rsidRPr="00E50E90" w:rsidRDefault="002E7B17" w:rsidP="002E7B17">
            <w:pPr>
              <w:numPr>
                <w:ilvl w:val="0"/>
                <w:numId w:val="39"/>
              </w:numPr>
              <w:spacing w:line="312" w:lineRule="auto"/>
              <w:jc w:val="both"/>
              <w:rPr>
                <w:rFonts w:ascii="Times New Roman" w:hAnsi="Times New Roman" w:cs="Times New Roman"/>
                <w:color w:val="FFFFFF" w:themeColor="background1"/>
                <w:sz w:val="24"/>
                <w:szCs w:val="24"/>
                <w:lang w:val="es-ES"/>
              </w:rPr>
            </w:pPr>
            <w:r w:rsidRPr="00E50E90">
              <w:rPr>
                <w:rFonts w:ascii="Times New Roman" w:hAnsi="Times New Roman" w:cs="Times New Roman"/>
                <w:color w:val="FFFFFF" w:themeColor="background1"/>
                <w:sz w:val="24"/>
                <w:szCs w:val="24"/>
                <w:lang w:val="es-ES"/>
              </w:rPr>
              <w:t>Fortalecer la gestión operativa.</w:t>
            </w:r>
          </w:p>
        </w:tc>
        <w:tc>
          <w:tcPr>
            <w:tcW w:w="1514" w:type="dxa"/>
            <w:shd w:val="clear" w:color="auto" w:fill="011C50"/>
            <w:vAlign w:val="center"/>
          </w:tcPr>
          <w:p w14:paraId="2D59C427" w14:textId="77777777" w:rsidR="002E7B17" w:rsidRPr="00E50E90" w:rsidRDefault="002E7B17" w:rsidP="002E7B17">
            <w:pPr>
              <w:spacing w:line="312" w:lineRule="auto"/>
              <w:jc w:val="both"/>
              <w:rPr>
                <w:rFonts w:ascii="Times New Roman" w:hAnsi="Times New Roman" w:cs="Times New Roman"/>
                <w:b/>
                <w:color w:val="FFFFFF" w:themeColor="background1"/>
                <w:sz w:val="24"/>
                <w:szCs w:val="24"/>
                <w:lang w:val="es-ES"/>
              </w:rPr>
            </w:pPr>
            <w:r w:rsidRPr="00E50E90">
              <w:rPr>
                <w:rFonts w:ascii="Times New Roman" w:hAnsi="Times New Roman" w:cs="Times New Roman"/>
                <w:b/>
                <w:color w:val="FFFFFF" w:themeColor="background1"/>
                <w:sz w:val="24"/>
                <w:szCs w:val="24"/>
                <w:lang w:val="es-ES"/>
              </w:rPr>
              <w:t xml:space="preserve"> 46.68 %</w:t>
            </w:r>
          </w:p>
        </w:tc>
      </w:tr>
      <w:tr w:rsidR="00AF1992" w:rsidRPr="00AF1992" w14:paraId="352166C4" w14:textId="77777777" w:rsidTr="00E50E90">
        <w:trPr>
          <w:trHeight w:val="824"/>
          <w:tblHeader/>
          <w:jc w:val="right"/>
        </w:trPr>
        <w:tc>
          <w:tcPr>
            <w:tcW w:w="6259" w:type="dxa"/>
            <w:shd w:val="clear" w:color="auto" w:fill="011C50"/>
            <w:vAlign w:val="center"/>
          </w:tcPr>
          <w:p w14:paraId="528442A4" w14:textId="77777777" w:rsidR="002E7B17" w:rsidRPr="00E50E90" w:rsidRDefault="002E7B17" w:rsidP="002E7B17">
            <w:pPr>
              <w:numPr>
                <w:ilvl w:val="0"/>
                <w:numId w:val="39"/>
              </w:numPr>
              <w:spacing w:line="312" w:lineRule="auto"/>
              <w:jc w:val="both"/>
              <w:rPr>
                <w:rFonts w:ascii="Times New Roman" w:hAnsi="Times New Roman" w:cs="Times New Roman"/>
                <w:color w:val="FFFFFF" w:themeColor="background1"/>
                <w:sz w:val="24"/>
                <w:szCs w:val="24"/>
                <w:lang w:val="es-ES"/>
              </w:rPr>
            </w:pPr>
            <w:r w:rsidRPr="00E50E90">
              <w:rPr>
                <w:rFonts w:ascii="Times New Roman" w:hAnsi="Times New Roman" w:cs="Times New Roman"/>
                <w:color w:val="FFFFFF" w:themeColor="background1"/>
                <w:sz w:val="24"/>
                <w:szCs w:val="24"/>
                <w:lang w:val="es-ES"/>
              </w:rPr>
              <w:t>Optimizar la gestión financiera interna.</w:t>
            </w:r>
          </w:p>
        </w:tc>
        <w:tc>
          <w:tcPr>
            <w:tcW w:w="1514" w:type="dxa"/>
            <w:shd w:val="clear" w:color="auto" w:fill="011C50"/>
            <w:vAlign w:val="center"/>
          </w:tcPr>
          <w:p w14:paraId="36FD7940" w14:textId="77777777" w:rsidR="002E7B17" w:rsidRPr="00E50E90" w:rsidRDefault="002E7B17" w:rsidP="002E7B17">
            <w:pPr>
              <w:spacing w:line="312" w:lineRule="auto"/>
              <w:jc w:val="both"/>
              <w:rPr>
                <w:rFonts w:ascii="Times New Roman" w:hAnsi="Times New Roman" w:cs="Times New Roman"/>
                <w:b/>
                <w:color w:val="FFFFFF" w:themeColor="background1"/>
                <w:sz w:val="24"/>
                <w:szCs w:val="24"/>
                <w:lang w:val="es-ES"/>
              </w:rPr>
            </w:pPr>
            <w:r w:rsidRPr="00E50E90">
              <w:rPr>
                <w:rFonts w:ascii="Times New Roman" w:hAnsi="Times New Roman" w:cs="Times New Roman"/>
                <w:b/>
                <w:color w:val="FFFFFF" w:themeColor="background1"/>
                <w:sz w:val="24"/>
                <w:szCs w:val="24"/>
                <w:lang w:val="es-ES"/>
              </w:rPr>
              <w:t>45.68 %</w:t>
            </w:r>
          </w:p>
        </w:tc>
      </w:tr>
    </w:tbl>
    <w:p w14:paraId="5D7030DD" w14:textId="2EDD5E7F" w:rsidR="002E7B17" w:rsidRPr="00B46D33" w:rsidRDefault="00AF1992" w:rsidP="002E7B17">
      <w:pPr>
        <w:spacing w:line="312" w:lineRule="auto"/>
        <w:jc w:val="both"/>
        <w:rPr>
          <w:rFonts w:ascii="Times New Roman" w:hAnsi="Times New Roman" w:cs="Times New Roman"/>
          <w:b/>
          <w:color w:val="4C4747"/>
          <w:lang w:val="es-ES"/>
        </w:rPr>
      </w:pPr>
      <w:r w:rsidRPr="00B46D33">
        <w:rPr>
          <w:rFonts w:ascii="Gotham Book" w:hAnsi="Gotham Book"/>
          <w:b/>
          <w:sz w:val="20"/>
          <w:szCs w:val="20"/>
          <w:lang w:val="es-ES"/>
        </w:rPr>
        <w:t xml:space="preserve">                    </w:t>
      </w:r>
      <w:r w:rsidR="00EE3086" w:rsidRPr="00B46D33">
        <w:rPr>
          <w:rFonts w:ascii="Gotham Book" w:hAnsi="Gotham Book"/>
          <w:b/>
          <w:sz w:val="20"/>
          <w:szCs w:val="20"/>
          <w:lang w:val="es-ES"/>
        </w:rPr>
        <w:t xml:space="preserve">         </w:t>
      </w:r>
      <w:r w:rsidRPr="00B46D33">
        <w:rPr>
          <w:rFonts w:ascii="Gotham Book" w:hAnsi="Gotham Book"/>
          <w:b/>
          <w:sz w:val="20"/>
          <w:szCs w:val="20"/>
          <w:lang w:val="es-ES"/>
        </w:rPr>
        <w:t xml:space="preserve"> </w:t>
      </w:r>
      <w:r w:rsidRPr="00B46D33">
        <w:rPr>
          <w:rFonts w:ascii="Times New Roman" w:hAnsi="Times New Roman" w:cs="Times New Roman"/>
          <w:b/>
          <w:color w:val="4C4747"/>
          <w:lang w:val="es-ES"/>
        </w:rPr>
        <w:t>Fuente: Depto. De Planificacion y Presupuesto</w:t>
      </w:r>
    </w:p>
    <w:p w14:paraId="36B1DFF6" w14:textId="77777777" w:rsidR="002E7B17" w:rsidRDefault="002E7B17" w:rsidP="008D21CF">
      <w:pPr>
        <w:spacing w:line="360" w:lineRule="auto"/>
        <w:jc w:val="both"/>
        <w:rPr>
          <w:rFonts w:ascii="Times New Roman" w:hAnsi="Times New Roman" w:cs="Times New Roman"/>
          <w:color w:val="767171"/>
          <w:sz w:val="24"/>
          <w:szCs w:val="24"/>
        </w:rPr>
      </w:pPr>
    </w:p>
    <w:p w14:paraId="223928D1" w14:textId="77777777" w:rsidR="002E7B17" w:rsidRDefault="002E7B17" w:rsidP="002E7B17"/>
    <w:p w14:paraId="05DF9559" w14:textId="77777777" w:rsidR="002E7B17" w:rsidRPr="00AF1992" w:rsidRDefault="002E7B17" w:rsidP="002E7B17">
      <w:pPr>
        <w:pStyle w:val="Heading2"/>
        <w:rPr>
          <w:rFonts w:ascii="Times New Roman" w:eastAsia="Artifex CF Extra Light" w:hAnsi="Times New Roman" w:cs="Times New Roman"/>
          <w:b/>
          <w:color w:val="4C4747"/>
          <w:sz w:val="24"/>
          <w:szCs w:val="24"/>
          <w:lang w:val="es-ES"/>
        </w:rPr>
      </w:pPr>
      <w:r w:rsidRPr="0019179A">
        <w:rPr>
          <w:rFonts w:ascii="Times New Roman" w:eastAsia="Artifex CF Extra Light" w:hAnsi="Times New Roman" w:cs="Times New Roman"/>
          <w:b/>
          <w:color w:val="767171"/>
          <w:sz w:val="28"/>
          <w:szCs w:val="28"/>
          <w:lang w:val="es-ES"/>
        </w:rPr>
        <w:lastRenderedPageBreak/>
        <w:t xml:space="preserve">                                        </w:t>
      </w:r>
      <w:bookmarkStart w:id="44" w:name="_Toc155259676"/>
      <w:r w:rsidRPr="00AF1992">
        <w:rPr>
          <w:rFonts w:ascii="Times New Roman" w:eastAsia="Artifex CF Extra Light" w:hAnsi="Times New Roman" w:cs="Times New Roman"/>
          <w:b/>
          <w:color w:val="4C4747"/>
          <w:sz w:val="24"/>
          <w:szCs w:val="24"/>
          <w:lang w:val="es-ES"/>
        </w:rPr>
        <w:t>Iniciativas POA 2023</w:t>
      </w:r>
      <w:bookmarkEnd w:id="44"/>
    </w:p>
    <w:p w14:paraId="1036F0D9" w14:textId="244D2869" w:rsidR="002E7B17" w:rsidRPr="002E7B17" w:rsidRDefault="002E7B17" w:rsidP="002E7B17">
      <w:pPr>
        <w:jc w:val="center"/>
        <w:rPr>
          <w:rFonts w:ascii="Times New Roman" w:eastAsia="Artifex CF Extra Light" w:hAnsi="Times New Roman" w:cs="Times New Roman"/>
          <w:color w:val="4C4747"/>
          <w:sz w:val="28"/>
          <w:szCs w:val="28"/>
          <w:lang w:val="es-ES"/>
        </w:rPr>
      </w:pPr>
      <w:r w:rsidRPr="00D92922">
        <w:rPr>
          <w:rFonts w:ascii="Artifex CF Extra Light" w:hAnsi="Artifex CF Extra Light"/>
          <w:noProof/>
          <w:color w:val="1F3864" w:themeColor="accent1" w:themeShade="80"/>
          <w:sz w:val="18"/>
        </w:rPr>
        <mc:AlternateContent>
          <mc:Choice Requires="wps">
            <w:drawing>
              <wp:anchor distT="0" distB="0" distL="114300" distR="114300" simplePos="0" relativeHeight="251749376" behindDoc="0" locked="0" layoutInCell="1" allowOverlap="1" wp14:anchorId="29C07628" wp14:editId="5781AC2E">
                <wp:simplePos x="0" y="0"/>
                <wp:positionH relativeFrom="margin">
                  <wp:posOffset>2162175</wp:posOffset>
                </wp:positionH>
                <wp:positionV relativeFrom="paragraph">
                  <wp:posOffset>81915</wp:posOffset>
                </wp:positionV>
                <wp:extent cx="539750" cy="0"/>
                <wp:effectExtent l="0" t="19050" r="31750" b="19050"/>
                <wp:wrapThrough wrapText="bothSides">
                  <wp:wrapPolygon edited="0">
                    <wp:start x="0" y="-1"/>
                    <wp:lineTo x="0" y="-1"/>
                    <wp:lineTo x="22108" y="-1"/>
                    <wp:lineTo x="22108" y="-1"/>
                    <wp:lineTo x="0" y="-1"/>
                  </wp:wrapPolygon>
                </wp:wrapThrough>
                <wp:docPr id="23"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E82645" id="Conector recto 9"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25pt,6.45pt" to="212.75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" strokecolor="red" strokeweight="2.5pt">
                <v:stroke joinstyle="miter"/>
                <w10:wrap type="through" anchorx="margin"/>
              </v:line>
            </w:pict>
          </mc:Fallback>
        </mc:AlternateContent>
      </w:r>
    </w:p>
    <w:p w14:paraId="26C2634A" w14:textId="77777777" w:rsidR="002E7B17" w:rsidRPr="005D08D4" w:rsidRDefault="002E7B17" w:rsidP="00AF1992">
      <w:pPr>
        <w:spacing w:line="360" w:lineRule="auto"/>
        <w:jc w:val="both"/>
        <w:rPr>
          <w:rFonts w:ascii="Times New Roman" w:hAnsi="Times New Roman" w:cs="Times New Roman"/>
          <w:color w:val="4C4747"/>
          <w:sz w:val="24"/>
          <w:szCs w:val="24"/>
          <w:lang w:val="es-ES"/>
        </w:rPr>
      </w:pPr>
      <w:r w:rsidRPr="005D08D4">
        <w:rPr>
          <w:rFonts w:ascii="Times New Roman" w:hAnsi="Times New Roman" w:cs="Times New Roman"/>
          <w:color w:val="4C4747"/>
          <w:sz w:val="24"/>
          <w:szCs w:val="24"/>
          <w:lang w:val="es-ES"/>
        </w:rPr>
        <w:t>Al cierre del presente año, el Plan Operativo Anual (POA) 2023 muestra un Nivel de Cumplimiento (</w:t>
      </w:r>
      <w:proofErr w:type="spellStart"/>
      <w:r w:rsidRPr="005D08D4">
        <w:rPr>
          <w:rFonts w:ascii="Times New Roman" w:hAnsi="Times New Roman" w:cs="Times New Roman"/>
          <w:color w:val="4C4747"/>
          <w:sz w:val="24"/>
          <w:szCs w:val="24"/>
          <w:lang w:val="es-ES"/>
        </w:rPr>
        <w:t>NdC</w:t>
      </w:r>
      <w:proofErr w:type="spellEnd"/>
      <w:r w:rsidRPr="005D08D4">
        <w:rPr>
          <w:rFonts w:ascii="Times New Roman" w:hAnsi="Times New Roman" w:cs="Times New Roman"/>
          <w:color w:val="4C4747"/>
          <w:sz w:val="24"/>
          <w:szCs w:val="24"/>
          <w:lang w:val="es-ES"/>
        </w:rPr>
        <w:t xml:space="preserve">) estimado de un 78 por ciento. Los proyectos que componen el POA 2023 son los siguientes: </w:t>
      </w:r>
    </w:p>
    <w:tbl>
      <w:tblPr>
        <w:tblStyle w:val="TableGrid"/>
        <w:tblW w:w="0" w:type="auto"/>
        <w:tblLook w:val="04A0" w:firstRow="1" w:lastRow="0" w:firstColumn="1" w:lastColumn="0" w:noHBand="0" w:noVBand="1"/>
      </w:tblPr>
      <w:tblGrid>
        <w:gridCol w:w="700"/>
        <w:gridCol w:w="3687"/>
        <w:gridCol w:w="1998"/>
        <w:gridCol w:w="1525"/>
      </w:tblGrid>
      <w:tr w:rsidR="00AF1992" w:rsidRPr="00AF1992" w14:paraId="05DF076A" w14:textId="77777777" w:rsidTr="00AF1992">
        <w:trPr>
          <w:trHeight w:val="720"/>
          <w:tblHeader/>
        </w:trPr>
        <w:tc>
          <w:tcPr>
            <w:tcW w:w="700" w:type="dxa"/>
            <w:shd w:val="clear" w:color="auto" w:fill="142F62"/>
            <w:noWrap/>
            <w:hideMark/>
          </w:tcPr>
          <w:p w14:paraId="0A67D90A" w14:textId="77777777" w:rsidR="002E7B17" w:rsidRPr="00AF1992" w:rsidRDefault="002E7B17" w:rsidP="002E7B17">
            <w:pPr>
              <w:spacing w:line="312" w:lineRule="auto"/>
              <w:rPr>
                <w:rFonts w:ascii="Times New Roman" w:hAnsi="Times New Roman" w:cs="Times New Roman"/>
                <w:b/>
                <w:bCs/>
                <w:color w:val="FFFFFF" w:themeColor="background1"/>
                <w:sz w:val="24"/>
                <w:szCs w:val="24"/>
                <w:lang w:val="en-US"/>
              </w:rPr>
            </w:pPr>
            <w:r w:rsidRPr="00AF1992">
              <w:rPr>
                <w:rFonts w:ascii="Times New Roman" w:hAnsi="Times New Roman" w:cs="Times New Roman"/>
                <w:b/>
                <w:bCs/>
                <w:color w:val="FFFFFF" w:themeColor="background1"/>
                <w:sz w:val="24"/>
                <w:szCs w:val="24"/>
                <w:lang w:val="en-US"/>
              </w:rPr>
              <w:t>No.</w:t>
            </w:r>
          </w:p>
        </w:tc>
        <w:tc>
          <w:tcPr>
            <w:tcW w:w="4335" w:type="dxa"/>
            <w:shd w:val="clear" w:color="auto" w:fill="142F62"/>
            <w:hideMark/>
          </w:tcPr>
          <w:p w14:paraId="4CFE0F3A" w14:textId="77777777" w:rsidR="002E7B17" w:rsidRPr="00AF1992" w:rsidRDefault="002E7B17" w:rsidP="002E7B17">
            <w:pPr>
              <w:spacing w:line="312" w:lineRule="auto"/>
              <w:jc w:val="center"/>
              <w:rPr>
                <w:rFonts w:ascii="Times New Roman" w:hAnsi="Times New Roman" w:cs="Times New Roman"/>
                <w:b/>
                <w:bCs/>
                <w:color w:val="FFFFFF" w:themeColor="background1"/>
                <w:sz w:val="24"/>
                <w:szCs w:val="24"/>
                <w:lang w:val="en-US"/>
              </w:rPr>
            </w:pPr>
            <w:r w:rsidRPr="00AF1992">
              <w:rPr>
                <w:rFonts w:ascii="Times New Roman" w:hAnsi="Times New Roman" w:cs="Times New Roman"/>
                <w:b/>
                <w:bCs/>
                <w:color w:val="FFFFFF" w:themeColor="background1"/>
                <w:sz w:val="24"/>
                <w:szCs w:val="24"/>
                <w:lang w:val="en-US"/>
              </w:rPr>
              <w:t>Iniciativas</w:t>
            </w:r>
          </w:p>
        </w:tc>
        <w:tc>
          <w:tcPr>
            <w:tcW w:w="2070" w:type="dxa"/>
            <w:shd w:val="clear" w:color="auto" w:fill="142F62"/>
            <w:hideMark/>
          </w:tcPr>
          <w:p w14:paraId="499AFF8F" w14:textId="77777777" w:rsidR="002E7B17" w:rsidRPr="00AF1992" w:rsidRDefault="002E7B17" w:rsidP="002E7B17">
            <w:pPr>
              <w:spacing w:line="312" w:lineRule="auto"/>
              <w:rPr>
                <w:rFonts w:ascii="Times New Roman" w:hAnsi="Times New Roman" w:cs="Times New Roman"/>
                <w:b/>
                <w:bCs/>
                <w:color w:val="FFFFFF" w:themeColor="background1"/>
                <w:sz w:val="24"/>
                <w:szCs w:val="24"/>
                <w:lang w:val="en-US"/>
              </w:rPr>
            </w:pPr>
            <w:proofErr w:type="spellStart"/>
            <w:r w:rsidRPr="00AF1992">
              <w:rPr>
                <w:rFonts w:ascii="Times New Roman" w:hAnsi="Times New Roman" w:cs="Times New Roman"/>
                <w:b/>
                <w:bCs/>
                <w:color w:val="FFFFFF" w:themeColor="background1"/>
                <w:sz w:val="24"/>
                <w:szCs w:val="24"/>
                <w:lang w:val="en-US"/>
              </w:rPr>
              <w:t>Responsable</w:t>
            </w:r>
            <w:proofErr w:type="spellEnd"/>
          </w:p>
        </w:tc>
        <w:tc>
          <w:tcPr>
            <w:tcW w:w="1525" w:type="dxa"/>
            <w:shd w:val="clear" w:color="auto" w:fill="142F62"/>
            <w:noWrap/>
            <w:hideMark/>
          </w:tcPr>
          <w:p w14:paraId="5A4AE278" w14:textId="77777777" w:rsidR="002E7B17" w:rsidRPr="00AF1992" w:rsidRDefault="002E7B17" w:rsidP="002E7B17">
            <w:pPr>
              <w:spacing w:line="312" w:lineRule="auto"/>
              <w:rPr>
                <w:rFonts w:ascii="Times New Roman" w:hAnsi="Times New Roman" w:cs="Times New Roman"/>
                <w:b/>
                <w:bCs/>
                <w:color w:val="FFFFFF" w:themeColor="background1"/>
                <w:sz w:val="24"/>
                <w:szCs w:val="24"/>
                <w:lang w:val="en-US"/>
              </w:rPr>
            </w:pPr>
            <w:proofErr w:type="spellStart"/>
            <w:r w:rsidRPr="00AF1992">
              <w:rPr>
                <w:rFonts w:ascii="Times New Roman" w:hAnsi="Times New Roman" w:cs="Times New Roman"/>
                <w:b/>
                <w:bCs/>
                <w:color w:val="FFFFFF" w:themeColor="background1"/>
                <w:sz w:val="24"/>
                <w:szCs w:val="24"/>
                <w:lang w:val="en-US"/>
              </w:rPr>
              <w:t>Objetivo</w:t>
            </w:r>
            <w:proofErr w:type="spellEnd"/>
            <w:r w:rsidRPr="00AF1992">
              <w:rPr>
                <w:rFonts w:ascii="Times New Roman" w:hAnsi="Times New Roman" w:cs="Times New Roman"/>
                <w:b/>
                <w:bCs/>
                <w:color w:val="FFFFFF" w:themeColor="background1"/>
                <w:sz w:val="24"/>
                <w:szCs w:val="24"/>
                <w:lang w:val="en-US"/>
              </w:rPr>
              <w:t xml:space="preserve"> </w:t>
            </w:r>
            <w:proofErr w:type="spellStart"/>
            <w:r w:rsidRPr="00AF1992">
              <w:rPr>
                <w:rFonts w:ascii="Times New Roman" w:hAnsi="Times New Roman" w:cs="Times New Roman"/>
                <w:b/>
                <w:bCs/>
                <w:color w:val="FFFFFF" w:themeColor="background1"/>
                <w:sz w:val="24"/>
                <w:szCs w:val="24"/>
                <w:lang w:val="en-US"/>
              </w:rPr>
              <w:t>Estratégico</w:t>
            </w:r>
            <w:proofErr w:type="spellEnd"/>
          </w:p>
        </w:tc>
      </w:tr>
      <w:tr w:rsidR="00AF1992" w:rsidRPr="00AF1992" w14:paraId="70DAC4D3" w14:textId="77777777" w:rsidTr="00065C6F">
        <w:trPr>
          <w:trHeight w:val="600"/>
        </w:trPr>
        <w:tc>
          <w:tcPr>
            <w:tcW w:w="700" w:type="dxa"/>
            <w:noWrap/>
          </w:tcPr>
          <w:p w14:paraId="582C1D9C"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w:t>
            </w:r>
          </w:p>
        </w:tc>
        <w:tc>
          <w:tcPr>
            <w:tcW w:w="4335" w:type="dxa"/>
          </w:tcPr>
          <w:p w14:paraId="2F78DB0A"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Adecuación de espacios 1er. nivel del Centro de Conservación de Documentos (CCD) para la Gestión Documental de Archivos físicos: Central e Histórico. (2022-2024)</w:t>
            </w:r>
          </w:p>
        </w:tc>
        <w:tc>
          <w:tcPr>
            <w:tcW w:w="2070" w:type="dxa"/>
          </w:tcPr>
          <w:p w14:paraId="4A77E1A7"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0301-Secretaría del Banco</w:t>
            </w:r>
          </w:p>
        </w:tc>
        <w:tc>
          <w:tcPr>
            <w:tcW w:w="1525" w:type="dxa"/>
            <w:noWrap/>
          </w:tcPr>
          <w:p w14:paraId="7418A765" w14:textId="77777777" w:rsidR="002E7B17" w:rsidRPr="005D08D4" w:rsidRDefault="002E7B17" w:rsidP="00EE3086">
            <w:pPr>
              <w:spacing w:line="312" w:lineRule="auto"/>
              <w:rPr>
                <w:rFonts w:ascii="Times New Roman" w:hAnsi="Times New Roman" w:cs="Times New Roman"/>
                <w:color w:val="4C4747"/>
                <w:sz w:val="24"/>
                <w:szCs w:val="24"/>
                <w:lang w:val="en-US"/>
              </w:rPr>
            </w:pPr>
            <w:proofErr w:type="spellStart"/>
            <w:r w:rsidRPr="005D08D4">
              <w:rPr>
                <w:rFonts w:ascii="Times New Roman" w:hAnsi="Times New Roman" w:cs="Times New Roman"/>
                <w:color w:val="4C4747"/>
                <w:sz w:val="24"/>
                <w:szCs w:val="24"/>
                <w:lang w:val="en-US"/>
              </w:rPr>
              <w:t>Funciones</w:t>
            </w:r>
            <w:proofErr w:type="spellEnd"/>
          </w:p>
        </w:tc>
      </w:tr>
      <w:tr w:rsidR="00AF1992" w:rsidRPr="00AF1992" w14:paraId="7604DD02" w14:textId="77777777" w:rsidTr="00065C6F">
        <w:trPr>
          <w:trHeight w:val="600"/>
        </w:trPr>
        <w:tc>
          <w:tcPr>
            <w:tcW w:w="700" w:type="dxa"/>
            <w:noWrap/>
            <w:hideMark/>
          </w:tcPr>
          <w:p w14:paraId="13BDCBAA"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w:t>
            </w:r>
          </w:p>
        </w:tc>
        <w:tc>
          <w:tcPr>
            <w:tcW w:w="4335" w:type="dxa"/>
            <w:hideMark/>
          </w:tcPr>
          <w:p w14:paraId="733AF9B8" w14:textId="7D7EEBF3"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 xml:space="preserve">Programa de remodelación del Club de Empleados. </w:t>
            </w:r>
            <w:r w:rsidRPr="005D08D4">
              <w:rPr>
                <w:rFonts w:ascii="Times New Roman" w:hAnsi="Times New Roman" w:cs="Times New Roman"/>
                <w:color w:val="4C4747"/>
                <w:sz w:val="24"/>
                <w:szCs w:val="24"/>
                <w:lang w:val="en-US"/>
              </w:rPr>
              <w:t>(2019-2023)</w:t>
            </w:r>
          </w:p>
        </w:tc>
        <w:tc>
          <w:tcPr>
            <w:tcW w:w="2070" w:type="dxa"/>
            <w:hideMark/>
          </w:tcPr>
          <w:p w14:paraId="388AF431"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0801-Administrativo</w:t>
            </w:r>
          </w:p>
        </w:tc>
        <w:tc>
          <w:tcPr>
            <w:tcW w:w="1525" w:type="dxa"/>
            <w:noWrap/>
            <w:hideMark/>
          </w:tcPr>
          <w:p w14:paraId="45C6C874" w14:textId="77777777" w:rsidR="002E7B17" w:rsidRPr="005D08D4" w:rsidRDefault="002E7B17" w:rsidP="00EE3086">
            <w:pPr>
              <w:spacing w:line="312" w:lineRule="auto"/>
              <w:rPr>
                <w:rFonts w:ascii="Times New Roman" w:hAnsi="Times New Roman" w:cs="Times New Roman"/>
                <w:color w:val="4C4747"/>
                <w:sz w:val="24"/>
                <w:szCs w:val="24"/>
                <w:lang w:val="en-US"/>
              </w:rPr>
            </w:pPr>
            <w:proofErr w:type="spellStart"/>
            <w:r w:rsidRPr="005D08D4">
              <w:rPr>
                <w:rFonts w:ascii="Times New Roman" w:hAnsi="Times New Roman" w:cs="Times New Roman"/>
                <w:color w:val="4C4747"/>
                <w:sz w:val="24"/>
                <w:szCs w:val="24"/>
                <w:lang w:val="en-US"/>
              </w:rPr>
              <w:t>Funciones</w:t>
            </w:r>
            <w:proofErr w:type="spellEnd"/>
          </w:p>
        </w:tc>
      </w:tr>
      <w:tr w:rsidR="00AF1992" w:rsidRPr="00AF1992" w14:paraId="1D0F5A5B" w14:textId="77777777" w:rsidTr="00065C6F">
        <w:trPr>
          <w:trHeight w:val="600"/>
        </w:trPr>
        <w:tc>
          <w:tcPr>
            <w:tcW w:w="700" w:type="dxa"/>
            <w:noWrap/>
          </w:tcPr>
          <w:p w14:paraId="339F91E2"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w:t>
            </w:r>
          </w:p>
        </w:tc>
        <w:tc>
          <w:tcPr>
            <w:tcW w:w="4335" w:type="dxa"/>
          </w:tcPr>
          <w:p w14:paraId="0BAC6432"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Programa Adecuación Casas Calle Leopoldo Navarro (2022-2023)</w:t>
            </w:r>
          </w:p>
        </w:tc>
        <w:tc>
          <w:tcPr>
            <w:tcW w:w="2070" w:type="dxa"/>
          </w:tcPr>
          <w:p w14:paraId="6F8C8483"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0801-Administrativo</w:t>
            </w:r>
          </w:p>
        </w:tc>
        <w:tc>
          <w:tcPr>
            <w:tcW w:w="1525" w:type="dxa"/>
            <w:noWrap/>
          </w:tcPr>
          <w:p w14:paraId="7CC49830"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Funciones</w:t>
            </w:r>
          </w:p>
        </w:tc>
      </w:tr>
      <w:tr w:rsidR="00AF1992" w:rsidRPr="00AF1992" w14:paraId="395D8C12" w14:textId="77777777" w:rsidTr="00065C6F">
        <w:trPr>
          <w:trHeight w:val="600"/>
        </w:trPr>
        <w:tc>
          <w:tcPr>
            <w:tcW w:w="700" w:type="dxa"/>
            <w:noWrap/>
          </w:tcPr>
          <w:p w14:paraId="710A24B4"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4</w:t>
            </w:r>
          </w:p>
        </w:tc>
        <w:tc>
          <w:tcPr>
            <w:tcW w:w="4335" w:type="dxa"/>
          </w:tcPr>
          <w:p w14:paraId="2D2F10D1"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proofErr w:type="spellStart"/>
            <w:r w:rsidRPr="005D08D4">
              <w:rPr>
                <w:rFonts w:ascii="Times New Roman" w:hAnsi="Times New Roman" w:cs="Times New Roman"/>
                <w:color w:val="4C4747"/>
                <w:sz w:val="24"/>
                <w:szCs w:val="24"/>
                <w:shd w:val="clear" w:color="auto" w:fill="FFFFFF"/>
                <w:lang w:val="en-US"/>
              </w:rPr>
              <w:t>Programa</w:t>
            </w:r>
            <w:proofErr w:type="spellEnd"/>
            <w:r w:rsidRPr="005D08D4">
              <w:rPr>
                <w:rFonts w:ascii="Times New Roman" w:hAnsi="Times New Roman" w:cs="Times New Roman"/>
                <w:color w:val="4C4747"/>
                <w:sz w:val="24"/>
                <w:szCs w:val="24"/>
                <w:shd w:val="clear" w:color="auto" w:fill="FFFFFF"/>
                <w:lang w:val="en-US"/>
              </w:rPr>
              <w:t xml:space="preserve"> de </w:t>
            </w:r>
            <w:proofErr w:type="spellStart"/>
            <w:r w:rsidRPr="005D08D4">
              <w:rPr>
                <w:rFonts w:ascii="Times New Roman" w:hAnsi="Times New Roman" w:cs="Times New Roman"/>
                <w:color w:val="4C4747"/>
                <w:sz w:val="24"/>
                <w:szCs w:val="24"/>
                <w:shd w:val="clear" w:color="auto" w:fill="FFFFFF"/>
                <w:lang w:val="en-US"/>
              </w:rPr>
              <w:t>Remozamiento</w:t>
            </w:r>
            <w:proofErr w:type="spellEnd"/>
            <w:r w:rsidRPr="005D08D4">
              <w:rPr>
                <w:rFonts w:ascii="Times New Roman" w:hAnsi="Times New Roman" w:cs="Times New Roman"/>
                <w:color w:val="4C4747"/>
                <w:sz w:val="24"/>
                <w:szCs w:val="24"/>
                <w:shd w:val="clear" w:color="auto" w:fill="FFFFFF"/>
                <w:lang w:val="en-US"/>
              </w:rPr>
              <w:t xml:space="preserve"> </w:t>
            </w:r>
            <w:proofErr w:type="spellStart"/>
            <w:r w:rsidRPr="005D08D4">
              <w:rPr>
                <w:rFonts w:ascii="Times New Roman" w:hAnsi="Times New Roman" w:cs="Times New Roman"/>
                <w:color w:val="4C4747"/>
                <w:sz w:val="24"/>
                <w:szCs w:val="24"/>
                <w:shd w:val="clear" w:color="auto" w:fill="FFFFFF"/>
                <w:lang w:val="en-US"/>
              </w:rPr>
              <w:t>Varios</w:t>
            </w:r>
            <w:proofErr w:type="spellEnd"/>
            <w:r w:rsidRPr="005D08D4">
              <w:rPr>
                <w:rFonts w:ascii="Times New Roman" w:hAnsi="Times New Roman" w:cs="Times New Roman"/>
                <w:color w:val="4C4747"/>
                <w:sz w:val="24"/>
                <w:szCs w:val="24"/>
                <w:shd w:val="clear" w:color="auto" w:fill="FFFFFF"/>
                <w:lang w:val="en-US"/>
              </w:rPr>
              <w:t>. (2022-2023)</w:t>
            </w:r>
          </w:p>
        </w:tc>
        <w:tc>
          <w:tcPr>
            <w:tcW w:w="2070" w:type="dxa"/>
          </w:tcPr>
          <w:p w14:paraId="01A4EC7C"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0801-Administrativo</w:t>
            </w:r>
          </w:p>
        </w:tc>
        <w:tc>
          <w:tcPr>
            <w:tcW w:w="1525" w:type="dxa"/>
            <w:noWrap/>
          </w:tcPr>
          <w:p w14:paraId="2F10FA42"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Funciones</w:t>
            </w:r>
          </w:p>
        </w:tc>
      </w:tr>
      <w:tr w:rsidR="00AF1992" w:rsidRPr="00AF1992" w14:paraId="13777F37" w14:textId="77777777" w:rsidTr="00065C6F">
        <w:trPr>
          <w:trHeight w:val="600"/>
        </w:trPr>
        <w:tc>
          <w:tcPr>
            <w:tcW w:w="700" w:type="dxa"/>
            <w:noWrap/>
          </w:tcPr>
          <w:p w14:paraId="54D36891"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5</w:t>
            </w:r>
          </w:p>
        </w:tc>
        <w:tc>
          <w:tcPr>
            <w:tcW w:w="4335" w:type="dxa"/>
          </w:tcPr>
          <w:p w14:paraId="4D5F528D"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r w:rsidRPr="005D08D4">
              <w:rPr>
                <w:rFonts w:ascii="Times New Roman" w:hAnsi="Times New Roman" w:cs="Times New Roman"/>
                <w:color w:val="4C4747"/>
                <w:sz w:val="24"/>
                <w:szCs w:val="24"/>
                <w:shd w:val="clear" w:color="auto" w:fill="FFFFFF"/>
              </w:rPr>
              <w:t xml:space="preserve">Programa Adecuación de las Casas Av. Leopoldo Navarro: Instalación de Cableado Estructurado para las Casas Av. </w:t>
            </w:r>
            <w:r w:rsidRPr="005D08D4">
              <w:rPr>
                <w:rFonts w:ascii="Times New Roman" w:hAnsi="Times New Roman" w:cs="Times New Roman"/>
                <w:color w:val="4C4747"/>
                <w:sz w:val="24"/>
                <w:szCs w:val="24"/>
                <w:shd w:val="clear" w:color="auto" w:fill="FFFFFF"/>
                <w:lang w:val="en-US"/>
              </w:rPr>
              <w:t>Leopoldo Navarro (2023-2024)</w:t>
            </w:r>
          </w:p>
        </w:tc>
        <w:tc>
          <w:tcPr>
            <w:tcW w:w="2070" w:type="dxa"/>
          </w:tcPr>
          <w:p w14:paraId="5CEEB6D3"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1301-Sistemas y Tecnología</w:t>
            </w:r>
          </w:p>
        </w:tc>
        <w:tc>
          <w:tcPr>
            <w:tcW w:w="1525" w:type="dxa"/>
            <w:noWrap/>
          </w:tcPr>
          <w:p w14:paraId="4CE8A10E"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Funciones</w:t>
            </w:r>
          </w:p>
        </w:tc>
      </w:tr>
      <w:tr w:rsidR="00AF1992" w:rsidRPr="00AF1992" w14:paraId="0AB3F055" w14:textId="77777777" w:rsidTr="00065C6F">
        <w:trPr>
          <w:trHeight w:val="600"/>
        </w:trPr>
        <w:tc>
          <w:tcPr>
            <w:tcW w:w="700" w:type="dxa"/>
            <w:noWrap/>
          </w:tcPr>
          <w:p w14:paraId="6A580E62"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6</w:t>
            </w:r>
          </w:p>
        </w:tc>
        <w:tc>
          <w:tcPr>
            <w:tcW w:w="4335" w:type="dxa"/>
          </w:tcPr>
          <w:p w14:paraId="4F2CC8A7"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r w:rsidRPr="005D08D4">
              <w:rPr>
                <w:rFonts w:ascii="Times New Roman" w:hAnsi="Times New Roman" w:cs="Times New Roman"/>
                <w:color w:val="4C4747"/>
                <w:sz w:val="24"/>
                <w:szCs w:val="24"/>
                <w:shd w:val="clear" w:color="auto" w:fill="FFFFFF"/>
              </w:rPr>
              <w:t xml:space="preserve">Programa Adecuación de las Casas Av. Leopoldo Navarro: Implementación de Sistema de Seguridad Física para las Casas Av. </w:t>
            </w:r>
            <w:r w:rsidRPr="005D08D4">
              <w:rPr>
                <w:rFonts w:ascii="Times New Roman" w:hAnsi="Times New Roman" w:cs="Times New Roman"/>
                <w:color w:val="4C4747"/>
                <w:sz w:val="24"/>
                <w:szCs w:val="24"/>
                <w:shd w:val="clear" w:color="auto" w:fill="FFFFFF"/>
                <w:lang w:val="en-US"/>
              </w:rPr>
              <w:t>Leopoldo Navarro (2023-2024)</w:t>
            </w:r>
          </w:p>
        </w:tc>
        <w:tc>
          <w:tcPr>
            <w:tcW w:w="2070" w:type="dxa"/>
          </w:tcPr>
          <w:p w14:paraId="041A7C99"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1901-Seguridad</w:t>
            </w:r>
          </w:p>
        </w:tc>
        <w:tc>
          <w:tcPr>
            <w:tcW w:w="1525" w:type="dxa"/>
            <w:noWrap/>
          </w:tcPr>
          <w:p w14:paraId="072AA977" w14:textId="77777777" w:rsidR="002E7B17" w:rsidRPr="005D08D4" w:rsidRDefault="002E7B17" w:rsidP="00EE3086">
            <w:pPr>
              <w:spacing w:line="312" w:lineRule="auto"/>
              <w:rPr>
                <w:rFonts w:ascii="Times New Roman" w:hAnsi="Times New Roman" w:cs="Times New Roman"/>
                <w:color w:val="4C4747"/>
                <w:sz w:val="24"/>
                <w:szCs w:val="24"/>
              </w:rPr>
            </w:pPr>
            <w:proofErr w:type="spellStart"/>
            <w:r w:rsidRPr="005D08D4">
              <w:rPr>
                <w:rFonts w:ascii="Times New Roman" w:hAnsi="Times New Roman" w:cs="Times New Roman"/>
                <w:color w:val="4C4747"/>
                <w:sz w:val="24"/>
                <w:szCs w:val="24"/>
                <w:lang w:val="en-US"/>
              </w:rPr>
              <w:t>Funciones</w:t>
            </w:r>
            <w:proofErr w:type="spellEnd"/>
          </w:p>
        </w:tc>
      </w:tr>
      <w:tr w:rsidR="00AF1992" w:rsidRPr="00AF1992" w14:paraId="54811772" w14:textId="77777777" w:rsidTr="00065C6F">
        <w:trPr>
          <w:trHeight w:val="600"/>
        </w:trPr>
        <w:tc>
          <w:tcPr>
            <w:tcW w:w="700" w:type="dxa"/>
            <w:noWrap/>
          </w:tcPr>
          <w:p w14:paraId="3417A5E7"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7</w:t>
            </w:r>
          </w:p>
        </w:tc>
        <w:tc>
          <w:tcPr>
            <w:tcW w:w="4335" w:type="dxa"/>
          </w:tcPr>
          <w:p w14:paraId="0A444B2A"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r w:rsidRPr="005D08D4">
              <w:rPr>
                <w:rFonts w:ascii="Times New Roman" w:hAnsi="Times New Roman" w:cs="Times New Roman"/>
                <w:color w:val="4C4747"/>
                <w:sz w:val="24"/>
                <w:szCs w:val="24"/>
                <w:shd w:val="clear" w:color="auto" w:fill="FFFFFF"/>
              </w:rPr>
              <w:t xml:space="preserve">Instalación de un Sistema de Circuito Cerrado de Televisión </w:t>
            </w:r>
            <w:r w:rsidRPr="005D08D4">
              <w:rPr>
                <w:rFonts w:ascii="Times New Roman" w:hAnsi="Times New Roman" w:cs="Times New Roman"/>
                <w:color w:val="4C4747"/>
                <w:sz w:val="24"/>
                <w:szCs w:val="24"/>
                <w:shd w:val="clear" w:color="auto" w:fill="FFFFFF"/>
              </w:rPr>
              <w:lastRenderedPageBreak/>
              <w:t>(CCTV) en el Club de Empleados del Banco Central (2023)</w:t>
            </w:r>
          </w:p>
        </w:tc>
        <w:tc>
          <w:tcPr>
            <w:tcW w:w="2070" w:type="dxa"/>
          </w:tcPr>
          <w:p w14:paraId="79043F3B"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lastRenderedPageBreak/>
              <w:t>1901-Seguridad</w:t>
            </w:r>
          </w:p>
        </w:tc>
        <w:tc>
          <w:tcPr>
            <w:tcW w:w="1525" w:type="dxa"/>
            <w:noWrap/>
          </w:tcPr>
          <w:p w14:paraId="32FAA462"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Funciones</w:t>
            </w:r>
          </w:p>
        </w:tc>
      </w:tr>
      <w:tr w:rsidR="00AF1992" w:rsidRPr="00AF1992" w14:paraId="6CA2B3FE" w14:textId="77777777" w:rsidTr="00065C6F">
        <w:trPr>
          <w:trHeight w:val="600"/>
        </w:trPr>
        <w:tc>
          <w:tcPr>
            <w:tcW w:w="700" w:type="dxa"/>
            <w:noWrap/>
          </w:tcPr>
          <w:p w14:paraId="776D5411"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8</w:t>
            </w:r>
          </w:p>
        </w:tc>
        <w:tc>
          <w:tcPr>
            <w:tcW w:w="4335" w:type="dxa"/>
          </w:tcPr>
          <w:p w14:paraId="383F0058"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r w:rsidRPr="005D08D4">
              <w:rPr>
                <w:rFonts w:ascii="Times New Roman" w:hAnsi="Times New Roman" w:cs="Times New Roman"/>
                <w:color w:val="4C4747"/>
                <w:sz w:val="24"/>
                <w:szCs w:val="24"/>
              </w:rPr>
              <w:t>Elaborar normativa para regular las Operaciones de Derivados Financieros en las Entidades de Intermediación Financiera (2016-2023)</w:t>
            </w:r>
          </w:p>
        </w:tc>
        <w:tc>
          <w:tcPr>
            <w:tcW w:w="2070" w:type="dxa"/>
          </w:tcPr>
          <w:p w14:paraId="63FD06A9"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 xml:space="preserve">1501-Regulación y </w:t>
            </w:r>
            <w:proofErr w:type="spellStart"/>
            <w:r w:rsidRPr="005D08D4">
              <w:rPr>
                <w:rFonts w:ascii="Times New Roman" w:hAnsi="Times New Roman" w:cs="Times New Roman"/>
                <w:color w:val="4C4747"/>
                <w:sz w:val="24"/>
                <w:szCs w:val="24"/>
                <w:lang w:val="en-US"/>
              </w:rPr>
              <w:t>Estabilidad</w:t>
            </w:r>
            <w:proofErr w:type="spellEnd"/>
            <w:r w:rsidRPr="005D08D4">
              <w:rPr>
                <w:rFonts w:ascii="Times New Roman" w:hAnsi="Times New Roman" w:cs="Times New Roman"/>
                <w:color w:val="4C4747"/>
                <w:sz w:val="24"/>
                <w:szCs w:val="24"/>
                <w:lang w:val="en-US"/>
              </w:rPr>
              <w:t xml:space="preserve"> </w:t>
            </w:r>
            <w:proofErr w:type="spellStart"/>
            <w:r w:rsidRPr="005D08D4">
              <w:rPr>
                <w:rFonts w:ascii="Times New Roman" w:hAnsi="Times New Roman" w:cs="Times New Roman"/>
                <w:color w:val="4C4747"/>
                <w:sz w:val="24"/>
                <w:szCs w:val="24"/>
                <w:lang w:val="en-US"/>
              </w:rPr>
              <w:t>Financiera</w:t>
            </w:r>
            <w:proofErr w:type="spellEnd"/>
          </w:p>
        </w:tc>
        <w:tc>
          <w:tcPr>
            <w:tcW w:w="1525" w:type="dxa"/>
            <w:noWrap/>
          </w:tcPr>
          <w:p w14:paraId="7CF5614D" w14:textId="77777777" w:rsidR="002E7B17" w:rsidRPr="005D08D4" w:rsidRDefault="002E7B17" w:rsidP="00EE3086">
            <w:pPr>
              <w:spacing w:line="312" w:lineRule="auto"/>
              <w:rPr>
                <w:rFonts w:ascii="Times New Roman" w:hAnsi="Times New Roman" w:cs="Times New Roman"/>
                <w:color w:val="4C4747"/>
                <w:sz w:val="24"/>
                <w:szCs w:val="24"/>
              </w:rPr>
            </w:pPr>
            <w:proofErr w:type="spellStart"/>
            <w:r w:rsidRPr="005D08D4">
              <w:rPr>
                <w:rFonts w:ascii="Times New Roman" w:hAnsi="Times New Roman" w:cs="Times New Roman"/>
                <w:color w:val="4C4747"/>
                <w:sz w:val="24"/>
                <w:szCs w:val="24"/>
                <w:lang w:val="en-US"/>
              </w:rPr>
              <w:t>Funciones</w:t>
            </w:r>
            <w:proofErr w:type="spellEnd"/>
          </w:p>
        </w:tc>
      </w:tr>
      <w:tr w:rsidR="00AF1992" w:rsidRPr="00AF1992" w14:paraId="6B93A52F" w14:textId="77777777" w:rsidTr="00065C6F">
        <w:trPr>
          <w:trHeight w:val="1200"/>
        </w:trPr>
        <w:tc>
          <w:tcPr>
            <w:tcW w:w="700" w:type="dxa"/>
            <w:noWrap/>
            <w:hideMark/>
          </w:tcPr>
          <w:p w14:paraId="38DFFC34"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9</w:t>
            </w:r>
          </w:p>
        </w:tc>
        <w:tc>
          <w:tcPr>
            <w:tcW w:w="4335" w:type="dxa"/>
            <w:hideMark/>
          </w:tcPr>
          <w:p w14:paraId="03DB2425"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Ampliación de Cobertura Institucional de las Otras Sociedades Financieras en las Estadísticas Monetarias y Financieras (2020-2023)</w:t>
            </w:r>
          </w:p>
        </w:tc>
        <w:tc>
          <w:tcPr>
            <w:tcW w:w="2070" w:type="dxa"/>
            <w:hideMark/>
          </w:tcPr>
          <w:p w14:paraId="09065D56"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1001- Programación Monetaria y Estudios Económicos</w:t>
            </w:r>
          </w:p>
        </w:tc>
        <w:tc>
          <w:tcPr>
            <w:tcW w:w="1525" w:type="dxa"/>
            <w:noWrap/>
            <w:hideMark/>
          </w:tcPr>
          <w:p w14:paraId="54376111"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OE.1</w:t>
            </w:r>
          </w:p>
        </w:tc>
      </w:tr>
      <w:tr w:rsidR="00AF1992" w:rsidRPr="00AF1992" w14:paraId="686073F0" w14:textId="77777777" w:rsidTr="00065C6F">
        <w:trPr>
          <w:trHeight w:val="1200"/>
        </w:trPr>
        <w:tc>
          <w:tcPr>
            <w:tcW w:w="700" w:type="dxa"/>
            <w:noWrap/>
          </w:tcPr>
          <w:p w14:paraId="1A34FE61"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10</w:t>
            </w:r>
          </w:p>
        </w:tc>
        <w:tc>
          <w:tcPr>
            <w:tcW w:w="4335" w:type="dxa"/>
          </w:tcPr>
          <w:p w14:paraId="7E0F7DEA"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Estudio de Moneda Digital del Banco Central (2022-2023)</w:t>
            </w:r>
          </w:p>
        </w:tc>
        <w:tc>
          <w:tcPr>
            <w:tcW w:w="2070" w:type="dxa"/>
          </w:tcPr>
          <w:p w14:paraId="335E806E"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1001- Programación Monetaria y Estudios Económicos</w:t>
            </w:r>
          </w:p>
        </w:tc>
        <w:tc>
          <w:tcPr>
            <w:tcW w:w="1525" w:type="dxa"/>
            <w:noWrap/>
          </w:tcPr>
          <w:p w14:paraId="4B71D0B4"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OE.1</w:t>
            </w:r>
          </w:p>
        </w:tc>
      </w:tr>
      <w:tr w:rsidR="00AF1992" w:rsidRPr="00AF1992" w14:paraId="45A56EC3" w14:textId="77777777" w:rsidTr="00065C6F">
        <w:trPr>
          <w:trHeight w:val="1200"/>
        </w:trPr>
        <w:tc>
          <w:tcPr>
            <w:tcW w:w="700" w:type="dxa"/>
            <w:noWrap/>
            <w:hideMark/>
          </w:tcPr>
          <w:p w14:paraId="574CA344"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11</w:t>
            </w:r>
          </w:p>
        </w:tc>
        <w:tc>
          <w:tcPr>
            <w:tcW w:w="4335" w:type="dxa"/>
            <w:hideMark/>
          </w:tcPr>
          <w:p w14:paraId="322042D1"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Compilación de referencia de las cuentas nacionales 2018 (2018-2023)</w:t>
            </w:r>
          </w:p>
        </w:tc>
        <w:tc>
          <w:tcPr>
            <w:tcW w:w="2070" w:type="dxa"/>
            <w:hideMark/>
          </w:tcPr>
          <w:p w14:paraId="1AB020F9"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1401- Cuentas Nacionales y Estadísticas Económicas</w:t>
            </w:r>
          </w:p>
        </w:tc>
        <w:tc>
          <w:tcPr>
            <w:tcW w:w="1525" w:type="dxa"/>
            <w:noWrap/>
            <w:hideMark/>
          </w:tcPr>
          <w:p w14:paraId="71EDAA2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OE.1</w:t>
            </w:r>
          </w:p>
        </w:tc>
      </w:tr>
      <w:tr w:rsidR="00AF1992" w:rsidRPr="00AF1992" w14:paraId="6EC05EC6" w14:textId="77777777" w:rsidTr="00065C6F">
        <w:trPr>
          <w:trHeight w:val="1200"/>
        </w:trPr>
        <w:tc>
          <w:tcPr>
            <w:tcW w:w="700" w:type="dxa"/>
            <w:noWrap/>
          </w:tcPr>
          <w:p w14:paraId="76970B8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12</w:t>
            </w:r>
          </w:p>
        </w:tc>
        <w:tc>
          <w:tcPr>
            <w:tcW w:w="4335" w:type="dxa"/>
          </w:tcPr>
          <w:p w14:paraId="1BA207F9"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Levantamiento de la Encuesta Nacional en Salud (ENSA) (2022-2023)</w:t>
            </w:r>
          </w:p>
        </w:tc>
        <w:tc>
          <w:tcPr>
            <w:tcW w:w="2070" w:type="dxa"/>
          </w:tcPr>
          <w:p w14:paraId="32188B56"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1401- Cuentas Nacionales y Estadísticas Económicas</w:t>
            </w:r>
          </w:p>
        </w:tc>
        <w:tc>
          <w:tcPr>
            <w:tcW w:w="1525" w:type="dxa"/>
            <w:noWrap/>
          </w:tcPr>
          <w:p w14:paraId="72A63EB3"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OE.1</w:t>
            </w:r>
          </w:p>
        </w:tc>
      </w:tr>
      <w:tr w:rsidR="00AF1992" w:rsidRPr="00AF1992" w14:paraId="3F8C6359" w14:textId="77777777" w:rsidTr="00065C6F">
        <w:trPr>
          <w:trHeight w:val="1200"/>
        </w:trPr>
        <w:tc>
          <w:tcPr>
            <w:tcW w:w="700" w:type="dxa"/>
            <w:noWrap/>
          </w:tcPr>
          <w:p w14:paraId="6500B49C"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13</w:t>
            </w:r>
          </w:p>
        </w:tc>
        <w:tc>
          <w:tcPr>
            <w:tcW w:w="4335" w:type="dxa"/>
          </w:tcPr>
          <w:p w14:paraId="671DA70D"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 xml:space="preserve">Encuesta Nacional de las Micro, Pequeña y Mediana Empresas (ENMIPYMES). </w:t>
            </w:r>
            <w:r w:rsidRPr="005D08D4">
              <w:rPr>
                <w:rFonts w:ascii="Times New Roman" w:hAnsi="Times New Roman" w:cs="Times New Roman"/>
                <w:color w:val="4C4747"/>
                <w:sz w:val="24"/>
                <w:szCs w:val="24"/>
                <w:shd w:val="clear" w:color="auto" w:fill="FFFFFF"/>
                <w:lang w:val="en-US"/>
              </w:rPr>
              <w:t>(2022-2023)</w:t>
            </w:r>
          </w:p>
        </w:tc>
        <w:tc>
          <w:tcPr>
            <w:tcW w:w="2070" w:type="dxa"/>
          </w:tcPr>
          <w:p w14:paraId="779E8A84"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1401- Cuentas Nacionales y Estadísticas Económicas</w:t>
            </w:r>
          </w:p>
        </w:tc>
        <w:tc>
          <w:tcPr>
            <w:tcW w:w="1525" w:type="dxa"/>
            <w:noWrap/>
          </w:tcPr>
          <w:p w14:paraId="1834E045"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OE.1</w:t>
            </w:r>
          </w:p>
        </w:tc>
      </w:tr>
      <w:tr w:rsidR="00AF1992" w:rsidRPr="00AF1992" w14:paraId="5FB994AB" w14:textId="77777777" w:rsidTr="00065C6F">
        <w:trPr>
          <w:trHeight w:val="600"/>
        </w:trPr>
        <w:tc>
          <w:tcPr>
            <w:tcW w:w="700" w:type="dxa"/>
            <w:noWrap/>
          </w:tcPr>
          <w:p w14:paraId="07CC349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lastRenderedPageBreak/>
              <w:t>14</w:t>
            </w:r>
          </w:p>
        </w:tc>
        <w:tc>
          <w:tcPr>
            <w:tcW w:w="4335" w:type="dxa"/>
          </w:tcPr>
          <w:p w14:paraId="400A1D82"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Encuesta Nacional de Inclusión y Educación Financiera (ENIEF) (2022-2023)</w:t>
            </w:r>
          </w:p>
        </w:tc>
        <w:tc>
          <w:tcPr>
            <w:tcW w:w="2070" w:type="dxa"/>
          </w:tcPr>
          <w:p w14:paraId="5F1AD4D9"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1501-Regulación y Estabilidad Financiera</w:t>
            </w:r>
          </w:p>
        </w:tc>
        <w:tc>
          <w:tcPr>
            <w:tcW w:w="1525" w:type="dxa"/>
            <w:noWrap/>
          </w:tcPr>
          <w:p w14:paraId="236473C2"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OE.2</w:t>
            </w:r>
          </w:p>
        </w:tc>
      </w:tr>
      <w:tr w:rsidR="00AF1992" w:rsidRPr="00AF1992" w14:paraId="22A38E43" w14:textId="77777777" w:rsidTr="00065C6F">
        <w:trPr>
          <w:trHeight w:val="600"/>
        </w:trPr>
        <w:tc>
          <w:tcPr>
            <w:tcW w:w="700" w:type="dxa"/>
            <w:noWrap/>
            <w:hideMark/>
          </w:tcPr>
          <w:p w14:paraId="6D8950FD"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15</w:t>
            </w:r>
          </w:p>
        </w:tc>
        <w:tc>
          <w:tcPr>
            <w:tcW w:w="4335" w:type="dxa"/>
            <w:hideMark/>
          </w:tcPr>
          <w:p w14:paraId="47F4F731"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 xml:space="preserve">Actualización de la Infraestructura Tecnológica de SIPARD. </w:t>
            </w:r>
            <w:r w:rsidRPr="005D08D4">
              <w:rPr>
                <w:rFonts w:ascii="Times New Roman" w:hAnsi="Times New Roman" w:cs="Times New Roman"/>
                <w:color w:val="4C4747"/>
                <w:sz w:val="24"/>
                <w:szCs w:val="24"/>
                <w:lang w:val="en-US"/>
              </w:rPr>
              <w:t>(2019-2023)</w:t>
            </w:r>
          </w:p>
        </w:tc>
        <w:tc>
          <w:tcPr>
            <w:tcW w:w="2070" w:type="dxa"/>
            <w:hideMark/>
          </w:tcPr>
          <w:p w14:paraId="1BBBE141"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 xml:space="preserve">3601-Sistemas de </w:t>
            </w:r>
            <w:proofErr w:type="spellStart"/>
            <w:r w:rsidRPr="005D08D4">
              <w:rPr>
                <w:rFonts w:ascii="Times New Roman" w:hAnsi="Times New Roman" w:cs="Times New Roman"/>
                <w:color w:val="4C4747"/>
                <w:sz w:val="24"/>
                <w:szCs w:val="24"/>
                <w:lang w:val="en-US"/>
              </w:rPr>
              <w:t>Pagos</w:t>
            </w:r>
            <w:proofErr w:type="spellEnd"/>
          </w:p>
        </w:tc>
        <w:tc>
          <w:tcPr>
            <w:tcW w:w="1525" w:type="dxa"/>
            <w:noWrap/>
            <w:hideMark/>
          </w:tcPr>
          <w:p w14:paraId="11BD34E9"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OE.2</w:t>
            </w:r>
          </w:p>
        </w:tc>
      </w:tr>
      <w:tr w:rsidR="00AF1992" w:rsidRPr="00AF1992" w14:paraId="1158F071" w14:textId="77777777" w:rsidTr="00065C6F">
        <w:trPr>
          <w:trHeight w:val="600"/>
        </w:trPr>
        <w:tc>
          <w:tcPr>
            <w:tcW w:w="700" w:type="dxa"/>
            <w:noWrap/>
          </w:tcPr>
          <w:p w14:paraId="77955BFB"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16</w:t>
            </w:r>
          </w:p>
        </w:tc>
        <w:tc>
          <w:tcPr>
            <w:tcW w:w="4335" w:type="dxa"/>
          </w:tcPr>
          <w:p w14:paraId="37F69C80"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 xml:space="preserve">Fortalecer la vigilancia de los proveedores de los servicios de pago, mediante la implementación de mecanismos de supervisión basados en recursos tecnológicos. </w:t>
            </w:r>
            <w:r w:rsidRPr="005D08D4">
              <w:rPr>
                <w:rFonts w:ascii="Times New Roman" w:hAnsi="Times New Roman" w:cs="Times New Roman"/>
                <w:color w:val="4C4747"/>
                <w:sz w:val="24"/>
                <w:szCs w:val="24"/>
                <w:shd w:val="clear" w:color="auto" w:fill="FFFFFF"/>
                <w:lang w:val="en-US"/>
              </w:rPr>
              <w:t>(2022-2023)</w:t>
            </w:r>
          </w:p>
        </w:tc>
        <w:tc>
          <w:tcPr>
            <w:tcW w:w="2070" w:type="dxa"/>
          </w:tcPr>
          <w:p w14:paraId="0ADEBF22"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 xml:space="preserve">3601-Sistemas de </w:t>
            </w:r>
            <w:proofErr w:type="spellStart"/>
            <w:r w:rsidRPr="005D08D4">
              <w:rPr>
                <w:rFonts w:ascii="Times New Roman" w:hAnsi="Times New Roman" w:cs="Times New Roman"/>
                <w:color w:val="4C4747"/>
                <w:sz w:val="24"/>
                <w:szCs w:val="24"/>
                <w:lang w:val="en-US"/>
              </w:rPr>
              <w:t>Pagos</w:t>
            </w:r>
            <w:proofErr w:type="spellEnd"/>
          </w:p>
        </w:tc>
        <w:tc>
          <w:tcPr>
            <w:tcW w:w="1525" w:type="dxa"/>
            <w:noWrap/>
          </w:tcPr>
          <w:p w14:paraId="1E572CA8"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OE.2</w:t>
            </w:r>
          </w:p>
        </w:tc>
      </w:tr>
      <w:tr w:rsidR="00AF1992" w:rsidRPr="00AF1992" w14:paraId="4B2D1678" w14:textId="77777777" w:rsidTr="00065C6F">
        <w:trPr>
          <w:trHeight w:val="600"/>
        </w:trPr>
        <w:tc>
          <w:tcPr>
            <w:tcW w:w="700" w:type="dxa"/>
            <w:noWrap/>
          </w:tcPr>
          <w:p w14:paraId="1C0CD680"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17</w:t>
            </w:r>
          </w:p>
        </w:tc>
        <w:tc>
          <w:tcPr>
            <w:tcW w:w="4335" w:type="dxa"/>
          </w:tcPr>
          <w:p w14:paraId="338DAFDD"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Implementación del Centro de Recuperación Ante Desastres (Sitio Frío) (2023-2024)</w:t>
            </w:r>
          </w:p>
        </w:tc>
        <w:tc>
          <w:tcPr>
            <w:tcW w:w="2070" w:type="dxa"/>
          </w:tcPr>
          <w:p w14:paraId="5DA07013"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3801-</w:t>
            </w:r>
            <w:r w:rsidRPr="005D08D4">
              <w:rPr>
                <w:rFonts w:ascii="Times New Roman" w:hAnsi="Times New Roman" w:cs="Times New Roman"/>
                <w:color w:val="4C4747"/>
                <w:sz w:val="24"/>
                <w:szCs w:val="24"/>
                <w:lang w:val="es-AR"/>
              </w:rPr>
              <w:t>Seguridad Cibernética y de la Información</w:t>
            </w:r>
          </w:p>
        </w:tc>
        <w:tc>
          <w:tcPr>
            <w:tcW w:w="1525" w:type="dxa"/>
            <w:noWrap/>
          </w:tcPr>
          <w:p w14:paraId="6EF86AFB"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OE.2</w:t>
            </w:r>
          </w:p>
        </w:tc>
      </w:tr>
      <w:tr w:rsidR="00AF1992" w:rsidRPr="00AF1992" w14:paraId="69EF9DCA" w14:textId="77777777" w:rsidTr="00065C6F">
        <w:trPr>
          <w:trHeight w:val="600"/>
        </w:trPr>
        <w:tc>
          <w:tcPr>
            <w:tcW w:w="700" w:type="dxa"/>
            <w:noWrap/>
            <w:hideMark/>
          </w:tcPr>
          <w:p w14:paraId="1BC3DA07"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18</w:t>
            </w:r>
          </w:p>
        </w:tc>
        <w:tc>
          <w:tcPr>
            <w:tcW w:w="4335" w:type="dxa"/>
            <w:hideMark/>
          </w:tcPr>
          <w:p w14:paraId="43900F9E" w14:textId="092EC3DD"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Plataforma Electrónica de Negociación de Divisas. (2016-2023)</w:t>
            </w:r>
          </w:p>
        </w:tc>
        <w:tc>
          <w:tcPr>
            <w:tcW w:w="2070" w:type="dxa"/>
            <w:hideMark/>
          </w:tcPr>
          <w:p w14:paraId="08B3E869"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 xml:space="preserve">3101- </w:t>
            </w:r>
            <w:proofErr w:type="spellStart"/>
            <w:r w:rsidRPr="005D08D4">
              <w:rPr>
                <w:rFonts w:ascii="Times New Roman" w:hAnsi="Times New Roman" w:cs="Times New Roman"/>
                <w:color w:val="4C4747"/>
                <w:sz w:val="24"/>
                <w:szCs w:val="24"/>
                <w:lang w:val="en-US"/>
              </w:rPr>
              <w:t>Tesorería</w:t>
            </w:r>
            <w:proofErr w:type="spellEnd"/>
          </w:p>
        </w:tc>
        <w:tc>
          <w:tcPr>
            <w:tcW w:w="1525" w:type="dxa"/>
            <w:noWrap/>
            <w:hideMark/>
          </w:tcPr>
          <w:p w14:paraId="78E7A69C"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OE.3</w:t>
            </w:r>
          </w:p>
        </w:tc>
      </w:tr>
      <w:tr w:rsidR="00AF1992" w:rsidRPr="00AF1992" w14:paraId="469C3BE3" w14:textId="77777777" w:rsidTr="00065C6F">
        <w:trPr>
          <w:trHeight w:val="600"/>
        </w:trPr>
        <w:tc>
          <w:tcPr>
            <w:tcW w:w="700" w:type="dxa"/>
            <w:noWrap/>
            <w:hideMark/>
          </w:tcPr>
          <w:p w14:paraId="2885369C"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19</w:t>
            </w:r>
          </w:p>
        </w:tc>
        <w:tc>
          <w:tcPr>
            <w:tcW w:w="4335" w:type="dxa"/>
            <w:hideMark/>
          </w:tcPr>
          <w:p w14:paraId="198CCB8D"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Adquisición e Implementación de una Plataforma de Gestión de Portafolio de Reservas. (2019- 2023)</w:t>
            </w:r>
          </w:p>
          <w:p w14:paraId="4969A1A3" w14:textId="77777777" w:rsidR="002E7B17" w:rsidRPr="005D08D4" w:rsidRDefault="002E7B17" w:rsidP="00EE3086">
            <w:pPr>
              <w:spacing w:line="312" w:lineRule="auto"/>
              <w:rPr>
                <w:rFonts w:ascii="Times New Roman" w:hAnsi="Times New Roman" w:cs="Times New Roman"/>
                <w:color w:val="4C4747"/>
                <w:sz w:val="24"/>
                <w:szCs w:val="24"/>
              </w:rPr>
            </w:pPr>
          </w:p>
        </w:tc>
        <w:tc>
          <w:tcPr>
            <w:tcW w:w="2070" w:type="dxa"/>
            <w:hideMark/>
          </w:tcPr>
          <w:p w14:paraId="746AB3A4"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 xml:space="preserve">3101- </w:t>
            </w:r>
            <w:proofErr w:type="spellStart"/>
            <w:r w:rsidRPr="005D08D4">
              <w:rPr>
                <w:rFonts w:ascii="Times New Roman" w:hAnsi="Times New Roman" w:cs="Times New Roman"/>
                <w:color w:val="4C4747"/>
                <w:sz w:val="24"/>
                <w:szCs w:val="24"/>
                <w:lang w:val="en-US"/>
              </w:rPr>
              <w:t>Tesorería</w:t>
            </w:r>
            <w:proofErr w:type="spellEnd"/>
          </w:p>
        </w:tc>
        <w:tc>
          <w:tcPr>
            <w:tcW w:w="1525" w:type="dxa"/>
            <w:noWrap/>
            <w:hideMark/>
          </w:tcPr>
          <w:p w14:paraId="3C7A9B15"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OE.3</w:t>
            </w:r>
          </w:p>
        </w:tc>
      </w:tr>
      <w:tr w:rsidR="00AF1992" w:rsidRPr="00AF1992" w14:paraId="1E765332" w14:textId="77777777" w:rsidTr="00065C6F">
        <w:trPr>
          <w:trHeight w:val="600"/>
        </w:trPr>
        <w:tc>
          <w:tcPr>
            <w:tcW w:w="700" w:type="dxa"/>
            <w:noWrap/>
          </w:tcPr>
          <w:p w14:paraId="72B2435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20</w:t>
            </w:r>
          </w:p>
        </w:tc>
        <w:tc>
          <w:tcPr>
            <w:tcW w:w="4335" w:type="dxa"/>
          </w:tcPr>
          <w:p w14:paraId="3BCE2C35"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Adecuación de la Gestión Documental del Banco Central a las disposiciones reglamentarias vigentes (2022-2024)</w:t>
            </w:r>
          </w:p>
        </w:tc>
        <w:tc>
          <w:tcPr>
            <w:tcW w:w="2070" w:type="dxa"/>
          </w:tcPr>
          <w:p w14:paraId="6F82D1BB"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0301-Secretaría del Banco</w:t>
            </w:r>
          </w:p>
        </w:tc>
        <w:tc>
          <w:tcPr>
            <w:tcW w:w="1525" w:type="dxa"/>
            <w:noWrap/>
          </w:tcPr>
          <w:p w14:paraId="08B4E308"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OE.4</w:t>
            </w:r>
          </w:p>
        </w:tc>
      </w:tr>
      <w:tr w:rsidR="00AF1992" w:rsidRPr="00AF1992" w14:paraId="61CCD574" w14:textId="77777777" w:rsidTr="00065C6F">
        <w:trPr>
          <w:trHeight w:val="600"/>
        </w:trPr>
        <w:tc>
          <w:tcPr>
            <w:tcW w:w="700" w:type="dxa"/>
            <w:noWrap/>
          </w:tcPr>
          <w:p w14:paraId="3C625BDD"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21</w:t>
            </w:r>
          </w:p>
        </w:tc>
        <w:tc>
          <w:tcPr>
            <w:tcW w:w="4335" w:type="dxa"/>
          </w:tcPr>
          <w:p w14:paraId="246AF7B1"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Instalar Sistema de Energía Solar en Edificios del Banco Central. </w:t>
            </w:r>
            <w:r w:rsidRPr="005D08D4">
              <w:rPr>
                <w:rFonts w:ascii="Times New Roman" w:hAnsi="Times New Roman" w:cs="Times New Roman"/>
                <w:color w:val="4C4747"/>
                <w:sz w:val="24"/>
                <w:szCs w:val="24"/>
                <w:lang w:val="en-US"/>
              </w:rPr>
              <w:t>(2017-2023)</w:t>
            </w:r>
          </w:p>
        </w:tc>
        <w:tc>
          <w:tcPr>
            <w:tcW w:w="2070" w:type="dxa"/>
          </w:tcPr>
          <w:p w14:paraId="36AD02F0"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0801-Administrativo</w:t>
            </w:r>
          </w:p>
        </w:tc>
        <w:tc>
          <w:tcPr>
            <w:tcW w:w="1525" w:type="dxa"/>
            <w:noWrap/>
          </w:tcPr>
          <w:p w14:paraId="26568F8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OE.4</w:t>
            </w:r>
          </w:p>
        </w:tc>
      </w:tr>
      <w:tr w:rsidR="00AF1992" w:rsidRPr="00AF1992" w14:paraId="62BC5532" w14:textId="77777777" w:rsidTr="00065C6F">
        <w:trPr>
          <w:trHeight w:val="600"/>
        </w:trPr>
        <w:tc>
          <w:tcPr>
            <w:tcW w:w="700" w:type="dxa"/>
            <w:noWrap/>
          </w:tcPr>
          <w:p w14:paraId="0A25B1D0"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22</w:t>
            </w:r>
          </w:p>
        </w:tc>
        <w:tc>
          <w:tcPr>
            <w:tcW w:w="4335" w:type="dxa"/>
          </w:tcPr>
          <w:p w14:paraId="632336E7"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Modernización de los Sistemas de Climatización de la Torre de </w:t>
            </w:r>
            <w:r w:rsidRPr="005D08D4">
              <w:rPr>
                <w:rFonts w:ascii="Times New Roman" w:hAnsi="Times New Roman" w:cs="Times New Roman"/>
                <w:color w:val="4C4747"/>
                <w:sz w:val="24"/>
                <w:szCs w:val="24"/>
              </w:rPr>
              <w:lastRenderedPageBreak/>
              <w:t>Oficinas, Auditorio y Antigua Sede (2018-2023)</w:t>
            </w:r>
          </w:p>
        </w:tc>
        <w:tc>
          <w:tcPr>
            <w:tcW w:w="2070" w:type="dxa"/>
          </w:tcPr>
          <w:p w14:paraId="58FE1A8D"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lastRenderedPageBreak/>
              <w:t>0801-Administrativo</w:t>
            </w:r>
          </w:p>
        </w:tc>
        <w:tc>
          <w:tcPr>
            <w:tcW w:w="1525" w:type="dxa"/>
            <w:noWrap/>
          </w:tcPr>
          <w:p w14:paraId="274D7CE0"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OE.4</w:t>
            </w:r>
          </w:p>
        </w:tc>
      </w:tr>
      <w:tr w:rsidR="00AF1992" w:rsidRPr="00AF1992" w14:paraId="34B3593C" w14:textId="77777777" w:rsidTr="00065C6F">
        <w:trPr>
          <w:trHeight w:val="600"/>
        </w:trPr>
        <w:tc>
          <w:tcPr>
            <w:tcW w:w="700" w:type="dxa"/>
            <w:noWrap/>
          </w:tcPr>
          <w:p w14:paraId="6E1D455D"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23</w:t>
            </w:r>
          </w:p>
        </w:tc>
        <w:tc>
          <w:tcPr>
            <w:tcW w:w="4335" w:type="dxa"/>
          </w:tcPr>
          <w:p w14:paraId="73FAF7B2"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Modernización de los Sistemas de Iluminación del BCRD (2022-2023)</w:t>
            </w:r>
          </w:p>
        </w:tc>
        <w:tc>
          <w:tcPr>
            <w:tcW w:w="2070" w:type="dxa"/>
          </w:tcPr>
          <w:p w14:paraId="7DFD4BB1"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0801-Administrativo</w:t>
            </w:r>
          </w:p>
        </w:tc>
        <w:tc>
          <w:tcPr>
            <w:tcW w:w="1525" w:type="dxa"/>
            <w:noWrap/>
          </w:tcPr>
          <w:p w14:paraId="794DB205"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OE.4</w:t>
            </w:r>
          </w:p>
        </w:tc>
      </w:tr>
      <w:tr w:rsidR="00AF1992" w:rsidRPr="00AF1992" w14:paraId="6ADD13F5" w14:textId="77777777" w:rsidTr="00065C6F">
        <w:trPr>
          <w:trHeight w:val="600"/>
        </w:trPr>
        <w:tc>
          <w:tcPr>
            <w:tcW w:w="700" w:type="dxa"/>
            <w:noWrap/>
          </w:tcPr>
          <w:p w14:paraId="5F733088"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24</w:t>
            </w:r>
          </w:p>
        </w:tc>
        <w:tc>
          <w:tcPr>
            <w:tcW w:w="4335" w:type="dxa"/>
          </w:tcPr>
          <w:p w14:paraId="6119B429"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Programa de Optimización de los Servicios de la Biblioteca Juan Pablo Duarte. (2020-2023).</w:t>
            </w:r>
          </w:p>
        </w:tc>
        <w:tc>
          <w:tcPr>
            <w:tcW w:w="2070" w:type="dxa"/>
          </w:tcPr>
          <w:p w14:paraId="3221722C"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2301-Cultural</w:t>
            </w:r>
          </w:p>
        </w:tc>
        <w:tc>
          <w:tcPr>
            <w:tcW w:w="1525" w:type="dxa"/>
            <w:noWrap/>
          </w:tcPr>
          <w:p w14:paraId="4825BD54"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OE.4</w:t>
            </w:r>
          </w:p>
        </w:tc>
      </w:tr>
      <w:tr w:rsidR="00AF1992" w:rsidRPr="00AF1992" w14:paraId="2B5B1165" w14:textId="77777777" w:rsidTr="00065C6F">
        <w:trPr>
          <w:trHeight w:val="600"/>
        </w:trPr>
        <w:tc>
          <w:tcPr>
            <w:tcW w:w="700" w:type="dxa"/>
            <w:noWrap/>
          </w:tcPr>
          <w:p w14:paraId="3E53930B"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25</w:t>
            </w:r>
          </w:p>
        </w:tc>
        <w:tc>
          <w:tcPr>
            <w:tcW w:w="4335" w:type="dxa"/>
          </w:tcPr>
          <w:p w14:paraId="273CDC59"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 xml:space="preserve">Estructuración Isla Audiovisual 4K. </w:t>
            </w:r>
            <w:r w:rsidRPr="005D08D4">
              <w:rPr>
                <w:rFonts w:ascii="Times New Roman" w:hAnsi="Times New Roman" w:cs="Times New Roman"/>
                <w:color w:val="4C4747"/>
                <w:sz w:val="24"/>
                <w:szCs w:val="24"/>
                <w:shd w:val="clear" w:color="auto" w:fill="FFFFFF"/>
                <w:lang w:val="en-US"/>
              </w:rPr>
              <w:t>(2022-2023)</w:t>
            </w:r>
          </w:p>
        </w:tc>
        <w:tc>
          <w:tcPr>
            <w:tcW w:w="2070" w:type="dxa"/>
          </w:tcPr>
          <w:p w14:paraId="64DE0385"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2801-Comunicaciones</w:t>
            </w:r>
          </w:p>
        </w:tc>
        <w:tc>
          <w:tcPr>
            <w:tcW w:w="1525" w:type="dxa"/>
            <w:noWrap/>
          </w:tcPr>
          <w:p w14:paraId="3439E035"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OE.4</w:t>
            </w:r>
          </w:p>
        </w:tc>
      </w:tr>
      <w:tr w:rsidR="00AF1992" w:rsidRPr="00AF1992" w14:paraId="55B4D550" w14:textId="77777777" w:rsidTr="00065C6F">
        <w:trPr>
          <w:trHeight w:val="600"/>
        </w:trPr>
        <w:tc>
          <w:tcPr>
            <w:tcW w:w="700" w:type="dxa"/>
            <w:noWrap/>
          </w:tcPr>
          <w:p w14:paraId="5FB715BF"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26</w:t>
            </w:r>
          </w:p>
        </w:tc>
        <w:tc>
          <w:tcPr>
            <w:tcW w:w="4335" w:type="dxa"/>
            <w:hideMark/>
          </w:tcPr>
          <w:p w14:paraId="0DCA3A39"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Adecuación y Sustitución de Estaciones Modulares en la Torre de Oficinas del Banco Central, Piso 10. (2014-2023)</w:t>
            </w:r>
          </w:p>
        </w:tc>
        <w:tc>
          <w:tcPr>
            <w:tcW w:w="2070" w:type="dxa"/>
            <w:hideMark/>
          </w:tcPr>
          <w:p w14:paraId="22285D8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0801-Administrativo</w:t>
            </w:r>
          </w:p>
        </w:tc>
        <w:tc>
          <w:tcPr>
            <w:tcW w:w="1525" w:type="dxa"/>
            <w:noWrap/>
            <w:hideMark/>
          </w:tcPr>
          <w:p w14:paraId="019895BB"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5FFF6D98" w14:textId="77777777" w:rsidTr="00065C6F">
        <w:trPr>
          <w:trHeight w:val="600"/>
        </w:trPr>
        <w:tc>
          <w:tcPr>
            <w:tcW w:w="700" w:type="dxa"/>
            <w:noWrap/>
          </w:tcPr>
          <w:p w14:paraId="1568489D"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27</w:t>
            </w:r>
          </w:p>
        </w:tc>
        <w:tc>
          <w:tcPr>
            <w:tcW w:w="4335" w:type="dxa"/>
            <w:hideMark/>
          </w:tcPr>
          <w:p w14:paraId="5CB6793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 xml:space="preserve">Sustitución Transformadores de la Torre de Oficinas del Banco Central. </w:t>
            </w:r>
            <w:r w:rsidRPr="005D08D4">
              <w:rPr>
                <w:rFonts w:ascii="Times New Roman" w:hAnsi="Times New Roman" w:cs="Times New Roman"/>
                <w:color w:val="4C4747"/>
                <w:sz w:val="24"/>
                <w:szCs w:val="24"/>
                <w:lang w:val="en-US"/>
              </w:rPr>
              <w:t>(2015-2023)</w:t>
            </w:r>
          </w:p>
        </w:tc>
        <w:tc>
          <w:tcPr>
            <w:tcW w:w="2070" w:type="dxa"/>
            <w:hideMark/>
          </w:tcPr>
          <w:p w14:paraId="5F550613"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0801-Administrativo</w:t>
            </w:r>
          </w:p>
        </w:tc>
        <w:tc>
          <w:tcPr>
            <w:tcW w:w="1525" w:type="dxa"/>
            <w:noWrap/>
            <w:hideMark/>
          </w:tcPr>
          <w:p w14:paraId="5BD6F199"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125C3D8E" w14:textId="77777777" w:rsidTr="00065C6F">
        <w:trPr>
          <w:trHeight w:val="600"/>
        </w:trPr>
        <w:tc>
          <w:tcPr>
            <w:tcW w:w="700" w:type="dxa"/>
            <w:noWrap/>
          </w:tcPr>
          <w:p w14:paraId="651C5973"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28</w:t>
            </w:r>
          </w:p>
        </w:tc>
        <w:tc>
          <w:tcPr>
            <w:tcW w:w="4335" w:type="dxa"/>
          </w:tcPr>
          <w:p w14:paraId="0BA08CF0"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Programa de Sistematización de Recursos Humanos (2022-2023)</w:t>
            </w:r>
          </w:p>
        </w:tc>
        <w:tc>
          <w:tcPr>
            <w:tcW w:w="2070" w:type="dxa"/>
          </w:tcPr>
          <w:p w14:paraId="294B85D7"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0901-Recursos Humanos</w:t>
            </w:r>
          </w:p>
        </w:tc>
        <w:tc>
          <w:tcPr>
            <w:tcW w:w="1525" w:type="dxa"/>
            <w:noWrap/>
          </w:tcPr>
          <w:p w14:paraId="515A5ADA"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61044132" w14:textId="77777777" w:rsidTr="00065C6F">
        <w:trPr>
          <w:trHeight w:val="600"/>
        </w:trPr>
        <w:tc>
          <w:tcPr>
            <w:tcW w:w="700" w:type="dxa"/>
            <w:noWrap/>
            <w:hideMark/>
          </w:tcPr>
          <w:p w14:paraId="77B23AB0"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29</w:t>
            </w:r>
          </w:p>
        </w:tc>
        <w:tc>
          <w:tcPr>
            <w:tcW w:w="4335" w:type="dxa"/>
            <w:hideMark/>
          </w:tcPr>
          <w:p w14:paraId="0B82646E"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Modernización de las áreas del Departamento de Emisión y Custodia. (2017-2023)</w:t>
            </w:r>
          </w:p>
        </w:tc>
        <w:tc>
          <w:tcPr>
            <w:tcW w:w="2070" w:type="dxa"/>
            <w:hideMark/>
          </w:tcPr>
          <w:p w14:paraId="2453986B"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1201-Emisión y Custodia</w:t>
            </w:r>
          </w:p>
        </w:tc>
        <w:tc>
          <w:tcPr>
            <w:tcW w:w="1525" w:type="dxa"/>
            <w:noWrap/>
            <w:hideMark/>
          </w:tcPr>
          <w:p w14:paraId="360B0D2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49C511F4" w14:textId="77777777" w:rsidTr="00065C6F">
        <w:trPr>
          <w:trHeight w:val="600"/>
        </w:trPr>
        <w:tc>
          <w:tcPr>
            <w:tcW w:w="700" w:type="dxa"/>
            <w:noWrap/>
            <w:hideMark/>
          </w:tcPr>
          <w:p w14:paraId="7B46058F"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30</w:t>
            </w:r>
          </w:p>
        </w:tc>
        <w:tc>
          <w:tcPr>
            <w:tcW w:w="4335" w:type="dxa"/>
            <w:hideMark/>
          </w:tcPr>
          <w:p w14:paraId="48503C74" w14:textId="621CAF0E"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 xml:space="preserve">Adopción de metodología para la optimización de procesos. </w:t>
            </w:r>
            <w:r w:rsidRPr="005D08D4">
              <w:rPr>
                <w:rFonts w:ascii="Times New Roman" w:hAnsi="Times New Roman" w:cs="Times New Roman"/>
                <w:color w:val="4C4747"/>
                <w:sz w:val="24"/>
                <w:szCs w:val="24"/>
                <w:lang w:val="en-US"/>
              </w:rPr>
              <w:t>(2019-2023)</w:t>
            </w:r>
          </w:p>
        </w:tc>
        <w:tc>
          <w:tcPr>
            <w:tcW w:w="2070" w:type="dxa"/>
            <w:hideMark/>
          </w:tcPr>
          <w:p w14:paraId="492C1192"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1301-Sistemas y Tecnología</w:t>
            </w:r>
          </w:p>
        </w:tc>
        <w:tc>
          <w:tcPr>
            <w:tcW w:w="1525" w:type="dxa"/>
            <w:noWrap/>
            <w:hideMark/>
          </w:tcPr>
          <w:p w14:paraId="3AAAE94D"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2959C028" w14:textId="77777777" w:rsidTr="00065C6F">
        <w:trPr>
          <w:trHeight w:val="600"/>
        </w:trPr>
        <w:tc>
          <w:tcPr>
            <w:tcW w:w="700" w:type="dxa"/>
            <w:noWrap/>
            <w:hideMark/>
          </w:tcPr>
          <w:p w14:paraId="284E9575"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31</w:t>
            </w:r>
          </w:p>
        </w:tc>
        <w:tc>
          <w:tcPr>
            <w:tcW w:w="4335" w:type="dxa"/>
            <w:hideMark/>
          </w:tcPr>
          <w:p w14:paraId="69C87ED8"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Programa de Transformación Digital: </w:t>
            </w:r>
            <w:proofErr w:type="spellStart"/>
            <w:r w:rsidRPr="005D08D4">
              <w:rPr>
                <w:rFonts w:ascii="Times New Roman" w:hAnsi="Times New Roman" w:cs="Times New Roman"/>
                <w:color w:val="4C4747"/>
                <w:sz w:val="24"/>
                <w:szCs w:val="24"/>
              </w:rPr>
              <w:t>Workflow</w:t>
            </w:r>
            <w:proofErr w:type="spellEnd"/>
            <w:r w:rsidRPr="005D08D4">
              <w:rPr>
                <w:rFonts w:ascii="Times New Roman" w:hAnsi="Times New Roman" w:cs="Times New Roman"/>
                <w:color w:val="4C4747"/>
                <w:sz w:val="24"/>
                <w:szCs w:val="24"/>
              </w:rPr>
              <w:t xml:space="preserve"> para automatización de formularios (2020-2023)</w:t>
            </w:r>
          </w:p>
        </w:tc>
        <w:tc>
          <w:tcPr>
            <w:tcW w:w="2070" w:type="dxa"/>
            <w:hideMark/>
          </w:tcPr>
          <w:p w14:paraId="4BB7206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1301-Sistemas y Tecnología</w:t>
            </w:r>
          </w:p>
        </w:tc>
        <w:tc>
          <w:tcPr>
            <w:tcW w:w="1525" w:type="dxa"/>
            <w:noWrap/>
            <w:hideMark/>
          </w:tcPr>
          <w:p w14:paraId="4B62D387"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1C5696D5" w14:textId="77777777" w:rsidTr="00065C6F">
        <w:trPr>
          <w:trHeight w:val="1500"/>
        </w:trPr>
        <w:tc>
          <w:tcPr>
            <w:tcW w:w="700" w:type="dxa"/>
            <w:noWrap/>
            <w:hideMark/>
          </w:tcPr>
          <w:p w14:paraId="732D7766"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lastRenderedPageBreak/>
              <w:t>32</w:t>
            </w:r>
          </w:p>
        </w:tc>
        <w:tc>
          <w:tcPr>
            <w:tcW w:w="4335" w:type="dxa"/>
            <w:hideMark/>
          </w:tcPr>
          <w:p w14:paraId="324A7F17"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Instalar nuevos enlaces de fibras ópticas entre el Centro de Procesamiento de Datos (CPD) y los centros de cableados ubicados en los pisos de la Torre de Oficinas, Edificio de Auditorio y Edificio de Estacionamiento. (2020--2023)</w:t>
            </w:r>
          </w:p>
        </w:tc>
        <w:tc>
          <w:tcPr>
            <w:tcW w:w="2070" w:type="dxa"/>
            <w:hideMark/>
          </w:tcPr>
          <w:p w14:paraId="6EFA52B8"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1301-Sistemas y Tecnología</w:t>
            </w:r>
          </w:p>
        </w:tc>
        <w:tc>
          <w:tcPr>
            <w:tcW w:w="1525" w:type="dxa"/>
            <w:noWrap/>
            <w:hideMark/>
          </w:tcPr>
          <w:p w14:paraId="144453FC"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7D53918A" w14:textId="77777777" w:rsidTr="00065C6F">
        <w:trPr>
          <w:trHeight w:val="1500"/>
        </w:trPr>
        <w:tc>
          <w:tcPr>
            <w:tcW w:w="700" w:type="dxa"/>
            <w:noWrap/>
            <w:hideMark/>
          </w:tcPr>
          <w:p w14:paraId="40E52A44"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33</w:t>
            </w:r>
          </w:p>
        </w:tc>
        <w:tc>
          <w:tcPr>
            <w:tcW w:w="4335" w:type="dxa"/>
            <w:hideMark/>
          </w:tcPr>
          <w:p w14:paraId="32935815"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 xml:space="preserve">Instalar un enlace de conectividad alterna entre el Comercio de Procesamiento de Datos (CPD) y el Cetro Alterno de Procesamiento de Datos (CAPD), que permita mantenerlos interconectados ante eventos de fallos. </w:t>
            </w:r>
            <w:r w:rsidRPr="005D08D4">
              <w:rPr>
                <w:rFonts w:ascii="Times New Roman" w:hAnsi="Times New Roman" w:cs="Times New Roman"/>
                <w:color w:val="4C4747"/>
                <w:sz w:val="24"/>
                <w:szCs w:val="24"/>
                <w:lang w:val="en-US"/>
              </w:rPr>
              <w:t>(2020-2023)</w:t>
            </w:r>
          </w:p>
        </w:tc>
        <w:tc>
          <w:tcPr>
            <w:tcW w:w="2070" w:type="dxa"/>
            <w:hideMark/>
          </w:tcPr>
          <w:p w14:paraId="59A6EE40"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1301-Sistemas y Tecnología</w:t>
            </w:r>
          </w:p>
        </w:tc>
        <w:tc>
          <w:tcPr>
            <w:tcW w:w="1525" w:type="dxa"/>
            <w:noWrap/>
            <w:hideMark/>
          </w:tcPr>
          <w:p w14:paraId="740EF82B"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2F066BA6" w14:textId="77777777" w:rsidTr="00065C6F">
        <w:trPr>
          <w:trHeight w:val="600"/>
        </w:trPr>
        <w:tc>
          <w:tcPr>
            <w:tcW w:w="700" w:type="dxa"/>
            <w:noWrap/>
            <w:hideMark/>
          </w:tcPr>
          <w:p w14:paraId="0A034828"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34</w:t>
            </w:r>
          </w:p>
        </w:tc>
        <w:tc>
          <w:tcPr>
            <w:tcW w:w="4335" w:type="dxa"/>
            <w:hideMark/>
          </w:tcPr>
          <w:p w14:paraId="3AF3E519"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Mejorar los esquemas de contingencia del BCRD. (2020-2023)</w:t>
            </w:r>
          </w:p>
        </w:tc>
        <w:tc>
          <w:tcPr>
            <w:tcW w:w="2070" w:type="dxa"/>
            <w:hideMark/>
          </w:tcPr>
          <w:p w14:paraId="39A8BD42"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1301-Sistemas y Tecnología</w:t>
            </w:r>
          </w:p>
        </w:tc>
        <w:tc>
          <w:tcPr>
            <w:tcW w:w="1525" w:type="dxa"/>
            <w:noWrap/>
            <w:hideMark/>
          </w:tcPr>
          <w:p w14:paraId="19716A44"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5FBF69C2" w14:textId="77777777" w:rsidTr="00065C6F">
        <w:trPr>
          <w:trHeight w:val="600"/>
        </w:trPr>
        <w:tc>
          <w:tcPr>
            <w:tcW w:w="700" w:type="dxa"/>
            <w:noWrap/>
          </w:tcPr>
          <w:p w14:paraId="245C9AF2"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35</w:t>
            </w:r>
          </w:p>
        </w:tc>
        <w:tc>
          <w:tcPr>
            <w:tcW w:w="4335" w:type="dxa"/>
          </w:tcPr>
          <w:p w14:paraId="0FB0EF03"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Implementación sistema de control acceso dispositivos a las Redes de datos del BCRD (NAC). (2019-2023)</w:t>
            </w:r>
          </w:p>
        </w:tc>
        <w:tc>
          <w:tcPr>
            <w:tcW w:w="2070" w:type="dxa"/>
          </w:tcPr>
          <w:p w14:paraId="11CE094E"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1301-Sistemas y Tecnología</w:t>
            </w:r>
          </w:p>
        </w:tc>
        <w:tc>
          <w:tcPr>
            <w:tcW w:w="1525" w:type="dxa"/>
            <w:noWrap/>
          </w:tcPr>
          <w:p w14:paraId="2847A631"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74353F39" w14:textId="77777777" w:rsidTr="00065C6F">
        <w:trPr>
          <w:trHeight w:val="600"/>
        </w:trPr>
        <w:tc>
          <w:tcPr>
            <w:tcW w:w="700" w:type="dxa"/>
            <w:noWrap/>
          </w:tcPr>
          <w:p w14:paraId="4D492E03"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36</w:t>
            </w:r>
          </w:p>
        </w:tc>
        <w:tc>
          <w:tcPr>
            <w:tcW w:w="4335" w:type="dxa"/>
          </w:tcPr>
          <w:p w14:paraId="0B771092"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r w:rsidRPr="005D08D4">
              <w:rPr>
                <w:rFonts w:ascii="Times New Roman" w:hAnsi="Times New Roman" w:cs="Times New Roman"/>
                <w:color w:val="4C4747"/>
                <w:sz w:val="24"/>
                <w:szCs w:val="24"/>
                <w:shd w:val="clear" w:color="auto" w:fill="FFFFFF"/>
              </w:rPr>
              <w:t>Expansión Sistema de Información Gerencial (2022-2023)</w:t>
            </w:r>
          </w:p>
        </w:tc>
        <w:tc>
          <w:tcPr>
            <w:tcW w:w="2070" w:type="dxa"/>
          </w:tcPr>
          <w:p w14:paraId="71C35E98"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1301-Sistemas y Tecnología</w:t>
            </w:r>
          </w:p>
        </w:tc>
        <w:tc>
          <w:tcPr>
            <w:tcW w:w="1525" w:type="dxa"/>
            <w:noWrap/>
          </w:tcPr>
          <w:p w14:paraId="6F10D7D7"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OE.5</w:t>
            </w:r>
          </w:p>
        </w:tc>
      </w:tr>
      <w:tr w:rsidR="00AF1992" w:rsidRPr="00AF1992" w14:paraId="097935CA" w14:textId="77777777" w:rsidTr="00065C6F">
        <w:trPr>
          <w:trHeight w:val="600"/>
        </w:trPr>
        <w:tc>
          <w:tcPr>
            <w:tcW w:w="700" w:type="dxa"/>
            <w:noWrap/>
          </w:tcPr>
          <w:p w14:paraId="39C7721B"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37</w:t>
            </w:r>
          </w:p>
        </w:tc>
        <w:tc>
          <w:tcPr>
            <w:tcW w:w="4335" w:type="dxa"/>
          </w:tcPr>
          <w:p w14:paraId="33714E26"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r w:rsidRPr="005D08D4">
              <w:rPr>
                <w:rFonts w:ascii="Times New Roman" w:hAnsi="Times New Roman" w:cs="Times New Roman"/>
                <w:color w:val="4C4747"/>
                <w:sz w:val="24"/>
                <w:szCs w:val="24"/>
                <w:shd w:val="clear" w:color="auto" w:fill="FFFFFF"/>
              </w:rPr>
              <w:t>Migración de SWIFT para adoptar estándar ISO-20022 en los pagos transfronterizos que se realizan en Tesorería. (2022-2023)</w:t>
            </w:r>
          </w:p>
        </w:tc>
        <w:tc>
          <w:tcPr>
            <w:tcW w:w="2070" w:type="dxa"/>
          </w:tcPr>
          <w:p w14:paraId="1CCFE791"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1301-Sistemas y Tecnología</w:t>
            </w:r>
          </w:p>
        </w:tc>
        <w:tc>
          <w:tcPr>
            <w:tcW w:w="1525" w:type="dxa"/>
            <w:noWrap/>
          </w:tcPr>
          <w:p w14:paraId="6EF35E65"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46F5F7DE" w14:textId="77777777" w:rsidTr="00065C6F">
        <w:trPr>
          <w:trHeight w:val="600"/>
        </w:trPr>
        <w:tc>
          <w:tcPr>
            <w:tcW w:w="700" w:type="dxa"/>
            <w:noWrap/>
          </w:tcPr>
          <w:p w14:paraId="0A114BD8"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38</w:t>
            </w:r>
          </w:p>
        </w:tc>
        <w:tc>
          <w:tcPr>
            <w:tcW w:w="4335" w:type="dxa"/>
          </w:tcPr>
          <w:p w14:paraId="54975F8E"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lang w:val="en-US"/>
              </w:rPr>
            </w:pPr>
            <w:r w:rsidRPr="005D08D4">
              <w:rPr>
                <w:rFonts w:ascii="Times New Roman" w:hAnsi="Times New Roman" w:cs="Times New Roman"/>
                <w:color w:val="4C4747"/>
                <w:sz w:val="24"/>
                <w:szCs w:val="24"/>
                <w:shd w:val="clear" w:color="auto" w:fill="FFFFFF"/>
                <w:lang w:val="en-US"/>
              </w:rPr>
              <w:t>Upgrade Peoplesoft Tools y Oracle Data Base (2023)</w:t>
            </w:r>
          </w:p>
        </w:tc>
        <w:tc>
          <w:tcPr>
            <w:tcW w:w="2070" w:type="dxa"/>
          </w:tcPr>
          <w:p w14:paraId="4E39AC5E"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1301-Sistemas y Tecnología</w:t>
            </w:r>
          </w:p>
        </w:tc>
        <w:tc>
          <w:tcPr>
            <w:tcW w:w="1525" w:type="dxa"/>
            <w:noWrap/>
          </w:tcPr>
          <w:p w14:paraId="15966D90"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4E65E732" w14:textId="77777777" w:rsidTr="00065C6F">
        <w:trPr>
          <w:trHeight w:val="600"/>
        </w:trPr>
        <w:tc>
          <w:tcPr>
            <w:tcW w:w="700" w:type="dxa"/>
            <w:noWrap/>
            <w:hideMark/>
          </w:tcPr>
          <w:p w14:paraId="6532CF38"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39</w:t>
            </w:r>
          </w:p>
        </w:tc>
        <w:tc>
          <w:tcPr>
            <w:tcW w:w="4335" w:type="dxa"/>
            <w:hideMark/>
          </w:tcPr>
          <w:p w14:paraId="694493CC"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rPr>
              <w:t xml:space="preserve">Programa de Mejora del Sistema de Seguridad. </w:t>
            </w:r>
            <w:r w:rsidRPr="005D08D4">
              <w:rPr>
                <w:rFonts w:ascii="Times New Roman" w:hAnsi="Times New Roman" w:cs="Times New Roman"/>
                <w:color w:val="4C4747"/>
                <w:sz w:val="24"/>
                <w:szCs w:val="24"/>
                <w:lang w:val="en-US"/>
              </w:rPr>
              <w:t>(2016-2023)</w:t>
            </w:r>
          </w:p>
        </w:tc>
        <w:tc>
          <w:tcPr>
            <w:tcW w:w="2070" w:type="dxa"/>
            <w:hideMark/>
          </w:tcPr>
          <w:p w14:paraId="06E6EE00"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1901-Seguridad</w:t>
            </w:r>
          </w:p>
        </w:tc>
        <w:tc>
          <w:tcPr>
            <w:tcW w:w="1525" w:type="dxa"/>
            <w:noWrap/>
            <w:hideMark/>
          </w:tcPr>
          <w:p w14:paraId="64453743"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639351BA" w14:textId="77777777" w:rsidTr="00065C6F">
        <w:trPr>
          <w:trHeight w:val="600"/>
        </w:trPr>
        <w:tc>
          <w:tcPr>
            <w:tcW w:w="700" w:type="dxa"/>
            <w:noWrap/>
          </w:tcPr>
          <w:p w14:paraId="36634B8C"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lastRenderedPageBreak/>
              <w:t>40</w:t>
            </w:r>
          </w:p>
        </w:tc>
        <w:tc>
          <w:tcPr>
            <w:tcW w:w="4335" w:type="dxa"/>
          </w:tcPr>
          <w:p w14:paraId="1A56004B"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shd w:val="clear" w:color="auto" w:fill="FFFFFF"/>
              </w:rPr>
              <w:t xml:space="preserve">Optimizar la gestión y consulta del Concurso Anual de Economía Biblioteca «Juan Pablo Duarte» y del Concurso de Arte y Literatura </w:t>
            </w:r>
            <w:proofErr w:type="spellStart"/>
            <w:r w:rsidRPr="005D08D4">
              <w:rPr>
                <w:rFonts w:ascii="Times New Roman" w:hAnsi="Times New Roman" w:cs="Times New Roman"/>
                <w:color w:val="4C4747"/>
                <w:sz w:val="24"/>
                <w:szCs w:val="24"/>
                <w:shd w:val="clear" w:color="auto" w:fill="FFFFFF"/>
              </w:rPr>
              <w:t>Bancentral</w:t>
            </w:r>
            <w:proofErr w:type="spellEnd"/>
            <w:r w:rsidRPr="005D08D4">
              <w:rPr>
                <w:rFonts w:ascii="Times New Roman" w:hAnsi="Times New Roman" w:cs="Times New Roman"/>
                <w:color w:val="4C4747"/>
                <w:sz w:val="24"/>
                <w:szCs w:val="24"/>
                <w:shd w:val="clear" w:color="auto" w:fill="FFFFFF"/>
              </w:rPr>
              <w:t xml:space="preserve"> (2022-2023).</w:t>
            </w:r>
          </w:p>
        </w:tc>
        <w:tc>
          <w:tcPr>
            <w:tcW w:w="2070" w:type="dxa"/>
          </w:tcPr>
          <w:p w14:paraId="70560D31"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2301-Cultural</w:t>
            </w:r>
          </w:p>
        </w:tc>
        <w:tc>
          <w:tcPr>
            <w:tcW w:w="1525" w:type="dxa"/>
            <w:noWrap/>
          </w:tcPr>
          <w:p w14:paraId="304509BD"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OE.5</w:t>
            </w:r>
          </w:p>
        </w:tc>
      </w:tr>
      <w:tr w:rsidR="00AF1992" w:rsidRPr="00AF1992" w14:paraId="0FD7382D" w14:textId="77777777" w:rsidTr="00065C6F">
        <w:trPr>
          <w:trHeight w:val="600"/>
        </w:trPr>
        <w:tc>
          <w:tcPr>
            <w:tcW w:w="700" w:type="dxa"/>
            <w:noWrap/>
          </w:tcPr>
          <w:p w14:paraId="25B34402" w14:textId="77777777" w:rsidR="002E7B17" w:rsidRPr="005D08D4" w:rsidRDefault="002E7B17" w:rsidP="00EE3086">
            <w:pPr>
              <w:spacing w:line="312" w:lineRule="auto"/>
              <w:rPr>
                <w:rFonts w:ascii="Times New Roman" w:hAnsi="Times New Roman" w:cs="Times New Roman"/>
                <w:color w:val="4C4747"/>
                <w:sz w:val="24"/>
                <w:szCs w:val="24"/>
                <w:lang w:val="en-US"/>
              </w:rPr>
            </w:pPr>
            <w:r w:rsidRPr="005D08D4">
              <w:rPr>
                <w:rFonts w:ascii="Times New Roman" w:hAnsi="Times New Roman" w:cs="Times New Roman"/>
                <w:color w:val="4C4747"/>
                <w:sz w:val="24"/>
                <w:szCs w:val="24"/>
                <w:lang w:val="en-US"/>
              </w:rPr>
              <w:t>41</w:t>
            </w:r>
          </w:p>
        </w:tc>
        <w:tc>
          <w:tcPr>
            <w:tcW w:w="4335" w:type="dxa"/>
          </w:tcPr>
          <w:p w14:paraId="6944C8BB"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r w:rsidRPr="005D08D4">
              <w:rPr>
                <w:rFonts w:ascii="Times New Roman" w:hAnsi="Times New Roman" w:cs="Times New Roman"/>
                <w:color w:val="4C4747"/>
                <w:sz w:val="24"/>
                <w:szCs w:val="24"/>
                <w:shd w:val="clear" w:color="auto" w:fill="FFFFFF"/>
              </w:rPr>
              <w:t xml:space="preserve">Actualización de la plataforma de protección de antivirus y aumento de las capacidades de protección. </w:t>
            </w:r>
            <w:r w:rsidRPr="005D08D4">
              <w:rPr>
                <w:rFonts w:ascii="Times New Roman" w:hAnsi="Times New Roman" w:cs="Times New Roman"/>
                <w:color w:val="4C4747"/>
                <w:sz w:val="24"/>
                <w:szCs w:val="24"/>
                <w:shd w:val="clear" w:color="auto" w:fill="FFFFFF"/>
                <w:lang w:val="en-US"/>
              </w:rPr>
              <w:t>(2022-2023)</w:t>
            </w:r>
          </w:p>
        </w:tc>
        <w:tc>
          <w:tcPr>
            <w:tcW w:w="2070" w:type="dxa"/>
          </w:tcPr>
          <w:p w14:paraId="0ED59D21"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3801-</w:t>
            </w:r>
            <w:r w:rsidRPr="005D08D4">
              <w:rPr>
                <w:rFonts w:ascii="Times New Roman" w:hAnsi="Times New Roman" w:cs="Times New Roman"/>
                <w:color w:val="4C4747"/>
                <w:sz w:val="24"/>
                <w:szCs w:val="24"/>
                <w:lang w:val="es-AR"/>
              </w:rPr>
              <w:t>Seguridad Cibernética y de la Información</w:t>
            </w:r>
          </w:p>
        </w:tc>
        <w:tc>
          <w:tcPr>
            <w:tcW w:w="1525" w:type="dxa"/>
            <w:noWrap/>
          </w:tcPr>
          <w:p w14:paraId="33F9C3BF"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OE.5</w:t>
            </w:r>
          </w:p>
        </w:tc>
      </w:tr>
      <w:tr w:rsidR="00AF1992" w:rsidRPr="00AF1992" w14:paraId="1FD0CD9B" w14:textId="77777777" w:rsidTr="00065C6F">
        <w:trPr>
          <w:trHeight w:val="600"/>
        </w:trPr>
        <w:tc>
          <w:tcPr>
            <w:tcW w:w="700" w:type="dxa"/>
            <w:noWrap/>
          </w:tcPr>
          <w:p w14:paraId="4E92DC41"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42</w:t>
            </w:r>
          </w:p>
        </w:tc>
        <w:tc>
          <w:tcPr>
            <w:tcW w:w="4335" w:type="dxa"/>
          </w:tcPr>
          <w:p w14:paraId="73189582"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r w:rsidRPr="005D08D4">
              <w:rPr>
                <w:rFonts w:ascii="Times New Roman" w:hAnsi="Times New Roman" w:cs="Times New Roman"/>
                <w:color w:val="4C4747"/>
                <w:sz w:val="24"/>
                <w:szCs w:val="24"/>
                <w:shd w:val="clear" w:color="auto" w:fill="FFFFFF"/>
              </w:rPr>
              <w:t>Implementación de Herramientas para el aseguramiento, detección y auditoría del sistema para la seguridad en el AS/400 (2022-2024)</w:t>
            </w:r>
          </w:p>
        </w:tc>
        <w:tc>
          <w:tcPr>
            <w:tcW w:w="2070" w:type="dxa"/>
          </w:tcPr>
          <w:p w14:paraId="112C8BA6"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3801-</w:t>
            </w:r>
            <w:r w:rsidRPr="005D08D4">
              <w:rPr>
                <w:rFonts w:ascii="Times New Roman" w:hAnsi="Times New Roman" w:cs="Times New Roman"/>
                <w:color w:val="4C4747"/>
                <w:sz w:val="24"/>
                <w:szCs w:val="24"/>
                <w:lang w:val="es-AR"/>
              </w:rPr>
              <w:t>Seguridad Cibernética y de la Información</w:t>
            </w:r>
          </w:p>
        </w:tc>
        <w:tc>
          <w:tcPr>
            <w:tcW w:w="1525" w:type="dxa"/>
            <w:noWrap/>
          </w:tcPr>
          <w:p w14:paraId="74F616AC"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OE.5</w:t>
            </w:r>
          </w:p>
        </w:tc>
      </w:tr>
      <w:tr w:rsidR="00AF1992" w:rsidRPr="00AF1992" w14:paraId="367E148C" w14:textId="77777777" w:rsidTr="00065C6F">
        <w:trPr>
          <w:trHeight w:val="600"/>
        </w:trPr>
        <w:tc>
          <w:tcPr>
            <w:tcW w:w="700" w:type="dxa"/>
            <w:noWrap/>
          </w:tcPr>
          <w:p w14:paraId="286C765F"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rPr>
              <w:t>43</w:t>
            </w:r>
          </w:p>
        </w:tc>
        <w:tc>
          <w:tcPr>
            <w:tcW w:w="4335" w:type="dxa"/>
          </w:tcPr>
          <w:p w14:paraId="6405E3CA" w14:textId="77777777" w:rsidR="002E7B17" w:rsidRPr="005D08D4" w:rsidRDefault="002E7B17" w:rsidP="00EE3086">
            <w:pPr>
              <w:spacing w:line="312" w:lineRule="auto"/>
              <w:rPr>
                <w:rFonts w:ascii="Times New Roman" w:hAnsi="Times New Roman" w:cs="Times New Roman"/>
                <w:color w:val="4C4747"/>
                <w:sz w:val="24"/>
                <w:szCs w:val="24"/>
                <w:shd w:val="clear" w:color="auto" w:fill="FFFFFF"/>
              </w:rPr>
            </w:pPr>
            <w:r w:rsidRPr="005D08D4">
              <w:rPr>
                <w:rFonts w:ascii="Times New Roman" w:hAnsi="Times New Roman" w:cs="Times New Roman"/>
                <w:color w:val="4C4747"/>
                <w:sz w:val="24"/>
                <w:szCs w:val="24"/>
                <w:shd w:val="clear" w:color="auto" w:fill="FFFFFF"/>
              </w:rPr>
              <w:t>Implementación de Herramientas para el monitoreo de los eventos de seguridad sobre las actividades ejecutadas en las Bases de Datos (2022-2024)</w:t>
            </w:r>
          </w:p>
        </w:tc>
        <w:tc>
          <w:tcPr>
            <w:tcW w:w="2070" w:type="dxa"/>
          </w:tcPr>
          <w:p w14:paraId="5100AEF3" w14:textId="77777777" w:rsidR="002E7B17" w:rsidRPr="005D08D4" w:rsidRDefault="002E7B17" w:rsidP="00EE3086">
            <w:pPr>
              <w:spacing w:line="312" w:lineRule="auto"/>
              <w:rPr>
                <w:rFonts w:ascii="Times New Roman" w:hAnsi="Times New Roman" w:cs="Times New Roman"/>
                <w:color w:val="4C4747"/>
                <w:sz w:val="24"/>
                <w:szCs w:val="24"/>
                <w:lang w:val="es-AR"/>
              </w:rPr>
            </w:pPr>
            <w:r w:rsidRPr="005D08D4">
              <w:rPr>
                <w:rFonts w:ascii="Times New Roman" w:hAnsi="Times New Roman" w:cs="Times New Roman"/>
                <w:color w:val="4C4747"/>
                <w:sz w:val="24"/>
                <w:szCs w:val="24"/>
              </w:rPr>
              <w:t>3801-</w:t>
            </w:r>
            <w:r w:rsidRPr="005D08D4">
              <w:rPr>
                <w:rFonts w:ascii="Times New Roman" w:hAnsi="Times New Roman" w:cs="Times New Roman"/>
                <w:color w:val="4C4747"/>
                <w:sz w:val="24"/>
                <w:szCs w:val="24"/>
                <w:lang w:val="es-AR"/>
              </w:rPr>
              <w:t>Seguridad Cibernética y de la Información</w:t>
            </w:r>
          </w:p>
        </w:tc>
        <w:tc>
          <w:tcPr>
            <w:tcW w:w="1525" w:type="dxa"/>
            <w:noWrap/>
          </w:tcPr>
          <w:p w14:paraId="22446FB4" w14:textId="77777777" w:rsidR="002E7B17" w:rsidRPr="005D08D4" w:rsidRDefault="002E7B17" w:rsidP="00EE3086">
            <w:pPr>
              <w:spacing w:line="312" w:lineRule="auto"/>
              <w:rPr>
                <w:rFonts w:ascii="Times New Roman" w:hAnsi="Times New Roman" w:cs="Times New Roman"/>
                <w:color w:val="4C4747"/>
                <w:sz w:val="24"/>
                <w:szCs w:val="24"/>
              </w:rPr>
            </w:pPr>
            <w:r w:rsidRPr="005D08D4">
              <w:rPr>
                <w:rFonts w:ascii="Times New Roman" w:hAnsi="Times New Roman" w:cs="Times New Roman"/>
                <w:color w:val="4C4747"/>
                <w:sz w:val="24"/>
                <w:szCs w:val="24"/>
                <w:lang w:val="en-US"/>
              </w:rPr>
              <w:t>OE.5</w:t>
            </w:r>
          </w:p>
        </w:tc>
      </w:tr>
    </w:tbl>
    <w:p w14:paraId="5C7AFFEC" w14:textId="16ED3A6E" w:rsidR="002B1D64" w:rsidRPr="00B46D33" w:rsidRDefault="0009663A" w:rsidP="00EE3086">
      <w:pPr>
        <w:rPr>
          <w:rFonts w:ascii="Times New Roman" w:hAnsi="Times New Roman" w:cs="Times New Roman"/>
          <w:b/>
          <w:color w:val="4C4747"/>
        </w:rPr>
      </w:pPr>
      <w:r>
        <w:rPr>
          <w:rFonts w:ascii="Times New Roman" w:hAnsi="Times New Roman" w:cs="Times New Roman"/>
          <w:color w:val="4C4747"/>
          <w:sz w:val="24"/>
          <w:szCs w:val="24"/>
        </w:rPr>
        <w:t xml:space="preserve">                           </w:t>
      </w:r>
      <w:r w:rsidR="00E50E90">
        <w:rPr>
          <w:rFonts w:ascii="Times New Roman" w:hAnsi="Times New Roman" w:cs="Times New Roman"/>
          <w:color w:val="4C4747"/>
          <w:sz w:val="24"/>
          <w:szCs w:val="24"/>
        </w:rPr>
        <w:t xml:space="preserve">      </w:t>
      </w:r>
      <w:r>
        <w:rPr>
          <w:rFonts w:ascii="Times New Roman" w:hAnsi="Times New Roman" w:cs="Times New Roman"/>
          <w:color w:val="4C4747"/>
          <w:sz w:val="24"/>
          <w:szCs w:val="24"/>
        </w:rPr>
        <w:t xml:space="preserve"> </w:t>
      </w:r>
      <w:r w:rsidRPr="00B46D33">
        <w:rPr>
          <w:rFonts w:ascii="Times New Roman" w:hAnsi="Times New Roman" w:cs="Times New Roman"/>
          <w:b/>
          <w:color w:val="4C4747"/>
        </w:rPr>
        <w:t xml:space="preserve">Fuente: </w:t>
      </w:r>
      <w:proofErr w:type="spellStart"/>
      <w:r w:rsidRPr="00B46D33">
        <w:rPr>
          <w:rFonts w:ascii="Times New Roman" w:hAnsi="Times New Roman" w:cs="Times New Roman"/>
          <w:b/>
          <w:color w:val="4C4747"/>
        </w:rPr>
        <w:t>Dept</w:t>
      </w:r>
      <w:proofErr w:type="spellEnd"/>
      <w:r w:rsidRPr="00B46D33">
        <w:rPr>
          <w:rFonts w:ascii="Times New Roman" w:hAnsi="Times New Roman" w:cs="Times New Roman"/>
          <w:b/>
          <w:color w:val="4C4747"/>
        </w:rPr>
        <w:t xml:space="preserve"> Presupuesto y Planificacion </w:t>
      </w:r>
    </w:p>
    <w:p w14:paraId="51639707" w14:textId="6E78DCF6" w:rsidR="002B1D64" w:rsidRDefault="002B1D64" w:rsidP="00EE3086">
      <w:pPr>
        <w:rPr>
          <w:rFonts w:ascii="Times New Roman" w:hAnsi="Times New Roman" w:cs="Times New Roman"/>
          <w:color w:val="4C4747"/>
          <w:sz w:val="24"/>
          <w:szCs w:val="24"/>
        </w:rPr>
      </w:pPr>
    </w:p>
    <w:p w14:paraId="2DC1BACF" w14:textId="7C287156" w:rsidR="00AF1992" w:rsidRDefault="00AF1992" w:rsidP="002B1D64">
      <w:pPr>
        <w:rPr>
          <w:rFonts w:ascii="Times New Roman" w:hAnsi="Times New Roman" w:cs="Times New Roman"/>
          <w:color w:val="4C4747"/>
          <w:sz w:val="24"/>
          <w:szCs w:val="24"/>
        </w:rPr>
      </w:pPr>
    </w:p>
    <w:p w14:paraId="3690DDCA" w14:textId="6E99576F" w:rsidR="00AF1992" w:rsidRDefault="00AF1992" w:rsidP="002B1D64">
      <w:pPr>
        <w:rPr>
          <w:rFonts w:ascii="Times New Roman" w:hAnsi="Times New Roman" w:cs="Times New Roman"/>
          <w:color w:val="4C4747"/>
          <w:sz w:val="24"/>
          <w:szCs w:val="24"/>
        </w:rPr>
      </w:pPr>
    </w:p>
    <w:p w14:paraId="0BBC415A" w14:textId="5023CF45" w:rsidR="00AF1992" w:rsidRDefault="00AF1992" w:rsidP="002B1D64">
      <w:pPr>
        <w:rPr>
          <w:rFonts w:ascii="Times New Roman" w:hAnsi="Times New Roman" w:cs="Times New Roman"/>
          <w:color w:val="4C4747"/>
          <w:sz w:val="24"/>
          <w:szCs w:val="24"/>
        </w:rPr>
      </w:pPr>
    </w:p>
    <w:p w14:paraId="08D35F0A" w14:textId="2FF1B55C" w:rsidR="00AF1992" w:rsidRDefault="00AF1992" w:rsidP="002B1D64">
      <w:pPr>
        <w:rPr>
          <w:rFonts w:ascii="Times New Roman" w:hAnsi="Times New Roman" w:cs="Times New Roman"/>
          <w:color w:val="4C4747"/>
          <w:sz w:val="24"/>
          <w:szCs w:val="24"/>
        </w:rPr>
      </w:pPr>
    </w:p>
    <w:p w14:paraId="66C76323" w14:textId="1A220F6B" w:rsidR="00AF1992" w:rsidRDefault="00AF1992" w:rsidP="002B1D64">
      <w:pPr>
        <w:rPr>
          <w:rFonts w:ascii="Times New Roman" w:hAnsi="Times New Roman" w:cs="Times New Roman"/>
          <w:color w:val="4C4747"/>
          <w:sz w:val="24"/>
          <w:szCs w:val="24"/>
        </w:rPr>
      </w:pPr>
    </w:p>
    <w:p w14:paraId="27B64527" w14:textId="77777777" w:rsidR="005D08D4" w:rsidRDefault="005D08D4" w:rsidP="002B1D64">
      <w:pPr>
        <w:rPr>
          <w:rFonts w:ascii="Times New Roman" w:hAnsi="Times New Roman" w:cs="Times New Roman"/>
          <w:color w:val="4C4747"/>
          <w:sz w:val="24"/>
          <w:szCs w:val="24"/>
        </w:rPr>
      </w:pPr>
    </w:p>
    <w:p w14:paraId="6444881E" w14:textId="3426D5DE" w:rsidR="00AF1992" w:rsidRDefault="00AF1992" w:rsidP="002B1D64">
      <w:pPr>
        <w:rPr>
          <w:rFonts w:ascii="Times New Roman" w:hAnsi="Times New Roman" w:cs="Times New Roman"/>
          <w:color w:val="4C4747"/>
          <w:sz w:val="24"/>
          <w:szCs w:val="24"/>
        </w:rPr>
      </w:pPr>
    </w:p>
    <w:p w14:paraId="7B5A0078" w14:textId="77777777" w:rsidR="00AF1992" w:rsidRPr="00AF1992" w:rsidRDefault="00AF1992" w:rsidP="002B1D64">
      <w:pPr>
        <w:rPr>
          <w:rFonts w:ascii="Times New Roman" w:hAnsi="Times New Roman" w:cs="Times New Roman"/>
          <w:color w:val="4C4747"/>
          <w:sz w:val="24"/>
          <w:szCs w:val="24"/>
        </w:rPr>
      </w:pPr>
    </w:p>
    <w:p w14:paraId="5A3B141F" w14:textId="139F46E6" w:rsidR="00A47BAD" w:rsidRPr="00AF1992" w:rsidRDefault="002B1D64" w:rsidP="00AF1992">
      <w:pPr>
        <w:spacing w:line="360" w:lineRule="auto"/>
        <w:rPr>
          <w:rFonts w:ascii="Times New Roman" w:hAnsi="Times New Roman" w:cs="Times New Roman"/>
          <w:b/>
          <w:color w:val="4C4747"/>
          <w:sz w:val="24"/>
          <w:szCs w:val="24"/>
        </w:rPr>
      </w:pPr>
      <w:r w:rsidRPr="00AF1992">
        <w:rPr>
          <w:rFonts w:ascii="Times New Roman" w:hAnsi="Times New Roman" w:cs="Times New Roman"/>
          <w:b/>
          <w:color w:val="4C4747"/>
          <w:sz w:val="24"/>
          <w:szCs w:val="24"/>
        </w:rPr>
        <w:lastRenderedPageBreak/>
        <w:t>Resultados de los Sistemas de Calidad</w:t>
      </w:r>
    </w:p>
    <w:p w14:paraId="277FDA7B" w14:textId="25356501" w:rsidR="00A47BAD" w:rsidRPr="005D08D4" w:rsidRDefault="00A47BAD" w:rsidP="00AF1992">
      <w:pPr>
        <w:pStyle w:val="Default"/>
        <w:spacing w:line="360" w:lineRule="auto"/>
        <w:jc w:val="both"/>
        <w:rPr>
          <w:color w:val="4C4747"/>
        </w:rPr>
      </w:pPr>
      <w:r w:rsidRPr="005D08D4">
        <w:rPr>
          <w:color w:val="4C4747"/>
        </w:rPr>
        <w:t xml:space="preserve">Las iniciativas en el año 2023 se han encaminado a continuar con la implementación y fortalecimiento de un sistema de gestión, control y mitigación de los riesgos asociados a las operaciones administrativas y financieras de la institución y a la implementación de controles y procesos adecuados, que aseguren una información financiera completa y libre de error. </w:t>
      </w:r>
    </w:p>
    <w:p w14:paraId="0C709FE6" w14:textId="77777777" w:rsidR="00A47BAD" w:rsidRPr="005D08D4" w:rsidRDefault="00A47BAD" w:rsidP="00AF1992">
      <w:pPr>
        <w:pStyle w:val="Default"/>
        <w:spacing w:line="360" w:lineRule="auto"/>
        <w:jc w:val="both"/>
        <w:rPr>
          <w:color w:val="4C4747"/>
        </w:rPr>
      </w:pPr>
    </w:p>
    <w:p w14:paraId="4FC0CFAE" w14:textId="386803E5" w:rsidR="00776E7D" w:rsidRPr="005D08D4" w:rsidRDefault="00A47BAD" w:rsidP="00AF1992">
      <w:pPr>
        <w:pStyle w:val="Default"/>
        <w:spacing w:line="360" w:lineRule="auto"/>
        <w:jc w:val="both"/>
        <w:rPr>
          <w:color w:val="4C4747"/>
        </w:rPr>
      </w:pPr>
      <w:r w:rsidRPr="005D08D4">
        <w:rPr>
          <w:color w:val="4C4747"/>
        </w:rPr>
        <w:t>Dentro de los avances más notorios</w:t>
      </w:r>
      <w:r w:rsidR="00776E7D" w:rsidRPr="005D08D4">
        <w:rPr>
          <w:color w:val="4C4747"/>
        </w:rPr>
        <w:t xml:space="preserve"> se destacada con éxito una Evaluación de Calidad de conformidad con las normas internacionales para la práctica profesional de la auditoría interna del </w:t>
      </w:r>
      <w:proofErr w:type="spellStart"/>
      <w:r w:rsidR="00776E7D" w:rsidRPr="005D08D4">
        <w:rPr>
          <w:color w:val="4C4747"/>
        </w:rPr>
        <w:t>Institute</w:t>
      </w:r>
      <w:proofErr w:type="spellEnd"/>
      <w:r w:rsidR="00776E7D" w:rsidRPr="005D08D4">
        <w:rPr>
          <w:color w:val="4C4747"/>
        </w:rPr>
        <w:t xml:space="preserve"> </w:t>
      </w:r>
      <w:proofErr w:type="spellStart"/>
      <w:r w:rsidR="00776E7D" w:rsidRPr="005D08D4">
        <w:rPr>
          <w:color w:val="4C4747"/>
        </w:rPr>
        <w:t>of</w:t>
      </w:r>
      <w:proofErr w:type="spellEnd"/>
      <w:r w:rsidR="00776E7D" w:rsidRPr="005D08D4">
        <w:rPr>
          <w:color w:val="4C4747"/>
        </w:rPr>
        <w:t xml:space="preserve"> </w:t>
      </w:r>
      <w:proofErr w:type="spellStart"/>
      <w:r w:rsidR="00776E7D" w:rsidRPr="005D08D4">
        <w:rPr>
          <w:color w:val="4C4747"/>
        </w:rPr>
        <w:t>Internal</w:t>
      </w:r>
      <w:proofErr w:type="spellEnd"/>
      <w:r w:rsidR="00776E7D" w:rsidRPr="005D08D4">
        <w:rPr>
          <w:color w:val="4C4747"/>
        </w:rPr>
        <w:t xml:space="preserve"> </w:t>
      </w:r>
      <w:proofErr w:type="spellStart"/>
      <w:r w:rsidR="00776E7D" w:rsidRPr="005D08D4">
        <w:rPr>
          <w:color w:val="4C4747"/>
        </w:rPr>
        <w:t>Auditors</w:t>
      </w:r>
      <w:proofErr w:type="spellEnd"/>
      <w:r w:rsidR="00776E7D" w:rsidRPr="005D08D4">
        <w:rPr>
          <w:color w:val="4C4747"/>
        </w:rPr>
        <w:t xml:space="preserve"> (IIA), con la cual obtuvo a finales del año 2022 la recertificación por segunda vez.</w:t>
      </w:r>
    </w:p>
    <w:p w14:paraId="096A49C0" w14:textId="4D9C1142" w:rsidR="00776E7D" w:rsidRPr="005D08D4" w:rsidRDefault="00776E7D" w:rsidP="00AF1992">
      <w:pPr>
        <w:pStyle w:val="Default"/>
        <w:spacing w:line="360" w:lineRule="auto"/>
        <w:jc w:val="both"/>
        <w:rPr>
          <w:color w:val="4C4747"/>
        </w:rPr>
      </w:pPr>
    </w:p>
    <w:p w14:paraId="774EE7E4" w14:textId="7230A80C" w:rsidR="00776E7D" w:rsidRPr="005D08D4" w:rsidRDefault="00776E7D" w:rsidP="00AF1992">
      <w:pPr>
        <w:pStyle w:val="Default"/>
        <w:spacing w:line="360" w:lineRule="auto"/>
        <w:jc w:val="both"/>
        <w:rPr>
          <w:color w:val="4C4747"/>
        </w:rPr>
      </w:pPr>
      <w:r w:rsidRPr="005D08D4">
        <w:rPr>
          <w:color w:val="4C4747"/>
        </w:rPr>
        <w:t xml:space="preserve">El BCRD se ha enfocado en fortalecer la institucionalidad de los procesos y como resultado de esto ha realizado estas dos auditorias: </w:t>
      </w:r>
    </w:p>
    <w:p w14:paraId="7D9584DC" w14:textId="6C16E740" w:rsidR="00776E7D" w:rsidRPr="005D08D4" w:rsidRDefault="00776E7D" w:rsidP="00AF1992">
      <w:pPr>
        <w:pStyle w:val="Default"/>
        <w:spacing w:line="360" w:lineRule="auto"/>
        <w:jc w:val="both"/>
        <w:rPr>
          <w:color w:val="4C4747"/>
        </w:rPr>
      </w:pPr>
    </w:p>
    <w:p w14:paraId="72145048" w14:textId="77777777" w:rsidR="00776E7D" w:rsidRPr="00B46D33" w:rsidRDefault="00776E7D" w:rsidP="00AF1992">
      <w:pPr>
        <w:spacing w:line="360" w:lineRule="auto"/>
        <w:ind w:left="360"/>
        <w:jc w:val="both"/>
        <w:rPr>
          <w:rFonts w:ascii="Times New Roman" w:hAnsi="Times New Roman" w:cs="Times New Roman"/>
          <w:color w:val="4C4747"/>
          <w:kern w:val="2"/>
          <w:sz w:val="24"/>
          <w:szCs w:val="24"/>
          <w14:ligatures w14:val="standardContextual"/>
        </w:rPr>
      </w:pPr>
      <w:r w:rsidRPr="00B46D33">
        <w:rPr>
          <w:rFonts w:ascii="Times New Roman" w:hAnsi="Times New Roman" w:cs="Times New Roman"/>
          <w:color w:val="4C4747"/>
          <w:kern w:val="2"/>
          <w:sz w:val="24"/>
          <w:szCs w:val="24"/>
          <w14:ligatures w14:val="standardContextual"/>
        </w:rPr>
        <w:t xml:space="preserve">Auditoría ISO 9001: </w:t>
      </w:r>
    </w:p>
    <w:p w14:paraId="3A425E3E" w14:textId="798D5D4F" w:rsidR="00776E7D" w:rsidRPr="005D08D4" w:rsidRDefault="00776E7D" w:rsidP="00AF1992">
      <w:pPr>
        <w:spacing w:line="360" w:lineRule="auto"/>
        <w:ind w:left="360"/>
        <w:jc w:val="both"/>
        <w:rPr>
          <w:rFonts w:ascii="Times New Roman" w:hAnsi="Times New Roman" w:cs="Times New Roman"/>
          <w:color w:val="4C4747"/>
          <w:kern w:val="2"/>
          <w:sz w:val="24"/>
          <w:szCs w:val="24"/>
          <w14:ligatures w14:val="standardContextual"/>
        </w:rPr>
      </w:pPr>
      <w:r w:rsidRPr="005D08D4">
        <w:rPr>
          <w:rFonts w:ascii="Times New Roman" w:hAnsi="Times New Roman" w:cs="Times New Roman"/>
          <w:color w:val="4C4747"/>
          <w:kern w:val="2"/>
          <w:sz w:val="24"/>
          <w:szCs w:val="24"/>
          <w14:ligatures w14:val="standardContextual"/>
        </w:rPr>
        <w:t>Realizamos una auditoría al Sistema de Gestión de Calidad (SGC) del Banco Central, que consistió en asegurarnos de que el Sistema implementado en la Institución cumple con los requisitos aplicables de la Norma ISO 9001:2015, previo a la auditoría externa para obtener la renovación de la certificación otorgada por la organización AENOR.</w:t>
      </w:r>
    </w:p>
    <w:p w14:paraId="1F26316A" w14:textId="77777777" w:rsidR="00776E7D" w:rsidRPr="00B46D33" w:rsidRDefault="00776E7D" w:rsidP="00AF1992">
      <w:pPr>
        <w:spacing w:line="360" w:lineRule="auto"/>
        <w:ind w:left="360"/>
        <w:jc w:val="both"/>
        <w:rPr>
          <w:rFonts w:ascii="Times New Roman" w:hAnsi="Times New Roman" w:cs="Times New Roman"/>
          <w:color w:val="4C4747"/>
          <w:kern w:val="2"/>
          <w:sz w:val="24"/>
          <w:szCs w:val="24"/>
          <w14:ligatures w14:val="standardContextual"/>
        </w:rPr>
      </w:pPr>
      <w:r w:rsidRPr="00B46D33">
        <w:rPr>
          <w:rFonts w:ascii="Times New Roman" w:hAnsi="Times New Roman" w:cs="Times New Roman"/>
          <w:color w:val="4C4747"/>
          <w:kern w:val="2"/>
          <w:sz w:val="24"/>
          <w:szCs w:val="24"/>
          <w14:ligatures w14:val="standardContextual"/>
        </w:rPr>
        <w:t xml:space="preserve">Auditoría ISO 27001: </w:t>
      </w:r>
    </w:p>
    <w:p w14:paraId="2465FC2D" w14:textId="7DA4E9C6" w:rsidR="00A47BAD" w:rsidRPr="005D08D4" w:rsidRDefault="00776E7D" w:rsidP="00AF1992">
      <w:pPr>
        <w:spacing w:line="360" w:lineRule="auto"/>
        <w:ind w:left="360"/>
        <w:jc w:val="both"/>
        <w:rPr>
          <w:rFonts w:ascii="Times New Roman" w:hAnsi="Times New Roman" w:cs="Times New Roman"/>
          <w:color w:val="4C4747"/>
          <w:kern w:val="2"/>
          <w:sz w:val="24"/>
          <w:szCs w:val="24"/>
          <w14:ligatures w14:val="standardContextual"/>
        </w:rPr>
      </w:pPr>
      <w:r w:rsidRPr="005D08D4">
        <w:rPr>
          <w:rFonts w:ascii="Times New Roman" w:hAnsi="Times New Roman" w:cs="Times New Roman"/>
          <w:color w:val="4C4747"/>
          <w:kern w:val="2"/>
          <w:sz w:val="24"/>
          <w:szCs w:val="24"/>
          <w14:ligatures w14:val="standardContextual"/>
        </w:rPr>
        <w:t>Realizamos una auditoría al Sistema de Gestión de Seguridad de la información (SGSI) del Banco, basado en la Norma ISO/IEC 27001:2013, evaluando el cumplimiento de los controles y los aspectos administrativos del SGSI, tomando en cuenta los requisitos de la norma, previo a la auditoría externa para la renovación de la certificación.</w:t>
      </w:r>
    </w:p>
    <w:p w14:paraId="44FE8FEA" w14:textId="77777777" w:rsidR="00A47BAD" w:rsidRPr="005D08D4" w:rsidRDefault="00A47BAD" w:rsidP="00AF1992">
      <w:pPr>
        <w:pStyle w:val="Default"/>
        <w:spacing w:line="360" w:lineRule="auto"/>
        <w:jc w:val="both"/>
        <w:rPr>
          <w:color w:val="4C4747"/>
        </w:rPr>
      </w:pPr>
    </w:p>
    <w:p w14:paraId="3211A9BD" w14:textId="77881A71" w:rsidR="002B1D64" w:rsidRPr="005D08D4" w:rsidRDefault="00A47BAD" w:rsidP="00AF1992">
      <w:pPr>
        <w:spacing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Finalmente, con el objetivo de elevar la calidad de la estructura de la información y los procesos, la formulación, la ejecución y la rendición de cuentas del presupuesto, el plan de compras y contrataciones y la gestión de los recursos humanos de la institución, en esta área se han certificado 6 colaboradores por </w:t>
      </w:r>
      <w:proofErr w:type="spellStart"/>
      <w:r w:rsidRPr="005D08D4">
        <w:rPr>
          <w:rFonts w:ascii="Times New Roman" w:hAnsi="Times New Roman" w:cs="Times New Roman"/>
          <w:color w:val="4C4747"/>
          <w:sz w:val="24"/>
          <w:szCs w:val="24"/>
        </w:rPr>
        <w:t>The</w:t>
      </w:r>
      <w:proofErr w:type="spellEnd"/>
      <w:r w:rsidRPr="005D08D4">
        <w:rPr>
          <w:rFonts w:ascii="Times New Roman" w:hAnsi="Times New Roman" w:cs="Times New Roman"/>
          <w:color w:val="4C4747"/>
          <w:sz w:val="24"/>
          <w:szCs w:val="24"/>
        </w:rPr>
        <w:t xml:space="preserve"> </w:t>
      </w:r>
      <w:proofErr w:type="spellStart"/>
      <w:r w:rsidRPr="005D08D4">
        <w:rPr>
          <w:rFonts w:ascii="Times New Roman" w:hAnsi="Times New Roman" w:cs="Times New Roman"/>
          <w:color w:val="4C4747"/>
          <w:sz w:val="24"/>
          <w:szCs w:val="24"/>
        </w:rPr>
        <w:t>Institute</w:t>
      </w:r>
      <w:proofErr w:type="spellEnd"/>
      <w:r w:rsidRPr="005D08D4">
        <w:rPr>
          <w:rFonts w:ascii="Times New Roman" w:hAnsi="Times New Roman" w:cs="Times New Roman"/>
          <w:color w:val="4C4747"/>
          <w:sz w:val="24"/>
          <w:szCs w:val="24"/>
        </w:rPr>
        <w:t xml:space="preserve"> </w:t>
      </w:r>
      <w:proofErr w:type="spellStart"/>
      <w:r w:rsidRPr="005D08D4">
        <w:rPr>
          <w:rFonts w:ascii="Times New Roman" w:hAnsi="Times New Roman" w:cs="Times New Roman"/>
          <w:color w:val="4C4747"/>
          <w:sz w:val="24"/>
          <w:szCs w:val="24"/>
        </w:rPr>
        <w:t>of</w:t>
      </w:r>
      <w:proofErr w:type="spellEnd"/>
      <w:r w:rsidRPr="005D08D4">
        <w:rPr>
          <w:rFonts w:ascii="Times New Roman" w:hAnsi="Times New Roman" w:cs="Times New Roman"/>
          <w:color w:val="4C4747"/>
          <w:sz w:val="24"/>
          <w:szCs w:val="24"/>
        </w:rPr>
        <w:t xml:space="preserve"> </w:t>
      </w:r>
      <w:proofErr w:type="spellStart"/>
      <w:r w:rsidRPr="005D08D4">
        <w:rPr>
          <w:rFonts w:ascii="Times New Roman" w:hAnsi="Times New Roman" w:cs="Times New Roman"/>
          <w:color w:val="4C4747"/>
          <w:sz w:val="24"/>
          <w:szCs w:val="24"/>
        </w:rPr>
        <w:t>Internal</w:t>
      </w:r>
      <w:proofErr w:type="spellEnd"/>
      <w:r w:rsidRPr="005D08D4">
        <w:rPr>
          <w:rFonts w:ascii="Times New Roman" w:hAnsi="Times New Roman" w:cs="Times New Roman"/>
          <w:color w:val="4C4747"/>
          <w:sz w:val="24"/>
          <w:szCs w:val="24"/>
        </w:rPr>
        <w:t xml:space="preserve"> </w:t>
      </w:r>
      <w:proofErr w:type="spellStart"/>
      <w:r w:rsidRPr="005D08D4">
        <w:rPr>
          <w:rFonts w:ascii="Times New Roman" w:hAnsi="Times New Roman" w:cs="Times New Roman"/>
          <w:color w:val="4C4747"/>
          <w:sz w:val="24"/>
          <w:szCs w:val="24"/>
        </w:rPr>
        <w:t>Auditors</w:t>
      </w:r>
      <w:proofErr w:type="spellEnd"/>
      <w:r w:rsidRPr="005D08D4">
        <w:rPr>
          <w:rFonts w:ascii="Times New Roman" w:hAnsi="Times New Roman" w:cs="Times New Roman"/>
          <w:color w:val="4C4747"/>
          <w:sz w:val="24"/>
          <w:szCs w:val="24"/>
        </w:rPr>
        <w:t>,</w:t>
      </w:r>
    </w:p>
    <w:p w14:paraId="3C107609" w14:textId="42AC2304" w:rsidR="002B1D64" w:rsidRPr="00AF1992" w:rsidRDefault="002B1D64" w:rsidP="00AF1992">
      <w:pPr>
        <w:spacing w:line="360" w:lineRule="auto"/>
        <w:rPr>
          <w:rFonts w:ascii="Times New Roman" w:hAnsi="Times New Roman" w:cs="Times New Roman"/>
          <w:b/>
          <w:color w:val="4C4747"/>
          <w:sz w:val="24"/>
          <w:szCs w:val="24"/>
        </w:rPr>
      </w:pPr>
    </w:p>
    <w:p w14:paraId="60C826FE" w14:textId="32D1F326" w:rsidR="00776E7D" w:rsidRDefault="00776E7D" w:rsidP="002B1D64">
      <w:pPr>
        <w:rPr>
          <w:rFonts w:ascii="Times New Roman" w:hAnsi="Times New Roman" w:cs="Times New Roman"/>
          <w:b/>
          <w:color w:val="767171"/>
          <w:sz w:val="24"/>
          <w:szCs w:val="24"/>
        </w:rPr>
      </w:pPr>
    </w:p>
    <w:p w14:paraId="3B69D81D" w14:textId="6694AC2C" w:rsidR="00776E7D" w:rsidRDefault="00776E7D" w:rsidP="002B1D64">
      <w:pPr>
        <w:rPr>
          <w:rFonts w:ascii="Times New Roman" w:hAnsi="Times New Roman" w:cs="Times New Roman"/>
          <w:b/>
          <w:color w:val="767171"/>
          <w:sz w:val="24"/>
          <w:szCs w:val="24"/>
        </w:rPr>
      </w:pPr>
    </w:p>
    <w:p w14:paraId="709DF371" w14:textId="3F419E07" w:rsidR="00776E7D" w:rsidRDefault="00776E7D" w:rsidP="002B1D64">
      <w:pPr>
        <w:rPr>
          <w:rFonts w:ascii="Times New Roman" w:hAnsi="Times New Roman" w:cs="Times New Roman"/>
          <w:b/>
          <w:color w:val="767171"/>
          <w:sz w:val="24"/>
          <w:szCs w:val="24"/>
        </w:rPr>
      </w:pPr>
    </w:p>
    <w:p w14:paraId="535855F9" w14:textId="7EE70CB7" w:rsidR="00AF1992" w:rsidRDefault="00AF1992" w:rsidP="002B1D64">
      <w:pPr>
        <w:rPr>
          <w:rFonts w:ascii="Times New Roman" w:hAnsi="Times New Roman" w:cs="Times New Roman"/>
          <w:b/>
          <w:color w:val="767171"/>
          <w:sz w:val="24"/>
          <w:szCs w:val="24"/>
        </w:rPr>
      </w:pPr>
    </w:p>
    <w:p w14:paraId="00DFD1D4" w14:textId="2581638C" w:rsidR="00AF1992" w:rsidRDefault="00AF1992" w:rsidP="002B1D64">
      <w:pPr>
        <w:rPr>
          <w:rFonts w:ascii="Times New Roman" w:hAnsi="Times New Roman" w:cs="Times New Roman"/>
          <w:b/>
          <w:color w:val="767171"/>
          <w:sz w:val="24"/>
          <w:szCs w:val="24"/>
        </w:rPr>
      </w:pPr>
    </w:p>
    <w:p w14:paraId="6FD4A7CE" w14:textId="4C368D26" w:rsidR="00AF1992" w:rsidRDefault="00AF1992" w:rsidP="002B1D64">
      <w:pPr>
        <w:rPr>
          <w:rFonts w:ascii="Times New Roman" w:hAnsi="Times New Roman" w:cs="Times New Roman"/>
          <w:b/>
          <w:color w:val="767171"/>
          <w:sz w:val="24"/>
          <w:szCs w:val="24"/>
        </w:rPr>
      </w:pPr>
    </w:p>
    <w:p w14:paraId="63D1BE0C" w14:textId="0074CB00" w:rsidR="00AF1992" w:rsidRDefault="00AF1992" w:rsidP="002B1D64">
      <w:pPr>
        <w:rPr>
          <w:rFonts w:ascii="Times New Roman" w:hAnsi="Times New Roman" w:cs="Times New Roman"/>
          <w:b/>
          <w:color w:val="767171"/>
          <w:sz w:val="24"/>
          <w:szCs w:val="24"/>
        </w:rPr>
      </w:pPr>
    </w:p>
    <w:p w14:paraId="1B9C5D0C" w14:textId="58AA68FB" w:rsidR="00AF1992" w:rsidRDefault="00AF1992" w:rsidP="002B1D64">
      <w:pPr>
        <w:rPr>
          <w:rFonts w:ascii="Times New Roman" w:hAnsi="Times New Roman" w:cs="Times New Roman"/>
          <w:b/>
          <w:color w:val="767171"/>
          <w:sz w:val="24"/>
          <w:szCs w:val="24"/>
        </w:rPr>
      </w:pPr>
    </w:p>
    <w:p w14:paraId="1C8A3F70" w14:textId="7EB06A2D" w:rsidR="00AF1992" w:rsidRDefault="00AF1992" w:rsidP="002B1D64">
      <w:pPr>
        <w:rPr>
          <w:rFonts w:ascii="Times New Roman" w:hAnsi="Times New Roman" w:cs="Times New Roman"/>
          <w:b/>
          <w:color w:val="767171"/>
          <w:sz w:val="24"/>
          <w:szCs w:val="24"/>
        </w:rPr>
      </w:pPr>
    </w:p>
    <w:p w14:paraId="50E62CEB" w14:textId="295614DB" w:rsidR="00AF1992" w:rsidRDefault="00AF1992" w:rsidP="002B1D64">
      <w:pPr>
        <w:rPr>
          <w:rFonts w:ascii="Times New Roman" w:hAnsi="Times New Roman" w:cs="Times New Roman"/>
          <w:b/>
          <w:color w:val="767171"/>
          <w:sz w:val="24"/>
          <w:szCs w:val="24"/>
        </w:rPr>
      </w:pPr>
    </w:p>
    <w:p w14:paraId="666AD519" w14:textId="2B7DFB1F" w:rsidR="00AF1992" w:rsidRDefault="00AF1992" w:rsidP="002B1D64">
      <w:pPr>
        <w:rPr>
          <w:rFonts w:ascii="Times New Roman" w:hAnsi="Times New Roman" w:cs="Times New Roman"/>
          <w:b/>
          <w:color w:val="767171"/>
          <w:sz w:val="24"/>
          <w:szCs w:val="24"/>
        </w:rPr>
      </w:pPr>
    </w:p>
    <w:p w14:paraId="1B17A257" w14:textId="74BBA16B" w:rsidR="00AF1992" w:rsidRDefault="00AF1992" w:rsidP="002B1D64">
      <w:pPr>
        <w:rPr>
          <w:rFonts w:ascii="Times New Roman" w:hAnsi="Times New Roman" w:cs="Times New Roman"/>
          <w:b/>
          <w:color w:val="767171"/>
          <w:sz w:val="24"/>
          <w:szCs w:val="24"/>
        </w:rPr>
      </w:pPr>
    </w:p>
    <w:p w14:paraId="5D2C8074" w14:textId="0F48C247" w:rsidR="00AF1992" w:rsidRDefault="00AF1992" w:rsidP="002B1D64">
      <w:pPr>
        <w:rPr>
          <w:rFonts w:ascii="Times New Roman" w:hAnsi="Times New Roman" w:cs="Times New Roman"/>
          <w:b/>
          <w:color w:val="767171"/>
          <w:sz w:val="24"/>
          <w:szCs w:val="24"/>
        </w:rPr>
      </w:pPr>
    </w:p>
    <w:p w14:paraId="7551D2FD" w14:textId="5F1832C3" w:rsidR="00AF1992" w:rsidRDefault="00AF1992" w:rsidP="002B1D64">
      <w:pPr>
        <w:rPr>
          <w:rFonts w:ascii="Times New Roman" w:hAnsi="Times New Roman" w:cs="Times New Roman"/>
          <w:b/>
          <w:color w:val="767171"/>
          <w:sz w:val="24"/>
          <w:szCs w:val="24"/>
        </w:rPr>
      </w:pPr>
    </w:p>
    <w:p w14:paraId="3E60509C" w14:textId="10014E7C" w:rsidR="00AF1992" w:rsidRDefault="00AF1992" w:rsidP="002B1D64">
      <w:pPr>
        <w:rPr>
          <w:rFonts w:ascii="Times New Roman" w:hAnsi="Times New Roman" w:cs="Times New Roman"/>
          <w:b/>
          <w:color w:val="767171"/>
          <w:sz w:val="24"/>
          <w:szCs w:val="24"/>
        </w:rPr>
      </w:pPr>
    </w:p>
    <w:p w14:paraId="1D2CAE69" w14:textId="562BB0EF" w:rsidR="00AF1992" w:rsidRDefault="00AF1992" w:rsidP="002B1D64">
      <w:pPr>
        <w:rPr>
          <w:rFonts w:ascii="Times New Roman" w:hAnsi="Times New Roman" w:cs="Times New Roman"/>
          <w:b/>
          <w:color w:val="767171"/>
          <w:sz w:val="24"/>
          <w:szCs w:val="24"/>
        </w:rPr>
      </w:pPr>
    </w:p>
    <w:p w14:paraId="652FA2E7" w14:textId="77777777" w:rsidR="00AF1992" w:rsidRDefault="00AF1992" w:rsidP="002B1D64">
      <w:pPr>
        <w:rPr>
          <w:rFonts w:ascii="Times New Roman" w:hAnsi="Times New Roman" w:cs="Times New Roman"/>
          <w:b/>
          <w:color w:val="767171"/>
          <w:sz w:val="24"/>
          <w:szCs w:val="24"/>
        </w:rPr>
      </w:pPr>
    </w:p>
    <w:p w14:paraId="43C6AB3A" w14:textId="77777777" w:rsidR="00776E7D" w:rsidRPr="002B1D64" w:rsidRDefault="00776E7D" w:rsidP="002B1D64">
      <w:pPr>
        <w:rPr>
          <w:rFonts w:ascii="Times New Roman" w:hAnsi="Times New Roman" w:cs="Times New Roman"/>
          <w:b/>
          <w:color w:val="767171"/>
          <w:sz w:val="24"/>
          <w:szCs w:val="24"/>
        </w:rPr>
      </w:pPr>
    </w:p>
    <w:p w14:paraId="0EB9AAE7" w14:textId="2E1AC6CB" w:rsidR="00ED3488" w:rsidRPr="0009663A" w:rsidRDefault="00ED3488" w:rsidP="000944CE">
      <w:pPr>
        <w:pStyle w:val="Heading2"/>
        <w:rPr>
          <w:rFonts w:ascii="Times New Roman" w:hAnsi="Times New Roman" w:cs="Times New Roman"/>
          <w:b/>
          <w:color w:val="4C4747"/>
          <w:sz w:val="24"/>
          <w:szCs w:val="24"/>
        </w:rPr>
      </w:pPr>
      <w:bookmarkStart w:id="45" w:name="_Toc155259677"/>
      <w:r w:rsidRPr="0009663A">
        <w:rPr>
          <w:rFonts w:ascii="Times New Roman" w:hAnsi="Times New Roman" w:cs="Times New Roman"/>
          <w:b/>
          <w:color w:val="4C4747"/>
          <w:sz w:val="24"/>
          <w:szCs w:val="24"/>
        </w:rPr>
        <w:lastRenderedPageBreak/>
        <w:t>4.6</w:t>
      </w:r>
      <w:r w:rsidR="0092786C" w:rsidRPr="0009663A">
        <w:rPr>
          <w:rFonts w:ascii="Times New Roman" w:hAnsi="Times New Roman" w:cs="Times New Roman"/>
          <w:b/>
          <w:color w:val="4C4747"/>
          <w:sz w:val="24"/>
          <w:szCs w:val="24"/>
        </w:rPr>
        <w:t xml:space="preserve"> </w:t>
      </w:r>
      <w:r w:rsidRPr="0009663A">
        <w:rPr>
          <w:rFonts w:ascii="Times New Roman" w:hAnsi="Times New Roman" w:cs="Times New Roman"/>
          <w:b/>
          <w:color w:val="4C4747"/>
          <w:sz w:val="24"/>
          <w:szCs w:val="24"/>
        </w:rPr>
        <w:t>Desempeño del Área Comunicaciones</w:t>
      </w:r>
      <w:bookmarkEnd w:id="45"/>
    </w:p>
    <w:p w14:paraId="75BE0876" w14:textId="63349FF9" w:rsidR="00BD284F" w:rsidRDefault="00BD284F" w:rsidP="00BD284F"/>
    <w:p w14:paraId="24FFBE88" w14:textId="63C1908A" w:rsidR="0009663A" w:rsidRPr="00582715" w:rsidRDefault="0009663A" w:rsidP="00582715">
      <w:pPr>
        <w:spacing w:after="200" w:line="360" w:lineRule="auto"/>
        <w:jc w:val="both"/>
        <w:rPr>
          <w:rFonts w:ascii="Times New Roman" w:eastAsia="Calibri" w:hAnsi="Times New Roman" w:cs="Times New Roman"/>
          <w:color w:val="4C4747"/>
          <w:sz w:val="24"/>
          <w:szCs w:val="24"/>
        </w:rPr>
      </w:pPr>
      <w:r w:rsidRPr="00582715">
        <w:rPr>
          <w:rFonts w:ascii="Times New Roman" w:eastAsia="Calibri" w:hAnsi="Times New Roman" w:cs="Times New Roman"/>
          <w:color w:val="4C4747"/>
          <w:sz w:val="24"/>
          <w:szCs w:val="24"/>
        </w:rPr>
        <w:t>En el BCRD a través el Departamento de Comunicación del BCRD continuó llevando a cabo distintas acciones de divulgación de noticias, informes, avisos y contenidos institucionales, destinadas a todos sus grupos de interés, así como labores de coordinación, asesoría y soporte de distintas actividades institucionales.</w:t>
      </w:r>
    </w:p>
    <w:p w14:paraId="013C73BD" w14:textId="08EC5F56" w:rsidR="0009663A" w:rsidRPr="00582715" w:rsidRDefault="0009663A" w:rsidP="00582715">
      <w:pPr>
        <w:spacing w:after="200" w:line="360" w:lineRule="auto"/>
        <w:jc w:val="both"/>
        <w:rPr>
          <w:rFonts w:ascii="Times New Roman" w:eastAsia="Calibri" w:hAnsi="Times New Roman" w:cs="Times New Roman"/>
          <w:color w:val="4C4747"/>
          <w:sz w:val="24"/>
          <w:szCs w:val="24"/>
        </w:rPr>
      </w:pPr>
      <w:r w:rsidRPr="00582715">
        <w:rPr>
          <w:rFonts w:ascii="Times New Roman" w:eastAsia="Calibri" w:hAnsi="Times New Roman" w:cs="Times New Roman"/>
          <w:color w:val="4C4747"/>
          <w:sz w:val="24"/>
          <w:szCs w:val="24"/>
        </w:rPr>
        <w:t>Esta labor del departamento de Comunicaciones está alineada, principalmente, con el objetivo número 4 del Plan Estratégico Institucional (PEI 2022-2025): “Mantener niveles efectivos de comunicación, transparencia y gobernanza institucional”, través de las estrategias que establecen la comunicación del Banco con sus grupos de interés para contribuir al conocimiento y confianza de sus medidas y acciones; y, por tanto, a una mejor toma de decisiones que tengan impacto en la economía nacional.</w:t>
      </w:r>
    </w:p>
    <w:p w14:paraId="0730C367" w14:textId="77777777" w:rsidR="0009663A" w:rsidRPr="005D08D4" w:rsidRDefault="0009663A" w:rsidP="0009663A">
      <w:pPr>
        <w:autoSpaceDE w:val="0"/>
        <w:autoSpaceDN w:val="0"/>
        <w:adjustRightInd w:val="0"/>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A lo largo del 2023 se ha reforzado la presencia en los medios digitales de comunicación, privilegiando las transmisiones en vivo y los contenidos orientados a las plataformas de redes sociales. Las principales plataformas de difusión fueron su sitio de internet y la aplicación móvil App BCRD, mediante las cuales se informó a los agentes económicos acerca de las principales decisiones de política económica.</w:t>
      </w:r>
    </w:p>
    <w:p w14:paraId="74C4F131" w14:textId="77777777" w:rsidR="0009663A" w:rsidRPr="005D08D4" w:rsidRDefault="0009663A" w:rsidP="0009663A">
      <w:pPr>
        <w:autoSpaceDE w:val="0"/>
        <w:autoSpaceDN w:val="0"/>
        <w:adjustRightInd w:val="0"/>
        <w:spacing w:after="0" w:line="360" w:lineRule="auto"/>
        <w:jc w:val="both"/>
        <w:rPr>
          <w:rFonts w:ascii="Times New Roman" w:hAnsi="Times New Roman" w:cs="Times New Roman"/>
          <w:color w:val="4C4747"/>
          <w:sz w:val="24"/>
          <w:szCs w:val="24"/>
        </w:rPr>
      </w:pPr>
    </w:p>
    <w:p w14:paraId="4265ED60" w14:textId="3D1A34BF" w:rsidR="0009663A" w:rsidRPr="005D08D4" w:rsidRDefault="0009663A" w:rsidP="0009663A">
      <w:pPr>
        <w:autoSpaceDE w:val="0"/>
        <w:autoSpaceDN w:val="0"/>
        <w:adjustRightInd w:val="0"/>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Igualmente, para la difusión de las informaciones institucionales, el Departamento de Comunicación de la institución utilizó diversos canales como redes sociales (Twitter, Instagram, Facebook, YouTube y WhatsApp) y correo electrónico externo. También se utilizaron de forma paralela los medios tradicionales de comunicación, tales como televisión, radio, prensa e impresos varios.</w:t>
      </w:r>
    </w:p>
    <w:p w14:paraId="31664F24" w14:textId="77777777" w:rsidR="0009663A" w:rsidRPr="005D08D4" w:rsidRDefault="0009663A" w:rsidP="0009663A">
      <w:pPr>
        <w:autoSpaceDE w:val="0"/>
        <w:autoSpaceDN w:val="0"/>
        <w:adjustRightInd w:val="0"/>
        <w:spacing w:after="0" w:line="360" w:lineRule="auto"/>
        <w:jc w:val="both"/>
        <w:rPr>
          <w:rFonts w:ascii="Times New Roman" w:hAnsi="Times New Roman" w:cs="Times New Roman"/>
          <w:color w:val="4C4747"/>
          <w:sz w:val="24"/>
          <w:szCs w:val="24"/>
        </w:rPr>
      </w:pPr>
    </w:p>
    <w:p w14:paraId="5B50629A" w14:textId="6F120F00" w:rsidR="0009663A" w:rsidRDefault="0009663A" w:rsidP="0009663A">
      <w:pPr>
        <w:autoSpaceDE w:val="0"/>
        <w:autoSpaceDN w:val="0"/>
        <w:adjustRightInd w:val="0"/>
        <w:spacing w:after="0" w:line="360" w:lineRule="auto"/>
        <w:jc w:val="both"/>
        <w:rPr>
          <w:rFonts w:ascii="Times New Roman" w:hAnsi="Times New Roman" w:cs="Times New Roman"/>
          <w:color w:val="4B4646"/>
          <w:sz w:val="24"/>
          <w:szCs w:val="24"/>
        </w:rPr>
      </w:pPr>
    </w:p>
    <w:p w14:paraId="22D66C03" w14:textId="77777777" w:rsidR="00582715" w:rsidRPr="0009663A" w:rsidRDefault="00582715" w:rsidP="0009663A">
      <w:pPr>
        <w:autoSpaceDE w:val="0"/>
        <w:autoSpaceDN w:val="0"/>
        <w:adjustRightInd w:val="0"/>
        <w:spacing w:after="0" w:line="360" w:lineRule="auto"/>
        <w:jc w:val="both"/>
        <w:rPr>
          <w:rFonts w:ascii="Times New Roman" w:hAnsi="Times New Roman" w:cs="Times New Roman"/>
          <w:color w:val="4B4646"/>
          <w:sz w:val="24"/>
          <w:szCs w:val="24"/>
        </w:rPr>
      </w:pPr>
    </w:p>
    <w:p w14:paraId="750819C0" w14:textId="3F2C12F9" w:rsidR="0009663A" w:rsidRPr="005D08D4" w:rsidRDefault="0009663A" w:rsidP="005D08D4">
      <w:pPr>
        <w:autoSpaceDE w:val="0"/>
        <w:autoSpaceDN w:val="0"/>
        <w:adjustRightInd w:val="0"/>
        <w:spacing w:after="0" w:line="360" w:lineRule="auto"/>
        <w:rPr>
          <w:rFonts w:ascii="Times New Roman" w:hAnsi="Times New Roman" w:cs="Times New Roman"/>
          <w:b/>
          <w:bCs/>
          <w:color w:val="4B4646"/>
          <w:sz w:val="24"/>
          <w:szCs w:val="24"/>
        </w:rPr>
      </w:pPr>
      <w:r w:rsidRPr="005D08D4">
        <w:rPr>
          <w:rFonts w:ascii="Times New Roman" w:hAnsi="Times New Roman" w:cs="Times New Roman"/>
          <w:b/>
          <w:bCs/>
          <w:color w:val="4B4646"/>
          <w:sz w:val="24"/>
          <w:szCs w:val="24"/>
        </w:rPr>
        <w:lastRenderedPageBreak/>
        <w:t xml:space="preserve">Redes Sociales </w:t>
      </w:r>
    </w:p>
    <w:p w14:paraId="2DD79D92" w14:textId="68C5779C" w:rsidR="0009663A" w:rsidRPr="005D08D4" w:rsidRDefault="0009663A" w:rsidP="005D08D4">
      <w:pPr>
        <w:autoSpaceDE w:val="0"/>
        <w:autoSpaceDN w:val="0"/>
        <w:adjustRightInd w:val="0"/>
        <w:spacing w:after="0" w:line="360" w:lineRule="auto"/>
        <w:jc w:val="both"/>
        <w:rPr>
          <w:rFonts w:ascii="Times New Roman" w:hAnsi="Times New Roman" w:cs="Times New Roman"/>
          <w:color w:val="4B4646"/>
          <w:sz w:val="24"/>
          <w:szCs w:val="24"/>
        </w:rPr>
      </w:pPr>
      <w:r w:rsidRPr="005D08D4">
        <w:rPr>
          <w:rFonts w:ascii="Times New Roman" w:hAnsi="Times New Roman" w:cs="Times New Roman"/>
          <w:color w:val="4B4646"/>
          <w:sz w:val="24"/>
          <w:szCs w:val="24"/>
        </w:rPr>
        <w:t xml:space="preserve">Como símbolo de confianza, transparencia y eficiencia, se emiten las informaciones rápidas y actualizadas mediante sus plataformas digitales de Instagram, Facebook, y el portal web de la institución. </w:t>
      </w:r>
    </w:p>
    <w:tbl>
      <w:tblPr>
        <w:tblpPr w:leftFromText="141" w:rightFromText="141" w:vertAnchor="text" w:horzAnchor="margin" w:tblpXSpec="center" w:tblpY="374"/>
        <w:tblW w:w="6663" w:type="dxa"/>
        <w:tblBorders>
          <w:top w:val="nil"/>
          <w:left w:val="nil"/>
          <w:bottom w:val="nil"/>
          <w:right w:val="nil"/>
        </w:tblBorders>
        <w:shd w:val="clear" w:color="auto" w:fill="142F62"/>
        <w:tblLayout w:type="fixed"/>
        <w:tblLook w:val="0000" w:firstRow="0" w:lastRow="0" w:firstColumn="0" w:lastColumn="0" w:noHBand="0" w:noVBand="0"/>
      </w:tblPr>
      <w:tblGrid>
        <w:gridCol w:w="1653"/>
        <w:gridCol w:w="2600"/>
        <w:gridCol w:w="2410"/>
      </w:tblGrid>
      <w:tr w:rsidR="0009663A" w:rsidRPr="0009663A" w14:paraId="3B02DD31" w14:textId="77777777" w:rsidTr="00582715">
        <w:trPr>
          <w:trHeight w:val="245"/>
          <w:tblHeader/>
        </w:trPr>
        <w:tc>
          <w:tcPr>
            <w:tcW w:w="6663" w:type="dxa"/>
            <w:gridSpan w:val="3"/>
            <w:shd w:val="clear" w:color="auto" w:fill="142F62"/>
          </w:tcPr>
          <w:p w14:paraId="43C4A755" w14:textId="77777777" w:rsidR="0009663A" w:rsidRPr="0009663A" w:rsidRDefault="0009663A" w:rsidP="0009663A">
            <w:pPr>
              <w:autoSpaceDE w:val="0"/>
              <w:autoSpaceDN w:val="0"/>
              <w:adjustRightInd w:val="0"/>
              <w:spacing w:after="0" w:line="360" w:lineRule="auto"/>
              <w:jc w:val="center"/>
              <w:rPr>
                <w:rFonts w:ascii="Times New Roman" w:hAnsi="Times New Roman" w:cs="Times New Roman"/>
                <w:b/>
                <w:bCs/>
                <w:color w:val="FFFFFF" w:themeColor="background1"/>
                <w:sz w:val="24"/>
                <w:szCs w:val="24"/>
              </w:rPr>
            </w:pPr>
            <w:r w:rsidRPr="0009663A">
              <w:rPr>
                <w:rFonts w:ascii="Times New Roman" w:hAnsi="Times New Roman" w:cs="Times New Roman"/>
                <w:b/>
                <w:bCs/>
                <w:color w:val="FFFFFF" w:themeColor="background1"/>
                <w:sz w:val="24"/>
                <w:szCs w:val="24"/>
              </w:rPr>
              <w:t>Crecimiento de las Redes Sociales</w:t>
            </w:r>
          </w:p>
          <w:p w14:paraId="6A5431AE" w14:textId="77777777" w:rsidR="0009663A" w:rsidRPr="0009663A" w:rsidRDefault="0009663A" w:rsidP="0009663A">
            <w:pPr>
              <w:autoSpaceDE w:val="0"/>
              <w:autoSpaceDN w:val="0"/>
              <w:adjustRightInd w:val="0"/>
              <w:spacing w:after="0" w:line="360" w:lineRule="auto"/>
              <w:jc w:val="center"/>
              <w:rPr>
                <w:rFonts w:ascii="Times New Roman" w:hAnsi="Times New Roman" w:cs="Times New Roman"/>
                <w:color w:val="FFFFFF" w:themeColor="background1"/>
                <w:sz w:val="24"/>
                <w:szCs w:val="24"/>
              </w:rPr>
            </w:pPr>
            <w:r w:rsidRPr="0009663A">
              <w:rPr>
                <w:rFonts w:ascii="Times New Roman" w:hAnsi="Times New Roman" w:cs="Times New Roman"/>
                <w:b/>
                <w:bCs/>
                <w:color w:val="FFFFFF" w:themeColor="background1"/>
                <w:sz w:val="24"/>
                <w:szCs w:val="24"/>
              </w:rPr>
              <w:t>Enero –</w:t>
            </w:r>
            <w:proofErr w:type="gramStart"/>
            <w:r w:rsidRPr="0009663A">
              <w:rPr>
                <w:rFonts w:ascii="Times New Roman" w:hAnsi="Times New Roman" w:cs="Times New Roman"/>
                <w:b/>
                <w:bCs/>
                <w:color w:val="FFFFFF" w:themeColor="background1"/>
                <w:sz w:val="24"/>
                <w:szCs w:val="24"/>
              </w:rPr>
              <w:t>Diciembre</w:t>
            </w:r>
            <w:proofErr w:type="gramEnd"/>
            <w:r w:rsidRPr="0009663A">
              <w:rPr>
                <w:rFonts w:ascii="Times New Roman" w:hAnsi="Times New Roman" w:cs="Times New Roman"/>
                <w:b/>
                <w:bCs/>
                <w:color w:val="FFFFFF" w:themeColor="background1"/>
                <w:sz w:val="24"/>
                <w:szCs w:val="24"/>
              </w:rPr>
              <w:t xml:space="preserve"> de 2023</w:t>
            </w:r>
          </w:p>
        </w:tc>
      </w:tr>
      <w:tr w:rsidR="00792E94" w:rsidRPr="0009663A" w14:paraId="413F25F1" w14:textId="77777777" w:rsidTr="00582715">
        <w:trPr>
          <w:trHeight w:val="107"/>
          <w:tblHeader/>
        </w:trPr>
        <w:tc>
          <w:tcPr>
            <w:tcW w:w="1653" w:type="dxa"/>
            <w:shd w:val="clear" w:color="auto" w:fill="142F62"/>
          </w:tcPr>
          <w:p w14:paraId="77EC79BD" w14:textId="77777777" w:rsidR="00792E94" w:rsidRPr="0009663A" w:rsidRDefault="00792E94" w:rsidP="00792E94">
            <w:pPr>
              <w:autoSpaceDE w:val="0"/>
              <w:autoSpaceDN w:val="0"/>
              <w:adjustRightInd w:val="0"/>
              <w:spacing w:after="0" w:line="360" w:lineRule="auto"/>
              <w:jc w:val="center"/>
              <w:rPr>
                <w:rFonts w:ascii="Times New Roman" w:hAnsi="Times New Roman" w:cs="Times New Roman"/>
                <w:color w:val="FFFFFF" w:themeColor="background1"/>
                <w:sz w:val="24"/>
                <w:szCs w:val="24"/>
              </w:rPr>
            </w:pPr>
            <w:r w:rsidRPr="0009663A">
              <w:rPr>
                <w:rFonts w:ascii="Times New Roman" w:hAnsi="Times New Roman" w:cs="Times New Roman"/>
                <w:b/>
                <w:bCs/>
                <w:color w:val="FFFFFF" w:themeColor="background1"/>
                <w:sz w:val="24"/>
                <w:szCs w:val="24"/>
              </w:rPr>
              <w:t>Seguidores</w:t>
            </w:r>
          </w:p>
        </w:tc>
        <w:tc>
          <w:tcPr>
            <w:tcW w:w="2600" w:type="dxa"/>
            <w:shd w:val="clear" w:color="auto" w:fill="142F62"/>
          </w:tcPr>
          <w:p w14:paraId="460738CD" w14:textId="77777777" w:rsidR="00792E94" w:rsidRPr="0009663A" w:rsidRDefault="00792E94" w:rsidP="00792E94">
            <w:pPr>
              <w:autoSpaceDE w:val="0"/>
              <w:autoSpaceDN w:val="0"/>
              <w:adjustRightInd w:val="0"/>
              <w:spacing w:after="0" w:line="360" w:lineRule="auto"/>
              <w:jc w:val="center"/>
              <w:rPr>
                <w:rFonts w:ascii="Times New Roman" w:hAnsi="Times New Roman" w:cs="Times New Roman"/>
                <w:color w:val="FFFFFF" w:themeColor="background1"/>
                <w:sz w:val="24"/>
                <w:szCs w:val="24"/>
              </w:rPr>
            </w:pPr>
            <w:r w:rsidRPr="0009663A">
              <w:rPr>
                <w:rFonts w:ascii="Times New Roman" w:hAnsi="Times New Roman" w:cs="Times New Roman"/>
                <w:b/>
                <w:bCs/>
                <w:color w:val="FFFFFF" w:themeColor="background1"/>
                <w:sz w:val="24"/>
                <w:szCs w:val="24"/>
              </w:rPr>
              <w:t>Enero</w:t>
            </w:r>
          </w:p>
        </w:tc>
        <w:tc>
          <w:tcPr>
            <w:tcW w:w="2410" w:type="dxa"/>
            <w:shd w:val="clear" w:color="auto" w:fill="142F62"/>
          </w:tcPr>
          <w:p w14:paraId="1E1AF51B" w14:textId="77777777" w:rsidR="00792E94" w:rsidRPr="0009663A" w:rsidRDefault="00792E94" w:rsidP="00792E94">
            <w:pPr>
              <w:autoSpaceDE w:val="0"/>
              <w:autoSpaceDN w:val="0"/>
              <w:adjustRightInd w:val="0"/>
              <w:spacing w:after="0" w:line="360" w:lineRule="auto"/>
              <w:jc w:val="center"/>
              <w:rPr>
                <w:rFonts w:ascii="Times New Roman" w:hAnsi="Times New Roman" w:cs="Times New Roman"/>
                <w:color w:val="FFFFFF" w:themeColor="background1"/>
                <w:sz w:val="24"/>
                <w:szCs w:val="24"/>
              </w:rPr>
            </w:pPr>
            <w:r w:rsidRPr="0009663A">
              <w:rPr>
                <w:rFonts w:ascii="Times New Roman" w:hAnsi="Times New Roman" w:cs="Times New Roman"/>
                <w:b/>
                <w:bCs/>
                <w:color w:val="FFFFFF" w:themeColor="background1"/>
                <w:sz w:val="24"/>
                <w:szCs w:val="24"/>
              </w:rPr>
              <w:t>Diciembre</w:t>
            </w:r>
          </w:p>
        </w:tc>
      </w:tr>
      <w:tr w:rsidR="00792E94" w:rsidRPr="0009663A" w14:paraId="51455AE5" w14:textId="77777777" w:rsidTr="00E50E90">
        <w:trPr>
          <w:trHeight w:val="109"/>
          <w:tblHeader/>
        </w:trPr>
        <w:tc>
          <w:tcPr>
            <w:tcW w:w="1653" w:type="dxa"/>
            <w:shd w:val="clear" w:color="auto" w:fill="FFFFFF" w:themeFill="background1"/>
          </w:tcPr>
          <w:p w14:paraId="2E9F6C5D" w14:textId="77777777" w:rsidR="00792E94" w:rsidRPr="00E50E90" w:rsidRDefault="00792E94" w:rsidP="00792E94">
            <w:pPr>
              <w:autoSpaceDE w:val="0"/>
              <w:autoSpaceDN w:val="0"/>
              <w:adjustRightInd w:val="0"/>
              <w:spacing w:after="0" w:line="360" w:lineRule="auto"/>
              <w:jc w:val="center"/>
              <w:rPr>
                <w:rFonts w:ascii="Times New Roman" w:hAnsi="Times New Roman" w:cs="Times New Roman"/>
                <w:color w:val="4C4747"/>
                <w:sz w:val="24"/>
                <w:szCs w:val="24"/>
              </w:rPr>
            </w:pPr>
            <w:r w:rsidRPr="00E50E90">
              <w:rPr>
                <w:rFonts w:ascii="Times New Roman" w:hAnsi="Times New Roman" w:cs="Times New Roman"/>
                <w:color w:val="4C4747"/>
                <w:sz w:val="24"/>
                <w:szCs w:val="24"/>
              </w:rPr>
              <w:t>Instagram</w:t>
            </w:r>
          </w:p>
        </w:tc>
        <w:tc>
          <w:tcPr>
            <w:tcW w:w="2600" w:type="dxa"/>
            <w:shd w:val="clear" w:color="auto" w:fill="FFFFFF" w:themeFill="background1"/>
          </w:tcPr>
          <w:p w14:paraId="350CEF26" w14:textId="77777777" w:rsidR="00792E94" w:rsidRPr="00E50E90" w:rsidRDefault="00792E94" w:rsidP="00792E94">
            <w:pPr>
              <w:autoSpaceDE w:val="0"/>
              <w:autoSpaceDN w:val="0"/>
              <w:adjustRightInd w:val="0"/>
              <w:spacing w:after="0" w:line="360" w:lineRule="auto"/>
              <w:jc w:val="center"/>
              <w:rPr>
                <w:rFonts w:ascii="Times New Roman" w:hAnsi="Times New Roman" w:cs="Times New Roman"/>
                <w:color w:val="4C4747"/>
                <w:sz w:val="24"/>
                <w:szCs w:val="24"/>
              </w:rPr>
            </w:pPr>
            <w:r w:rsidRPr="00E50E90">
              <w:rPr>
                <w:rFonts w:ascii="Times New Roman" w:hAnsi="Times New Roman" w:cs="Times New Roman"/>
                <w:color w:val="4C4747"/>
                <w:sz w:val="24"/>
                <w:szCs w:val="24"/>
              </w:rPr>
              <w:t>95,220</w:t>
            </w:r>
          </w:p>
        </w:tc>
        <w:tc>
          <w:tcPr>
            <w:tcW w:w="2410" w:type="dxa"/>
            <w:shd w:val="clear" w:color="auto" w:fill="FFFFFF" w:themeFill="background1"/>
          </w:tcPr>
          <w:p w14:paraId="4C3F4398" w14:textId="77777777" w:rsidR="00792E94" w:rsidRPr="00E50E90" w:rsidRDefault="00792E94" w:rsidP="00792E94">
            <w:pPr>
              <w:autoSpaceDE w:val="0"/>
              <w:autoSpaceDN w:val="0"/>
              <w:adjustRightInd w:val="0"/>
              <w:spacing w:after="0" w:line="360" w:lineRule="auto"/>
              <w:jc w:val="center"/>
              <w:rPr>
                <w:rFonts w:ascii="Times New Roman" w:hAnsi="Times New Roman" w:cs="Times New Roman"/>
                <w:color w:val="4C4747"/>
                <w:sz w:val="24"/>
                <w:szCs w:val="24"/>
              </w:rPr>
            </w:pPr>
            <w:r w:rsidRPr="00E50E90">
              <w:rPr>
                <w:rFonts w:ascii="Times New Roman" w:hAnsi="Times New Roman" w:cs="Times New Roman"/>
                <w:color w:val="4C4747"/>
                <w:sz w:val="24"/>
                <w:szCs w:val="24"/>
              </w:rPr>
              <w:t>102,000</w:t>
            </w:r>
          </w:p>
        </w:tc>
      </w:tr>
      <w:tr w:rsidR="00792E94" w:rsidRPr="0009663A" w14:paraId="6C49D67B" w14:textId="77777777" w:rsidTr="00E50E90">
        <w:trPr>
          <w:trHeight w:val="109"/>
          <w:tblHeader/>
        </w:trPr>
        <w:tc>
          <w:tcPr>
            <w:tcW w:w="1653" w:type="dxa"/>
            <w:shd w:val="clear" w:color="auto" w:fill="FFFFFF" w:themeFill="background1"/>
          </w:tcPr>
          <w:p w14:paraId="6CBCE39F" w14:textId="77777777" w:rsidR="00792E94" w:rsidRPr="00E50E90" w:rsidRDefault="00792E94" w:rsidP="00792E94">
            <w:pPr>
              <w:autoSpaceDE w:val="0"/>
              <w:autoSpaceDN w:val="0"/>
              <w:adjustRightInd w:val="0"/>
              <w:spacing w:after="0" w:line="360" w:lineRule="auto"/>
              <w:jc w:val="center"/>
              <w:rPr>
                <w:rFonts w:ascii="Times New Roman" w:hAnsi="Times New Roman" w:cs="Times New Roman"/>
                <w:color w:val="4C4747"/>
                <w:sz w:val="24"/>
                <w:szCs w:val="24"/>
              </w:rPr>
            </w:pPr>
            <w:r w:rsidRPr="00E50E90">
              <w:rPr>
                <w:rFonts w:ascii="Times New Roman" w:hAnsi="Times New Roman" w:cs="Times New Roman"/>
                <w:color w:val="4C4747"/>
                <w:sz w:val="24"/>
                <w:szCs w:val="24"/>
              </w:rPr>
              <w:t>Facebook</w:t>
            </w:r>
          </w:p>
        </w:tc>
        <w:tc>
          <w:tcPr>
            <w:tcW w:w="2600" w:type="dxa"/>
            <w:shd w:val="clear" w:color="auto" w:fill="FFFFFF" w:themeFill="background1"/>
          </w:tcPr>
          <w:p w14:paraId="25754233" w14:textId="77777777" w:rsidR="00792E94" w:rsidRPr="00E50E90" w:rsidRDefault="00792E94" w:rsidP="00792E94">
            <w:pPr>
              <w:autoSpaceDE w:val="0"/>
              <w:autoSpaceDN w:val="0"/>
              <w:adjustRightInd w:val="0"/>
              <w:spacing w:after="0" w:line="360" w:lineRule="auto"/>
              <w:jc w:val="center"/>
              <w:rPr>
                <w:rFonts w:ascii="Times New Roman" w:hAnsi="Times New Roman" w:cs="Times New Roman"/>
                <w:color w:val="4C4747"/>
                <w:sz w:val="24"/>
                <w:szCs w:val="24"/>
              </w:rPr>
            </w:pPr>
            <w:r w:rsidRPr="00E50E90">
              <w:rPr>
                <w:rFonts w:ascii="Times New Roman" w:hAnsi="Times New Roman" w:cs="Times New Roman"/>
                <w:color w:val="4C4747"/>
                <w:sz w:val="24"/>
                <w:szCs w:val="24"/>
              </w:rPr>
              <w:t>54,738</w:t>
            </w:r>
          </w:p>
        </w:tc>
        <w:tc>
          <w:tcPr>
            <w:tcW w:w="2410" w:type="dxa"/>
            <w:shd w:val="clear" w:color="auto" w:fill="FFFFFF" w:themeFill="background1"/>
          </w:tcPr>
          <w:p w14:paraId="1E7966B0" w14:textId="77777777" w:rsidR="00792E94" w:rsidRPr="00E50E90" w:rsidRDefault="00792E94" w:rsidP="00792E94">
            <w:pPr>
              <w:autoSpaceDE w:val="0"/>
              <w:autoSpaceDN w:val="0"/>
              <w:adjustRightInd w:val="0"/>
              <w:spacing w:after="0" w:line="360" w:lineRule="auto"/>
              <w:jc w:val="center"/>
              <w:rPr>
                <w:rFonts w:ascii="Times New Roman" w:hAnsi="Times New Roman" w:cs="Times New Roman"/>
                <w:color w:val="4C4747"/>
                <w:sz w:val="24"/>
                <w:szCs w:val="24"/>
              </w:rPr>
            </w:pPr>
            <w:r w:rsidRPr="00E50E90">
              <w:rPr>
                <w:rFonts w:ascii="Times New Roman" w:hAnsi="Times New Roman" w:cs="Times New Roman"/>
                <w:color w:val="4C4747"/>
                <w:sz w:val="24"/>
                <w:szCs w:val="24"/>
              </w:rPr>
              <w:t>60,000</w:t>
            </w:r>
          </w:p>
        </w:tc>
      </w:tr>
      <w:tr w:rsidR="00792E94" w:rsidRPr="0009663A" w14:paraId="6098A543" w14:textId="77777777" w:rsidTr="00E50E90">
        <w:trPr>
          <w:trHeight w:val="109"/>
          <w:tblHeader/>
        </w:trPr>
        <w:tc>
          <w:tcPr>
            <w:tcW w:w="1653" w:type="dxa"/>
            <w:shd w:val="clear" w:color="auto" w:fill="FFFFFF" w:themeFill="background1"/>
          </w:tcPr>
          <w:p w14:paraId="67B61595" w14:textId="77777777" w:rsidR="00792E94" w:rsidRPr="00E50E90" w:rsidRDefault="00792E94" w:rsidP="00792E94">
            <w:pPr>
              <w:autoSpaceDE w:val="0"/>
              <w:autoSpaceDN w:val="0"/>
              <w:adjustRightInd w:val="0"/>
              <w:spacing w:after="0" w:line="360" w:lineRule="auto"/>
              <w:jc w:val="center"/>
              <w:rPr>
                <w:rFonts w:ascii="Times New Roman" w:hAnsi="Times New Roman" w:cs="Times New Roman"/>
                <w:color w:val="4C4747"/>
                <w:sz w:val="24"/>
                <w:szCs w:val="24"/>
              </w:rPr>
            </w:pPr>
            <w:r w:rsidRPr="00E50E90">
              <w:rPr>
                <w:rFonts w:ascii="Times New Roman" w:hAnsi="Times New Roman" w:cs="Times New Roman"/>
                <w:color w:val="4C4747"/>
                <w:sz w:val="24"/>
                <w:szCs w:val="24"/>
              </w:rPr>
              <w:t>Twitter</w:t>
            </w:r>
          </w:p>
        </w:tc>
        <w:tc>
          <w:tcPr>
            <w:tcW w:w="2600" w:type="dxa"/>
            <w:shd w:val="clear" w:color="auto" w:fill="FFFFFF" w:themeFill="background1"/>
          </w:tcPr>
          <w:p w14:paraId="4F66DA5B" w14:textId="77777777" w:rsidR="00792E94" w:rsidRPr="00E50E90" w:rsidRDefault="00792E94" w:rsidP="00792E94">
            <w:pPr>
              <w:autoSpaceDE w:val="0"/>
              <w:autoSpaceDN w:val="0"/>
              <w:adjustRightInd w:val="0"/>
              <w:spacing w:after="0" w:line="360" w:lineRule="auto"/>
              <w:jc w:val="center"/>
              <w:rPr>
                <w:rFonts w:ascii="Times New Roman" w:hAnsi="Times New Roman" w:cs="Times New Roman"/>
                <w:color w:val="4C4747"/>
                <w:sz w:val="24"/>
                <w:szCs w:val="24"/>
              </w:rPr>
            </w:pPr>
            <w:r w:rsidRPr="00E50E90">
              <w:rPr>
                <w:rFonts w:ascii="Times New Roman" w:hAnsi="Times New Roman" w:cs="Times New Roman"/>
                <w:color w:val="4C4747"/>
                <w:sz w:val="24"/>
                <w:szCs w:val="24"/>
              </w:rPr>
              <w:t>134,762</w:t>
            </w:r>
          </w:p>
        </w:tc>
        <w:tc>
          <w:tcPr>
            <w:tcW w:w="2410" w:type="dxa"/>
            <w:shd w:val="clear" w:color="auto" w:fill="FFFFFF" w:themeFill="background1"/>
          </w:tcPr>
          <w:p w14:paraId="37D3BE1C" w14:textId="01E5E5C5" w:rsidR="00792E94" w:rsidRPr="00E50E90" w:rsidRDefault="00792E94" w:rsidP="00792E94">
            <w:pPr>
              <w:autoSpaceDE w:val="0"/>
              <w:autoSpaceDN w:val="0"/>
              <w:adjustRightInd w:val="0"/>
              <w:spacing w:after="0" w:line="360" w:lineRule="auto"/>
              <w:jc w:val="center"/>
              <w:rPr>
                <w:rFonts w:ascii="Times New Roman" w:hAnsi="Times New Roman" w:cs="Times New Roman"/>
                <w:color w:val="4C4747"/>
                <w:sz w:val="24"/>
                <w:szCs w:val="24"/>
              </w:rPr>
            </w:pPr>
            <w:r w:rsidRPr="00E50E90">
              <w:rPr>
                <w:rFonts w:ascii="Times New Roman" w:hAnsi="Times New Roman" w:cs="Times New Roman"/>
                <w:color w:val="4C4747"/>
                <w:sz w:val="24"/>
                <w:szCs w:val="24"/>
              </w:rPr>
              <w:t>136,987</w:t>
            </w:r>
          </w:p>
        </w:tc>
      </w:tr>
    </w:tbl>
    <w:p w14:paraId="5B08EF41" w14:textId="77777777" w:rsidR="0009663A" w:rsidRPr="0009663A" w:rsidRDefault="0009663A" w:rsidP="0009663A">
      <w:pPr>
        <w:autoSpaceDE w:val="0"/>
        <w:autoSpaceDN w:val="0"/>
        <w:adjustRightInd w:val="0"/>
        <w:spacing w:after="0" w:line="360" w:lineRule="auto"/>
        <w:jc w:val="both"/>
        <w:rPr>
          <w:rFonts w:ascii="Times New Roman" w:hAnsi="Times New Roman" w:cs="Times New Roman"/>
          <w:color w:val="4B4646"/>
          <w:sz w:val="24"/>
          <w:szCs w:val="24"/>
        </w:rPr>
      </w:pPr>
    </w:p>
    <w:p w14:paraId="00CF6A62" w14:textId="77777777" w:rsidR="0009663A" w:rsidRPr="0009663A" w:rsidRDefault="0009663A" w:rsidP="0009663A">
      <w:pPr>
        <w:autoSpaceDE w:val="0"/>
        <w:autoSpaceDN w:val="0"/>
        <w:adjustRightInd w:val="0"/>
        <w:spacing w:after="0" w:line="360" w:lineRule="auto"/>
        <w:jc w:val="both"/>
        <w:rPr>
          <w:rFonts w:ascii="Times New Roman" w:hAnsi="Times New Roman" w:cs="Times New Roman"/>
          <w:color w:val="4B4646"/>
          <w:sz w:val="24"/>
          <w:szCs w:val="24"/>
        </w:rPr>
      </w:pPr>
    </w:p>
    <w:p w14:paraId="3030D5F1" w14:textId="77777777" w:rsidR="0009663A" w:rsidRPr="0009663A" w:rsidRDefault="0009663A" w:rsidP="0009663A">
      <w:pPr>
        <w:autoSpaceDE w:val="0"/>
        <w:autoSpaceDN w:val="0"/>
        <w:adjustRightInd w:val="0"/>
        <w:spacing w:after="0" w:line="360" w:lineRule="auto"/>
        <w:jc w:val="both"/>
        <w:rPr>
          <w:rFonts w:ascii="Times New Roman" w:hAnsi="Times New Roman" w:cs="Times New Roman"/>
          <w:color w:val="4B4646"/>
          <w:sz w:val="24"/>
          <w:szCs w:val="24"/>
        </w:rPr>
      </w:pPr>
    </w:p>
    <w:p w14:paraId="5C8C5C10" w14:textId="77777777" w:rsidR="0009663A" w:rsidRPr="0009663A" w:rsidRDefault="0009663A" w:rsidP="0009663A">
      <w:pPr>
        <w:autoSpaceDE w:val="0"/>
        <w:autoSpaceDN w:val="0"/>
        <w:adjustRightInd w:val="0"/>
        <w:spacing w:after="0" w:line="360" w:lineRule="auto"/>
        <w:jc w:val="both"/>
        <w:rPr>
          <w:rFonts w:ascii="Times New Roman" w:hAnsi="Times New Roman" w:cs="Times New Roman"/>
          <w:color w:val="4B4646"/>
          <w:sz w:val="24"/>
          <w:szCs w:val="24"/>
        </w:rPr>
      </w:pPr>
    </w:p>
    <w:p w14:paraId="0FB4AB2B" w14:textId="77777777" w:rsidR="0009663A" w:rsidRPr="0009663A" w:rsidRDefault="0009663A" w:rsidP="0009663A">
      <w:pPr>
        <w:autoSpaceDE w:val="0"/>
        <w:autoSpaceDN w:val="0"/>
        <w:adjustRightInd w:val="0"/>
        <w:spacing w:after="0" w:line="360" w:lineRule="auto"/>
        <w:jc w:val="both"/>
        <w:rPr>
          <w:rFonts w:ascii="Times New Roman" w:hAnsi="Times New Roman" w:cs="Times New Roman"/>
          <w:color w:val="4B4646"/>
          <w:sz w:val="24"/>
          <w:szCs w:val="24"/>
        </w:rPr>
      </w:pPr>
    </w:p>
    <w:p w14:paraId="21174838" w14:textId="77777777" w:rsidR="0009663A" w:rsidRPr="0009663A" w:rsidRDefault="0009663A" w:rsidP="0009663A">
      <w:pPr>
        <w:autoSpaceDE w:val="0"/>
        <w:autoSpaceDN w:val="0"/>
        <w:adjustRightInd w:val="0"/>
        <w:spacing w:after="0" w:line="360" w:lineRule="auto"/>
        <w:jc w:val="both"/>
        <w:rPr>
          <w:rFonts w:ascii="Times New Roman" w:hAnsi="Times New Roman" w:cs="Times New Roman"/>
          <w:color w:val="4B4646"/>
          <w:sz w:val="24"/>
          <w:szCs w:val="24"/>
        </w:rPr>
      </w:pPr>
    </w:p>
    <w:p w14:paraId="153A5DA5" w14:textId="63ACCAD3" w:rsidR="0009663A" w:rsidRPr="00CF5E9F" w:rsidRDefault="00792E94" w:rsidP="00E50E90">
      <w:pPr>
        <w:autoSpaceDE w:val="0"/>
        <w:autoSpaceDN w:val="0"/>
        <w:adjustRightInd w:val="0"/>
        <w:spacing w:after="0" w:line="360" w:lineRule="auto"/>
        <w:ind w:left="2160"/>
        <w:jc w:val="both"/>
        <w:rPr>
          <w:rFonts w:ascii="Times New Roman" w:hAnsi="Times New Roman" w:cs="Times New Roman"/>
          <w:b/>
          <w:color w:val="4C4747"/>
        </w:rPr>
      </w:pPr>
      <w:r>
        <w:rPr>
          <w:rFonts w:ascii="Times New Roman" w:hAnsi="Times New Roman" w:cs="Times New Roman"/>
          <w:color w:val="4B4646"/>
          <w:sz w:val="24"/>
          <w:szCs w:val="24"/>
        </w:rPr>
        <w:t xml:space="preserve">  </w:t>
      </w:r>
      <w:r w:rsidR="00E50E90">
        <w:rPr>
          <w:rFonts w:ascii="Times New Roman" w:hAnsi="Times New Roman" w:cs="Times New Roman"/>
          <w:color w:val="4B4646"/>
          <w:sz w:val="24"/>
          <w:szCs w:val="24"/>
        </w:rPr>
        <w:t xml:space="preserve">       </w:t>
      </w:r>
      <w:r w:rsidR="0009663A" w:rsidRPr="00CF5E9F">
        <w:rPr>
          <w:rFonts w:ascii="Times New Roman" w:hAnsi="Times New Roman" w:cs="Times New Roman"/>
          <w:b/>
          <w:color w:val="4C4747"/>
        </w:rPr>
        <w:t>Fuente: Depto. Comunicación</w:t>
      </w:r>
    </w:p>
    <w:p w14:paraId="2AD5533E" w14:textId="77777777" w:rsidR="0009663A" w:rsidRPr="0009663A" w:rsidRDefault="0009663A" w:rsidP="0009663A">
      <w:pPr>
        <w:autoSpaceDE w:val="0"/>
        <w:autoSpaceDN w:val="0"/>
        <w:adjustRightInd w:val="0"/>
        <w:spacing w:after="0" w:line="360" w:lineRule="auto"/>
        <w:jc w:val="both"/>
        <w:rPr>
          <w:rFonts w:ascii="Times New Roman" w:hAnsi="Times New Roman" w:cs="Times New Roman"/>
          <w:color w:val="4B4646"/>
          <w:sz w:val="24"/>
          <w:szCs w:val="24"/>
        </w:rPr>
      </w:pPr>
    </w:p>
    <w:p w14:paraId="54E73B7A" w14:textId="77777777" w:rsidR="0009663A" w:rsidRPr="0009663A" w:rsidRDefault="0009663A" w:rsidP="005D08D4">
      <w:pPr>
        <w:autoSpaceDE w:val="0"/>
        <w:autoSpaceDN w:val="0"/>
        <w:adjustRightInd w:val="0"/>
        <w:spacing w:after="0" w:line="360" w:lineRule="auto"/>
        <w:jc w:val="both"/>
        <w:rPr>
          <w:rFonts w:ascii="Times New Roman" w:hAnsi="Times New Roman" w:cs="Times New Roman"/>
          <w:color w:val="4B4646"/>
          <w:sz w:val="24"/>
          <w:szCs w:val="24"/>
        </w:rPr>
      </w:pPr>
      <w:r w:rsidRPr="0009663A">
        <w:rPr>
          <w:rFonts w:ascii="Times New Roman" w:hAnsi="Times New Roman" w:cs="Times New Roman"/>
          <w:color w:val="4B4646"/>
          <w:sz w:val="24"/>
          <w:szCs w:val="24"/>
        </w:rPr>
        <w:t>En cuanto a la política de comunicación y su relación con la responsabilidad social de la institución, las autoridades monetarias continuaron impulsando el Programa Aula Central, orientado a mejorar la educación económica y financiera de la población. Asimismo, a través de su voluntariado, el BCRD trabajó en el mejoramiento social y económico de distintas comunidades a nivel nacional.</w:t>
      </w:r>
    </w:p>
    <w:p w14:paraId="45E19BE0" w14:textId="77777777" w:rsidR="0009663A" w:rsidRPr="0009663A" w:rsidRDefault="0009663A" w:rsidP="005D08D4">
      <w:pPr>
        <w:autoSpaceDE w:val="0"/>
        <w:autoSpaceDN w:val="0"/>
        <w:adjustRightInd w:val="0"/>
        <w:spacing w:after="0" w:line="360" w:lineRule="auto"/>
        <w:jc w:val="both"/>
        <w:rPr>
          <w:rFonts w:ascii="Times New Roman" w:hAnsi="Times New Roman" w:cs="Times New Roman"/>
          <w:color w:val="4B4646"/>
          <w:sz w:val="24"/>
          <w:szCs w:val="24"/>
        </w:rPr>
      </w:pPr>
    </w:p>
    <w:p w14:paraId="7B25B112" w14:textId="77777777" w:rsidR="0009663A" w:rsidRPr="0009663A" w:rsidRDefault="0009663A" w:rsidP="005D08D4">
      <w:pPr>
        <w:autoSpaceDE w:val="0"/>
        <w:autoSpaceDN w:val="0"/>
        <w:adjustRightInd w:val="0"/>
        <w:spacing w:after="0" w:line="360" w:lineRule="auto"/>
        <w:jc w:val="both"/>
        <w:rPr>
          <w:rFonts w:ascii="Times New Roman" w:hAnsi="Times New Roman" w:cs="Times New Roman"/>
          <w:color w:val="4B4646"/>
          <w:sz w:val="24"/>
          <w:szCs w:val="24"/>
        </w:rPr>
      </w:pPr>
      <w:r w:rsidRPr="0009663A">
        <w:rPr>
          <w:rFonts w:ascii="Times New Roman" w:hAnsi="Times New Roman" w:cs="Times New Roman"/>
          <w:color w:val="4B4646"/>
          <w:sz w:val="24"/>
          <w:szCs w:val="24"/>
        </w:rPr>
        <w:t>El Voluntariado Bancentraliano es una institución vinculada al Banco Central de la República Dominicana integrada por funcionarios, empleados y pensionados que deciden manifestar su espíritu solidario con la sociedad y el medioambiente. A través de este se contribuye a la búsqueda de soluciones a problemas que afectan a comunidades seleccionadas.</w:t>
      </w:r>
    </w:p>
    <w:p w14:paraId="7006F16D" w14:textId="77777777" w:rsidR="0009663A" w:rsidRPr="0009663A" w:rsidRDefault="0009663A" w:rsidP="005D08D4">
      <w:pPr>
        <w:autoSpaceDE w:val="0"/>
        <w:autoSpaceDN w:val="0"/>
        <w:adjustRightInd w:val="0"/>
        <w:spacing w:after="0" w:line="360" w:lineRule="auto"/>
        <w:jc w:val="both"/>
        <w:rPr>
          <w:rFonts w:ascii="Times New Roman" w:hAnsi="Times New Roman" w:cs="Times New Roman"/>
          <w:color w:val="4B4646"/>
          <w:sz w:val="24"/>
          <w:szCs w:val="24"/>
        </w:rPr>
      </w:pPr>
    </w:p>
    <w:p w14:paraId="5568E665" w14:textId="77777777" w:rsidR="0009663A" w:rsidRPr="0009663A" w:rsidRDefault="0009663A" w:rsidP="005D08D4">
      <w:pPr>
        <w:autoSpaceDE w:val="0"/>
        <w:autoSpaceDN w:val="0"/>
        <w:adjustRightInd w:val="0"/>
        <w:spacing w:after="0" w:line="360" w:lineRule="auto"/>
        <w:jc w:val="both"/>
        <w:rPr>
          <w:rFonts w:ascii="Times New Roman" w:hAnsi="Times New Roman" w:cs="Times New Roman"/>
          <w:color w:val="4B4646"/>
          <w:sz w:val="24"/>
          <w:szCs w:val="24"/>
        </w:rPr>
      </w:pPr>
      <w:r w:rsidRPr="0009663A">
        <w:rPr>
          <w:rFonts w:ascii="Times New Roman" w:hAnsi="Times New Roman" w:cs="Times New Roman"/>
          <w:color w:val="4B4646"/>
          <w:sz w:val="24"/>
          <w:szCs w:val="24"/>
        </w:rPr>
        <w:t>A lo largo de 2023 se realizaron aportes a entidades sin fines de lucro, las cuales desarrollan una labor encomiable en favor del bienestar de grupos sociales necesitados de la población dominicana. Asimismo, se entregaron viviendas reparadas a familias de escasos recursos.</w:t>
      </w:r>
    </w:p>
    <w:p w14:paraId="345B9E03" w14:textId="77777777" w:rsidR="0009663A" w:rsidRPr="0009663A" w:rsidRDefault="0009663A" w:rsidP="005D08D4">
      <w:pPr>
        <w:autoSpaceDE w:val="0"/>
        <w:autoSpaceDN w:val="0"/>
        <w:adjustRightInd w:val="0"/>
        <w:spacing w:after="0" w:line="360" w:lineRule="auto"/>
        <w:jc w:val="both"/>
        <w:rPr>
          <w:rFonts w:ascii="Times New Roman" w:hAnsi="Times New Roman" w:cs="Times New Roman"/>
          <w:color w:val="4B4646"/>
          <w:sz w:val="24"/>
          <w:szCs w:val="24"/>
        </w:rPr>
      </w:pPr>
    </w:p>
    <w:p w14:paraId="01126688" w14:textId="50A7285D" w:rsidR="005D08D4" w:rsidRDefault="0009663A" w:rsidP="005D08D4">
      <w:pPr>
        <w:autoSpaceDE w:val="0"/>
        <w:autoSpaceDN w:val="0"/>
        <w:adjustRightInd w:val="0"/>
        <w:spacing w:after="0" w:line="360" w:lineRule="auto"/>
        <w:jc w:val="both"/>
        <w:rPr>
          <w:rFonts w:ascii="Times New Roman" w:hAnsi="Times New Roman" w:cs="Times New Roman"/>
          <w:color w:val="4B4646"/>
          <w:sz w:val="24"/>
          <w:szCs w:val="24"/>
        </w:rPr>
      </w:pPr>
      <w:r w:rsidRPr="0009663A">
        <w:rPr>
          <w:rFonts w:ascii="Times New Roman" w:hAnsi="Times New Roman" w:cs="Times New Roman"/>
          <w:color w:val="4B4646"/>
          <w:sz w:val="24"/>
          <w:szCs w:val="24"/>
        </w:rPr>
        <w:t>No obstante, para este año el Banco Central de la República Dominicana continuó desarrollando la agenda institucional de mitigación y adaptación al cambio climático. En este sentido, se conformó oficialmente un equipo interdepartamental del Banco Central para analizar y medir los efectos</w:t>
      </w:r>
      <w:r>
        <w:rPr>
          <w:rFonts w:ascii="Times New Roman" w:hAnsi="Times New Roman" w:cs="Times New Roman"/>
          <w:color w:val="4B4646"/>
          <w:sz w:val="24"/>
          <w:szCs w:val="24"/>
        </w:rPr>
        <w:t xml:space="preserve"> </w:t>
      </w:r>
      <w:r w:rsidRPr="0009663A">
        <w:rPr>
          <w:rFonts w:ascii="Times New Roman" w:hAnsi="Times New Roman" w:cs="Times New Roman"/>
          <w:color w:val="4B4646"/>
          <w:sz w:val="24"/>
          <w:szCs w:val="24"/>
        </w:rPr>
        <w:t xml:space="preserve">del cambio climático en la economía </w:t>
      </w:r>
      <w:r w:rsidR="005D08D4" w:rsidRPr="0009663A">
        <w:rPr>
          <w:rFonts w:ascii="Times New Roman" w:hAnsi="Times New Roman" w:cs="Times New Roman"/>
          <w:color w:val="4B4646"/>
          <w:sz w:val="24"/>
          <w:szCs w:val="24"/>
        </w:rPr>
        <w:t>dominican</w:t>
      </w:r>
      <w:r w:rsidR="005D08D4">
        <w:rPr>
          <w:rFonts w:ascii="Times New Roman" w:hAnsi="Times New Roman" w:cs="Times New Roman"/>
          <w:color w:val="4B4646"/>
          <w:sz w:val="24"/>
          <w:szCs w:val="24"/>
        </w:rPr>
        <w:t>a</w:t>
      </w:r>
      <w:r w:rsidRPr="0009663A">
        <w:rPr>
          <w:rFonts w:ascii="Times New Roman" w:hAnsi="Times New Roman" w:cs="Times New Roman"/>
          <w:color w:val="4B4646"/>
          <w:sz w:val="24"/>
          <w:szCs w:val="24"/>
        </w:rPr>
        <w:t xml:space="preserve">. </w:t>
      </w:r>
    </w:p>
    <w:p w14:paraId="008DA389" w14:textId="77777777" w:rsidR="005D08D4" w:rsidRDefault="005D08D4" w:rsidP="005D08D4">
      <w:pPr>
        <w:autoSpaceDE w:val="0"/>
        <w:autoSpaceDN w:val="0"/>
        <w:adjustRightInd w:val="0"/>
        <w:spacing w:after="0" w:line="360" w:lineRule="auto"/>
        <w:jc w:val="both"/>
        <w:rPr>
          <w:rFonts w:ascii="Times New Roman" w:hAnsi="Times New Roman" w:cs="Times New Roman"/>
          <w:color w:val="4B4646"/>
          <w:sz w:val="24"/>
          <w:szCs w:val="24"/>
        </w:rPr>
      </w:pPr>
    </w:p>
    <w:p w14:paraId="09F6453B" w14:textId="37C44B68" w:rsidR="0009663A" w:rsidRPr="0009663A" w:rsidRDefault="0009663A" w:rsidP="005D08D4">
      <w:pPr>
        <w:autoSpaceDE w:val="0"/>
        <w:autoSpaceDN w:val="0"/>
        <w:adjustRightInd w:val="0"/>
        <w:spacing w:after="0" w:line="360" w:lineRule="auto"/>
        <w:jc w:val="both"/>
        <w:rPr>
          <w:rFonts w:ascii="Times New Roman" w:hAnsi="Times New Roman" w:cs="Times New Roman"/>
          <w:color w:val="4B4646"/>
          <w:sz w:val="24"/>
          <w:szCs w:val="24"/>
        </w:rPr>
      </w:pPr>
      <w:r w:rsidRPr="0009663A">
        <w:rPr>
          <w:rFonts w:ascii="Times New Roman" w:hAnsi="Times New Roman" w:cs="Times New Roman"/>
          <w:color w:val="4B4646"/>
          <w:sz w:val="24"/>
          <w:szCs w:val="24"/>
        </w:rPr>
        <w:t>Así mismo, se realizó la 18ª jornada de reforestación en las inmediaciones de la ‘Loma 7 Picos’, Yamasá, provincia de Monte Plata, en la cuenca alta del río Ozama, una actividad que forma parte del acuerdo suscrito con el Ministerio de Medio Ambiente y Recursos Naturales. Un total de 72 voluntarios, distribuidos entre empleados del BCRD y sus familiares, sembraron 3,000 árboles de la especie ‘</w:t>
      </w:r>
      <w:proofErr w:type="spellStart"/>
      <w:r w:rsidRPr="0009663A">
        <w:rPr>
          <w:rFonts w:ascii="Times New Roman" w:hAnsi="Times New Roman" w:cs="Times New Roman"/>
          <w:color w:val="4B4646"/>
          <w:sz w:val="24"/>
          <w:szCs w:val="24"/>
        </w:rPr>
        <w:t>capá</w:t>
      </w:r>
      <w:proofErr w:type="spellEnd"/>
      <w:r w:rsidRPr="0009663A">
        <w:rPr>
          <w:rFonts w:ascii="Times New Roman" w:hAnsi="Times New Roman" w:cs="Times New Roman"/>
          <w:color w:val="4B4646"/>
          <w:sz w:val="24"/>
          <w:szCs w:val="24"/>
        </w:rPr>
        <w:t>’ procedente de Puerto Rico, en terrenos provistos y previamente preparados por el ministerio.</w:t>
      </w:r>
    </w:p>
    <w:p w14:paraId="5E4DEB7F" w14:textId="77777777" w:rsidR="00AF1992" w:rsidRDefault="00AF1992" w:rsidP="005D08D4">
      <w:pPr>
        <w:pStyle w:val="Heading1"/>
        <w:spacing w:line="360" w:lineRule="auto"/>
        <w:jc w:val="center"/>
        <w:rPr>
          <w:rFonts w:ascii="Times New Roman" w:hAnsi="Times New Roman" w:cs="Times New Roman"/>
          <w:color w:val="4C4747"/>
          <w:sz w:val="28"/>
          <w:szCs w:val="28"/>
        </w:rPr>
      </w:pPr>
    </w:p>
    <w:p w14:paraId="1AED250F" w14:textId="77777777" w:rsidR="00AF1992" w:rsidRDefault="00AF1992" w:rsidP="005D08D4">
      <w:pPr>
        <w:pStyle w:val="Heading1"/>
        <w:spacing w:line="360" w:lineRule="auto"/>
        <w:jc w:val="center"/>
        <w:rPr>
          <w:rFonts w:ascii="Times New Roman" w:hAnsi="Times New Roman" w:cs="Times New Roman"/>
          <w:color w:val="4C4747"/>
          <w:sz w:val="28"/>
          <w:szCs w:val="28"/>
        </w:rPr>
      </w:pPr>
    </w:p>
    <w:p w14:paraId="7E3DA80A" w14:textId="77777777" w:rsidR="00AF1992" w:rsidRDefault="00AF1992" w:rsidP="005D08D4">
      <w:pPr>
        <w:spacing w:line="360" w:lineRule="auto"/>
        <w:rPr>
          <w:rFonts w:ascii="Times New Roman" w:hAnsi="Times New Roman" w:cs="Times New Roman"/>
          <w:color w:val="4C4747"/>
          <w:sz w:val="28"/>
          <w:szCs w:val="28"/>
        </w:rPr>
      </w:pPr>
    </w:p>
    <w:p w14:paraId="0EBF50E5" w14:textId="77777777" w:rsidR="00AF1992" w:rsidRDefault="00AF1992" w:rsidP="00C47BE5">
      <w:pPr>
        <w:rPr>
          <w:rFonts w:ascii="Times New Roman" w:hAnsi="Times New Roman" w:cs="Times New Roman"/>
          <w:color w:val="4C4747"/>
          <w:sz w:val="28"/>
          <w:szCs w:val="28"/>
        </w:rPr>
      </w:pPr>
    </w:p>
    <w:p w14:paraId="76A026BB" w14:textId="4D8FC70C" w:rsidR="00AF1992" w:rsidRDefault="00AF1992" w:rsidP="00C47BE5">
      <w:pPr>
        <w:rPr>
          <w:rFonts w:ascii="Times New Roman" w:hAnsi="Times New Roman" w:cs="Times New Roman"/>
          <w:color w:val="4C4747"/>
          <w:sz w:val="28"/>
          <w:szCs w:val="28"/>
        </w:rPr>
      </w:pPr>
    </w:p>
    <w:p w14:paraId="1FD3E583" w14:textId="1F189760" w:rsidR="00C47BE5" w:rsidRDefault="00C47BE5" w:rsidP="00C47BE5"/>
    <w:p w14:paraId="0D740DFA" w14:textId="3848E9F7" w:rsidR="00C47BE5" w:rsidRDefault="00C47BE5" w:rsidP="00C47BE5"/>
    <w:p w14:paraId="604480C5" w14:textId="3F0CEFD1" w:rsidR="00C47BE5" w:rsidRDefault="00C47BE5" w:rsidP="00C47BE5"/>
    <w:p w14:paraId="6E58EE21" w14:textId="77777777" w:rsidR="00C47BE5" w:rsidRPr="00C47BE5" w:rsidRDefault="00C47BE5" w:rsidP="00C47BE5"/>
    <w:p w14:paraId="1EEB8BD4" w14:textId="3BE2DAFE" w:rsidR="00AF1992" w:rsidRDefault="00AF1992" w:rsidP="00C47BE5">
      <w:pPr>
        <w:rPr>
          <w:rFonts w:ascii="Times New Roman" w:eastAsiaTheme="majorEastAsia" w:hAnsi="Times New Roman" w:cs="Times New Roman"/>
          <w:color w:val="4C4747"/>
          <w:sz w:val="28"/>
          <w:szCs w:val="28"/>
        </w:rPr>
      </w:pPr>
    </w:p>
    <w:p w14:paraId="08F8179F" w14:textId="77777777" w:rsidR="0009663A" w:rsidRPr="00AF1992" w:rsidRDefault="0009663A" w:rsidP="00C47BE5"/>
    <w:p w14:paraId="46E5457D" w14:textId="77777777" w:rsidR="00AF1992" w:rsidRPr="00582715" w:rsidRDefault="00ED3488" w:rsidP="00AF1992">
      <w:pPr>
        <w:pStyle w:val="Heading1"/>
        <w:jc w:val="center"/>
        <w:rPr>
          <w:rFonts w:ascii="Times New Roman" w:hAnsi="Times New Roman"/>
          <w:b/>
          <w:bCs/>
          <w:color w:val="4C4747"/>
          <w:spacing w:val="20"/>
          <w:sz w:val="28"/>
        </w:rPr>
      </w:pPr>
      <w:bookmarkStart w:id="46" w:name="_Toc155259678"/>
      <w:r w:rsidRPr="00582715">
        <w:rPr>
          <w:rFonts w:ascii="Times New Roman" w:hAnsi="Times New Roman" w:cs="Times New Roman"/>
          <w:b/>
          <w:color w:val="4C4747"/>
          <w:sz w:val="28"/>
          <w:szCs w:val="28"/>
        </w:rPr>
        <w:lastRenderedPageBreak/>
        <w:t>V.</w:t>
      </w:r>
      <w:r w:rsidRPr="00584C3A">
        <w:rPr>
          <w:rFonts w:ascii="Times New Roman" w:hAnsi="Times New Roman" w:cs="Times New Roman"/>
          <w:color w:val="4C4747"/>
          <w:sz w:val="28"/>
          <w:szCs w:val="28"/>
        </w:rPr>
        <w:tab/>
      </w:r>
      <w:r w:rsidR="008F2149" w:rsidRPr="00582715">
        <w:rPr>
          <w:rFonts w:ascii="Times New Roman" w:hAnsi="Times New Roman"/>
          <w:b/>
          <w:bCs/>
          <w:color w:val="4C4747"/>
          <w:spacing w:val="20"/>
          <w:sz w:val="28"/>
        </w:rPr>
        <w:t xml:space="preserve">SERVICIO AL </w:t>
      </w:r>
      <w:r w:rsidR="008F2149" w:rsidRPr="00582715">
        <w:rPr>
          <w:rFonts w:ascii="Times New Roman" w:hAnsi="Times New Roman" w:cs="Times New Roman"/>
          <w:b/>
          <w:bCs/>
          <w:color w:val="4C4747"/>
          <w:spacing w:val="20"/>
          <w:sz w:val="28"/>
        </w:rPr>
        <w:t>CIUDADANO Y TRANSPARENCIA</w:t>
      </w:r>
      <w:r w:rsidR="008F2149" w:rsidRPr="00582715">
        <w:rPr>
          <w:rFonts w:ascii="Times New Roman" w:hAnsi="Times New Roman"/>
          <w:b/>
          <w:bCs/>
          <w:color w:val="4C4747"/>
          <w:spacing w:val="20"/>
          <w:sz w:val="28"/>
        </w:rPr>
        <w:t xml:space="preserve"> INSTITUCIONAL</w:t>
      </w:r>
      <w:bookmarkEnd w:id="46"/>
    </w:p>
    <w:p w14:paraId="76D81B04" w14:textId="559A384E" w:rsidR="001A3233" w:rsidRPr="00582715" w:rsidRDefault="00AF1992" w:rsidP="00F94B59">
      <w:pPr>
        <w:jc w:val="center"/>
        <w:rPr>
          <w:rFonts w:ascii="Times New Roman" w:hAnsi="Times New Roman"/>
          <w:color w:val="4C4747"/>
          <w:spacing w:val="20"/>
          <w:sz w:val="24"/>
          <w:szCs w:val="24"/>
        </w:rPr>
      </w:pPr>
      <w:r w:rsidRPr="00582715">
        <w:rPr>
          <w:rFonts w:ascii="Times New Roman" w:hAnsi="Times New Roman"/>
          <w:b/>
          <w:bCs/>
          <w:noProof/>
          <w:color w:val="4C4747"/>
          <w:spacing w:val="20"/>
          <w:sz w:val="28"/>
        </w:rPr>
        <mc:AlternateContent>
          <mc:Choice Requires="wps">
            <w:drawing>
              <wp:anchor distT="0" distB="0" distL="114300" distR="114300" simplePos="0" relativeHeight="251683840" behindDoc="0" locked="0" layoutInCell="1" allowOverlap="1" wp14:anchorId="21DD0318" wp14:editId="26F9E49C">
                <wp:simplePos x="0" y="0"/>
                <wp:positionH relativeFrom="margin">
                  <wp:posOffset>2148840</wp:posOffset>
                </wp:positionH>
                <wp:positionV relativeFrom="paragraph">
                  <wp:posOffset>234315</wp:posOffset>
                </wp:positionV>
                <wp:extent cx="539750" cy="0"/>
                <wp:effectExtent l="0" t="19050" r="31750" b="19050"/>
                <wp:wrapThrough wrapText="bothSides">
                  <wp:wrapPolygon edited="0">
                    <wp:start x="0" y="-1"/>
                    <wp:lineTo x="0" y="-1"/>
                    <wp:lineTo x="22108" y="-1"/>
                    <wp:lineTo x="22108" y="-1"/>
                    <wp:lineTo x="0" y="-1"/>
                  </wp:wrapPolygon>
                </wp:wrapThrough>
                <wp:docPr id="4"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BFB2E3" id="Conector recto 9" o:spid="_x0000_s1026" style="position:absolute;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9.2pt,18.45pt" to="211.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" strokecolor="red" strokeweight="2.5pt">
                <v:stroke joinstyle="miter"/>
                <w10:wrap type="through" anchorx="margin"/>
              </v:line>
            </w:pict>
          </mc:Fallback>
        </mc:AlternateContent>
      </w:r>
      <w:r w:rsidR="008F2149" w:rsidRPr="00582715">
        <w:rPr>
          <w:rFonts w:ascii="Times New Roman" w:hAnsi="Times New Roman"/>
          <w:color w:val="4C4747"/>
          <w:spacing w:val="20"/>
          <w:sz w:val="24"/>
          <w:szCs w:val="24"/>
        </w:rPr>
        <w:t>Memoria institucional 202</w:t>
      </w:r>
      <w:r w:rsidR="00F94B59" w:rsidRPr="00582715">
        <w:rPr>
          <w:rFonts w:ascii="Times New Roman" w:hAnsi="Times New Roman"/>
          <w:color w:val="4C4747"/>
          <w:spacing w:val="20"/>
          <w:sz w:val="24"/>
          <w:szCs w:val="24"/>
        </w:rPr>
        <w:t>3</w:t>
      </w:r>
    </w:p>
    <w:p w14:paraId="186EF835" w14:textId="77777777" w:rsidR="005D08D4" w:rsidRPr="00F94B59" w:rsidRDefault="005D08D4" w:rsidP="00F94B59">
      <w:pPr>
        <w:jc w:val="center"/>
        <w:rPr>
          <w:rFonts w:ascii="Times New Roman" w:hAnsi="Times New Roman"/>
          <w:color w:val="767171"/>
          <w:spacing w:val="20"/>
          <w:sz w:val="24"/>
          <w:szCs w:val="24"/>
        </w:rPr>
      </w:pPr>
    </w:p>
    <w:p w14:paraId="1F07D378" w14:textId="4BFE538D" w:rsidR="00ED3488" w:rsidRPr="00AF1992" w:rsidRDefault="00ED3488" w:rsidP="00AF1992">
      <w:pPr>
        <w:pStyle w:val="Heading2"/>
        <w:spacing w:line="360" w:lineRule="auto"/>
        <w:rPr>
          <w:rFonts w:ascii="Times New Roman" w:hAnsi="Times New Roman"/>
          <w:b/>
          <w:color w:val="4C4747"/>
          <w:spacing w:val="20"/>
          <w:sz w:val="24"/>
          <w:szCs w:val="24"/>
        </w:rPr>
      </w:pPr>
      <w:bookmarkStart w:id="47" w:name="_Toc155259679"/>
      <w:r w:rsidRPr="00AF1992">
        <w:rPr>
          <w:rFonts w:ascii="Times New Roman" w:hAnsi="Times New Roman" w:cs="Times New Roman"/>
          <w:b/>
          <w:color w:val="4C4747"/>
          <w:sz w:val="24"/>
          <w:szCs w:val="24"/>
        </w:rPr>
        <w:t>5.1</w:t>
      </w:r>
      <w:r w:rsidRPr="00AF1992">
        <w:rPr>
          <w:rFonts w:ascii="Times New Roman" w:hAnsi="Times New Roman" w:cs="Times New Roman"/>
          <w:b/>
          <w:color w:val="4C4747"/>
          <w:sz w:val="24"/>
          <w:szCs w:val="24"/>
        </w:rPr>
        <w:tab/>
        <w:t>Nivel de cumplimiento acceso a la información</w:t>
      </w:r>
      <w:bookmarkEnd w:id="47"/>
    </w:p>
    <w:p w14:paraId="44EB7FAB" w14:textId="3240A98F" w:rsidR="009A437F" w:rsidRPr="00AF1992" w:rsidRDefault="0013656E" w:rsidP="00AF1992">
      <w:pPr>
        <w:tabs>
          <w:tab w:val="left" w:pos="6994"/>
        </w:tabs>
        <w:spacing w:after="0" w:line="360" w:lineRule="auto"/>
        <w:jc w:val="both"/>
        <w:rPr>
          <w:color w:val="4C4747"/>
        </w:rPr>
      </w:pPr>
      <w:r w:rsidRPr="00AF1992">
        <w:rPr>
          <w:color w:val="4C4747"/>
        </w:rPr>
        <w:tab/>
      </w:r>
    </w:p>
    <w:p w14:paraId="6A540C51" w14:textId="77777777" w:rsidR="00F94B59" w:rsidRPr="00582715" w:rsidRDefault="00F94B59" w:rsidP="005D08D4">
      <w:pPr>
        <w:spacing w:after="0" w:line="360" w:lineRule="auto"/>
        <w:jc w:val="both"/>
        <w:rPr>
          <w:rFonts w:ascii="Times New Roman" w:eastAsia="Times New Roman" w:hAnsi="Times New Roman" w:cs="Times New Roman"/>
          <w:bCs/>
          <w:color w:val="4C4747"/>
          <w:sz w:val="24"/>
          <w:szCs w:val="24"/>
        </w:rPr>
      </w:pPr>
      <w:r w:rsidRPr="00582715">
        <w:rPr>
          <w:rFonts w:ascii="Times New Roman" w:eastAsia="Times New Roman" w:hAnsi="Times New Roman" w:cs="Times New Roman"/>
          <w:bCs/>
          <w:color w:val="4C4747"/>
          <w:sz w:val="24"/>
          <w:szCs w:val="24"/>
        </w:rPr>
        <w:t xml:space="preserve">En cumplimiento de las disposiciones contenidas en la Ley General de Libre Acceso a la Información Pública, núm. 200-04, del 28 de julio de 2004, y su Reglamento de Aplicación del 25 de febrero de 2005, aprobado por el Decreto núm. 130-05, la Oficina de Acceso a la Información de este Banco Central recibió durante el período del 1 de enero al 30 de noviembre de 2023 ciento nueve (109) solicitudes de información a través del Portal Único de Solicitud de Acceso a la Información Pública (SAIP), veintiséis (26) solicitudes vía correo electrónico y teléfono, </w:t>
      </w:r>
      <w:r w:rsidRPr="00582715">
        <w:rPr>
          <w:rFonts w:ascii="Times New Roman" w:eastAsia="Times New Roman" w:hAnsi="Times New Roman" w:cs="Times New Roman"/>
          <w:color w:val="4C4747"/>
          <w:sz w:val="24"/>
          <w:szCs w:val="24"/>
        </w:rPr>
        <w:t xml:space="preserve">ciento diez </w:t>
      </w:r>
      <w:r w:rsidRPr="00582715">
        <w:rPr>
          <w:rFonts w:ascii="Times New Roman" w:eastAsia="Times New Roman" w:hAnsi="Times New Roman" w:cs="Times New Roman"/>
          <w:bCs/>
          <w:color w:val="4C4747"/>
          <w:sz w:val="24"/>
          <w:szCs w:val="24"/>
        </w:rPr>
        <w:t>(110) de manera presencial, tres (3) solicitudes vía comunicación y trescientos cincuenta y ocho (358) solicitudes vía telefónica, para un total de seiscientos seis (606) solicitudes de información.</w:t>
      </w:r>
    </w:p>
    <w:p w14:paraId="35697909" w14:textId="77777777" w:rsidR="00F94B59" w:rsidRPr="00582715" w:rsidRDefault="00F94B59" w:rsidP="005D08D4">
      <w:pPr>
        <w:spacing w:after="0" w:line="360" w:lineRule="auto"/>
        <w:jc w:val="both"/>
        <w:rPr>
          <w:rFonts w:ascii="Times New Roman" w:eastAsia="Times New Roman" w:hAnsi="Times New Roman" w:cs="Times New Roman"/>
          <w:bCs/>
          <w:color w:val="4C4747"/>
          <w:sz w:val="24"/>
          <w:szCs w:val="24"/>
        </w:rPr>
      </w:pPr>
    </w:p>
    <w:p w14:paraId="2A55208B" w14:textId="22A3980E" w:rsidR="00F94B59" w:rsidRPr="00582715" w:rsidRDefault="00F94B59" w:rsidP="005D08D4">
      <w:pPr>
        <w:spacing w:after="0" w:line="360" w:lineRule="auto"/>
        <w:jc w:val="both"/>
        <w:rPr>
          <w:rFonts w:ascii="Times New Roman" w:eastAsia="Times New Roman" w:hAnsi="Times New Roman" w:cs="Times New Roman"/>
          <w:color w:val="4C4747"/>
          <w:sz w:val="24"/>
          <w:szCs w:val="24"/>
        </w:rPr>
      </w:pPr>
      <w:r w:rsidRPr="00582715">
        <w:rPr>
          <w:rFonts w:ascii="Times New Roman" w:eastAsia="Times New Roman" w:hAnsi="Times New Roman" w:cs="Times New Roman"/>
          <w:bCs/>
          <w:color w:val="4C4747"/>
          <w:sz w:val="24"/>
          <w:szCs w:val="24"/>
        </w:rPr>
        <w:t xml:space="preserve">De igual manera, </w:t>
      </w:r>
      <w:r w:rsidR="00D65277" w:rsidRPr="00582715">
        <w:rPr>
          <w:rFonts w:ascii="Times New Roman" w:eastAsia="Times New Roman" w:hAnsi="Times New Roman" w:cs="Times New Roman"/>
          <w:bCs/>
          <w:color w:val="4C4747"/>
          <w:sz w:val="24"/>
          <w:szCs w:val="24"/>
        </w:rPr>
        <w:t xml:space="preserve">se </w:t>
      </w:r>
      <w:r w:rsidRPr="00582715">
        <w:rPr>
          <w:rFonts w:ascii="Times New Roman" w:eastAsia="Times New Roman" w:hAnsi="Times New Roman" w:cs="Times New Roman"/>
          <w:bCs/>
          <w:color w:val="4C4747"/>
          <w:sz w:val="24"/>
          <w:szCs w:val="24"/>
        </w:rPr>
        <w:t xml:space="preserve">otorgó respuesta mediante comunicación en formato físico y correo electrónico a ciento treinta y cuatro (134) solicitudes de información y trescientos cincuenta y ocho (358) respuestas vía telefónica. Asimismo, fueron atendidas </w:t>
      </w:r>
      <w:r w:rsidRPr="00582715">
        <w:rPr>
          <w:rFonts w:ascii="Times New Roman" w:eastAsia="Times New Roman" w:hAnsi="Times New Roman" w:cs="Times New Roman"/>
          <w:color w:val="4C4747"/>
          <w:sz w:val="24"/>
          <w:szCs w:val="24"/>
        </w:rPr>
        <w:t>ciento diez (110)</w:t>
      </w:r>
      <w:r w:rsidRPr="00582715">
        <w:rPr>
          <w:rFonts w:ascii="Times New Roman" w:eastAsia="Times New Roman" w:hAnsi="Times New Roman" w:cs="Times New Roman"/>
          <w:bCs/>
          <w:color w:val="4C4747"/>
          <w:sz w:val="24"/>
          <w:szCs w:val="24"/>
        </w:rPr>
        <w:t xml:space="preserve"> personas de manera presencial quienes solicitaron información sobre diferentes temas, para un </w:t>
      </w:r>
      <w:r w:rsidRPr="00582715">
        <w:rPr>
          <w:rFonts w:ascii="Times New Roman" w:eastAsia="Times New Roman" w:hAnsi="Times New Roman" w:cs="Times New Roman"/>
          <w:color w:val="4C4747"/>
          <w:sz w:val="24"/>
          <w:szCs w:val="24"/>
        </w:rPr>
        <w:t>total de</w:t>
      </w:r>
      <w:r w:rsidRPr="00582715">
        <w:rPr>
          <w:rFonts w:ascii="Times New Roman" w:eastAsia="Times New Roman" w:hAnsi="Times New Roman" w:cs="Times New Roman"/>
          <w:bCs/>
          <w:color w:val="4C4747"/>
          <w:sz w:val="24"/>
          <w:szCs w:val="24"/>
        </w:rPr>
        <w:t xml:space="preserve"> seiscientos dos (602) </w:t>
      </w:r>
      <w:r w:rsidRPr="00582715">
        <w:rPr>
          <w:rFonts w:ascii="Times New Roman" w:eastAsia="Times New Roman" w:hAnsi="Times New Roman" w:cs="Times New Roman"/>
          <w:color w:val="4C4747"/>
          <w:sz w:val="24"/>
          <w:szCs w:val="24"/>
        </w:rPr>
        <w:t>respuestas a los interesados.</w:t>
      </w:r>
    </w:p>
    <w:p w14:paraId="1ECE38E8" w14:textId="77777777" w:rsidR="00F94B59" w:rsidRPr="00582715" w:rsidRDefault="00F94B59" w:rsidP="005D08D4">
      <w:pPr>
        <w:spacing w:after="0" w:line="360" w:lineRule="auto"/>
        <w:jc w:val="both"/>
        <w:rPr>
          <w:rFonts w:ascii="Times New Roman" w:eastAsia="Times New Roman" w:hAnsi="Times New Roman" w:cs="Times New Roman"/>
          <w:bCs/>
          <w:color w:val="4C4747"/>
          <w:sz w:val="24"/>
          <w:szCs w:val="24"/>
        </w:rPr>
      </w:pPr>
    </w:p>
    <w:p w14:paraId="6869EFE6" w14:textId="790D17F7" w:rsidR="00F94B59" w:rsidRPr="00582715" w:rsidRDefault="00F94B59" w:rsidP="005D08D4">
      <w:pPr>
        <w:spacing w:after="0" w:line="360" w:lineRule="auto"/>
        <w:jc w:val="both"/>
        <w:rPr>
          <w:rFonts w:ascii="Times New Roman" w:eastAsia="Times New Roman" w:hAnsi="Times New Roman" w:cs="Times New Roman"/>
          <w:bCs/>
          <w:color w:val="4C4747"/>
          <w:sz w:val="24"/>
          <w:szCs w:val="24"/>
        </w:rPr>
      </w:pPr>
      <w:r w:rsidRPr="00582715">
        <w:rPr>
          <w:rFonts w:ascii="Times New Roman" w:eastAsia="Times New Roman" w:hAnsi="Times New Roman" w:cs="Times New Roman"/>
          <w:bCs/>
          <w:color w:val="4C4747"/>
          <w:sz w:val="24"/>
          <w:szCs w:val="24"/>
        </w:rPr>
        <w:t xml:space="preserve">Además, fueron remitidas vía correo electrónico y comunicaciones internas treinta y siete (37) solicitudes a distintos departamentos de la institución para la obtención de diversas informaciones a los fines de otorgar la debida respuesta a los requerimientos de información. </w:t>
      </w:r>
    </w:p>
    <w:p w14:paraId="706DC711" w14:textId="77777777" w:rsidR="002E7B17" w:rsidRPr="00F94B59" w:rsidRDefault="002E7B17" w:rsidP="00F94B59">
      <w:pPr>
        <w:spacing w:after="0" w:line="360" w:lineRule="auto"/>
        <w:jc w:val="both"/>
        <w:rPr>
          <w:rFonts w:ascii="Times New Roman" w:eastAsia="Times New Roman" w:hAnsi="Times New Roman" w:cs="Times New Roman"/>
          <w:color w:val="595959" w:themeColor="text1" w:themeTint="A6"/>
          <w:sz w:val="24"/>
          <w:szCs w:val="24"/>
        </w:rPr>
      </w:pPr>
    </w:p>
    <w:p w14:paraId="0447221D" w14:textId="77777777" w:rsidR="00F94B59" w:rsidRPr="00AF1992" w:rsidRDefault="00F94B59" w:rsidP="00F94B59">
      <w:pPr>
        <w:spacing w:after="0" w:line="240" w:lineRule="auto"/>
        <w:jc w:val="both"/>
        <w:rPr>
          <w:rFonts w:ascii="Times New Roman" w:eastAsiaTheme="majorEastAsia" w:hAnsi="Times New Roman" w:cs="Times New Roman"/>
          <w:b/>
          <w:color w:val="4C4747"/>
          <w:sz w:val="24"/>
          <w:szCs w:val="24"/>
        </w:rPr>
      </w:pPr>
      <w:r w:rsidRPr="00AF1992">
        <w:rPr>
          <w:rFonts w:ascii="Times New Roman" w:eastAsiaTheme="majorEastAsia" w:hAnsi="Times New Roman" w:cs="Times New Roman"/>
          <w:b/>
          <w:color w:val="4C4747"/>
          <w:sz w:val="24"/>
          <w:szCs w:val="24"/>
        </w:rPr>
        <w:lastRenderedPageBreak/>
        <w:t>Nivel de cumplimiento acceso a la información</w:t>
      </w:r>
    </w:p>
    <w:p w14:paraId="37F45C1F" w14:textId="77777777" w:rsidR="00F94B59" w:rsidRPr="002858D1" w:rsidRDefault="00F94B59" w:rsidP="00F94B59">
      <w:pPr>
        <w:spacing w:after="0" w:line="240" w:lineRule="auto"/>
        <w:jc w:val="both"/>
        <w:rPr>
          <w:rFonts w:ascii="Times New Roman" w:eastAsia="Times New Roman" w:hAnsi="Times New Roman" w:cs="Times New Roman"/>
          <w:bCs/>
          <w:color w:val="595959" w:themeColor="text1" w:themeTint="A6"/>
          <w:sz w:val="24"/>
          <w:szCs w:val="24"/>
        </w:rPr>
      </w:pPr>
    </w:p>
    <w:p w14:paraId="347EE3D5" w14:textId="77777777" w:rsidR="00F94B59" w:rsidRPr="005D08D4" w:rsidRDefault="00F94B59" w:rsidP="00F94B59">
      <w:pPr>
        <w:spacing w:after="0" w:line="360" w:lineRule="auto"/>
        <w:jc w:val="both"/>
        <w:rPr>
          <w:rFonts w:ascii="Times New Roman" w:eastAsia="Times New Roman" w:hAnsi="Times New Roman" w:cs="Times New Roman"/>
          <w:bCs/>
          <w:color w:val="4C4747"/>
          <w:sz w:val="24"/>
          <w:szCs w:val="24"/>
        </w:rPr>
      </w:pPr>
      <w:r w:rsidRPr="005D08D4">
        <w:rPr>
          <w:rFonts w:ascii="Times New Roman" w:eastAsia="Times New Roman" w:hAnsi="Times New Roman" w:cs="Times New Roman"/>
          <w:bCs/>
          <w:color w:val="4C4747"/>
          <w:sz w:val="24"/>
          <w:szCs w:val="24"/>
        </w:rPr>
        <w:t>Conforme se indicó precedentemente, durante este período, la Oficina de Acceso a la Información (OAI) ha atendido un total de seiscientos dos (602)  solicitudes, formuladas a través de los distintos medios habilitados por la institución para brindar el servicio de información pública, en virtud de la Ley General de Libre Acceso a la Información Pública, núm. 200-04, cumpliendo al cien por ciento (100%) con los plazos previstos en la legislación para la atención directa y eficaz de todas las solicitudes recibidas, sin casos de inconformidad. Conforme detallamos a continuación:</w:t>
      </w:r>
    </w:p>
    <w:p w14:paraId="02F742AA" w14:textId="77777777" w:rsidR="00F94B59" w:rsidRPr="002858D1" w:rsidRDefault="00F94B59" w:rsidP="00F94B59">
      <w:pPr>
        <w:spacing w:after="0" w:line="240" w:lineRule="auto"/>
        <w:jc w:val="both"/>
        <w:rPr>
          <w:rFonts w:ascii="Times New Roman" w:eastAsia="Times New Roman" w:hAnsi="Times New Roman" w:cs="Times New Roman"/>
          <w:bCs/>
          <w:color w:val="595959" w:themeColor="text1" w:themeTint="A6"/>
          <w:sz w:val="24"/>
          <w:szCs w:val="24"/>
        </w:rPr>
      </w:pPr>
    </w:p>
    <w:tbl>
      <w:tblPr>
        <w:tblW w:w="78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142F62"/>
        <w:tblLook w:val="0000" w:firstRow="0" w:lastRow="0" w:firstColumn="0" w:lastColumn="0" w:noHBand="0" w:noVBand="0"/>
      </w:tblPr>
      <w:tblGrid>
        <w:gridCol w:w="1560"/>
        <w:gridCol w:w="1283"/>
        <w:gridCol w:w="4014"/>
        <w:gridCol w:w="1040"/>
      </w:tblGrid>
      <w:tr w:rsidR="00AF1992" w:rsidRPr="00AF1992" w14:paraId="42D7BF71" w14:textId="77777777" w:rsidTr="00AF1992">
        <w:trPr>
          <w:trHeight w:val="285"/>
          <w:tblHeader/>
        </w:trPr>
        <w:tc>
          <w:tcPr>
            <w:tcW w:w="7897" w:type="dxa"/>
            <w:gridSpan w:val="4"/>
            <w:tcBorders>
              <w:bottom w:val="single" w:sz="4" w:space="0" w:color="auto"/>
            </w:tcBorders>
            <w:shd w:val="clear" w:color="auto" w:fill="142F62"/>
          </w:tcPr>
          <w:p w14:paraId="62C536E4" w14:textId="77777777" w:rsidR="00F94B59" w:rsidRPr="00582715" w:rsidRDefault="00F94B59" w:rsidP="00F94B59">
            <w:pPr>
              <w:spacing w:after="0" w:line="240" w:lineRule="auto"/>
              <w:jc w:val="center"/>
              <w:rPr>
                <w:rFonts w:ascii="Times New Roman" w:eastAsia="Times New Roman" w:hAnsi="Times New Roman" w:cs="Times New Roman"/>
                <w:b/>
                <w:bCs/>
                <w:color w:val="FFFFFF" w:themeColor="background1"/>
                <w:sz w:val="24"/>
                <w:szCs w:val="24"/>
              </w:rPr>
            </w:pPr>
            <w:r w:rsidRPr="00582715">
              <w:rPr>
                <w:rFonts w:ascii="Times New Roman" w:eastAsia="Times New Roman" w:hAnsi="Times New Roman" w:cs="Times New Roman"/>
                <w:b/>
                <w:bCs/>
                <w:noProof/>
                <w:color w:val="FFFFFF" w:themeColor="background1"/>
                <w:sz w:val="24"/>
                <w:szCs w:val="24"/>
              </w:rPr>
              <mc:AlternateContent>
                <mc:Choice Requires="wps">
                  <w:drawing>
                    <wp:anchor distT="0" distB="0" distL="0" distR="0" simplePos="0" relativeHeight="251730944" behindDoc="1" locked="0" layoutInCell="1" allowOverlap="1" wp14:anchorId="2997D044" wp14:editId="401D87F6">
                      <wp:simplePos x="0" y="0"/>
                      <wp:positionH relativeFrom="page">
                        <wp:posOffset>103505</wp:posOffset>
                      </wp:positionH>
                      <wp:positionV relativeFrom="paragraph">
                        <wp:posOffset>180975</wp:posOffset>
                      </wp:positionV>
                      <wp:extent cx="4874895" cy="45085"/>
                      <wp:effectExtent l="0" t="0" r="1905" b="0"/>
                      <wp:wrapTopAndBottom/>
                      <wp:docPr id="2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4895" cy="45085"/>
                              </a:xfrm>
                              <a:prstGeom prst="rect">
                                <a:avLst/>
                              </a:prstGeom>
                              <a:solidFill>
                                <a:srgbClr val="00206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6D6FB" id="Rectangle 39" o:spid="_x0000_s1026" style="position:absolute;margin-left:8.15pt;margin-top:14.25pt;width:383.85pt;height:3.55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" fillcolor="#002060" stroked="f">
                      <w10:wrap type="topAndBottom" anchorx="page"/>
                    </v:rect>
                  </w:pict>
                </mc:Fallback>
              </mc:AlternateContent>
            </w:r>
            <w:r w:rsidRPr="00582715">
              <w:rPr>
                <w:rFonts w:ascii="Times New Roman" w:eastAsia="Times New Roman" w:hAnsi="Times New Roman" w:cs="Times New Roman"/>
                <w:b/>
                <w:bCs/>
                <w:color w:val="FFFFFF" w:themeColor="background1"/>
                <w:sz w:val="24"/>
                <w:szCs w:val="24"/>
              </w:rPr>
              <w:t>Oficina de Acceso a la Información – Solicitudes Atendidas</w:t>
            </w:r>
          </w:p>
        </w:tc>
      </w:tr>
      <w:tr w:rsidR="00AF1992" w:rsidRPr="00AF1992" w14:paraId="21F3C3AC" w14:textId="77777777" w:rsidTr="00AF1992">
        <w:trPr>
          <w:trHeight w:val="309"/>
          <w:tblHeader/>
        </w:trPr>
        <w:tc>
          <w:tcPr>
            <w:tcW w:w="1560" w:type="dxa"/>
            <w:tcBorders>
              <w:top w:val="single" w:sz="4" w:space="0" w:color="auto"/>
              <w:left w:val="single" w:sz="4" w:space="0" w:color="auto"/>
              <w:bottom w:val="single" w:sz="4" w:space="0" w:color="auto"/>
              <w:right w:val="single" w:sz="4" w:space="0" w:color="auto"/>
            </w:tcBorders>
            <w:shd w:val="clear" w:color="auto" w:fill="142F62"/>
          </w:tcPr>
          <w:p w14:paraId="69D83122" w14:textId="77777777" w:rsidR="00F94B59" w:rsidRPr="00AF1992" w:rsidRDefault="00F94B59" w:rsidP="00F94B59">
            <w:pPr>
              <w:spacing w:after="0" w:line="240" w:lineRule="auto"/>
              <w:jc w:val="center"/>
              <w:rPr>
                <w:rFonts w:ascii="Times New Roman" w:eastAsia="Times New Roman" w:hAnsi="Times New Roman" w:cs="Times New Roman"/>
                <w:b/>
                <w:bCs/>
                <w:color w:val="FFFFFF" w:themeColor="background1"/>
              </w:rPr>
            </w:pPr>
            <w:r w:rsidRPr="00AF1992">
              <w:rPr>
                <w:rFonts w:ascii="Times New Roman" w:eastAsia="Times New Roman" w:hAnsi="Times New Roman" w:cs="Times New Roman"/>
                <w:b/>
                <w:bCs/>
                <w:color w:val="FFFFFF" w:themeColor="background1"/>
              </w:rPr>
              <w:t>Mes</w:t>
            </w:r>
          </w:p>
        </w:tc>
        <w:tc>
          <w:tcPr>
            <w:tcW w:w="1283" w:type="dxa"/>
            <w:tcBorders>
              <w:top w:val="single" w:sz="4" w:space="0" w:color="auto"/>
              <w:left w:val="single" w:sz="4" w:space="0" w:color="auto"/>
              <w:bottom w:val="single" w:sz="4" w:space="0" w:color="auto"/>
              <w:right w:val="single" w:sz="4" w:space="0" w:color="auto"/>
            </w:tcBorders>
            <w:shd w:val="clear" w:color="auto" w:fill="142F62"/>
          </w:tcPr>
          <w:p w14:paraId="25E1D273" w14:textId="77777777" w:rsidR="00F94B59" w:rsidRPr="00AF1992" w:rsidRDefault="00F94B59" w:rsidP="00F94B59">
            <w:pPr>
              <w:spacing w:after="0" w:line="240" w:lineRule="auto"/>
              <w:jc w:val="center"/>
              <w:rPr>
                <w:rFonts w:ascii="Times New Roman" w:eastAsia="Times New Roman" w:hAnsi="Times New Roman" w:cs="Times New Roman"/>
                <w:b/>
                <w:bCs/>
                <w:color w:val="FFFFFF" w:themeColor="background1"/>
              </w:rPr>
            </w:pPr>
            <w:r w:rsidRPr="00AF1992">
              <w:rPr>
                <w:rFonts w:ascii="Times New Roman" w:eastAsia="Times New Roman" w:hAnsi="Times New Roman" w:cs="Times New Roman"/>
                <w:b/>
                <w:bCs/>
                <w:color w:val="FFFFFF" w:themeColor="background1"/>
              </w:rPr>
              <w:t>Vía Telefónica</w:t>
            </w:r>
          </w:p>
        </w:tc>
        <w:tc>
          <w:tcPr>
            <w:tcW w:w="4014" w:type="dxa"/>
            <w:tcBorders>
              <w:top w:val="single" w:sz="4" w:space="0" w:color="auto"/>
              <w:left w:val="single" w:sz="4" w:space="0" w:color="auto"/>
              <w:bottom w:val="single" w:sz="4" w:space="0" w:color="auto"/>
              <w:right w:val="single" w:sz="4" w:space="0" w:color="auto"/>
            </w:tcBorders>
            <w:shd w:val="clear" w:color="auto" w:fill="142F62"/>
          </w:tcPr>
          <w:p w14:paraId="63534B3C" w14:textId="77777777" w:rsidR="00F94B59" w:rsidRPr="00582715" w:rsidRDefault="00F94B59" w:rsidP="00F94B59">
            <w:pPr>
              <w:spacing w:after="0" w:line="240" w:lineRule="auto"/>
              <w:jc w:val="center"/>
              <w:rPr>
                <w:rFonts w:ascii="Times New Roman" w:eastAsia="Times New Roman" w:hAnsi="Times New Roman" w:cs="Times New Roman"/>
                <w:b/>
                <w:bCs/>
                <w:color w:val="FFFFFF" w:themeColor="background1"/>
                <w:sz w:val="24"/>
                <w:szCs w:val="24"/>
              </w:rPr>
            </w:pPr>
            <w:r w:rsidRPr="00582715">
              <w:rPr>
                <w:rFonts w:ascii="Times New Roman" w:eastAsia="Times New Roman" w:hAnsi="Times New Roman" w:cs="Times New Roman"/>
                <w:b/>
                <w:bCs/>
                <w:color w:val="FFFFFF" w:themeColor="background1"/>
                <w:sz w:val="24"/>
                <w:szCs w:val="24"/>
              </w:rPr>
              <w:t>Vía correo electrónico / Comunicaciones en formato físico / Plataforma SAIP / Presencial</w:t>
            </w:r>
          </w:p>
        </w:tc>
        <w:tc>
          <w:tcPr>
            <w:tcW w:w="1040" w:type="dxa"/>
            <w:tcBorders>
              <w:top w:val="single" w:sz="4" w:space="0" w:color="auto"/>
              <w:left w:val="single" w:sz="4" w:space="0" w:color="auto"/>
              <w:bottom w:val="single" w:sz="4" w:space="0" w:color="auto"/>
              <w:right w:val="single" w:sz="4" w:space="0" w:color="auto"/>
            </w:tcBorders>
            <w:shd w:val="clear" w:color="auto" w:fill="142F62"/>
          </w:tcPr>
          <w:p w14:paraId="0D7A2540" w14:textId="77777777" w:rsidR="00F94B59" w:rsidRPr="00AF1992" w:rsidRDefault="00F94B59" w:rsidP="00F94B59">
            <w:pPr>
              <w:spacing w:after="0" w:line="240" w:lineRule="auto"/>
              <w:jc w:val="center"/>
              <w:rPr>
                <w:rFonts w:ascii="Times New Roman" w:eastAsia="Times New Roman" w:hAnsi="Times New Roman" w:cs="Times New Roman"/>
                <w:b/>
                <w:bCs/>
                <w:color w:val="FFFFFF" w:themeColor="background1"/>
              </w:rPr>
            </w:pPr>
            <w:r w:rsidRPr="00AF1992">
              <w:rPr>
                <w:rFonts w:ascii="Times New Roman" w:eastAsia="Times New Roman" w:hAnsi="Times New Roman" w:cs="Times New Roman"/>
                <w:b/>
                <w:bCs/>
                <w:color w:val="FFFFFF" w:themeColor="background1"/>
              </w:rPr>
              <w:t>Total</w:t>
            </w:r>
          </w:p>
        </w:tc>
      </w:tr>
      <w:tr w:rsidR="00AF1992" w:rsidRPr="00AF1992" w14:paraId="16A10C49" w14:textId="77777777" w:rsidTr="00582715">
        <w:trPr>
          <w:trHeight w:val="375"/>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FA65289"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Enero</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B91C53"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22</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06BBA"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B194A9"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44</w:t>
            </w:r>
          </w:p>
        </w:tc>
      </w:tr>
      <w:tr w:rsidR="00AF1992" w:rsidRPr="00AF1992" w14:paraId="4C7FB2C7" w14:textId="77777777" w:rsidTr="00582715">
        <w:trPr>
          <w:trHeight w:val="443"/>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3B610DC8"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Febrero</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A9384"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27</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9EAF8"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25</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818E4"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52</w:t>
            </w:r>
          </w:p>
        </w:tc>
      </w:tr>
      <w:tr w:rsidR="00AF1992" w:rsidRPr="00AF1992" w14:paraId="50AAB3BD" w14:textId="77777777" w:rsidTr="00582715">
        <w:trPr>
          <w:trHeight w:val="381"/>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9FA4EDD"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Marzo</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B05491"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72</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A9282C"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45</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77169A"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117</w:t>
            </w:r>
          </w:p>
        </w:tc>
      </w:tr>
      <w:tr w:rsidR="00AF1992" w:rsidRPr="00AF1992" w14:paraId="4A312AF6" w14:textId="77777777" w:rsidTr="00582715">
        <w:trPr>
          <w:trHeight w:val="419"/>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3FBE306E"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Abril</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54B7EF"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48</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15313"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28</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CAE23"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76</w:t>
            </w:r>
          </w:p>
        </w:tc>
      </w:tr>
      <w:tr w:rsidR="00AF1992" w:rsidRPr="00AF1992" w14:paraId="5813C0EE" w14:textId="77777777" w:rsidTr="00582715">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5B4A0CB0"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Mayo</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5A1C4"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33</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BB047"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14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63FA1"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47</w:t>
            </w:r>
          </w:p>
        </w:tc>
      </w:tr>
      <w:tr w:rsidR="00AF1992" w:rsidRPr="00AF1992" w14:paraId="11FC7E3B" w14:textId="77777777" w:rsidTr="00582715">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08DD4235"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Junio</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419344"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22</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BB7165"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14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9F36D"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36</w:t>
            </w:r>
          </w:p>
        </w:tc>
      </w:tr>
      <w:tr w:rsidR="00AF1992" w:rsidRPr="00AF1992" w14:paraId="4B5BE055" w14:textId="77777777" w:rsidTr="00582715">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E836AFD"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Julio</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C1F50"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22</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3A0AC5"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17</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BDEB7"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39</w:t>
            </w:r>
          </w:p>
        </w:tc>
      </w:tr>
      <w:tr w:rsidR="00AF1992" w:rsidRPr="00AF1992" w14:paraId="54D423E3" w14:textId="77777777" w:rsidTr="00582715">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1EB9EC28"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Agosto</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A574C0"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28</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7CC8C3"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22</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EA09A"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50</w:t>
            </w:r>
          </w:p>
        </w:tc>
      </w:tr>
      <w:tr w:rsidR="00AF1992" w:rsidRPr="00AF1992" w14:paraId="75416D7C" w14:textId="77777777" w:rsidTr="00582715">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971A38A"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Septiembre</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BCA70"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23</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B1F458"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14</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79CA6"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37</w:t>
            </w:r>
          </w:p>
        </w:tc>
      </w:tr>
      <w:tr w:rsidR="00AF1992" w:rsidRPr="00AF1992" w14:paraId="7B364E16" w14:textId="77777777" w:rsidTr="00582715">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A121E70"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Octubre</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269A35"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29</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6D631"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28</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40812"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57</w:t>
            </w:r>
          </w:p>
        </w:tc>
      </w:tr>
      <w:tr w:rsidR="00AF1992" w:rsidRPr="00AF1992" w14:paraId="149E1BB6" w14:textId="77777777" w:rsidTr="00582715">
        <w:trPr>
          <w:trHeight w:val="411"/>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14:paraId="6D5EA0FE" w14:textId="77777777" w:rsidR="00F94B59" w:rsidRPr="00582715" w:rsidRDefault="00F94B59" w:rsidP="00F94B59">
            <w:pPr>
              <w:spacing w:after="0" w:line="240" w:lineRule="auto"/>
              <w:jc w:val="both"/>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Noviembre</w:t>
            </w:r>
          </w:p>
        </w:tc>
        <w:tc>
          <w:tcPr>
            <w:tcW w:w="12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32BFA"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32</w:t>
            </w:r>
          </w:p>
        </w:tc>
        <w:tc>
          <w:tcPr>
            <w:tcW w:w="401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CB11D4"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15</w:t>
            </w:r>
          </w:p>
        </w:tc>
        <w:tc>
          <w:tcPr>
            <w:tcW w:w="10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77BD18" w14:textId="77777777" w:rsidR="00F94B59" w:rsidRPr="00582715" w:rsidRDefault="00F94B59" w:rsidP="00F94B59">
            <w:pPr>
              <w:spacing w:after="0" w:line="240" w:lineRule="auto"/>
              <w:jc w:val="center"/>
              <w:rPr>
                <w:rFonts w:ascii="Times New Roman" w:eastAsia="Times New Roman" w:hAnsi="Times New Roman" w:cs="Times New Roman"/>
                <w:b/>
                <w:bCs/>
                <w:color w:val="4C4747"/>
                <w:sz w:val="24"/>
                <w:szCs w:val="24"/>
              </w:rPr>
            </w:pPr>
            <w:r w:rsidRPr="00582715">
              <w:rPr>
                <w:rFonts w:ascii="Times New Roman" w:eastAsia="Times New Roman" w:hAnsi="Times New Roman" w:cs="Times New Roman"/>
                <w:b/>
                <w:bCs/>
                <w:color w:val="4C4747"/>
                <w:sz w:val="24"/>
                <w:szCs w:val="24"/>
              </w:rPr>
              <w:t>47</w:t>
            </w:r>
          </w:p>
        </w:tc>
      </w:tr>
      <w:tr w:rsidR="00AF1992" w:rsidRPr="00AF1992" w14:paraId="34411DCD" w14:textId="77777777" w:rsidTr="00AF1992">
        <w:trPr>
          <w:trHeight w:val="311"/>
        </w:trPr>
        <w:tc>
          <w:tcPr>
            <w:tcW w:w="6857" w:type="dxa"/>
            <w:gridSpan w:val="3"/>
            <w:tcBorders>
              <w:top w:val="single" w:sz="4" w:space="0" w:color="auto"/>
            </w:tcBorders>
            <w:shd w:val="clear" w:color="auto" w:fill="142F62"/>
          </w:tcPr>
          <w:p w14:paraId="1099CE5E" w14:textId="77777777" w:rsidR="00F94B59" w:rsidRPr="00582715" w:rsidRDefault="00F94B59" w:rsidP="00F94B59">
            <w:pPr>
              <w:spacing w:after="0" w:line="240" w:lineRule="auto"/>
              <w:jc w:val="right"/>
              <w:rPr>
                <w:rFonts w:ascii="Times New Roman" w:eastAsia="Times New Roman" w:hAnsi="Times New Roman" w:cs="Times New Roman"/>
                <w:b/>
                <w:bCs/>
                <w:color w:val="FFFFFF" w:themeColor="background1"/>
                <w:sz w:val="24"/>
                <w:szCs w:val="24"/>
              </w:rPr>
            </w:pPr>
            <w:proofErr w:type="gramStart"/>
            <w:r w:rsidRPr="00582715">
              <w:rPr>
                <w:rFonts w:ascii="Times New Roman" w:eastAsia="Times New Roman" w:hAnsi="Times New Roman" w:cs="Times New Roman"/>
                <w:b/>
                <w:bCs/>
                <w:color w:val="FFFFFF" w:themeColor="background1"/>
                <w:sz w:val="24"/>
                <w:szCs w:val="24"/>
              </w:rPr>
              <w:t>Total</w:t>
            </w:r>
            <w:proofErr w:type="gramEnd"/>
            <w:r w:rsidRPr="00582715">
              <w:rPr>
                <w:rFonts w:ascii="Times New Roman" w:eastAsia="Times New Roman" w:hAnsi="Times New Roman" w:cs="Times New Roman"/>
                <w:b/>
                <w:bCs/>
                <w:color w:val="FFFFFF" w:themeColor="background1"/>
                <w:sz w:val="24"/>
                <w:szCs w:val="24"/>
              </w:rPr>
              <w:t xml:space="preserve"> período del 1ro. de enero al 30 de noviembre de 2023:</w:t>
            </w:r>
          </w:p>
        </w:tc>
        <w:tc>
          <w:tcPr>
            <w:tcW w:w="1040" w:type="dxa"/>
            <w:tcBorders>
              <w:top w:val="single" w:sz="4" w:space="0" w:color="auto"/>
            </w:tcBorders>
            <w:shd w:val="clear" w:color="auto" w:fill="142F62"/>
          </w:tcPr>
          <w:p w14:paraId="778E96EE" w14:textId="77777777" w:rsidR="00F94B59" w:rsidRPr="00582715" w:rsidRDefault="00F94B59" w:rsidP="00F94B59">
            <w:pPr>
              <w:spacing w:after="0" w:line="240" w:lineRule="auto"/>
              <w:jc w:val="center"/>
              <w:rPr>
                <w:rFonts w:ascii="Times New Roman" w:eastAsia="Times New Roman" w:hAnsi="Times New Roman" w:cs="Times New Roman"/>
                <w:b/>
                <w:bCs/>
                <w:color w:val="FFFFFF" w:themeColor="background1"/>
                <w:sz w:val="24"/>
                <w:szCs w:val="24"/>
              </w:rPr>
            </w:pPr>
            <w:r w:rsidRPr="00582715">
              <w:rPr>
                <w:rFonts w:ascii="Times New Roman" w:eastAsia="Times New Roman" w:hAnsi="Times New Roman" w:cs="Times New Roman"/>
                <w:b/>
                <w:bCs/>
                <w:color w:val="FFFFFF" w:themeColor="background1"/>
                <w:sz w:val="24"/>
                <w:szCs w:val="24"/>
              </w:rPr>
              <w:t>602</w:t>
            </w:r>
          </w:p>
        </w:tc>
      </w:tr>
      <w:tr w:rsidR="00AF1992" w:rsidRPr="00AF1992" w14:paraId="3DA93D4D" w14:textId="77777777" w:rsidTr="00AF1992">
        <w:trPr>
          <w:trHeight w:val="417"/>
        </w:trPr>
        <w:tc>
          <w:tcPr>
            <w:tcW w:w="6857" w:type="dxa"/>
            <w:gridSpan w:val="3"/>
            <w:shd w:val="clear" w:color="auto" w:fill="142F62"/>
          </w:tcPr>
          <w:p w14:paraId="41210655" w14:textId="77777777" w:rsidR="00F94B59" w:rsidRPr="00582715" w:rsidRDefault="00F94B59" w:rsidP="00F94B59">
            <w:pPr>
              <w:spacing w:after="0" w:line="240" w:lineRule="auto"/>
              <w:jc w:val="right"/>
              <w:rPr>
                <w:rFonts w:ascii="Times New Roman" w:eastAsia="Times New Roman" w:hAnsi="Times New Roman" w:cs="Times New Roman"/>
                <w:b/>
                <w:bCs/>
                <w:color w:val="FFFFFF" w:themeColor="background1"/>
                <w:sz w:val="24"/>
                <w:szCs w:val="24"/>
              </w:rPr>
            </w:pPr>
            <w:r w:rsidRPr="00582715">
              <w:rPr>
                <w:rFonts w:ascii="Times New Roman" w:eastAsia="Times New Roman" w:hAnsi="Times New Roman" w:cs="Times New Roman"/>
                <w:b/>
                <w:bCs/>
                <w:color w:val="FFFFFF" w:themeColor="background1"/>
                <w:sz w:val="24"/>
                <w:szCs w:val="24"/>
              </w:rPr>
              <w:t xml:space="preserve">Porcentaje de Cumplimiento </w:t>
            </w:r>
          </w:p>
        </w:tc>
        <w:tc>
          <w:tcPr>
            <w:tcW w:w="1040" w:type="dxa"/>
            <w:shd w:val="clear" w:color="auto" w:fill="142F62"/>
          </w:tcPr>
          <w:p w14:paraId="2AFCC1F2" w14:textId="77777777" w:rsidR="00F94B59" w:rsidRPr="00582715" w:rsidRDefault="00F94B59" w:rsidP="00F94B59">
            <w:pPr>
              <w:spacing w:after="0" w:line="240" w:lineRule="auto"/>
              <w:jc w:val="center"/>
              <w:rPr>
                <w:rFonts w:ascii="Times New Roman" w:eastAsia="Times New Roman" w:hAnsi="Times New Roman" w:cs="Times New Roman"/>
                <w:b/>
                <w:bCs/>
                <w:color w:val="FFFFFF" w:themeColor="background1"/>
                <w:sz w:val="24"/>
                <w:szCs w:val="24"/>
              </w:rPr>
            </w:pPr>
            <w:r w:rsidRPr="00582715">
              <w:rPr>
                <w:rFonts w:ascii="Times New Roman" w:eastAsia="Times New Roman" w:hAnsi="Times New Roman" w:cs="Times New Roman"/>
                <w:b/>
                <w:bCs/>
                <w:color w:val="FFFFFF" w:themeColor="background1"/>
                <w:sz w:val="24"/>
                <w:szCs w:val="24"/>
              </w:rPr>
              <w:t>100%</w:t>
            </w:r>
          </w:p>
        </w:tc>
      </w:tr>
    </w:tbl>
    <w:p w14:paraId="20A18B64" w14:textId="0EC8D915" w:rsidR="00F94B59" w:rsidRPr="00582715" w:rsidRDefault="00760FAF" w:rsidP="00F94B59">
      <w:pPr>
        <w:spacing w:after="0" w:line="240" w:lineRule="auto"/>
        <w:jc w:val="both"/>
        <w:rPr>
          <w:rFonts w:ascii="Times New Roman" w:eastAsia="Times New Roman" w:hAnsi="Times New Roman" w:cs="Times New Roman"/>
          <w:b/>
          <w:bCs/>
          <w:color w:val="4C4747"/>
        </w:rPr>
      </w:pPr>
      <w:r w:rsidRPr="00CF5E9F">
        <w:rPr>
          <w:rFonts w:ascii="Times New Roman" w:eastAsia="Times New Roman" w:hAnsi="Times New Roman" w:cs="Times New Roman"/>
          <w:b/>
          <w:bCs/>
          <w:color w:val="4C4747"/>
          <w:sz w:val="24"/>
          <w:szCs w:val="24"/>
        </w:rPr>
        <w:t xml:space="preserve">                                 </w:t>
      </w:r>
      <w:r w:rsidR="00CF5E9F">
        <w:rPr>
          <w:rFonts w:ascii="Times New Roman" w:eastAsia="Times New Roman" w:hAnsi="Times New Roman" w:cs="Times New Roman"/>
          <w:b/>
          <w:bCs/>
          <w:color w:val="4C4747"/>
          <w:sz w:val="24"/>
          <w:szCs w:val="24"/>
        </w:rPr>
        <w:t xml:space="preserve">   </w:t>
      </w:r>
      <w:r w:rsidRPr="00582715">
        <w:rPr>
          <w:rFonts w:ascii="Times New Roman" w:eastAsia="Times New Roman" w:hAnsi="Times New Roman" w:cs="Times New Roman"/>
          <w:b/>
          <w:bCs/>
          <w:color w:val="4C4747"/>
        </w:rPr>
        <w:t xml:space="preserve">Fuente: Depto. Consultoría Jurídica </w:t>
      </w:r>
    </w:p>
    <w:p w14:paraId="3B7E694B" w14:textId="7B9A2F92" w:rsidR="00760FAF" w:rsidRDefault="00760FAF" w:rsidP="00F94B59">
      <w:pPr>
        <w:spacing w:after="0" w:line="240" w:lineRule="auto"/>
        <w:jc w:val="both"/>
        <w:rPr>
          <w:rFonts w:ascii="Times New Roman" w:eastAsia="Times New Roman" w:hAnsi="Times New Roman" w:cs="Times New Roman"/>
          <w:b/>
          <w:bCs/>
          <w:color w:val="595959" w:themeColor="text1" w:themeTint="A6"/>
          <w:sz w:val="24"/>
          <w:szCs w:val="24"/>
        </w:rPr>
      </w:pPr>
    </w:p>
    <w:p w14:paraId="651FDF42" w14:textId="77777777" w:rsidR="00760FAF" w:rsidRPr="002858D1" w:rsidRDefault="00760FAF" w:rsidP="00F94B59">
      <w:pPr>
        <w:spacing w:after="0" w:line="240" w:lineRule="auto"/>
        <w:jc w:val="both"/>
        <w:rPr>
          <w:rFonts w:ascii="Times New Roman" w:eastAsia="Times New Roman" w:hAnsi="Times New Roman" w:cs="Times New Roman"/>
          <w:b/>
          <w:bCs/>
          <w:color w:val="595959" w:themeColor="text1" w:themeTint="A6"/>
          <w:sz w:val="24"/>
          <w:szCs w:val="24"/>
        </w:rPr>
      </w:pPr>
    </w:p>
    <w:p w14:paraId="37E6D6CD" w14:textId="77777777" w:rsidR="00D65277" w:rsidRPr="005D08D4" w:rsidRDefault="00F94B59" w:rsidP="00F94B59">
      <w:pPr>
        <w:spacing w:after="0" w:line="360" w:lineRule="auto"/>
        <w:jc w:val="both"/>
        <w:rPr>
          <w:rFonts w:ascii="Times New Roman" w:eastAsia="Times New Roman" w:hAnsi="Times New Roman" w:cs="Times New Roman"/>
          <w:bCs/>
          <w:color w:val="4C4747"/>
          <w:sz w:val="24"/>
          <w:szCs w:val="24"/>
        </w:rPr>
      </w:pPr>
      <w:r w:rsidRPr="005D08D4">
        <w:rPr>
          <w:rFonts w:ascii="Times New Roman" w:eastAsia="Times New Roman" w:hAnsi="Times New Roman" w:cs="Times New Roman"/>
          <w:bCs/>
          <w:color w:val="4C4747"/>
          <w:sz w:val="24"/>
          <w:szCs w:val="24"/>
        </w:rPr>
        <w:lastRenderedPageBreak/>
        <w:t xml:space="preserve">Cabe destacar que la Oficina de Acceso a la Información (OAI) durante el mes de noviembre de los corrientes recibió cuatro (4) requerimientos de información diversas y remisión de documentos que no contenían solicitudes específicas de información acorde al procedimiento de atención y gestión de solicitudes de la Ley General de Libre Acceso a la Información núm. 200-04 y su reglamento de aplicación. De igual forma, fueron recibidas hojas de vida de postulantes; informaciones de distintas áreas de la institución para la tramitación de solicitudes en curso; inquietudes de ciudadanos referidos por otras instituciones gubernamentales; entre otros. </w:t>
      </w:r>
    </w:p>
    <w:p w14:paraId="6A64EF49" w14:textId="77777777" w:rsidR="00D65277" w:rsidRPr="005D08D4" w:rsidRDefault="00D65277" w:rsidP="00F94B59">
      <w:pPr>
        <w:spacing w:after="0" w:line="360" w:lineRule="auto"/>
        <w:jc w:val="both"/>
        <w:rPr>
          <w:rFonts w:ascii="Times New Roman" w:eastAsia="Times New Roman" w:hAnsi="Times New Roman" w:cs="Times New Roman"/>
          <w:bCs/>
          <w:color w:val="4C4747"/>
          <w:sz w:val="24"/>
          <w:szCs w:val="24"/>
        </w:rPr>
      </w:pPr>
    </w:p>
    <w:p w14:paraId="706D3BB0" w14:textId="2DCB46B9" w:rsidR="00F94B59" w:rsidRPr="00CF5E9F" w:rsidRDefault="00F94B59" w:rsidP="00F94B59">
      <w:pPr>
        <w:spacing w:after="0" w:line="360" w:lineRule="auto"/>
        <w:jc w:val="both"/>
        <w:rPr>
          <w:rFonts w:ascii="Times New Roman" w:eastAsia="Times New Roman" w:hAnsi="Times New Roman" w:cs="Times New Roman"/>
          <w:bCs/>
          <w:color w:val="4C4747"/>
          <w:sz w:val="24"/>
          <w:szCs w:val="24"/>
        </w:rPr>
      </w:pPr>
      <w:r w:rsidRPr="00CF5E9F">
        <w:rPr>
          <w:rFonts w:ascii="Times New Roman" w:eastAsia="Times New Roman" w:hAnsi="Times New Roman" w:cs="Times New Roman"/>
          <w:bCs/>
          <w:color w:val="4C4747"/>
          <w:sz w:val="24"/>
          <w:szCs w:val="24"/>
        </w:rPr>
        <w:t>En ese mismo tenor, informamos que, al cierre del período enero – noviembre 2023 y diciembre 2022, esta oficina atendió satisfactoriamente todos los requerimientos formalizados por los ciudadanos para la obtención de información, dentro del plazo legal correspondiente, dando cumplimiento al cien por ciento (100%) en el indicado de recepción y atención de solicitudes.</w:t>
      </w:r>
    </w:p>
    <w:p w14:paraId="45788FA6" w14:textId="77777777" w:rsidR="00F94B59" w:rsidRPr="00CF5E9F" w:rsidRDefault="00F94B59" w:rsidP="001A3233">
      <w:pPr>
        <w:spacing w:after="0" w:line="360" w:lineRule="auto"/>
        <w:jc w:val="both"/>
        <w:rPr>
          <w:rFonts w:ascii="Times New Roman" w:eastAsia="Times New Roman" w:hAnsi="Times New Roman" w:cs="Times New Roman"/>
          <w:bCs/>
          <w:color w:val="4C4747"/>
          <w:sz w:val="24"/>
          <w:szCs w:val="24"/>
        </w:rPr>
      </w:pPr>
    </w:p>
    <w:p w14:paraId="29063C65" w14:textId="77777777" w:rsidR="00F94B59" w:rsidRPr="00CF5E9F" w:rsidRDefault="00F94B59" w:rsidP="00F94B59">
      <w:pPr>
        <w:spacing w:after="0" w:line="240" w:lineRule="auto"/>
        <w:jc w:val="both"/>
        <w:rPr>
          <w:rFonts w:ascii="Times New Roman" w:eastAsia="Times New Roman" w:hAnsi="Times New Roman" w:cs="Times New Roman"/>
          <w:b/>
          <w:bCs/>
          <w:color w:val="4C4747"/>
          <w:sz w:val="24"/>
          <w:szCs w:val="24"/>
        </w:rPr>
      </w:pPr>
      <w:r w:rsidRPr="00CF5E9F">
        <w:rPr>
          <w:rFonts w:ascii="Times New Roman" w:eastAsia="Times New Roman" w:hAnsi="Times New Roman" w:cs="Times New Roman"/>
          <w:b/>
          <w:bCs/>
          <w:color w:val="4C4747"/>
          <w:sz w:val="24"/>
          <w:szCs w:val="24"/>
        </w:rPr>
        <w:t>Resultados mediciones del Portal de Transparencia</w:t>
      </w:r>
    </w:p>
    <w:p w14:paraId="6F47AD2E" w14:textId="77777777" w:rsidR="00F94B59" w:rsidRPr="00CF5E9F" w:rsidRDefault="00F94B59" w:rsidP="00F94B59">
      <w:pPr>
        <w:spacing w:after="0" w:line="240" w:lineRule="auto"/>
        <w:jc w:val="both"/>
        <w:rPr>
          <w:rFonts w:ascii="Times New Roman" w:eastAsia="Times New Roman" w:hAnsi="Times New Roman" w:cs="Times New Roman"/>
          <w:b/>
          <w:bCs/>
          <w:color w:val="4C4747"/>
          <w:sz w:val="24"/>
          <w:szCs w:val="24"/>
        </w:rPr>
      </w:pPr>
    </w:p>
    <w:p w14:paraId="2BCBAA49" w14:textId="77777777" w:rsidR="00F94B59" w:rsidRPr="00CF5E9F" w:rsidRDefault="00F94B59" w:rsidP="00760FAF">
      <w:pPr>
        <w:spacing w:after="0" w:line="360" w:lineRule="auto"/>
        <w:jc w:val="both"/>
        <w:rPr>
          <w:rFonts w:ascii="Times New Roman" w:eastAsia="Times New Roman" w:hAnsi="Times New Roman" w:cs="Times New Roman"/>
          <w:bCs/>
          <w:color w:val="4C4747"/>
          <w:sz w:val="24"/>
          <w:szCs w:val="24"/>
        </w:rPr>
      </w:pPr>
      <w:r w:rsidRPr="00CF5E9F">
        <w:rPr>
          <w:rFonts w:ascii="Times New Roman" w:eastAsia="Times New Roman" w:hAnsi="Times New Roman" w:cs="Times New Roman"/>
          <w:bCs/>
          <w:color w:val="4C4747"/>
          <w:sz w:val="24"/>
          <w:szCs w:val="24"/>
        </w:rPr>
        <w:t>En su condición de órgano constitucional con patrimonio propio y autonomía funcional, presupuestaria y administrativa reconocida por el artículo 225 de la Constitución de la República Dominicana, en consonancia con los criterios previstos en la Ley General de Libre Acceso a la Información núm. 200-04 y la Ley Monetaria y Financiera núm. 183-02, el Banco Central de la República Dominicana tiene en funcionamiento el Sub Portal de Transparencia Institucional, plataforma en la que mes por mes se actualizan las informaciones en el formato compatible con su normativa interna.</w:t>
      </w:r>
    </w:p>
    <w:p w14:paraId="3F506DA3" w14:textId="77777777" w:rsidR="00F94B59" w:rsidRPr="00CF5E9F" w:rsidRDefault="00F94B59" w:rsidP="00760FAF">
      <w:pPr>
        <w:spacing w:after="0" w:line="360" w:lineRule="auto"/>
        <w:jc w:val="both"/>
        <w:rPr>
          <w:rFonts w:ascii="Times New Roman" w:eastAsia="Times New Roman" w:hAnsi="Times New Roman" w:cs="Times New Roman"/>
          <w:bCs/>
          <w:color w:val="4C4747"/>
          <w:sz w:val="24"/>
          <w:szCs w:val="24"/>
        </w:rPr>
      </w:pPr>
    </w:p>
    <w:p w14:paraId="0B8AEC1F" w14:textId="77777777" w:rsidR="00F94B59" w:rsidRPr="00CF5E9F" w:rsidRDefault="00F94B59" w:rsidP="00760FAF">
      <w:pPr>
        <w:spacing w:after="0" w:line="360" w:lineRule="auto"/>
        <w:jc w:val="both"/>
        <w:rPr>
          <w:rFonts w:ascii="Times New Roman" w:eastAsia="Times New Roman" w:hAnsi="Times New Roman" w:cs="Times New Roman"/>
          <w:bCs/>
          <w:color w:val="4C4747"/>
          <w:sz w:val="24"/>
          <w:szCs w:val="24"/>
        </w:rPr>
      </w:pPr>
      <w:r w:rsidRPr="00CF5E9F">
        <w:rPr>
          <w:rFonts w:ascii="Times New Roman" w:eastAsia="Times New Roman" w:hAnsi="Times New Roman" w:cs="Times New Roman"/>
          <w:bCs/>
          <w:color w:val="4C4747"/>
          <w:sz w:val="24"/>
          <w:szCs w:val="24"/>
        </w:rPr>
        <w:t xml:space="preserve">Desde su puesta en funcionamiento y hasta la fecha el Banco Central de la República Dominicana ha ejecutado mensualmente las actualizaciones de las </w:t>
      </w:r>
      <w:r w:rsidRPr="00CF5E9F">
        <w:rPr>
          <w:rFonts w:ascii="Times New Roman" w:eastAsia="Times New Roman" w:hAnsi="Times New Roman" w:cs="Times New Roman"/>
          <w:bCs/>
          <w:color w:val="4C4747"/>
          <w:sz w:val="24"/>
          <w:szCs w:val="24"/>
        </w:rPr>
        <w:lastRenderedPageBreak/>
        <w:t xml:space="preserve">informaciones de su plataforma en los formatos autorizados y sin presentar casos de incumplimiento por razones no justificadas. </w:t>
      </w:r>
    </w:p>
    <w:p w14:paraId="6B9115EF" w14:textId="77777777" w:rsidR="00F94B59" w:rsidRPr="00CF5E9F" w:rsidRDefault="00F94B59" w:rsidP="00760FAF">
      <w:pPr>
        <w:spacing w:after="0" w:line="360" w:lineRule="auto"/>
        <w:jc w:val="both"/>
        <w:rPr>
          <w:rFonts w:ascii="Times New Roman" w:hAnsi="Times New Roman" w:cs="Times New Roman"/>
          <w:color w:val="4C4747"/>
          <w:sz w:val="24"/>
          <w:szCs w:val="24"/>
        </w:rPr>
      </w:pPr>
    </w:p>
    <w:p w14:paraId="38036643" w14:textId="77777777" w:rsidR="00F94B59" w:rsidRPr="00CF5E9F" w:rsidRDefault="00F94B59" w:rsidP="00760FAF">
      <w:pPr>
        <w:spacing w:after="0" w:line="360" w:lineRule="auto"/>
        <w:jc w:val="both"/>
        <w:rPr>
          <w:rFonts w:ascii="Times New Roman" w:eastAsia="Times New Roman" w:hAnsi="Times New Roman" w:cs="Times New Roman"/>
          <w:bCs/>
          <w:color w:val="4C4747"/>
          <w:sz w:val="24"/>
          <w:szCs w:val="24"/>
        </w:rPr>
      </w:pPr>
      <w:r w:rsidRPr="00CF5E9F">
        <w:rPr>
          <w:rFonts w:ascii="Times New Roman" w:hAnsi="Times New Roman" w:cs="Times New Roman"/>
          <w:color w:val="4C4747"/>
          <w:sz w:val="24"/>
          <w:szCs w:val="24"/>
        </w:rPr>
        <w:t xml:space="preserve">Cabe destacar, que, en virtud de lo previsto en la Ley General de Libre Acceso a la Información Pública, núm. 200-04 y su reglamento de aplicación, esta Consultoría Jurídica en colaboración con distintos departamentos de la institución durante el período enero – noviembre 2023, ha realizado las actualizaciones en el </w:t>
      </w:r>
      <w:proofErr w:type="spellStart"/>
      <w:r w:rsidRPr="00CF5E9F">
        <w:rPr>
          <w:rFonts w:ascii="Times New Roman" w:hAnsi="Times New Roman" w:cs="Times New Roman"/>
          <w:color w:val="4C4747"/>
          <w:sz w:val="24"/>
          <w:szCs w:val="24"/>
        </w:rPr>
        <w:t>Subportal</w:t>
      </w:r>
      <w:proofErr w:type="spellEnd"/>
      <w:r w:rsidRPr="00CF5E9F">
        <w:rPr>
          <w:rFonts w:ascii="Times New Roman" w:hAnsi="Times New Roman" w:cs="Times New Roman"/>
          <w:color w:val="4C4747"/>
          <w:sz w:val="24"/>
          <w:szCs w:val="24"/>
        </w:rPr>
        <w:t xml:space="preserve"> de Transparencia Institucional, particularmente las relativas a: </w:t>
      </w:r>
    </w:p>
    <w:p w14:paraId="7576FCAA" w14:textId="77777777" w:rsidR="00F94B59" w:rsidRPr="005D08D4" w:rsidRDefault="00F94B59" w:rsidP="00760FAF">
      <w:pPr>
        <w:pStyle w:val="ListParagraph"/>
        <w:spacing w:line="360" w:lineRule="auto"/>
        <w:rPr>
          <w:rFonts w:ascii="Times New Roman" w:hAnsi="Times New Roman" w:cs="Times New Roman"/>
          <w:color w:val="4C4747"/>
          <w:sz w:val="24"/>
          <w:szCs w:val="24"/>
        </w:rPr>
      </w:pPr>
    </w:p>
    <w:p w14:paraId="70C80E46"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Estadísticas trimestrales de la Oficina de Acceso a la Información (OAI);</w:t>
      </w:r>
    </w:p>
    <w:p w14:paraId="45D891D5"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Índice de Informaciones de la Oficina de Acceso a la Información (OAI);</w:t>
      </w:r>
    </w:p>
    <w:p w14:paraId="205F82B4"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Nómina de empleados fijos y contratados;</w:t>
      </w:r>
    </w:p>
    <w:p w14:paraId="0B260391"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Planificación estratégica;</w:t>
      </w:r>
    </w:p>
    <w:p w14:paraId="4C6392CA"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Estados Financieros;</w:t>
      </w:r>
    </w:p>
    <w:p w14:paraId="2303234E"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 xml:space="preserve">Informes de Auditorías; </w:t>
      </w:r>
    </w:p>
    <w:p w14:paraId="4A6E2B98"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Informaciones relativas a los procesos de Compras y Contrataciones de Bienes y Servicios;</w:t>
      </w:r>
    </w:p>
    <w:p w14:paraId="7F8B5243"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Beneficiarios de programas asistenciales;</w:t>
      </w:r>
    </w:p>
    <w:p w14:paraId="1EDFD1B2"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Programas o proyectos;</w:t>
      </w:r>
    </w:p>
    <w:p w14:paraId="0B7C6F29"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Micro, pequeñas y medianas empresas y mujer;</w:t>
      </w:r>
    </w:p>
    <w:p w14:paraId="3FC13509" w14:textId="77777777"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Subasta Inversa;</w:t>
      </w:r>
    </w:p>
    <w:p w14:paraId="49E1195C" w14:textId="10C59658" w:rsidR="00F94B59" w:rsidRPr="005D08D4" w:rsidRDefault="00F94B59" w:rsidP="00760FAF">
      <w:pPr>
        <w:pStyle w:val="ListParagraph"/>
        <w:numPr>
          <w:ilvl w:val="0"/>
          <w:numId w:val="35"/>
        </w:numPr>
        <w:spacing w:after="0" w:line="360" w:lineRule="auto"/>
        <w:jc w:val="both"/>
        <w:rPr>
          <w:rFonts w:ascii="Times New Roman" w:hAnsi="Times New Roman" w:cs="Times New Roman"/>
          <w:color w:val="4C4747"/>
          <w:sz w:val="24"/>
          <w:szCs w:val="24"/>
        </w:rPr>
      </w:pPr>
      <w:r w:rsidRPr="005D08D4">
        <w:rPr>
          <w:rFonts w:ascii="Times New Roman" w:hAnsi="Times New Roman" w:cs="Times New Roman"/>
          <w:color w:val="4C4747"/>
          <w:sz w:val="24"/>
          <w:szCs w:val="24"/>
        </w:rPr>
        <w:t>Procesos de consultas públicas.</w:t>
      </w:r>
    </w:p>
    <w:p w14:paraId="3FA80921" w14:textId="77777777" w:rsidR="00760FAF" w:rsidRPr="005D08D4" w:rsidRDefault="00760FAF" w:rsidP="00760FAF">
      <w:pPr>
        <w:spacing w:after="0" w:line="360" w:lineRule="auto"/>
        <w:jc w:val="both"/>
        <w:rPr>
          <w:rFonts w:ascii="Times New Roman" w:eastAsia="Times New Roman" w:hAnsi="Times New Roman" w:cs="Times New Roman"/>
          <w:b/>
          <w:bCs/>
          <w:color w:val="4C4747"/>
          <w:sz w:val="24"/>
          <w:szCs w:val="24"/>
        </w:rPr>
      </w:pPr>
    </w:p>
    <w:p w14:paraId="565EFAEB" w14:textId="77777777" w:rsidR="00760FAF" w:rsidRDefault="00760FAF" w:rsidP="00760FAF">
      <w:pPr>
        <w:spacing w:after="0" w:line="360" w:lineRule="auto"/>
        <w:jc w:val="both"/>
        <w:rPr>
          <w:rFonts w:ascii="Times New Roman" w:eastAsia="Times New Roman" w:hAnsi="Times New Roman" w:cs="Times New Roman"/>
          <w:b/>
          <w:bCs/>
          <w:color w:val="4C4747"/>
          <w:sz w:val="24"/>
          <w:szCs w:val="24"/>
        </w:rPr>
      </w:pPr>
    </w:p>
    <w:p w14:paraId="146EB232" w14:textId="77777777" w:rsidR="00760FAF" w:rsidRDefault="00760FAF" w:rsidP="00760FAF">
      <w:pPr>
        <w:spacing w:after="0" w:line="360" w:lineRule="auto"/>
        <w:jc w:val="both"/>
        <w:rPr>
          <w:rFonts w:ascii="Times New Roman" w:eastAsia="Times New Roman" w:hAnsi="Times New Roman" w:cs="Times New Roman"/>
          <w:b/>
          <w:bCs/>
          <w:color w:val="4C4747"/>
          <w:sz w:val="24"/>
          <w:szCs w:val="24"/>
        </w:rPr>
      </w:pPr>
    </w:p>
    <w:p w14:paraId="04B001C3" w14:textId="77777777" w:rsidR="00760FAF" w:rsidRDefault="00760FAF" w:rsidP="00760FAF">
      <w:pPr>
        <w:spacing w:after="0" w:line="360" w:lineRule="auto"/>
        <w:jc w:val="both"/>
        <w:rPr>
          <w:rFonts w:ascii="Times New Roman" w:eastAsia="Times New Roman" w:hAnsi="Times New Roman" w:cs="Times New Roman"/>
          <w:b/>
          <w:bCs/>
          <w:color w:val="4C4747"/>
          <w:sz w:val="24"/>
          <w:szCs w:val="24"/>
        </w:rPr>
      </w:pPr>
    </w:p>
    <w:p w14:paraId="5B96B6C3" w14:textId="75B6E65A" w:rsidR="00F94B59" w:rsidRPr="005D08D4" w:rsidRDefault="00F94B59" w:rsidP="00760FAF">
      <w:pPr>
        <w:spacing w:after="0" w:line="360" w:lineRule="auto"/>
        <w:jc w:val="both"/>
        <w:rPr>
          <w:rFonts w:ascii="Times New Roman" w:eastAsia="Times New Roman" w:hAnsi="Times New Roman" w:cs="Times New Roman"/>
          <w:b/>
          <w:bCs/>
          <w:color w:val="4C4747"/>
          <w:sz w:val="24"/>
          <w:szCs w:val="24"/>
        </w:rPr>
      </w:pPr>
      <w:r w:rsidRPr="005D08D4">
        <w:rPr>
          <w:rFonts w:ascii="Times New Roman" w:eastAsia="Times New Roman" w:hAnsi="Times New Roman" w:cs="Times New Roman"/>
          <w:b/>
          <w:bCs/>
          <w:color w:val="4C4747"/>
          <w:sz w:val="24"/>
          <w:szCs w:val="24"/>
        </w:rPr>
        <w:lastRenderedPageBreak/>
        <w:t>Planes de acción para mejora</w:t>
      </w:r>
    </w:p>
    <w:p w14:paraId="3FEE3699" w14:textId="77777777" w:rsidR="00F94B59" w:rsidRPr="005D08D4" w:rsidRDefault="00F94B59" w:rsidP="00760FAF">
      <w:pPr>
        <w:spacing w:after="0" w:line="360" w:lineRule="auto"/>
        <w:jc w:val="both"/>
        <w:rPr>
          <w:rFonts w:ascii="Times New Roman" w:eastAsia="Times New Roman" w:hAnsi="Times New Roman" w:cs="Times New Roman"/>
          <w:bCs/>
          <w:color w:val="4C4747"/>
          <w:sz w:val="24"/>
          <w:szCs w:val="24"/>
        </w:rPr>
      </w:pPr>
    </w:p>
    <w:p w14:paraId="30B16AAB" w14:textId="77777777" w:rsidR="00F94B59" w:rsidRPr="00CF5E9F" w:rsidRDefault="00F94B59" w:rsidP="00760FAF">
      <w:pPr>
        <w:spacing w:after="0" w:line="360" w:lineRule="auto"/>
        <w:jc w:val="both"/>
        <w:rPr>
          <w:rFonts w:ascii="Times New Roman" w:eastAsia="Times New Roman" w:hAnsi="Times New Roman" w:cs="Times New Roman"/>
          <w:bCs/>
          <w:color w:val="4C4747"/>
          <w:sz w:val="24"/>
          <w:szCs w:val="24"/>
        </w:rPr>
      </w:pPr>
      <w:r w:rsidRPr="00CF5E9F">
        <w:rPr>
          <w:rFonts w:ascii="Times New Roman" w:eastAsia="Times New Roman" w:hAnsi="Times New Roman" w:cs="Times New Roman"/>
          <w:bCs/>
          <w:color w:val="4C4747"/>
          <w:sz w:val="24"/>
          <w:szCs w:val="24"/>
        </w:rPr>
        <w:t>Gestión para la actualización de la clasificación de documentos e informaciones en virtud de los artículos 17 y 28 de la Ley General de Libre Acceso a la Información Pública, núm. 200-04 y las disposiciones especiales contempladas en la Ley Monetaria y Financiera núm. 183-02, para someter a la aprobación de la Junta Monetaria.</w:t>
      </w:r>
    </w:p>
    <w:p w14:paraId="2155E8DB" w14:textId="77777777" w:rsidR="00F94B59" w:rsidRPr="005D08D4" w:rsidRDefault="00F94B59" w:rsidP="00F94B59">
      <w:pPr>
        <w:rPr>
          <w:rFonts w:ascii="Times New Roman" w:eastAsia="Times New Roman" w:hAnsi="Times New Roman" w:cs="Times New Roman"/>
          <w:bCs/>
          <w:color w:val="4C4747"/>
          <w:sz w:val="24"/>
          <w:szCs w:val="24"/>
        </w:rPr>
      </w:pPr>
      <w:r w:rsidRPr="005D08D4">
        <w:rPr>
          <w:rFonts w:ascii="Times New Roman" w:eastAsia="Times New Roman" w:hAnsi="Times New Roman" w:cs="Times New Roman"/>
          <w:bCs/>
          <w:color w:val="4C4747"/>
          <w:sz w:val="24"/>
          <w:szCs w:val="24"/>
        </w:rPr>
        <w:br w:type="page"/>
      </w:r>
    </w:p>
    <w:p w14:paraId="7D31A3DF" w14:textId="347524C6" w:rsidR="00F94B59" w:rsidRPr="00760FAF" w:rsidRDefault="00975A54" w:rsidP="00975A54">
      <w:pPr>
        <w:pStyle w:val="Heading2"/>
        <w:spacing w:before="0" w:line="360" w:lineRule="auto"/>
        <w:rPr>
          <w:rFonts w:ascii="Times New Roman" w:eastAsia="Times New Roman" w:hAnsi="Times New Roman" w:cs="Times New Roman"/>
          <w:b/>
          <w:color w:val="4C4747"/>
          <w:sz w:val="24"/>
          <w:szCs w:val="24"/>
        </w:rPr>
      </w:pPr>
      <w:bookmarkStart w:id="48" w:name="_Toc152864335"/>
      <w:bookmarkStart w:id="49" w:name="_Toc155259680"/>
      <w:bookmarkStart w:id="50" w:name="_Hlk77099177"/>
      <w:r>
        <w:rPr>
          <w:rFonts w:ascii="Times New Roman" w:eastAsia="Times New Roman" w:hAnsi="Times New Roman" w:cs="Times New Roman"/>
          <w:b/>
          <w:color w:val="4C4747"/>
          <w:sz w:val="24"/>
          <w:szCs w:val="24"/>
        </w:rPr>
        <w:lastRenderedPageBreak/>
        <w:t xml:space="preserve">5.2   </w:t>
      </w:r>
      <w:r w:rsidR="00F94B59" w:rsidRPr="00760FAF">
        <w:rPr>
          <w:rFonts w:ascii="Times New Roman" w:eastAsia="Times New Roman" w:hAnsi="Times New Roman" w:cs="Times New Roman"/>
          <w:b/>
          <w:color w:val="4C4747"/>
          <w:sz w:val="24"/>
          <w:szCs w:val="24"/>
        </w:rPr>
        <w:t>Transparencia institucional</w:t>
      </w:r>
      <w:bookmarkEnd w:id="48"/>
      <w:bookmarkEnd w:id="49"/>
    </w:p>
    <w:bookmarkEnd w:id="50"/>
    <w:p w14:paraId="7468A210" w14:textId="77777777" w:rsidR="00F94B59" w:rsidRPr="00CF5E9F" w:rsidRDefault="00F94B59" w:rsidP="00760FAF">
      <w:pPr>
        <w:tabs>
          <w:tab w:val="left" w:pos="90"/>
          <w:tab w:val="left" w:pos="1440"/>
        </w:tabs>
        <w:spacing w:after="0" w:line="360" w:lineRule="auto"/>
        <w:jc w:val="both"/>
        <w:rPr>
          <w:rFonts w:ascii="Times New Roman" w:hAnsi="Times New Roman" w:cs="Times New Roman"/>
          <w:color w:val="4C4747"/>
          <w:sz w:val="24"/>
          <w:szCs w:val="24"/>
        </w:rPr>
      </w:pPr>
    </w:p>
    <w:p w14:paraId="360392A9" w14:textId="77777777" w:rsidR="00760FAF" w:rsidRPr="00CF5E9F" w:rsidRDefault="00F94B59" w:rsidP="00760FAF">
      <w:pPr>
        <w:tabs>
          <w:tab w:val="left" w:pos="90"/>
          <w:tab w:val="left" w:pos="1440"/>
        </w:tabs>
        <w:spacing w:after="0" w:line="360" w:lineRule="auto"/>
        <w:ind w:right="142"/>
        <w:jc w:val="both"/>
        <w:rPr>
          <w:rFonts w:ascii="Times New Roman" w:eastAsia="Calibri" w:hAnsi="Times New Roman" w:cs="Times New Roman"/>
          <w:color w:val="4C4747"/>
          <w:sz w:val="24"/>
          <w:szCs w:val="24"/>
          <w:lang w:val="es-CR"/>
        </w:rPr>
      </w:pPr>
      <w:r w:rsidRPr="00CF5E9F">
        <w:rPr>
          <w:rFonts w:ascii="Times New Roman" w:eastAsia="Calibri" w:hAnsi="Times New Roman" w:cs="Times New Roman"/>
          <w:color w:val="4C4747"/>
          <w:sz w:val="24"/>
          <w:szCs w:val="24"/>
          <w:lang w:val="es-CR"/>
        </w:rPr>
        <w:t xml:space="preserve">Durante el período comprendido desde el 1 de enero al 30 de noviembre de 2023, la Consultoría Jurídica del Banco Central trabajó en la revisión de cinco (5) pliegos de condiciones específicas y documentos de solicitud de propuestas para la adquisición de bienes o servicios conexos. De manera complementaria, los referidos pliegos y documentos de solicitud de propuestas fueron acompañados de las instancias correspondientes. </w:t>
      </w:r>
    </w:p>
    <w:p w14:paraId="18B612F3" w14:textId="77777777" w:rsidR="00760FAF" w:rsidRPr="00CF5E9F" w:rsidRDefault="00760FAF" w:rsidP="00760FAF">
      <w:pPr>
        <w:tabs>
          <w:tab w:val="left" w:pos="90"/>
          <w:tab w:val="left" w:pos="1440"/>
        </w:tabs>
        <w:spacing w:after="0" w:line="360" w:lineRule="auto"/>
        <w:ind w:right="142"/>
        <w:jc w:val="both"/>
        <w:rPr>
          <w:rFonts w:ascii="Times New Roman" w:eastAsia="Calibri" w:hAnsi="Times New Roman" w:cs="Times New Roman"/>
          <w:color w:val="4C4747"/>
          <w:sz w:val="24"/>
          <w:szCs w:val="24"/>
          <w:lang w:val="es-CR"/>
        </w:rPr>
      </w:pPr>
    </w:p>
    <w:p w14:paraId="6D1E29FC" w14:textId="421E1FC8" w:rsidR="00F94B59" w:rsidRPr="00CF5E9F" w:rsidRDefault="00F94B59" w:rsidP="00760FAF">
      <w:pPr>
        <w:tabs>
          <w:tab w:val="left" w:pos="90"/>
          <w:tab w:val="left" w:pos="1440"/>
        </w:tabs>
        <w:spacing w:after="0" w:line="360" w:lineRule="auto"/>
        <w:ind w:right="142"/>
        <w:jc w:val="both"/>
        <w:rPr>
          <w:rFonts w:ascii="Times New Roman" w:eastAsia="Calibri" w:hAnsi="Times New Roman" w:cs="Times New Roman"/>
          <w:color w:val="4C4747"/>
          <w:sz w:val="24"/>
          <w:szCs w:val="24"/>
          <w:lang w:val="es-CR"/>
        </w:rPr>
      </w:pPr>
      <w:r w:rsidRPr="00CF5E9F">
        <w:rPr>
          <w:rFonts w:ascii="Times New Roman" w:eastAsia="Calibri" w:hAnsi="Times New Roman" w:cs="Times New Roman"/>
          <w:color w:val="4C4747"/>
          <w:sz w:val="24"/>
          <w:szCs w:val="24"/>
          <w:lang w:val="es-CR"/>
        </w:rPr>
        <w:t>En este sentido, esta dependencia emitió los Dictámenes Jurídicos pertinentes y/o manifestó su No Objeción a dichos instrumentos y/o a la celebración de las licitaciones públicas nacionales necesarias, las cuales detallamos a continuación:</w:t>
      </w:r>
    </w:p>
    <w:p w14:paraId="393D9139" w14:textId="77777777" w:rsidR="00F94B59" w:rsidRPr="00CF5E9F" w:rsidRDefault="00F94B59" w:rsidP="00760FAF">
      <w:pPr>
        <w:pStyle w:val="ListParagraph"/>
        <w:tabs>
          <w:tab w:val="left" w:pos="90"/>
          <w:tab w:val="left" w:pos="1440"/>
        </w:tabs>
        <w:spacing w:line="360" w:lineRule="auto"/>
        <w:jc w:val="both"/>
        <w:rPr>
          <w:rFonts w:ascii="Times New Roman" w:hAnsi="Times New Roman" w:cs="Times New Roman"/>
          <w:color w:val="4C4747"/>
          <w:sz w:val="24"/>
          <w:szCs w:val="24"/>
        </w:rPr>
      </w:pPr>
    </w:p>
    <w:p w14:paraId="09F9081C" w14:textId="77777777" w:rsidR="00F94B59" w:rsidRPr="00CF5E9F" w:rsidRDefault="00F94B59" w:rsidP="00760FAF">
      <w:pPr>
        <w:pStyle w:val="ListParagraph"/>
        <w:numPr>
          <w:ilvl w:val="0"/>
          <w:numId w:val="36"/>
        </w:numPr>
        <w:tabs>
          <w:tab w:val="left" w:pos="90"/>
          <w:tab w:val="left" w:pos="1440"/>
        </w:tabs>
        <w:spacing w:after="0" w:line="360" w:lineRule="auto"/>
        <w:ind w:right="142"/>
        <w:jc w:val="both"/>
        <w:rPr>
          <w:rFonts w:ascii="Times New Roman" w:eastAsia="Calibri" w:hAnsi="Times New Roman" w:cs="Times New Roman"/>
          <w:color w:val="4C4747"/>
          <w:sz w:val="24"/>
          <w:szCs w:val="24"/>
          <w:lang w:val="es-CR"/>
        </w:rPr>
      </w:pPr>
      <w:r w:rsidRPr="00CF5E9F">
        <w:rPr>
          <w:rFonts w:ascii="Times New Roman" w:eastAsia="Calibri" w:hAnsi="Times New Roman" w:cs="Times New Roman"/>
          <w:color w:val="4C4747"/>
          <w:sz w:val="24"/>
          <w:szCs w:val="24"/>
          <w:lang w:val="es-CR"/>
        </w:rPr>
        <w:t>Remisión de Dictamen Jurídico y revisión del Pliego de Condiciones Específicas para Bienes y Servicios Conexos – Licitación Pública Nacional (LPN) núm. BC01 -2023-B, para la Adquisición de una (1) Solución de Software para la Gestión de Riesgos Operativos a ser utilizada por la Oficina de Gestión de Riesgo y Continuidad del BCRD;</w:t>
      </w:r>
    </w:p>
    <w:p w14:paraId="31B8C9D4" w14:textId="77777777" w:rsidR="00F94B59" w:rsidRPr="00CF5E9F" w:rsidRDefault="00F94B59" w:rsidP="00760FAF">
      <w:pPr>
        <w:pStyle w:val="ListParagraph"/>
        <w:tabs>
          <w:tab w:val="left" w:pos="90"/>
          <w:tab w:val="left" w:pos="1440"/>
        </w:tabs>
        <w:spacing w:line="360" w:lineRule="auto"/>
        <w:ind w:right="142"/>
        <w:jc w:val="both"/>
        <w:rPr>
          <w:rFonts w:ascii="Times New Roman" w:eastAsia="Calibri" w:hAnsi="Times New Roman" w:cs="Times New Roman"/>
          <w:color w:val="4C4747"/>
          <w:sz w:val="24"/>
          <w:szCs w:val="24"/>
          <w:lang w:val="es-CR"/>
        </w:rPr>
      </w:pPr>
    </w:p>
    <w:p w14:paraId="19239193" w14:textId="77777777" w:rsidR="00F94B59" w:rsidRPr="00CF5E9F" w:rsidRDefault="00F94B59" w:rsidP="00760FAF">
      <w:pPr>
        <w:pStyle w:val="ListParagraph"/>
        <w:numPr>
          <w:ilvl w:val="0"/>
          <w:numId w:val="36"/>
        </w:numPr>
        <w:tabs>
          <w:tab w:val="left" w:pos="90"/>
          <w:tab w:val="left" w:pos="1440"/>
        </w:tabs>
        <w:spacing w:after="0" w:line="360" w:lineRule="auto"/>
        <w:ind w:right="142"/>
        <w:jc w:val="both"/>
        <w:rPr>
          <w:rFonts w:ascii="Times New Roman" w:eastAsia="Calibri" w:hAnsi="Times New Roman" w:cs="Times New Roman"/>
          <w:color w:val="4C4747"/>
          <w:sz w:val="24"/>
          <w:szCs w:val="24"/>
          <w:lang w:val="es-CR"/>
        </w:rPr>
      </w:pPr>
      <w:r w:rsidRPr="00CF5E9F">
        <w:rPr>
          <w:rFonts w:ascii="Times New Roman" w:eastAsia="Calibri" w:hAnsi="Times New Roman" w:cs="Times New Roman"/>
          <w:color w:val="4C4747"/>
          <w:sz w:val="24"/>
          <w:szCs w:val="24"/>
          <w:lang w:val="es-CR"/>
        </w:rPr>
        <w:t>Remisión de No Objeción del Caso de Excepción núm. BC01-2023-B, para el suministro de monedas metálicas de las denominaciones de RD$25.00, RD$10.00, RD$5.00 y RD$1.00, año 2023;</w:t>
      </w:r>
    </w:p>
    <w:p w14:paraId="049479CA" w14:textId="77777777" w:rsidR="00F94B59" w:rsidRPr="00CF5E9F" w:rsidRDefault="00F94B59" w:rsidP="00760FAF">
      <w:pPr>
        <w:pStyle w:val="ListParagraph"/>
        <w:tabs>
          <w:tab w:val="left" w:pos="90"/>
          <w:tab w:val="left" w:pos="1440"/>
        </w:tabs>
        <w:spacing w:line="360" w:lineRule="auto"/>
        <w:ind w:right="142"/>
        <w:jc w:val="both"/>
        <w:rPr>
          <w:rFonts w:ascii="Times New Roman" w:eastAsia="Calibri" w:hAnsi="Times New Roman" w:cs="Times New Roman"/>
          <w:color w:val="4C4747"/>
          <w:sz w:val="24"/>
          <w:szCs w:val="24"/>
          <w:lang w:val="es-CR"/>
        </w:rPr>
      </w:pPr>
    </w:p>
    <w:p w14:paraId="4F10F580" w14:textId="77777777" w:rsidR="00F94B59" w:rsidRPr="00CF5E9F" w:rsidRDefault="00F94B59" w:rsidP="00760FAF">
      <w:pPr>
        <w:pStyle w:val="ListParagraph"/>
        <w:numPr>
          <w:ilvl w:val="0"/>
          <w:numId w:val="36"/>
        </w:numPr>
        <w:tabs>
          <w:tab w:val="left" w:pos="90"/>
          <w:tab w:val="left" w:pos="1440"/>
        </w:tabs>
        <w:spacing w:after="0" w:line="360" w:lineRule="auto"/>
        <w:ind w:right="142"/>
        <w:jc w:val="both"/>
        <w:rPr>
          <w:rFonts w:ascii="Times New Roman" w:eastAsia="Calibri" w:hAnsi="Times New Roman" w:cs="Times New Roman"/>
          <w:color w:val="4C4747"/>
          <w:sz w:val="24"/>
          <w:szCs w:val="24"/>
          <w:lang w:val="es-CR"/>
        </w:rPr>
      </w:pPr>
      <w:r w:rsidRPr="00CF5E9F">
        <w:rPr>
          <w:rFonts w:ascii="Times New Roman" w:eastAsia="Calibri" w:hAnsi="Times New Roman" w:cs="Times New Roman"/>
          <w:color w:val="4C4747"/>
          <w:sz w:val="24"/>
          <w:szCs w:val="24"/>
          <w:lang w:val="es-CR"/>
        </w:rPr>
        <w:t>Remisión de No Objeción del Caso de Excepción núm. BC02-2023-B, para el suministro de billetes de banco de las denominaciones RD$2,000.00, RD$1,000.00, RD$500.00, RD$200.00, RD$100.00 y RD$50.00, serie 2023.</w:t>
      </w:r>
    </w:p>
    <w:p w14:paraId="58A71567" w14:textId="77777777" w:rsidR="00F94B59" w:rsidRPr="00CF5E9F" w:rsidRDefault="00F94B59" w:rsidP="00760FAF">
      <w:pPr>
        <w:pStyle w:val="ListParagraph"/>
        <w:spacing w:line="360" w:lineRule="auto"/>
        <w:rPr>
          <w:rFonts w:ascii="Times New Roman" w:eastAsia="Calibri" w:hAnsi="Times New Roman" w:cs="Times New Roman"/>
          <w:color w:val="4C4747"/>
          <w:sz w:val="24"/>
          <w:szCs w:val="24"/>
          <w:lang w:val="es-CR"/>
        </w:rPr>
      </w:pPr>
    </w:p>
    <w:p w14:paraId="1CECEB75" w14:textId="77777777" w:rsidR="00F94B59" w:rsidRPr="00CF5E9F" w:rsidRDefault="00F94B59" w:rsidP="00760FAF">
      <w:pPr>
        <w:pStyle w:val="ListParagraph"/>
        <w:numPr>
          <w:ilvl w:val="0"/>
          <w:numId w:val="36"/>
        </w:numPr>
        <w:tabs>
          <w:tab w:val="left" w:pos="90"/>
          <w:tab w:val="left" w:pos="1440"/>
        </w:tabs>
        <w:spacing w:after="0" w:line="360" w:lineRule="auto"/>
        <w:ind w:right="142"/>
        <w:jc w:val="both"/>
        <w:rPr>
          <w:rFonts w:ascii="Times New Roman" w:eastAsia="Calibri" w:hAnsi="Times New Roman" w:cs="Times New Roman"/>
          <w:color w:val="4C4747"/>
          <w:sz w:val="24"/>
          <w:szCs w:val="24"/>
          <w:lang w:val="es-CR"/>
        </w:rPr>
      </w:pPr>
      <w:r w:rsidRPr="00CF5E9F">
        <w:rPr>
          <w:rFonts w:ascii="Times New Roman" w:eastAsia="Calibri" w:hAnsi="Times New Roman" w:cs="Times New Roman"/>
          <w:color w:val="4C4747"/>
          <w:sz w:val="24"/>
          <w:szCs w:val="24"/>
          <w:lang w:val="es-CR"/>
        </w:rPr>
        <w:lastRenderedPageBreak/>
        <w:t xml:space="preserve">Remisión de No Objeción del Caso de Excepción núm. BC01-2023-S DSP para la Implementación de Solución de Aseguramiento, Detección y Auditoría del Sistema para la Seguridad en las Plataformas IBM </w:t>
      </w:r>
      <w:proofErr w:type="spellStart"/>
      <w:r w:rsidRPr="00CF5E9F">
        <w:rPr>
          <w:rFonts w:ascii="Times New Roman" w:eastAsia="Calibri" w:hAnsi="Times New Roman" w:cs="Times New Roman"/>
          <w:color w:val="4C4747"/>
          <w:sz w:val="24"/>
          <w:szCs w:val="24"/>
          <w:lang w:val="es-CR"/>
        </w:rPr>
        <w:t>iseries</w:t>
      </w:r>
      <w:proofErr w:type="spellEnd"/>
      <w:r w:rsidRPr="00CF5E9F">
        <w:rPr>
          <w:rFonts w:ascii="Times New Roman" w:eastAsia="Calibri" w:hAnsi="Times New Roman" w:cs="Times New Roman"/>
          <w:color w:val="4C4747"/>
          <w:sz w:val="24"/>
          <w:szCs w:val="24"/>
          <w:lang w:val="es-CR"/>
        </w:rPr>
        <w:t xml:space="preserve"> del BCRD.</w:t>
      </w:r>
    </w:p>
    <w:p w14:paraId="4811B594" w14:textId="77777777" w:rsidR="00F94B59" w:rsidRPr="00CF5E9F" w:rsidRDefault="00F94B59" w:rsidP="00760FAF">
      <w:pPr>
        <w:pStyle w:val="ListParagraph"/>
        <w:spacing w:line="360" w:lineRule="auto"/>
        <w:rPr>
          <w:rFonts w:ascii="Times New Roman" w:eastAsia="Calibri" w:hAnsi="Times New Roman" w:cs="Times New Roman"/>
          <w:color w:val="4C4747"/>
          <w:sz w:val="24"/>
          <w:szCs w:val="24"/>
          <w:highlight w:val="yellow"/>
          <w:lang w:val="es-CR"/>
        </w:rPr>
      </w:pPr>
    </w:p>
    <w:p w14:paraId="6A6FD2F1" w14:textId="77777777" w:rsidR="00F94B59" w:rsidRPr="00CF5E9F" w:rsidRDefault="00F94B59" w:rsidP="00760FAF">
      <w:pPr>
        <w:pStyle w:val="ListParagraph"/>
        <w:numPr>
          <w:ilvl w:val="0"/>
          <w:numId w:val="36"/>
        </w:numPr>
        <w:tabs>
          <w:tab w:val="left" w:pos="90"/>
          <w:tab w:val="left" w:pos="1440"/>
        </w:tabs>
        <w:spacing w:after="0" w:line="360" w:lineRule="auto"/>
        <w:ind w:right="142"/>
        <w:jc w:val="both"/>
        <w:rPr>
          <w:rFonts w:ascii="Times New Roman" w:eastAsia="Calibri" w:hAnsi="Times New Roman" w:cs="Times New Roman"/>
          <w:color w:val="4C4747"/>
          <w:sz w:val="24"/>
          <w:szCs w:val="24"/>
          <w:lang w:val="es-CR"/>
        </w:rPr>
      </w:pPr>
      <w:r w:rsidRPr="00CF5E9F">
        <w:rPr>
          <w:rFonts w:ascii="Times New Roman" w:eastAsia="Calibri" w:hAnsi="Times New Roman" w:cs="Times New Roman"/>
          <w:color w:val="4C4747"/>
          <w:sz w:val="24"/>
          <w:szCs w:val="24"/>
          <w:lang w:val="es-CR"/>
        </w:rPr>
        <w:t>Remisión Pliego de Condiciones Específicas LPN núm. BC01-2023-S, para la Contratación de Servicios de Auditoría Externa a: 1) Los Estados Financieros del Banco Central, 2) Los Estados Financieros del Fondo de Contingencia, 3) Los Estados Financieros del Fondo de Consolidación Bancaria 4) La verificación de la Efectividad del Programa de Cumplimiento para la Prevención y Detección del Lavado de Activos y del Financiamiento del Terrorismo en el Banco Central, para los ejercicios que finalizarán el 31 de diciembre de 2023, 2024 y 2025.</w:t>
      </w:r>
    </w:p>
    <w:p w14:paraId="5EFC6222" w14:textId="3C71ED9A" w:rsidR="00F94B59" w:rsidRDefault="00F94B59" w:rsidP="00F94B59">
      <w:pPr>
        <w:pStyle w:val="ListParagraph"/>
        <w:tabs>
          <w:tab w:val="left" w:pos="90"/>
          <w:tab w:val="left" w:pos="1440"/>
        </w:tabs>
        <w:jc w:val="both"/>
        <w:rPr>
          <w:rFonts w:cs="Times New Roman"/>
          <w:color w:val="4C4747"/>
          <w:szCs w:val="24"/>
          <w:highlight w:val="yellow"/>
        </w:rPr>
      </w:pPr>
    </w:p>
    <w:p w14:paraId="79B50236" w14:textId="3022C695" w:rsidR="009B384A" w:rsidRDefault="009B384A" w:rsidP="00F94B59">
      <w:pPr>
        <w:pStyle w:val="ListParagraph"/>
        <w:tabs>
          <w:tab w:val="left" w:pos="90"/>
          <w:tab w:val="left" w:pos="1440"/>
        </w:tabs>
        <w:jc w:val="both"/>
        <w:rPr>
          <w:rFonts w:cs="Times New Roman"/>
          <w:color w:val="4C4747"/>
          <w:szCs w:val="24"/>
          <w:highlight w:val="yellow"/>
        </w:rPr>
      </w:pPr>
    </w:p>
    <w:p w14:paraId="41290A6F" w14:textId="5E822907" w:rsidR="009B384A" w:rsidRDefault="009B384A" w:rsidP="00F94B59">
      <w:pPr>
        <w:pStyle w:val="ListParagraph"/>
        <w:tabs>
          <w:tab w:val="left" w:pos="90"/>
          <w:tab w:val="left" w:pos="1440"/>
        </w:tabs>
        <w:jc w:val="both"/>
        <w:rPr>
          <w:rFonts w:cs="Times New Roman"/>
          <w:color w:val="4C4747"/>
          <w:szCs w:val="24"/>
          <w:highlight w:val="yellow"/>
        </w:rPr>
      </w:pPr>
    </w:p>
    <w:p w14:paraId="426CD02D" w14:textId="637B37FF" w:rsidR="009B384A" w:rsidRDefault="009B384A" w:rsidP="00F94B59">
      <w:pPr>
        <w:pStyle w:val="ListParagraph"/>
        <w:tabs>
          <w:tab w:val="left" w:pos="90"/>
          <w:tab w:val="left" w:pos="1440"/>
        </w:tabs>
        <w:jc w:val="both"/>
        <w:rPr>
          <w:rFonts w:cs="Times New Roman"/>
          <w:color w:val="4C4747"/>
          <w:szCs w:val="24"/>
          <w:highlight w:val="yellow"/>
        </w:rPr>
      </w:pPr>
    </w:p>
    <w:p w14:paraId="09200FD3" w14:textId="2E0BD17E" w:rsidR="009B384A" w:rsidRDefault="009B384A" w:rsidP="00F94B59">
      <w:pPr>
        <w:pStyle w:val="ListParagraph"/>
        <w:tabs>
          <w:tab w:val="left" w:pos="90"/>
          <w:tab w:val="left" w:pos="1440"/>
        </w:tabs>
        <w:jc w:val="both"/>
        <w:rPr>
          <w:rFonts w:cs="Times New Roman"/>
          <w:color w:val="4C4747"/>
          <w:szCs w:val="24"/>
          <w:highlight w:val="yellow"/>
        </w:rPr>
      </w:pPr>
    </w:p>
    <w:p w14:paraId="16709F53" w14:textId="799CF0BD" w:rsidR="009B384A" w:rsidRDefault="009B384A" w:rsidP="00F94B59">
      <w:pPr>
        <w:pStyle w:val="ListParagraph"/>
        <w:tabs>
          <w:tab w:val="left" w:pos="90"/>
          <w:tab w:val="left" w:pos="1440"/>
        </w:tabs>
        <w:jc w:val="both"/>
        <w:rPr>
          <w:rFonts w:cs="Times New Roman"/>
          <w:color w:val="4C4747"/>
          <w:szCs w:val="24"/>
          <w:highlight w:val="yellow"/>
        </w:rPr>
      </w:pPr>
    </w:p>
    <w:p w14:paraId="14CC8EB4" w14:textId="068B559A" w:rsidR="009B384A" w:rsidRDefault="009B384A" w:rsidP="00F94B59">
      <w:pPr>
        <w:pStyle w:val="ListParagraph"/>
        <w:tabs>
          <w:tab w:val="left" w:pos="90"/>
          <w:tab w:val="left" w:pos="1440"/>
        </w:tabs>
        <w:jc w:val="both"/>
        <w:rPr>
          <w:rFonts w:cs="Times New Roman"/>
          <w:color w:val="4C4747"/>
          <w:szCs w:val="24"/>
          <w:highlight w:val="yellow"/>
        </w:rPr>
      </w:pPr>
    </w:p>
    <w:p w14:paraId="2A5FAFFE" w14:textId="33EF5BD8" w:rsidR="009B384A" w:rsidRDefault="009B384A" w:rsidP="00F94B59">
      <w:pPr>
        <w:pStyle w:val="ListParagraph"/>
        <w:tabs>
          <w:tab w:val="left" w:pos="90"/>
          <w:tab w:val="left" w:pos="1440"/>
        </w:tabs>
        <w:jc w:val="both"/>
        <w:rPr>
          <w:rFonts w:cs="Times New Roman"/>
          <w:color w:val="4C4747"/>
          <w:szCs w:val="24"/>
          <w:highlight w:val="yellow"/>
        </w:rPr>
      </w:pPr>
    </w:p>
    <w:p w14:paraId="00A34CA2" w14:textId="13BF8A31" w:rsidR="009B384A" w:rsidRDefault="009B384A" w:rsidP="00F94B59">
      <w:pPr>
        <w:pStyle w:val="ListParagraph"/>
        <w:tabs>
          <w:tab w:val="left" w:pos="90"/>
          <w:tab w:val="left" w:pos="1440"/>
        </w:tabs>
        <w:jc w:val="both"/>
        <w:rPr>
          <w:rFonts w:cs="Times New Roman"/>
          <w:color w:val="4C4747"/>
          <w:szCs w:val="24"/>
          <w:highlight w:val="yellow"/>
        </w:rPr>
      </w:pPr>
    </w:p>
    <w:p w14:paraId="36253B24" w14:textId="4D5AA20A" w:rsidR="009B384A" w:rsidRDefault="009B384A" w:rsidP="00F94B59">
      <w:pPr>
        <w:pStyle w:val="ListParagraph"/>
        <w:tabs>
          <w:tab w:val="left" w:pos="90"/>
          <w:tab w:val="left" w:pos="1440"/>
        </w:tabs>
        <w:jc w:val="both"/>
        <w:rPr>
          <w:rFonts w:cs="Times New Roman"/>
          <w:color w:val="4C4747"/>
          <w:szCs w:val="24"/>
          <w:highlight w:val="yellow"/>
        </w:rPr>
      </w:pPr>
    </w:p>
    <w:p w14:paraId="29074695" w14:textId="172B79A7" w:rsidR="009B384A" w:rsidRDefault="009B384A" w:rsidP="00F94B59">
      <w:pPr>
        <w:pStyle w:val="ListParagraph"/>
        <w:tabs>
          <w:tab w:val="left" w:pos="90"/>
          <w:tab w:val="left" w:pos="1440"/>
        </w:tabs>
        <w:jc w:val="both"/>
        <w:rPr>
          <w:rFonts w:cs="Times New Roman"/>
          <w:color w:val="4C4747"/>
          <w:szCs w:val="24"/>
          <w:highlight w:val="yellow"/>
        </w:rPr>
      </w:pPr>
    </w:p>
    <w:p w14:paraId="79E6C5FE" w14:textId="2546A8AC" w:rsidR="009B384A" w:rsidRDefault="009B384A" w:rsidP="00F94B59">
      <w:pPr>
        <w:pStyle w:val="ListParagraph"/>
        <w:tabs>
          <w:tab w:val="left" w:pos="90"/>
          <w:tab w:val="left" w:pos="1440"/>
        </w:tabs>
        <w:jc w:val="both"/>
        <w:rPr>
          <w:rFonts w:cs="Times New Roman"/>
          <w:color w:val="4C4747"/>
          <w:szCs w:val="24"/>
          <w:highlight w:val="yellow"/>
        </w:rPr>
      </w:pPr>
    </w:p>
    <w:p w14:paraId="22C18AA7" w14:textId="75F0FD09" w:rsidR="009B384A" w:rsidRDefault="009B384A" w:rsidP="00F94B59">
      <w:pPr>
        <w:pStyle w:val="ListParagraph"/>
        <w:tabs>
          <w:tab w:val="left" w:pos="90"/>
          <w:tab w:val="left" w:pos="1440"/>
        </w:tabs>
        <w:jc w:val="both"/>
        <w:rPr>
          <w:rFonts w:cs="Times New Roman"/>
          <w:color w:val="4C4747"/>
          <w:szCs w:val="24"/>
          <w:highlight w:val="yellow"/>
        </w:rPr>
      </w:pPr>
    </w:p>
    <w:p w14:paraId="39283057" w14:textId="55D34D00" w:rsidR="009B384A" w:rsidRDefault="009B384A" w:rsidP="00F94B59">
      <w:pPr>
        <w:pStyle w:val="ListParagraph"/>
        <w:tabs>
          <w:tab w:val="left" w:pos="90"/>
          <w:tab w:val="left" w:pos="1440"/>
        </w:tabs>
        <w:jc w:val="both"/>
        <w:rPr>
          <w:rFonts w:cs="Times New Roman"/>
          <w:color w:val="4C4747"/>
          <w:szCs w:val="24"/>
          <w:highlight w:val="yellow"/>
        </w:rPr>
      </w:pPr>
    </w:p>
    <w:p w14:paraId="263DD936" w14:textId="2DC2A8C9" w:rsidR="009B384A" w:rsidRDefault="009B384A" w:rsidP="00F94B59">
      <w:pPr>
        <w:pStyle w:val="ListParagraph"/>
        <w:tabs>
          <w:tab w:val="left" w:pos="90"/>
          <w:tab w:val="left" w:pos="1440"/>
        </w:tabs>
        <w:jc w:val="both"/>
        <w:rPr>
          <w:rFonts w:cs="Times New Roman"/>
          <w:color w:val="4C4747"/>
          <w:szCs w:val="24"/>
          <w:highlight w:val="yellow"/>
        </w:rPr>
      </w:pPr>
    </w:p>
    <w:p w14:paraId="1FD1FB64" w14:textId="6F0C1112" w:rsidR="009B384A" w:rsidRDefault="009B384A" w:rsidP="00F94B59">
      <w:pPr>
        <w:pStyle w:val="ListParagraph"/>
        <w:tabs>
          <w:tab w:val="left" w:pos="90"/>
          <w:tab w:val="left" w:pos="1440"/>
        </w:tabs>
        <w:jc w:val="both"/>
        <w:rPr>
          <w:rFonts w:cs="Times New Roman"/>
          <w:color w:val="4C4747"/>
          <w:szCs w:val="24"/>
          <w:highlight w:val="yellow"/>
        </w:rPr>
      </w:pPr>
    </w:p>
    <w:p w14:paraId="3CF7E570" w14:textId="4383AB10" w:rsidR="009B384A" w:rsidRDefault="009B384A" w:rsidP="00F94B59">
      <w:pPr>
        <w:pStyle w:val="ListParagraph"/>
        <w:tabs>
          <w:tab w:val="left" w:pos="90"/>
          <w:tab w:val="left" w:pos="1440"/>
        </w:tabs>
        <w:jc w:val="both"/>
        <w:rPr>
          <w:rFonts w:cs="Times New Roman"/>
          <w:color w:val="4C4747"/>
          <w:szCs w:val="24"/>
          <w:highlight w:val="yellow"/>
        </w:rPr>
      </w:pPr>
    </w:p>
    <w:p w14:paraId="2D46542A" w14:textId="7E179071" w:rsidR="009B384A" w:rsidRDefault="009B384A" w:rsidP="00F94B59">
      <w:pPr>
        <w:pStyle w:val="ListParagraph"/>
        <w:tabs>
          <w:tab w:val="left" w:pos="90"/>
          <w:tab w:val="left" w:pos="1440"/>
        </w:tabs>
        <w:jc w:val="both"/>
        <w:rPr>
          <w:rFonts w:cs="Times New Roman"/>
          <w:color w:val="4C4747"/>
          <w:szCs w:val="24"/>
          <w:highlight w:val="yellow"/>
        </w:rPr>
      </w:pPr>
    </w:p>
    <w:p w14:paraId="690D404D" w14:textId="77777777" w:rsidR="009B384A" w:rsidRPr="00CF5E9F" w:rsidRDefault="009B384A" w:rsidP="00F94B59">
      <w:pPr>
        <w:pStyle w:val="ListParagraph"/>
        <w:tabs>
          <w:tab w:val="left" w:pos="90"/>
          <w:tab w:val="left" w:pos="1440"/>
        </w:tabs>
        <w:jc w:val="both"/>
        <w:rPr>
          <w:rFonts w:cs="Times New Roman"/>
          <w:color w:val="4C4747"/>
          <w:szCs w:val="24"/>
          <w:highlight w:val="yellow"/>
        </w:rPr>
      </w:pPr>
    </w:p>
    <w:p w14:paraId="3EDEA950" w14:textId="28C70DAD" w:rsidR="009B384A" w:rsidRPr="009B384A" w:rsidRDefault="009B384A" w:rsidP="009B384A">
      <w:pPr>
        <w:rPr>
          <w:rFonts w:ascii="Times New Roman" w:hAnsi="Times New Roman" w:cs="Times New Roman"/>
          <w:color w:val="595959" w:themeColor="text1" w:themeTint="A6"/>
          <w:sz w:val="24"/>
          <w:szCs w:val="24"/>
        </w:rPr>
      </w:pPr>
    </w:p>
    <w:p w14:paraId="25DDD535" w14:textId="0D500D65" w:rsidR="009B384A" w:rsidRPr="009B384A" w:rsidRDefault="009B384A" w:rsidP="009B384A">
      <w:pPr>
        <w:pStyle w:val="Heading1"/>
        <w:jc w:val="center"/>
        <w:rPr>
          <w:rFonts w:ascii="Times New Roman" w:hAnsi="Times New Roman"/>
          <w:b/>
          <w:bCs/>
          <w:color w:val="4C4747"/>
          <w:spacing w:val="20"/>
          <w:sz w:val="28"/>
        </w:rPr>
      </w:pPr>
      <w:bookmarkStart w:id="51" w:name="_Toc155259681"/>
      <w:r w:rsidRPr="009B384A">
        <w:rPr>
          <w:rFonts w:ascii="Times New Roman" w:hAnsi="Times New Roman"/>
          <w:b/>
          <w:bCs/>
          <w:color w:val="4C4747"/>
          <w:spacing w:val="20"/>
          <w:sz w:val="28"/>
        </w:rPr>
        <w:lastRenderedPageBreak/>
        <w:t>VI. PROYECCIONES</w:t>
      </w:r>
      <w:bookmarkEnd w:id="51"/>
    </w:p>
    <w:p w14:paraId="216E823B" w14:textId="4423BE06" w:rsidR="009B384A" w:rsidRDefault="009B384A" w:rsidP="009B384A">
      <w:pPr>
        <w:tabs>
          <w:tab w:val="left" w:pos="6511"/>
        </w:tabs>
        <w:rPr>
          <w:rFonts w:ascii="Times New Roman" w:hAnsi="Times New Roman"/>
          <w:color w:val="4C4747"/>
          <w:spacing w:val="20"/>
          <w:sz w:val="24"/>
          <w:szCs w:val="24"/>
        </w:rPr>
      </w:pPr>
      <w:r w:rsidRPr="00EB6B48">
        <w:rPr>
          <w:rFonts w:ascii="Times New Roman" w:hAnsi="Times New Roman"/>
          <w:b/>
          <w:bCs/>
          <w:noProof/>
          <w:color w:val="767171"/>
          <w:spacing w:val="20"/>
          <w:sz w:val="28"/>
        </w:rPr>
        <mc:AlternateContent>
          <mc:Choice Requires="wps">
            <w:drawing>
              <wp:anchor distT="0" distB="0" distL="114300" distR="114300" simplePos="0" relativeHeight="251765760" behindDoc="0" locked="0" layoutInCell="1" allowOverlap="1" wp14:anchorId="5DE1E22B" wp14:editId="454CAA7B">
                <wp:simplePos x="0" y="0"/>
                <wp:positionH relativeFrom="margin">
                  <wp:posOffset>2210710</wp:posOffset>
                </wp:positionH>
                <wp:positionV relativeFrom="paragraph">
                  <wp:posOffset>118110</wp:posOffset>
                </wp:positionV>
                <wp:extent cx="539750" cy="0"/>
                <wp:effectExtent l="0" t="19050" r="31750" b="19050"/>
                <wp:wrapThrough wrapText="bothSides">
                  <wp:wrapPolygon edited="0">
                    <wp:start x="0" y="-1"/>
                    <wp:lineTo x="0" y="-1"/>
                    <wp:lineTo x="22108" y="-1"/>
                    <wp:lineTo x="22108" y="-1"/>
                    <wp:lineTo x="0" y="-1"/>
                  </wp:wrapPolygon>
                </wp:wrapThrough>
                <wp:docPr id="9"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EC62C6" id="Conector recto 9" o:spid="_x0000_s1026" style="position:absolute;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4.05pt,9.3pt" to="216.5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" strokecolor="red" strokeweight="2.5pt">
                <v:stroke joinstyle="miter"/>
                <w10:wrap type="through" anchorx="margin"/>
              </v:line>
            </w:pict>
          </mc:Fallback>
        </mc:AlternateContent>
      </w:r>
    </w:p>
    <w:p w14:paraId="5A359870" w14:textId="7BCFD42F" w:rsidR="009B384A" w:rsidRDefault="009B384A" w:rsidP="009B384A">
      <w:pPr>
        <w:tabs>
          <w:tab w:val="left" w:pos="6511"/>
        </w:tabs>
        <w:rPr>
          <w:rFonts w:ascii="Times New Roman" w:hAnsi="Times New Roman"/>
          <w:b/>
          <w:bCs/>
          <w:color w:val="767171"/>
          <w:spacing w:val="20"/>
          <w:sz w:val="28"/>
        </w:rPr>
      </w:pPr>
      <w:r>
        <w:rPr>
          <w:rFonts w:ascii="Times New Roman" w:hAnsi="Times New Roman"/>
          <w:color w:val="4C4747"/>
          <w:spacing w:val="20"/>
          <w:sz w:val="24"/>
          <w:szCs w:val="24"/>
        </w:rPr>
        <w:t xml:space="preserve">                                </w:t>
      </w:r>
      <w:r w:rsidRPr="009B384A">
        <w:rPr>
          <w:rFonts w:ascii="Times New Roman" w:hAnsi="Times New Roman"/>
          <w:color w:val="4C4747"/>
          <w:spacing w:val="20"/>
          <w:sz w:val="24"/>
          <w:szCs w:val="24"/>
        </w:rPr>
        <w:t>Memoria institucional 2023</w:t>
      </w:r>
    </w:p>
    <w:p w14:paraId="2B569B06" w14:textId="0B7E48A5" w:rsidR="009B384A" w:rsidRPr="009B384A" w:rsidRDefault="009B384A" w:rsidP="009B384A">
      <w:pPr>
        <w:spacing w:line="360" w:lineRule="auto"/>
        <w:jc w:val="both"/>
        <w:rPr>
          <w:rFonts w:ascii="Times New Roman" w:eastAsia="Calibri" w:hAnsi="Times New Roman" w:cs="Times New Roman"/>
          <w:color w:val="4C4747"/>
          <w:sz w:val="24"/>
          <w:szCs w:val="24"/>
          <w:lang w:val="es-CR"/>
        </w:rPr>
      </w:pPr>
      <w:r w:rsidRPr="009B384A">
        <w:rPr>
          <w:rFonts w:ascii="Times New Roman" w:eastAsia="Calibri" w:hAnsi="Times New Roman" w:cs="Times New Roman"/>
          <w:color w:val="4C4747"/>
          <w:sz w:val="24"/>
          <w:szCs w:val="24"/>
          <w:lang w:val="es-CR"/>
        </w:rPr>
        <w:t>Banco Central de la República Dominicana (BCRD), mantienen su tasa de interés de política monetaria (TPM) en 7.00 % anual. Asimismo, la tasa de la facilidad permanente de expansión de liquidez (Repos a 1 día) se mantiene en 7.50 % anual y la tasa de depósitos remunerados (Overnight) continúa en 5.50 % anual.</w:t>
      </w:r>
    </w:p>
    <w:p w14:paraId="1EED46AA" w14:textId="3F2B7B4B" w:rsidR="009B384A" w:rsidRPr="009B384A" w:rsidRDefault="009B384A" w:rsidP="009B384A">
      <w:pPr>
        <w:spacing w:line="360" w:lineRule="auto"/>
        <w:jc w:val="both"/>
        <w:rPr>
          <w:rFonts w:ascii="Times New Roman" w:eastAsia="Calibri" w:hAnsi="Times New Roman" w:cs="Times New Roman"/>
          <w:color w:val="4C4747"/>
          <w:sz w:val="24"/>
          <w:szCs w:val="24"/>
          <w:lang w:val="es-CR"/>
        </w:rPr>
      </w:pPr>
      <w:r w:rsidRPr="009B384A">
        <w:rPr>
          <w:rFonts w:ascii="Times New Roman" w:eastAsia="Calibri" w:hAnsi="Times New Roman" w:cs="Times New Roman"/>
          <w:color w:val="4C4747"/>
          <w:sz w:val="24"/>
          <w:szCs w:val="24"/>
          <w:lang w:val="es-CR"/>
        </w:rPr>
        <w:t>En este contexto de bajas presiones inflacionarias, el Banco Central ha reducido su TPM en 150 puntos básicos de forma acumulada desde su reunión del mes de mayo. Estas medidas se han complementado con un programa de provisión de liquidez, que ha permitido la canalización de más de RD$170 mil millones a través de los intermediarios financieros, para facilitar préstamos a los sectores productivos y los hogares a tasas de interés de hasta 9 % anual. Estas medidas han contribuido a acelerar el mecanismo de transmisión de la política monetaria, dinamizando el crédito y facilitando la reactivación económica.</w:t>
      </w:r>
    </w:p>
    <w:p w14:paraId="06B589A8" w14:textId="0225C57D" w:rsidR="009B384A" w:rsidRPr="009B384A" w:rsidRDefault="009B384A" w:rsidP="009B384A">
      <w:pPr>
        <w:spacing w:line="360" w:lineRule="auto"/>
        <w:jc w:val="both"/>
        <w:rPr>
          <w:rFonts w:ascii="Times New Roman" w:eastAsia="Calibri" w:hAnsi="Times New Roman" w:cs="Times New Roman"/>
          <w:color w:val="4C4747"/>
          <w:sz w:val="24"/>
          <w:szCs w:val="24"/>
          <w:lang w:val="es-CR"/>
        </w:rPr>
      </w:pPr>
      <w:r w:rsidRPr="009B384A">
        <w:rPr>
          <w:rFonts w:ascii="Times New Roman" w:eastAsia="Calibri" w:hAnsi="Times New Roman" w:cs="Times New Roman"/>
          <w:color w:val="4C4747"/>
          <w:sz w:val="24"/>
          <w:szCs w:val="24"/>
          <w:lang w:val="es-CR"/>
        </w:rPr>
        <w:t>Hacia adelante, los modelos de pronósticos señalan que la inflación general y la subyacente continuarían dentro del rango meta de 4.0 % ± 1.0 % en el año 2024, en un escenario activo de política monetaria. En ese sentido, el Banco Central se mantendrá dando seguimiento al contexto macroeconómico, especialmente a la flexibilización prevista de las condiciones financieras internacionales, lo que otorgaría mayores espacios para continuar normalizando su postura de política monetaria.</w:t>
      </w:r>
    </w:p>
    <w:p w14:paraId="7E160CB2" w14:textId="341E5E28" w:rsidR="009B384A" w:rsidRPr="009B384A" w:rsidRDefault="009B384A" w:rsidP="009B384A">
      <w:pPr>
        <w:spacing w:line="360" w:lineRule="auto"/>
        <w:jc w:val="both"/>
        <w:rPr>
          <w:rFonts w:ascii="Times New Roman" w:eastAsia="Calibri" w:hAnsi="Times New Roman" w:cs="Times New Roman"/>
          <w:color w:val="4C4747"/>
          <w:sz w:val="24"/>
          <w:szCs w:val="24"/>
          <w:lang w:val="es-CR"/>
        </w:rPr>
      </w:pPr>
      <w:r w:rsidRPr="009B384A">
        <w:rPr>
          <w:rFonts w:ascii="Times New Roman" w:eastAsia="Calibri" w:hAnsi="Times New Roman" w:cs="Times New Roman"/>
          <w:color w:val="4C4747"/>
          <w:sz w:val="24"/>
          <w:szCs w:val="24"/>
          <w:lang w:val="es-CR"/>
        </w:rPr>
        <w:t>En Estados Unidos de América (EUA) la actividad económica ha sido más resiliente de lo previsto, mientras la inflación continúa reduciéndose, al pasar de un máximo de 9.1 % en junio de 2022 a 3.1 % en noviembre de 2023, aunque sigue siendo superior a su objetivo de 2.0%. Ante este escenario, la Reserva Federal (Fed) mantuvo la tasa de fondos federales sin cambios en diciembre de 2023 y proyecta reducciones durante el año 2024.</w:t>
      </w:r>
    </w:p>
    <w:p w14:paraId="0C0EF336" w14:textId="64DF9A17" w:rsidR="009B384A" w:rsidRPr="009B384A" w:rsidRDefault="009B384A" w:rsidP="009B384A">
      <w:pPr>
        <w:spacing w:line="360" w:lineRule="auto"/>
        <w:jc w:val="both"/>
        <w:rPr>
          <w:rFonts w:ascii="Times New Roman" w:eastAsia="Calibri" w:hAnsi="Times New Roman" w:cs="Times New Roman"/>
          <w:color w:val="4C4747"/>
          <w:sz w:val="24"/>
          <w:szCs w:val="24"/>
          <w:lang w:val="es-CR"/>
        </w:rPr>
      </w:pPr>
      <w:r w:rsidRPr="009B384A">
        <w:rPr>
          <w:rFonts w:ascii="Times New Roman" w:eastAsia="Calibri" w:hAnsi="Times New Roman" w:cs="Times New Roman"/>
          <w:color w:val="4C4747"/>
          <w:sz w:val="24"/>
          <w:szCs w:val="24"/>
          <w:lang w:val="es-CR"/>
        </w:rPr>
        <w:lastRenderedPageBreak/>
        <w:t xml:space="preserve">En lo adelante, se espera que el estímulo monetario y la mayor inversión pública sigan contribuyendo a dinamizar la actividad económica hacia su crecimiento potencial de 5 % en el año 2024, que sería una de las expansiones más altas de AL según organismos internacionales como el Fondo Monetario Internacional (FMI) y </w:t>
      </w:r>
      <w:proofErr w:type="spellStart"/>
      <w:r w:rsidRPr="009B384A">
        <w:rPr>
          <w:rFonts w:ascii="Times New Roman" w:eastAsia="Calibri" w:hAnsi="Times New Roman" w:cs="Times New Roman"/>
          <w:color w:val="4C4747"/>
          <w:sz w:val="24"/>
          <w:szCs w:val="24"/>
          <w:lang w:val="es-CR"/>
        </w:rPr>
        <w:t>Consensus</w:t>
      </w:r>
      <w:proofErr w:type="spellEnd"/>
      <w:r w:rsidRPr="009B384A">
        <w:rPr>
          <w:rFonts w:ascii="Times New Roman" w:eastAsia="Calibri" w:hAnsi="Times New Roman" w:cs="Times New Roman"/>
          <w:color w:val="4C4747"/>
          <w:sz w:val="24"/>
          <w:szCs w:val="24"/>
          <w:lang w:val="es-CR"/>
        </w:rPr>
        <w:t xml:space="preserve"> </w:t>
      </w:r>
      <w:proofErr w:type="spellStart"/>
      <w:r w:rsidRPr="009B384A">
        <w:rPr>
          <w:rFonts w:ascii="Times New Roman" w:eastAsia="Calibri" w:hAnsi="Times New Roman" w:cs="Times New Roman"/>
          <w:color w:val="4C4747"/>
          <w:sz w:val="24"/>
          <w:szCs w:val="24"/>
          <w:lang w:val="es-CR"/>
        </w:rPr>
        <w:t>Forecast</w:t>
      </w:r>
      <w:proofErr w:type="spellEnd"/>
      <w:r w:rsidRPr="009B384A">
        <w:rPr>
          <w:rFonts w:ascii="Times New Roman" w:eastAsia="Calibri" w:hAnsi="Times New Roman" w:cs="Times New Roman"/>
          <w:color w:val="4C4747"/>
          <w:sz w:val="24"/>
          <w:szCs w:val="24"/>
          <w:lang w:val="es-CR"/>
        </w:rPr>
        <w:t>.</w:t>
      </w:r>
    </w:p>
    <w:p w14:paraId="7127544C" w14:textId="70C847B8" w:rsidR="009B384A" w:rsidRPr="009B384A" w:rsidRDefault="009B384A" w:rsidP="009B384A">
      <w:pPr>
        <w:spacing w:line="360" w:lineRule="auto"/>
        <w:jc w:val="both"/>
        <w:rPr>
          <w:rFonts w:ascii="Times New Roman" w:eastAsia="Calibri" w:hAnsi="Times New Roman" w:cs="Times New Roman"/>
          <w:color w:val="4C4747"/>
          <w:sz w:val="24"/>
          <w:szCs w:val="24"/>
          <w:lang w:val="es-CR"/>
        </w:rPr>
      </w:pPr>
      <w:r w:rsidRPr="009B384A">
        <w:rPr>
          <w:rFonts w:ascii="Times New Roman" w:eastAsia="Calibri" w:hAnsi="Times New Roman" w:cs="Times New Roman"/>
          <w:color w:val="4C4747"/>
          <w:sz w:val="24"/>
          <w:szCs w:val="24"/>
          <w:lang w:val="es-CR"/>
        </w:rPr>
        <w:t>Es importante resaltar que la economía dominicana se encuentra en una buena posición para continuar enfrentando el desafiante panorama, tomando en cuenta la fortaleza de sus fundamentos macroeconómicos y la resiliencia de los sectores productivos. El Banco Central de la República Dominicana seguirá monitoreando la evolución macroeconómica, tanto externa como nacional, con el objetivo de continuar adoptando oportunamente las medidas necesarias que preserven la estabilidad macroeconómica y contribuyan a que la inflación se mantenga dentro del rango meta.</w:t>
      </w:r>
    </w:p>
    <w:p w14:paraId="122F7034" w14:textId="77777777" w:rsidR="009B384A" w:rsidRDefault="009B384A" w:rsidP="00EC6B6D">
      <w:pPr>
        <w:pStyle w:val="Heading1"/>
        <w:rPr>
          <w:rFonts w:ascii="Times New Roman" w:hAnsi="Times New Roman"/>
          <w:b/>
          <w:bCs/>
          <w:color w:val="767171"/>
          <w:spacing w:val="20"/>
          <w:sz w:val="28"/>
        </w:rPr>
      </w:pPr>
    </w:p>
    <w:p w14:paraId="5AE48A29" w14:textId="77777777" w:rsidR="009B384A" w:rsidRDefault="009B384A" w:rsidP="00EC6B6D">
      <w:pPr>
        <w:pStyle w:val="Heading1"/>
        <w:rPr>
          <w:rFonts w:ascii="Times New Roman" w:hAnsi="Times New Roman"/>
          <w:b/>
          <w:bCs/>
          <w:color w:val="767171"/>
          <w:spacing w:val="20"/>
          <w:sz w:val="28"/>
        </w:rPr>
      </w:pPr>
    </w:p>
    <w:p w14:paraId="53E13241" w14:textId="77777777" w:rsidR="009B384A" w:rsidRDefault="009B384A" w:rsidP="00EC6B6D">
      <w:pPr>
        <w:pStyle w:val="Heading1"/>
        <w:rPr>
          <w:rFonts w:ascii="Times New Roman" w:hAnsi="Times New Roman"/>
          <w:b/>
          <w:bCs/>
          <w:color w:val="767171"/>
          <w:spacing w:val="20"/>
          <w:sz w:val="28"/>
        </w:rPr>
      </w:pPr>
    </w:p>
    <w:p w14:paraId="3C5FA3CF" w14:textId="77777777" w:rsidR="009B384A" w:rsidRDefault="009B384A" w:rsidP="00EC6B6D">
      <w:pPr>
        <w:pStyle w:val="Heading1"/>
        <w:rPr>
          <w:rFonts w:ascii="Times New Roman" w:hAnsi="Times New Roman"/>
          <w:b/>
          <w:bCs/>
          <w:color w:val="767171"/>
          <w:spacing w:val="20"/>
          <w:sz w:val="28"/>
        </w:rPr>
      </w:pPr>
    </w:p>
    <w:p w14:paraId="1A41B4E5" w14:textId="77777777" w:rsidR="009B384A" w:rsidRDefault="009B384A" w:rsidP="00EC6B6D">
      <w:pPr>
        <w:pStyle w:val="Heading1"/>
        <w:rPr>
          <w:rFonts w:ascii="Times New Roman" w:hAnsi="Times New Roman"/>
          <w:b/>
          <w:bCs/>
          <w:color w:val="767171"/>
          <w:spacing w:val="20"/>
          <w:sz w:val="28"/>
        </w:rPr>
      </w:pPr>
    </w:p>
    <w:p w14:paraId="640D7A1B" w14:textId="77777777" w:rsidR="009B384A" w:rsidRDefault="009B384A" w:rsidP="00EC6B6D">
      <w:pPr>
        <w:pStyle w:val="Heading1"/>
        <w:rPr>
          <w:rFonts w:ascii="Times New Roman" w:hAnsi="Times New Roman"/>
          <w:b/>
          <w:bCs/>
          <w:color w:val="767171"/>
          <w:spacing w:val="20"/>
          <w:sz w:val="28"/>
        </w:rPr>
      </w:pPr>
    </w:p>
    <w:p w14:paraId="7DC7A09D" w14:textId="77777777" w:rsidR="009B384A" w:rsidRDefault="009B384A" w:rsidP="00EC6B6D">
      <w:pPr>
        <w:pStyle w:val="Heading1"/>
        <w:rPr>
          <w:rFonts w:ascii="Times New Roman" w:hAnsi="Times New Roman"/>
          <w:b/>
          <w:bCs/>
          <w:color w:val="767171"/>
          <w:spacing w:val="20"/>
          <w:sz w:val="28"/>
        </w:rPr>
      </w:pPr>
    </w:p>
    <w:p w14:paraId="67165756" w14:textId="77777777" w:rsidR="009B384A" w:rsidRDefault="009B384A" w:rsidP="00EC6B6D">
      <w:pPr>
        <w:pStyle w:val="Heading1"/>
        <w:rPr>
          <w:rFonts w:ascii="Times New Roman" w:hAnsi="Times New Roman"/>
          <w:b/>
          <w:bCs/>
          <w:color w:val="767171"/>
          <w:spacing w:val="20"/>
          <w:sz w:val="28"/>
        </w:rPr>
      </w:pPr>
    </w:p>
    <w:p w14:paraId="22532E35" w14:textId="1F1D15BB" w:rsidR="009B384A" w:rsidRDefault="009B384A" w:rsidP="00EC6B6D">
      <w:pPr>
        <w:pStyle w:val="Heading1"/>
        <w:rPr>
          <w:rFonts w:ascii="Times New Roman" w:hAnsi="Times New Roman"/>
          <w:b/>
          <w:bCs/>
          <w:color w:val="767171"/>
          <w:spacing w:val="20"/>
          <w:sz w:val="28"/>
        </w:rPr>
      </w:pPr>
    </w:p>
    <w:p w14:paraId="39D7722A" w14:textId="194376D3" w:rsidR="009B384A" w:rsidRDefault="009B384A" w:rsidP="009B384A"/>
    <w:p w14:paraId="4C322DA8" w14:textId="77777777" w:rsidR="009B384A" w:rsidRPr="009B384A" w:rsidRDefault="009B384A" w:rsidP="009B384A"/>
    <w:p w14:paraId="7CF136C0" w14:textId="77777777" w:rsidR="00B94442" w:rsidRDefault="009B384A" w:rsidP="009B4BC3">
      <w:pPr>
        <w:pStyle w:val="Heading1"/>
        <w:rPr>
          <w:rFonts w:ascii="Times New Roman" w:hAnsi="Times New Roman"/>
          <w:b/>
          <w:bCs/>
          <w:color w:val="767171"/>
          <w:spacing w:val="20"/>
          <w:sz w:val="28"/>
        </w:rPr>
      </w:pPr>
      <w:r>
        <w:rPr>
          <w:rFonts w:ascii="Times New Roman" w:hAnsi="Times New Roman"/>
          <w:b/>
          <w:bCs/>
          <w:color w:val="767171"/>
          <w:spacing w:val="20"/>
          <w:sz w:val="28"/>
        </w:rPr>
        <w:lastRenderedPageBreak/>
        <w:t xml:space="preserve">                               </w:t>
      </w:r>
      <w:r w:rsidR="0013656E">
        <w:rPr>
          <w:rFonts w:ascii="Times New Roman" w:hAnsi="Times New Roman"/>
          <w:b/>
          <w:bCs/>
          <w:color w:val="767171"/>
          <w:spacing w:val="20"/>
          <w:sz w:val="28"/>
        </w:rPr>
        <w:t xml:space="preserve"> </w:t>
      </w:r>
      <w:bookmarkStart w:id="52" w:name="_Toc155259682"/>
      <w:r w:rsidR="008F2149" w:rsidRPr="00B94442">
        <w:rPr>
          <w:rFonts w:ascii="Times New Roman" w:hAnsi="Times New Roman"/>
          <w:b/>
          <w:bCs/>
          <w:color w:val="4C4747"/>
          <w:spacing w:val="20"/>
          <w:sz w:val="28"/>
        </w:rPr>
        <w:t>VII.ANEXOS</w:t>
      </w:r>
      <w:bookmarkEnd w:id="52"/>
      <w:r w:rsidR="008F2149">
        <w:rPr>
          <w:rFonts w:ascii="Times New Roman" w:hAnsi="Times New Roman"/>
          <w:b/>
          <w:bCs/>
          <w:color w:val="767171"/>
          <w:spacing w:val="20"/>
          <w:sz w:val="28"/>
        </w:rPr>
        <w:tab/>
      </w:r>
    </w:p>
    <w:bookmarkStart w:id="53" w:name="_Toc155259683"/>
    <w:p w14:paraId="62FCDCF5" w14:textId="358CFDCB" w:rsidR="006763D9" w:rsidRDefault="008F2149" w:rsidP="00B94442">
      <w:pPr>
        <w:pStyle w:val="Heading1"/>
        <w:rPr>
          <w:rFonts w:ascii="Times New Roman" w:hAnsi="Times New Roman"/>
          <w:b/>
          <w:bCs/>
          <w:color w:val="767171"/>
          <w:spacing w:val="20"/>
          <w:sz w:val="28"/>
        </w:rPr>
      </w:pPr>
      <w:r w:rsidRPr="00EB6B48">
        <w:rPr>
          <w:rFonts w:ascii="Times New Roman" w:hAnsi="Times New Roman"/>
          <w:b/>
          <w:bCs/>
          <w:noProof/>
          <w:color w:val="767171"/>
          <w:spacing w:val="20"/>
          <w:sz w:val="28"/>
        </w:rPr>
        <mc:AlternateContent>
          <mc:Choice Requires="wps">
            <w:drawing>
              <wp:anchor distT="0" distB="0" distL="114300" distR="114300" simplePos="0" relativeHeight="251702272" behindDoc="0" locked="0" layoutInCell="1" allowOverlap="1" wp14:anchorId="59B55BC8" wp14:editId="00C4D434">
                <wp:simplePos x="0" y="0"/>
                <wp:positionH relativeFrom="margin">
                  <wp:posOffset>2126975</wp:posOffset>
                </wp:positionH>
                <wp:positionV relativeFrom="paragraph">
                  <wp:posOffset>24130</wp:posOffset>
                </wp:positionV>
                <wp:extent cx="539750" cy="0"/>
                <wp:effectExtent l="0" t="19050" r="31750" b="19050"/>
                <wp:wrapThrough wrapText="bothSides">
                  <wp:wrapPolygon edited="0">
                    <wp:start x="0" y="-1"/>
                    <wp:lineTo x="0" y="-1"/>
                    <wp:lineTo x="22108" y="-1"/>
                    <wp:lineTo x="22108" y="-1"/>
                    <wp:lineTo x="0" y="-1"/>
                  </wp:wrapPolygon>
                </wp:wrapThrough>
                <wp:docPr id="44"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1A30C7" id="Conector recto 9"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7.5pt,1.9pt" to="210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" strokecolor="red" strokeweight="2.5pt">
                <v:stroke joinstyle="miter"/>
                <w10:wrap type="through" anchorx="margin"/>
              </v:line>
            </w:pict>
          </mc:Fallback>
        </mc:AlternateContent>
      </w:r>
      <w:bookmarkEnd w:id="53"/>
    </w:p>
    <w:p w14:paraId="244E4E25" w14:textId="247A23DE" w:rsidR="008F2149" w:rsidRPr="00B94442" w:rsidRDefault="006763D9" w:rsidP="006763D9">
      <w:pPr>
        <w:tabs>
          <w:tab w:val="left" w:pos="6511"/>
        </w:tabs>
        <w:rPr>
          <w:rFonts w:ascii="Times New Roman" w:hAnsi="Times New Roman"/>
          <w:b/>
          <w:bCs/>
          <w:color w:val="4C4747"/>
          <w:spacing w:val="20"/>
          <w:sz w:val="28"/>
        </w:rPr>
      </w:pPr>
      <w:r>
        <w:rPr>
          <w:rFonts w:ascii="Times New Roman" w:hAnsi="Times New Roman"/>
          <w:color w:val="4C4747"/>
          <w:spacing w:val="20"/>
          <w:sz w:val="24"/>
          <w:szCs w:val="24"/>
        </w:rPr>
        <w:t xml:space="preserve">                             </w:t>
      </w:r>
      <w:bookmarkStart w:id="54" w:name="_Hlk155259110"/>
      <w:r w:rsidR="008F2149" w:rsidRPr="00B94442">
        <w:rPr>
          <w:rFonts w:ascii="Times New Roman" w:hAnsi="Times New Roman"/>
          <w:color w:val="4C4747"/>
          <w:spacing w:val="20"/>
          <w:sz w:val="24"/>
          <w:szCs w:val="24"/>
        </w:rPr>
        <w:t>Memoria institucional 202</w:t>
      </w:r>
      <w:r w:rsidR="00C95BA5" w:rsidRPr="00B94442">
        <w:rPr>
          <w:rFonts w:ascii="Times New Roman" w:hAnsi="Times New Roman"/>
          <w:color w:val="4C4747"/>
          <w:spacing w:val="20"/>
          <w:sz w:val="24"/>
          <w:szCs w:val="24"/>
        </w:rPr>
        <w:t>3</w:t>
      </w:r>
      <w:bookmarkEnd w:id="54"/>
    </w:p>
    <w:p w14:paraId="08F7D988" w14:textId="58464E6C" w:rsidR="008F2149" w:rsidRDefault="008F2149" w:rsidP="00EB6B48">
      <w:pPr>
        <w:jc w:val="center"/>
        <w:rPr>
          <w:rFonts w:ascii="Times New Roman" w:hAnsi="Times New Roman"/>
          <w:b/>
          <w:bCs/>
          <w:color w:val="767171"/>
          <w:spacing w:val="20"/>
          <w:sz w:val="28"/>
        </w:rPr>
      </w:pPr>
    </w:p>
    <w:p w14:paraId="6BA49A26" w14:textId="3E812397" w:rsidR="005B272F" w:rsidRPr="00582715" w:rsidRDefault="006763D9" w:rsidP="00D00226">
      <w:pPr>
        <w:pStyle w:val="Heading2"/>
        <w:rPr>
          <w:rFonts w:ascii="Times New Roman" w:hAnsi="Times New Roman" w:cs="Times New Roman"/>
          <w:b/>
          <w:color w:val="4C4747"/>
          <w:sz w:val="24"/>
          <w:szCs w:val="24"/>
        </w:rPr>
      </w:pPr>
      <w:bookmarkStart w:id="55" w:name="_Toc155259684"/>
      <w:r w:rsidRPr="00582715">
        <w:rPr>
          <w:b/>
          <w:noProof/>
        </w:rPr>
        <w:drawing>
          <wp:anchor distT="0" distB="0" distL="114300" distR="114300" simplePos="0" relativeHeight="251755520" behindDoc="0" locked="0" layoutInCell="1" allowOverlap="1" wp14:anchorId="38B7F110" wp14:editId="7B3F3E0E">
            <wp:simplePos x="0" y="0"/>
            <wp:positionH relativeFrom="margin">
              <wp:align>center</wp:align>
            </wp:positionH>
            <wp:positionV relativeFrom="paragraph">
              <wp:posOffset>283059</wp:posOffset>
            </wp:positionV>
            <wp:extent cx="6309234" cy="2652395"/>
            <wp:effectExtent l="0" t="0" r="0" b="0"/>
            <wp:wrapThrough wrapText="bothSides">
              <wp:wrapPolygon edited="0">
                <wp:start x="0" y="0"/>
                <wp:lineTo x="0" y="21409"/>
                <wp:lineTo x="21524" y="21409"/>
                <wp:lineTo x="21524" y="0"/>
                <wp:lineTo x="0" y="0"/>
              </wp:wrapPolygon>
            </wp:wrapThrough>
            <wp:docPr id="25" name="Picture 25">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hlinkClick r:id="rId56"/>
                    </pic:cNvPr>
                    <pic:cNvPicPr/>
                  </pic:nvPicPr>
                  <pic:blipFill>
                    <a:blip r:embed="rId57">
                      <a:extLst>
                        <a:ext uri="{28A0092B-C50C-407E-A947-70E740481C1C}">
                          <a14:useLocalDpi xmlns:a14="http://schemas.microsoft.com/office/drawing/2010/main" val="0"/>
                        </a:ext>
                      </a:extLst>
                    </a:blip>
                    <a:stretch>
                      <a:fillRect/>
                    </a:stretch>
                  </pic:blipFill>
                  <pic:spPr>
                    <a:xfrm>
                      <a:off x="0" y="0"/>
                      <a:ext cx="6309234" cy="2652395"/>
                    </a:xfrm>
                    <a:prstGeom prst="rect">
                      <a:avLst/>
                    </a:prstGeom>
                  </pic:spPr>
                </pic:pic>
              </a:graphicData>
            </a:graphic>
          </wp:anchor>
        </w:drawing>
      </w:r>
      <w:r w:rsidR="000332DB" w:rsidRPr="00582715">
        <w:rPr>
          <w:rFonts w:ascii="Times New Roman" w:hAnsi="Times New Roman" w:cs="Times New Roman"/>
          <w:b/>
          <w:color w:val="4C4747"/>
          <w:sz w:val="24"/>
          <w:szCs w:val="24"/>
        </w:rPr>
        <w:t xml:space="preserve">7.1 </w:t>
      </w:r>
      <w:r w:rsidR="00ED3488" w:rsidRPr="00582715">
        <w:rPr>
          <w:rFonts w:ascii="Times New Roman" w:hAnsi="Times New Roman" w:cs="Times New Roman"/>
          <w:b/>
          <w:color w:val="4C4747"/>
          <w:sz w:val="24"/>
          <w:szCs w:val="24"/>
        </w:rPr>
        <w:t>Matriz de principales indicadores de gestión por procesos</w:t>
      </w:r>
      <w:bookmarkEnd w:id="55"/>
    </w:p>
    <w:p w14:paraId="6380D3C8" w14:textId="5C4E4234" w:rsidR="006D4C43" w:rsidRPr="00582715" w:rsidRDefault="00582715" w:rsidP="006D4C43">
      <w:pPr>
        <w:rPr>
          <w:b/>
          <w:color w:val="4C4747"/>
        </w:rPr>
      </w:pPr>
      <w:r>
        <w:rPr>
          <w:rFonts w:ascii="Times New Roman" w:hAnsi="Times New Roman" w:cs="Times New Roman"/>
          <w:b/>
          <w:color w:val="4C4747"/>
        </w:rPr>
        <w:t xml:space="preserve">                                    </w:t>
      </w:r>
      <w:r w:rsidRPr="00582715">
        <w:rPr>
          <w:rFonts w:ascii="Times New Roman" w:hAnsi="Times New Roman" w:cs="Times New Roman"/>
          <w:b/>
          <w:color w:val="4C4747"/>
        </w:rPr>
        <w:t xml:space="preserve">Fuente: </w:t>
      </w:r>
      <w:proofErr w:type="spellStart"/>
      <w:r w:rsidRPr="00582715">
        <w:rPr>
          <w:rFonts w:ascii="Times New Roman" w:hAnsi="Times New Roman" w:cs="Times New Roman"/>
          <w:b/>
          <w:color w:val="4C4747"/>
        </w:rPr>
        <w:t>Dept</w:t>
      </w:r>
      <w:proofErr w:type="spellEnd"/>
      <w:r w:rsidRPr="00582715">
        <w:rPr>
          <w:rFonts w:ascii="Times New Roman" w:hAnsi="Times New Roman" w:cs="Times New Roman"/>
          <w:b/>
          <w:color w:val="4C4747"/>
        </w:rPr>
        <w:t xml:space="preserve"> Planificacion y Presupuesto</w:t>
      </w:r>
    </w:p>
    <w:p w14:paraId="03446F92" w14:textId="06993489" w:rsidR="006D4C43" w:rsidRPr="006D4C43" w:rsidRDefault="006D4C43" w:rsidP="006D4C43"/>
    <w:p w14:paraId="7B14A0F7" w14:textId="60FA47DE" w:rsidR="006D4C43" w:rsidRPr="006D4C43" w:rsidRDefault="006D4C43" w:rsidP="005B272F">
      <w:r>
        <w:fldChar w:fldCharType="begin"/>
      </w:r>
      <w:r>
        <w:instrText xml:space="preserve"> LINK Excel.Sheet.12 "D:\\USERDATA\\2018063\\AppData\\Local\\Microsoft\\Windows\\INetCache\\Content.Outlook\\RBDRRUOS\\Consolidado PyP Matriz de principales indicadores de gestión informe Enero - Septiembre 2021.xlsx" "ABRIL-JUNIO 2021 !R1C2:R19C11" \a \f 4 \h </w:instrText>
      </w:r>
      <w:r>
        <w:fldChar w:fldCharType="separate"/>
      </w:r>
    </w:p>
    <w:p w14:paraId="6DA776ED" w14:textId="20249317" w:rsidR="00994DD2" w:rsidRDefault="006D4C43" w:rsidP="0032596C">
      <w:pPr>
        <w:spacing w:after="0"/>
      </w:pPr>
      <w:r>
        <w:fldChar w:fldCharType="end"/>
      </w:r>
    </w:p>
    <w:p w14:paraId="362BA063" w14:textId="74D2F2E7" w:rsidR="0032596C" w:rsidRDefault="0032596C" w:rsidP="0032596C">
      <w:pPr>
        <w:spacing w:after="0"/>
      </w:pPr>
    </w:p>
    <w:p w14:paraId="5BBD7C94" w14:textId="0F6132EE" w:rsidR="00824709" w:rsidRDefault="00824709" w:rsidP="0032596C">
      <w:pPr>
        <w:spacing w:after="0"/>
      </w:pPr>
    </w:p>
    <w:p w14:paraId="1EEB7CED" w14:textId="4B2446DF" w:rsidR="00824709" w:rsidRDefault="00824709" w:rsidP="0032596C">
      <w:pPr>
        <w:spacing w:after="0"/>
      </w:pPr>
    </w:p>
    <w:p w14:paraId="49BFAA62" w14:textId="27440971" w:rsidR="00824709" w:rsidRDefault="00824709" w:rsidP="0032596C">
      <w:pPr>
        <w:spacing w:after="0"/>
      </w:pPr>
    </w:p>
    <w:p w14:paraId="782B0100" w14:textId="24D24BBF" w:rsidR="00AA5E90" w:rsidRDefault="00AA5E90" w:rsidP="0032596C">
      <w:pPr>
        <w:spacing w:after="0"/>
      </w:pPr>
    </w:p>
    <w:p w14:paraId="32B0A3D9" w14:textId="3D8A7DEB" w:rsidR="00AA5E90" w:rsidRDefault="00AA5E90" w:rsidP="0032596C">
      <w:pPr>
        <w:spacing w:after="0"/>
      </w:pPr>
    </w:p>
    <w:p w14:paraId="050D8228" w14:textId="7246ED94" w:rsidR="00AA5E90" w:rsidRDefault="00AA5E90" w:rsidP="0032596C">
      <w:pPr>
        <w:spacing w:after="0"/>
      </w:pPr>
    </w:p>
    <w:p w14:paraId="261537AF" w14:textId="6905136A" w:rsidR="00AA5E90" w:rsidRDefault="00AA5E90" w:rsidP="0032596C">
      <w:pPr>
        <w:spacing w:after="0"/>
      </w:pPr>
    </w:p>
    <w:p w14:paraId="02C6B88E" w14:textId="1CA2DA68" w:rsidR="00021421" w:rsidRDefault="00021421" w:rsidP="0032596C">
      <w:pPr>
        <w:spacing w:after="0"/>
      </w:pPr>
    </w:p>
    <w:p w14:paraId="2EA191D0" w14:textId="0763B4BA" w:rsidR="00021421" w:rsidRDefault="00021421" w:rsidP="0032596C">
      <w:pPr>
        <w:spacing w:after="0"/>
      </w:pPr>
    </w:p>
    <w:p w14:paraId="17190715" w14:textId="36317D5B" w:rsidR="00021421" w:rsidRDefault="00021421" w:rsidP="0032596C">
      <w:pPr>
        <w:spacing w:after="0"/>
      </w:pPr>
    </w:p>
    <w:p w14:paraId="23A2E5E6" w14:textId="3B5A7A3A" w:rsidR="00021421" w:rsidRDefault="00021421" w:rsidP="0032596C">
      <w:pPr>
        <w:spacing w:after="0"/>
      </w:pPr>
    </w:p>
    <w:p w14:paraId="197BCE46" w14:textId="77777777" w:rsidR="00B94442" w:rsidRDefault="00B94442" w:rsidP="00F0634E">
      <w:pPr>
        <w:spacing w:after="0"/>
      </w:pPr>
    </w:p>
    <w:p w14:paraId="609CA319" w14:textId="086B5A81" w:rsidR="00F0634E" w:rsidRPr="00582715" w:rsidRDefault="000D4C08" w:rsidP="00F0634E">
      <w:pPr>
        <w:spacing w:after="0"/>
        <w:rPr>
          <w:rFonts w:ascii="Times New Roman" w:eastAsiaTheme="majorEastAsia" w:hAnsi="Times New Roman" w:cs="Times New Roman"/>
          <w:b/>
          <w:color w:val="4C4747"/>
          <w:sz w:val="24"/>
          <w:szCs w:val="24"/>
        </w:rPr>
      </w:pPr>
      <w:r w:rsidRPr="00582715">
        <w:rPr>
          <w:rFonts w:ascii="Times New Roman" w:eastAsiaTheme="majorEastAsia" w:hAnsi="Times New Roman" w:cs="Times New Roman"/>
          <w:b/>
          <w:color w:val="4C4747"/>
          <w:sz w:val="24"/>
          <w:szCs w:val="24"/>
        </w:rPr>
        <w:lastRenderedPageBreak/>
        <w:t xml:space="preserve">7.2   </w:t>
      </w:r>
      <w:r w:rsidR="00F0634E" w:rsidRPr="00582715">
        <w:rPr>
          <w:rFonts w:ascii="Times New Roman" w:eastAsiaTheme="majorEastAsia" w:hAnsi="Times New Roman" w:cs="Times New Roman"/>
          <w:b/>
          <w:color w:val="4C4747"/>
          <w:sz w:val="24"/>
          <w:szCs w:val="24"/>
        </w:rPr>
        <w:t>Matriz de Gestión Presupuestaria Anual</w:t>
      </w:r>
    </w:p>
    <w:p w14:paraId="0291897A" w14:textId="6380D09E" w:rsidR="00021421" w:rsidRDefault="000D4C08" w:rsidP="0032596C">
      <w:pPr>
        <w:spacing w:after="0"/>
      </w:pPr>
      <w:r w:rsidRPr="000D4C08">
        <w:rPr>
          <w:noProof/>
        </w:rPr>
        <w:drawing>
          <wp:anchor distT="0" distB="0" distL="114300" distR="114300" simplePos="0" relativeHeight="251761664" behindDoc="0" locked="0" layoutInCell="1" allowOverlap="1" wp14:anchorId="3DE53F65" wp14:editId="3A4EA6A8">
            <wp:simplePos x="0" y="0"/>
            <wp:positionH relativeFrom="margin">
              <wp:posOffset>-712470</wp:posOffset>
            </wp:positionH>
            <wp:positionV relativeFrom="paragraph">
              <wp:posOffset>172085</wp:posOffset>
            </wp:positionV>
            <wp:extent cx="6524625" cy="4572000"/>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8">
                      <a:extLst>
                        <a:ext uri="{28A0092B-C50C-407E-A947-70E740481C1C}">
                          <a14:useLocalDpi xmlns:a14="http://schemas.microsoft.com/office/drawing/2010/main" val="0"/>
                        </a:ext>
                      </a:extLst>
                    </a:blip>
                    <a:srcRect b="7526"/>
                    <a:stretch/>
                  </pic:blipFill>
                  <pic:spPr bwMode="auto">
                    <a:xfrm>
                      <a:off x="0" y="0"/>
                      <a:ext cx="6524625" cy="4572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045BB6" w14:textId="059941E0" w:rsidR="00021421" w:rsidRDefault="00021421" w:rsidP="0032596C">
      <w:pPr>
        <w:spacing w:after="0"/>
      </w:pPr>
    </w:p>
    <w:p w14:paraId="13DFE25F" w14:textId="765C51CC" w:rsidR="00021421" w:rsidRPr="00582715" w:rsidRDefault="00582715" w:rsidP="00582715">
      <w:pPr>
        <w:spacing w:after="0"/>
        <w:jc w:val="center"/>
        <w:rPr>
          <w:b/>
          <w:color w:val="4C4747"/>
        </w:rPr>
      </w:pPr>
      <w:r w:rsidRPr="00582715">
        <w:rPr>
          <w:rFonts w:ascii="Times New Roman" w:hAnsi="Times New Roman" w:cs="Times New Roman"/>
          <w:b/>
          <w:color w:val="4C4747"/>
        </w:rPr>
        <w:t xml:space="preserve">Fuente: </w:t>
      </w:r>
      <w:proofErr w:type="spellStart"/>
      <w:r w:rsidRPr="00582715">
        <w:rPr>
          <w:rFonts w:ascii="Times New Roman" w:hAnsi="Times New Roman" w:cs="Times New Roman"/>
          <w:b/>
          <w:color w:val="4C4747"/>
        </w:rPr>
        <w:t>Dept</w:t>
      </w:r>
      <w:proofErr w:type="spellEnd"/>
      <w:r w:rsidRPr="00582715">
        <w:rPr>
          <w:rFonts w:ascii="Times New Roman" w:hAnsi="Times New Roman" w:cs="Times New Roman"/>
          <w:b/>
          <w:color w:val="4C4747"/>
        </w:rPr>
        <w:t xml:space="preserve"> Planificacion y Presupuesto</w:t>
      </w:r>
    </w:p>
    <w:p w14:paraId="79C1166B" w14:textId="40EE1446" w:rsidR="00021421" w:rsidRDefault="00021421" w:rsidP="0032596C">
      <w:pPr>
        <w:spacing w:after="0"/>
      </w:pPr>
    </w:p>
    <w:p w14:paraId="539C37B8" w14:textId="2B12637D" w:rsidR="00021421" w:rsidRDefault="00021421" w:rsidP="0032596C">
      <w:pPr>
        <w:spacing w:after="0"/>
      </w:pPr>
    </w:p>
    <w:p w14:paraId="7B7F7D7C" w14:textId="64FDFE66" w:rsidR="00021421" w:rsidRDefault="00021421" w:rsidP="0032596C">
      <w:pPr>
        <w:spacing w:after="0"/>
      </w:pPr>
    </w:p>
    <w:p w14:paraId="7F156EBC" w14:textId="744620C6" w:rsidR="00021421" w:rsidRDefault="00021421" w:rsidP="0032596C">
      <w:pPr>
        <w:spacing w:after="0"/>
      </w:pPr>
    </w:p>
    <w:p w14:paraId="41643D26" w14:textId="3D8A9FF7" w:rsidR="00021421" w:rsidRDefault="00021421" w:rsidP="0032596C">
      <w:pPr>
        <w:spacing w:after="0"/>
      </w:pPr>
    </w:p>
    <w:p w14:paraId="0A279350" w14:textId="2B4B099A" w:rsidR="00021421" w:rsidRDefault="00021421" w:rsidP="0032596C">
      <w:pPr>
        <w:spacing w:after="0"/>
      </w:pPr>
    </w:p>
    <w:p w14:paraId="78BC32DB" w14:textId="66F7FA8F" w:rsidR="00021421" w:rsidRDefault="00021421" w:rsidP="0032596C">
      <w:pPr>
        <w:spacing w:after="0"/>
      </w:pPr>
    </w:p>
    <w:p w14:paraId="52543BA8" w14:textId="58E38E70" w:rsidR="00021421" w:rsidRDefault="00021421" w:rsidP="0032596C">
      <w:pPr>
        <w:spacing w:after="0"/>
      </w:pPr>
    </w:p>
    <w:p w14:paraId="74EFE50D" w14:textId="0816C888" w:rsidR="00021421" w:rsidRDefault="00021421" w:rsidP="0032596C">
      <w:pPr>
        <w:spacing w:after="0"/>
      </w:pPr>
    </w:p>
    <w:p w14:paraId="6F99E565" w14:textId="6D17AE91" w:rsidR="00021421" w:rsidRDefault="000D4C08" w:rsidP="0032596C">
      <w:pPr>
        <w:spacing w:after="0"/>
      </w:pPr>
      <w:r w:rsidRPr="000D4C08">
        <w:rPr>
          <w:noProof/>
        </w:rPr>
        <w:lastRenderedPageBreak/>
        <w:drawing>
          <wp:anchor distT="0" distB="0" distL="114300" distR="114300" simplePos="0" relativeHeight="251760640" behindDoc="0" locked="0" layoutInCell="1" allowOverlap="1" wp14:anchorId="42155D29" wp14:editId="1D4218A8">
            <wp:simplePos x="0" y="0"/>
            <wp:positionH relativeFrom="column">
              <wp:posOffset>-425302</wp:posOffset>
            </wp:positionH>
            <wp:positionV relativeFrom="paragraph">
              <wp:posOffset>216712</wp:posOffset>
            </wp:positionV>
            <wp:extent cx="6123441" cy="27324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23441" cy="2732405"/>
                    </a:xfrm>
                    <a:prstGeom prst="rect">
                      <a:avLst/>
                    </a:prstGeom>
                    <a:noFill/>
                    <a:ln>
                      <a:noFill/>
                    </a:ln>
                  </pic:spPr>
                </pic:pic>
              </a:graphicData>
            </a:graphic>
          </wp:anchor>
        </w:drawing>
      </w:r>
    </w:p>
    <w:p w14:paraId="3992F2F0" w14:textId="557EB209" w:rsidR="00021421" w:rsidRDefault="00021421" w:rsidP="0032596C">
      <w:pPr>
        <w:spacing w:after="0"/>
      </w:pPr>
    </w:p>
    <w:p w14:paraId="7880DCBB" w14:textId="4EBAE5FC" w:rsidR="00021421" w:rsidRPr="00582715" w:rsidRDefault="00582715" w:rsidP="00582715">
      <w:pPr>
        <w:spacing w:after="0"/>
        <w:jc w:val="center"/>
        <w:rPr>
          <w:b/>
          <w:color w:val="4C4747"/>
        </w:rPr>
      </w:pPr>
      <w:r w:rsidRPr="00582715">
        <w:rPr>
          <w:rFonts w:ascii="Times New Roman" w:hAnsi="Times New Roman" w:cs="Times New Roman"/>
          <w:b/>
          <w:color w:val="4C4747"/>
        </w:rPr>
        <w:t xml:space="preserve">Fuente: </w:t>
      </w:r>
      <w:proofErr w:type="spellStart"/>
      <w:r w:rsidRPr="00582715">
        <w:rPr>
          <w:rFonts w:ascii="Times New Roman" w:hAnsi="Times New Roman" w:cs="Times New Roman"/>
          <w:b/>
          <w:color w:val="4C4747"/>
        </w:rPr>
        <w:t>Dept</w:t>
      </w:r>
      <w:proofErr w:type="spellEnd"/>
      <w:r w:rsidRPr="00582715">
        <w:rPr>
          <w:rFonts w:ascii="Times New Roman" w:hAnsi="Times New Roman" w:cs="Times New Roman"/>
          <w:b/>
          <w:color w:val="4C4747"/>
        </w:rPr>
        <w:t xml:space="preserve"> Planificacion y Presupuesto</w:t>
      </w:r>
    </w:p>
    <w:p w14:paraId="72C3C27A" w14:textId="5B08BC01" w:rsidR="00021421" w:rsidRDefault="00021421" w:rsidP="00582715">
      <w:pPr>
        <w:spacing w:after="0"/>
        <w:jc w:val="center"/>
      </w:pPr>
    </w:p>
    <w:p w14:paraId="792162AD" w14:textId="10D391C5" w:rsidR="00021421" w:rsidRDefault="00021421" w:rsidP="0032596C">
      <w:pPr>
        <w:spacing w:after="0"/>
      </w:pPr>
    </w:p>
    <w:p w14:paraId="1F8BDD0E" w14:textId="53AC1530" w:rsidR="00021421" w:rsidRDefault="00021421" w:rsidP="0032596C">
      <w:pPr>
        <w:spacing w:after="0"/>
      </w:pPr>
    </w:p>
    <w:p w14:paraId="0BB5A7A2" w14:textId="52ECB97B" w:rsidR="00021421" w:rsidRDefault="00021421" w:rsidP="0032596C">
      <w:pPr>
        <w:spacing w:after="0"/>
      </w:pPr>
    </w:p>
    <w:p w14:paraId="5E949666" w14:textId="055AA46B" w:rsidR="00021421" w:rsidRDefault="00021421" w:rsidP="0032596C">
      <w:pPr>
        <w:spacing w:after="0"/>
      </w:pPr>
    </w:p>
    <w:p w14:paraId="01625CCA" w14:textId="358E6289" w:rsidR="00021421" w:rsidRDefault="00021421" w:rsidP="0032596C">
      <w:pPr>
        <w:spacing w:after="0"/>
      </w:pPr>
    </w:p>
    <w:p w14:paraId="3267019B" w14:textId="34B56276" w:rsidR="00021421" w:rsidRDefault="00021421" w:rsidP="0032596C">
      <w:pPr>
        <w:spacing w:after="0"/>
      </w:pPr>
    </w:p>
    <w:p w14:paraId="2D8F29D3" w14:textId="68445F23" w:rsidR="00021421" w:rsidRDefault="00021421" w:rsidP="0032596C">
      <w:pPr>
        <w:spacing w:after="0"/>
      </w:pPr>
    </w:p>
    <w:p w14:paraId="2202B99A" w14:textId="5D971466" w:rsidR="00021421" w:rsidRDefault="00021421" w:rsidP="0032596C">
      <w:pPr>
        <w:spacing w:after="0"/>
      </w:pPr>
    </w:p>
    <w:p w14:paraId="07F66387" w14:textId="1254D6B0" w:rsidR="00021421" w:rsidRDefault="00021421" w:rsidP="0032596C">
      <w:pPr>
        <w:spacing w:after="0"/>
      </w:pPr>
    </w:p>
    <w:p w14:paraId="5BBCCA98" w14:textId="74B50CF2" w:rsidR="00021421" w:rsidRDefault="00021421" w:rsidP="0032596C">
      <w:pPr>
        <w:spacing w:after="0"/>
      </w:pPr>
    </w:p>
    <w:p w14:paraId="60BE970C" w14:textId="0AB5A05F" w:rsidR="00021421" w:rsidRDefault="00021421" w:rsidP="0032596C">
      <w:pPr>
        <w:spacing w:after="0"/>
      </w:pPr>
    </w:p>
    <w:p w14:paraId="74D61D66" w14:textId="5532B76F" w:rsidR="00021421" w:rsidRDefault="00021421" w:rsidP="0032596C">
      <w:pPr>
        <w:spacing w:after="0"/>
      </w:pPr>
    </w:p>
    <w:p w14:paraId="15B3EE06" w14:textId="32BF27B5" w:rsidR="00021421" w:rsidRDefault="00021421" w:rsidP="0032596C">
      <w:pPr>
        <w:spacing w:after="0"/>
      </w:pPr>
    </w:p>
    <w:p w14:paraId="6A632830" w14:textId="7909A6AE" w:rsidR="00021421" w:rsidRDefault="00021421" w:rsidP="0032596C">
      <w:pPr>
        <w:spacing w:after="0"/>
      </w:pPr>
    </w:p>
    <w:p w14:paraId="024C5AF9" w14:textId="464ABC60" w:rsidR="00021421" w:rsidRDefault="00021421" w:rsidP="0032596C">
      <w:pPr>
        <w:spacing w:after="0"/>
      </w:pPr>
    </w:p>
    <w:p w14:paraId="3C299860" w14:textId="22C78221" w:rsidR="00021421" w:rsidRDefault="00021421" w:rsidP="0032596C">
      <w:pPr>
        <w:spacing w:after="0"/>
      </w:pPr>
    </w:p>
    <w:p w14:paraId="5AD7EB00" w14:textId="285F55FD" w:rsidR="00021421" w:rsidRDefault="00021421" w:rsidP="0032596C">
      <w:pPr>
        <w:spacing w:after="0"/>
      </w:pPr>
    </w:p>
    <w:p w14:paraId="6C728F78" w14:textId="01F6D028" w:rsidR="00021421" w:rsidRDefault="00021421" w:rsidP="0032596C">
      <w:pPr>
        <w:spacing w:after="0"/>
      </w:pPr>
    </w:p>
    <w:p w14:paraId="749C2ED3" w14:textId="26BD3983" w:rsidR="00021421" w:rsidRDefault="00021421" w:rsidP="0032596C">
      <w:pPr>
        <w:spacing w:after="0"/>
      </w:pPr>
    </w:p>
    <w:p w14:paraId="44540D83" w14:textId="77777777" w:rsidR="00021421" w:rsidRDefault="00021421" w:rsidP="0032596C">
      <w:pPr>
        <w:spacing w:after="0"/>
      </w:pPr>
    </w:p>
    <w:p w14:paraId="49F42E65" w14:textId="37A4A2F2" w:rsidR="00824709" w:rsidRDefault="00824709" w:rsidP="0032596C">
      <w:pPr>
        <w:spacing w:after="0"/>
      </w:pPr>
    </w:p>
    <w:p w14:paraId="065BF175" w14:textId="77777777" w:rsidR="00D00226" w:rsidRPr="00994DD2" w:rsidRDefault="00D00226" w:rsidP="00994DD2"/>
    <w:p w14:paraId="4800E96D" w14:textId="4F687BE0" w:rsidR="00994DD2" w:rsidRPr="00266F57" w:rsidRDefault="00ED3488" w:rsidP="00EF69EF">
      <w:pPr>
        <w:pStyle w:val="Heading2"/>
        <w:jc w:val="center"/>
        <w:rPr>
          <w:rFonts w:ascii="Times New Roman" w:hAnsi="Times New Roman"/>
          <w:b/>
          <w:bCs/>
          <w:color w:val="767171"/>
          <w:spacing w:val="20"/>
          <w:sz w:val="28"/>
        </w:rPr>
      </w:pPr>
      <w:bookmarkStart w:id="56" w:name="_Toc90649468"/>
      <w:bookmarkStart w:id="57" w:name="_Toc155259685"/>
      <w:r w:rsidRPr="00EB6B48">
        <w:rPr>
          <w:rFonts w:ascii="Times New Roman" w:hAnsi="Times New Roman"/>
          <w:b/>
          <w:bCs/>
          <w:color w:val="767171"/>
          <w:spacing w:val="20"/>
          <w:sz w:val="28"/>
        </w:rPr>
        <w:lastRenderedPageBreak/>
        <w:t xml:space="preserve">Plan </w:t>
      </w:r>
      <w:r w:rsidRPr="00266F57">
        <w:rPr>
          <w:rFonts w:ascii="Times New Roman" w:hAnsi="Times New Roman"/>
          <w:b/>
          <w:bCs/>
          <w:color w:val="767171"/>
          <w:spacing w:val="20"/>
          <w:sz w:val="28"/>
        </w:rPr>
        <w:t>de Compras</w:t>
      </w:r>
      <w:bookmarkEnd w:id="56"/>
      <w:bookmarkEnd w:id="57"/>
    </w:p>
    <w:p w14:paraId="41EAF18E" w14:textId="77777777" w:rsidR="00B94442" w:rsidRDefault="00994DD2" w:rsidP="00B94442">
      <w:pPr>
        <w:pStyle w:val="Heading2"/>
        <w:jc w:val="center"/>
        <w:rPr>
          <w:rFonts w:ascii="Times New Roman" w:hAnsi="Times New Roman"/>
          <w:b/>
          <w:bCs/>
          <w:color w:val="767171"/>
          <w:spacing w:val="20"/>
          <w:sz w:val="28"/>
        </w:rPr>
      </w:pPr>
      <w:bookmarkStart w:id="58" w:name="_Toc58931699"/>
      <w:bookmarkStart w:id="59" w:name="_Toc59031189"/>
      <w:bookmarkStart w:id="60" w:name="_Toc90649066"/>
      <w:bookmarkStart w:id="61" w:name="_Toc90895130"/>
      <w:bookmarkStart w:id="62" w:name="_Toc155259686"/>
      <w:r w:rsidRPr="00EB6B48">
        <w:rPr>
          <w:rFonts w:ascii="Times New Roman" w:hAnsi="Times New Roman"/>
          <w:b/>
          <w:bCs/>
          <w:color w:val="767171"/>
          <w:spacing w:val="20"/>
          <w:sz w:val="28"/>
        </w:rPr>
        <w:t xml:space="preserve">Período Enero - </w:t>
      </w:r>
      <w:proofErr w:type="gramStart"/>
      <w:r w:rsidRPr="00EB6B48">
        <w:rPr>
          <w:rFonts w:ascii="Times New Roman" w:hAnsi="Times New Roman"/>
          <w:b/>
          <w:bCs/>
          <w:color w:val="767171"/>
          <w:spacing w:val="20"/>
          <w:sz w:val="28"/>
        </w:rPr>
        <w:t>Diciembre</w:t>
      </w:r>
      <w:proofErr w:type="gramEnd"/>
      <w:r w:rsidRPr="00EB6B48">
        <w:rPr>
          <w:rFonts w:ascii="Times New Roman" w:hAnsi="Times New Roman"/>
          <w:b/>
          <w:bCs/>
          <w:color w:val="767171"/>
          <w:spacing w:val="20"/>
          <w:sz w:val="28"/>
        </w:rPr>
        <w:t xml:space="preserve"> 202</w:t>
      </w:r>
      <w:bookmarkEnd w:id="58"/>
      <w:bookmarkEnd w:id="59"/>
      <w:bookmarkEnd w:id="60"/>
      <w:bookmarkEnd w:id="61"/>
      <w:r w:rsidR="00C95BA5">
        <w:rPr>
          <w:rFonts w:ascii="Times New Roman" w:hAnsi="Times New Roman"/>
          <w:b/>
          <w:bCs/>
          <w:color w:val="767171"/>
          <w:spacing w:val="20"/>
          <w:sz w:val="28"/>
        </w:rPr>
        <w:t>3</w:t>
      </w:r>
      <w:bookmarkStart w:id="63" w:name="_Toc90649067"/>
      <w:bookmarkStart w:id="64" w:name="_Toc90649470"/>
      <w:bookmarkStart w:id="65" w:name="_Toc90895131"/>
      <w:bookmarkEnd w:id="62"/>
    </w:p>
    <w:bookmarkStart w:id="66" w:name="_Toc155259687"/>
    <w:p w14:paraId="2CE0B007" w14:textId="2D4B6EEB" w:rsidR="00994DD2" w:rsidRPr="00A56B79" w:rsidRDefault="00AE0CCA" w:rsidP="00B94442">
      <w:pPr>
        <w:pStyle w:val="Heading2"/>
        <w:jc w:val="center"/>
        <w:rPr>
          <w:rFonts w:ascii="Times New Roman" w:hAnsi="Times New Roman"/>
          <w:b/>
          <w:bCs/>
          <w:color w:val="767171"/>
          <w:spacing w:val="20"/>
          <w:sz w:val="28"/>
        </w:rPr>
      </w:pPr>
      <w:r w:rsidRPr="00EB6B48">
        <w:rPr>
          <w:rFonts w:ascii="Times New Roman" w:hAnsi="Times New Roman"/>
          <w:b/>
          <w:bCs/>
          <w:noProof/>
          <w:color w:val="767171"/>
          <w:spacing w:val="20"/>
          <w:sz w:val="28"/>
        </w:rPr>
        <mc:AlternateContent>
          <mc:Choice Requires="wps">
            <w:drawing>
              <wp:anchor distT="0" distB="0" distL="114300" distR="114300" simplePos="0" relativeHeight="251704320" behindDoc="0" locked="0" layoutInCell="1" allowOverlap="1" wp14:anchorId="06FE6B12" wp14:editId="582B2016">
                <wp:simplePos x="0" y="0"/>
                <wp:positionH relativeFrom="margin">
                  <wp:posOffset>2152650</wp:posOffset>
                </wp:positionH>
                <wp:positionV relativeFrom="paragraph">
                  <wp:posOffset>57150</wp:posOffset>
                </wp:positionV>
                <wp:extent cx="539750" cy="0"/>
                <wp:effectExtent l="0" t="19050" r="31750" b="19050"/>
                <wp:wrapThrough wrapText="bothSides">
                  <wp:wrapPolygon edited="0">
                    <wp:start x="0" y="-1"/>
                    <wp:lineTo x="0" y="-1"/>
                    <wp:lineTo x="22108" y="-1"/>
                    <wp:lineTo x="22108" y="-1"/>
                    <wp:lineTo x="0" y="-1"/>
                  </wp:wrapPolygon>
                </wp:wrapThrough>
                <wp:docPr id="45" name="Conector recto 9"/>
                <wp:cNvGraphicFramePr/>
                <a:graphic xmlns:a="http://schemas.openxmlformats.org/drawingml/2006/main">
                  <a:graphicData uri="http://schemas.microsoft.com/office/word/2010/wordprocessingShape">
                    <wps:wsp>
                      <wps:cNvCnPr/>
                      <wps:spPr>
                        <a:xfrm>
                          <a:off x="0" y="0"/>
                          <a:ext cx="53975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629E5F" id="Conector recto 9"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69.5pt,4.5pt" to="21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" strokecolor="red" strokeweight="2.5pt">
                <v:stroke joinstyle="miter"/>
                <w10:wrap type="through" anchorx="margin"/>
              </v:line>
            </w:pict>
          </mc:Fallback>
        </mc:AlternateContent>
      </w:r>
      <w:bookmarkEnd w:id="63"/>
      <w:bookmarkEnd w:id="64"/>
      <w:bookmarkEnd w:id="65"/>
      <w:bookmarkEnd w:id="66"/>
    </w:p>
    <w:p w14:paraId="139B123A" w14:textId="6B968E58" w:rsidR="00C95BA5" w:rsidRDefault="008F2149" w:rsidP="00760FAF">
      <w:pPr>
        <w:jc w:val="center"/>
        <w:rPr>
          <w:rFonts w:ascii="Times New Roman" w:hAnsi="Times New Roman" w:cs="Times New Roman"/>
          <w:color w:val="767171"/>
          <w:sz w:val="24"/>
          <w:szCs w:val="24"/>
        </w:rPr>
      </w:pPr>
      <w:r w:rsidRPr="008F2149">
        <w:rPr>
          <w:rFonts w:ascii="Times New Roman" w:hAnsi="Times New Roman" w:cs="Times New Roman"/>
          <w:color w:val="767171"/>
          <w:sz w:val="24"/>
          <w:szCs w:val="24"/>
        </w:rPr>
        <w:t>Memoria institucional 202</w:t>
      </w:r>
      <w:bookmarkEnd w:id="5"/>
      <w:r w:rsidR="00C95BA5">
        <w:rPr>
          <w:rFonts w:ascii="Times New Roman" w:hAnsi="Times New Roman" w:cs="Times New Roman"/>
          <w:color w:val="767171"/>
          <w:sz w:val="24"/>
          <w:szCs w:val="24"/>
        </w:rPr>
        <w:t>3</w:t>
      </w:r>
    </w:p>
    <w:p w14:paraId="0090F636" w14:textId="29D1B094" w:rsidR="00C95BA5"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 xml:space="preserve">El Banco Central de la República Dominicana, dando cumplimiento a las disposiciones de la Ley No. 340-06 sobre Compras y Contrataciones de Bienes, Servicios, Obras y Concesiones, de fecha 18 de agosto de 2006, y sus modificaciones contenidas en la Ley No. 449-06 de fecha 6 de diciembre de 2006, presenta, en forma general y detallada, las adquisiciones de bienes y servicios que estima </w:t>
      </w:r>
      <w:r w:rsidR="00760FAF" w:rsidRPr="005D08D4">
        <w:rPr>
          <w:rFonts w:ascii="Times New Roman" w:hAnsi="Times New Roman" w:cs="Times New Roman"/>
          <w:color w:val="4C4747"/>
          <w:sz w:val="24"/>
          <w:szCs w:val="24"/>
          <w:lang w:val="es-419"/>
        </w:rPr>
        <w:t>requerirán</w:t>
      </w:r>
      <w:r w:rsidRPr="005D08D4">
        <w:rPr>
          <w:rFonts w:ascii="Times New Roman" w:hAnsi="Times New Roman" w:cs="Times New Roman"/>
          <w:color w:val="4C4747"/>
          <w:sz w:val="24"/>
          <w:szCs w:val="24"/>
          <w:lang w:val="es-419"/>
        </w:rPr>
        <w:t xml:space="preserve"> durante el año 2023, conforme a lo establecido en el presupuesto para este año. La información ha sido agrupada por categoría y procedimiento de selección, tomando en consideración los lineamientos publicados por la Dirección General de Contrataciones Públicas. </w:t>
      </w:r>
    </w:p>
    <w:p w14:paraId="3DB04D60" w14:textId="3D7C9524" w:rsidR="00226F1A"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De acuerdo al Art. 16 de la citada Ley, y al Art. 30 del Reglamento No. 543-12 para la Aplicación de la Ley de Compras y Contrataciones de Bienes, Servicios, Obras y Concesiones, de fecha 6 de septiembre de 2012, los procedimientos de selección a seguir para la adquisición de bienes y servicios, podrán ser:</w:t>
      </w:r>
    </w:p>
    <w:p w14:paraId="22CDDC95" w14:textId="776C2605" w:rsidR="00C95BA5"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 xml:space="preserve"> 1) Licitación Pública: Es el llamado público y abierto, convocando a los interesados para que formulen propuestas, de entre las cuales se seleccionará la más conveniente conforme a los pliegos de condiciones correspondientes. Las licitaciones públicas podrán ser internacionales o nacionales.</w:t>
      </w:r>
    </w:p>
    <w:p w14:paraId="2219D7C0" w14:textId="535FC1D7" w:rsidR="00C95BA5"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 xml:space="preserve"> 2) Licitación Restringida: Es la invitación a participar a un número limitado de proveedores que pueden atender el requerimiento, debido a la especialidad de los bienes a adquirirse, de las obras a ejecutarse o de los servicios a prestarse. </w:t>
      </w:r>
    </w:p>
    <w:p w14:paraId="68AA927E" w14:textId="669039AB" w:rsidR="00C95BA5"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 xml:space="preserve">3) Comparación de Precios: Es una amplia convocatoria a las personas naturales o jurídicas inscritas en el registro respectivo. Este proceso sólo aplica para la compra de bienes comunes con especificaciones estándares, adquisición de servicios y </w:t>
      </w:r>
      <w:r w:rsidRPr="005D08D4">
        <w:rPr>
          <w:rFonts w:ascii="Times New Roman" w:hAnsi="Times New Roman" w:cs="Times New Roman"/>
          <w:color w:val="4C4747"/>
          <w:sz w:val="24"/>
          <w:szCs w:val="24"/>
          <w:lang w:val="es-419"/>
        </w:rPr>
        <w:lastRenderedPageBreak/>
        <w:t xml:space="preserve">obras menores. Un procedimiento simplificado, establecido por el Reglamento de la Ley, será aplicable al caso de compras menores. </w:t>
      </w:r>
    </w:p>
    <w:p w14:paraId="3A2ADA3C" w14:textId="77777777" w:rsidR="00226F1A"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 xml:space="preserve">4) Compras Menores: El objetivo de este procedimiento es realizar las compras y contrataciones de bienes y servicios bajo un procedimiento simplificado, que permita eficientizar las compras sin vulnerar los principios establecidos en la Ley. </w:t>
      </w:r>
    </w:p>
    <w:p w14:paraId="54DA891F" w14:textId="09BAF166" w:rsidR="00C95BA5"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 xml:space="preserve">La entidad contratante deberá invitar a todos los posibles oferentes que puedan atender el requerimiento, no debiendo ser menos de tres proveedores. </w:t>
      </w:r>
    </w:p>
    <w:p w14:paraId="3AB7E050" w14:textId="70D7B427" w:rsidR="00C95BA5"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 xml:space="preserve">Para los casos de contrataciones de bienes y servicios por montos inferiores al umbral mínimo establecido para las compras menores, el Artículo 57 del ya citado Reglamento dispone que, las mismas se podrán realizar en forma directa sin más formalidad que la obtención de una cotización a través de cualquier medio, ya sea carta, correo electrónico, fax, etc. </w:t>
      </w:r>
    </w:p>
    <w:p w14:paraId="1A73933A" w14:textId="2F71CAE8" w:rsidR="00C95BA5"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 xml:space="preserve">Asimismo, el Art. 3 del citado Reglamento, permite recurrir a Procedimientos Especiales, los cuales serán considerados como casos de excepción y no una violación a la Ley, siempre y cuando se realicen de conformidad con los procedimientos que se establecen en la referida normativa. </w:t>
      </w:r>
    </w:p>
    <w:p w14:paraId="5EE3D50F" w14:textId="77777777" w:rsidR="00C95BA5"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r w:rsidRPr="005D08D4">
        <w:rPr>
          <w:rFonts w:ascii="Times New Roman" w:hAnsi="Times New Roman" w:cs="Times New Roman"/>
          <w:color w:val="4C4747"/>
          <w:sz w:val="24"/>
          <w:szCs w:val="24"/>
          <w:lang w:val="es-419"/>
        </w:rPr>
        <w:t xml:space="preserve">Para la determinación del proceso de selección a seguir para el año 2023, el Art. 17 de la Ley No. 340-06 sobre Compras y Contrataciones, dispone que se deberán considerar los umbrales topes, contenidos en la Resolución PNP- 01-2023 de fecha 3 de enero de 2023, emitida por el Órgano Rector de las Contrataciones Públicas en el país, de acuerdo a lo siguiente: </w:t>
      </w:r>
    </w:p>
    <w:p w14:paraId="65719B1B" w14:textId="77777777" w:rsidR="00C95BA5" w:rsidRPr="005D08D4" w:rsidRDefault="00C95BA5" w:rsidP="005D08D4">
      <w:pPr>
        <w:tabs>
          <w:tab w:val="left" w:pos="818"/>
        </w:tabs>
        <w:spacing w:line="360" w:lineRule="auto"/>
        <w:jc w:val="both"/>
        <w:rPr>
          <w:rFonts w:ascii="Times New Roman" w:hAnsi="Times New Roman" w:cs="Times New Roman"/>
          <w:color w:val="4C4747"/>
          <w:sz w:val="24"/>
          <w:szCs w:val="24"/>
          <w:lang w:val="es-419"/>
        </w:rPr>
      </w:pPr>
    </w:p>
    <w:p w14:paraId="525841E9" w14:textId="77777777" w:rsidR="00C95BA5" w:rsidRPr="00C95BA5" w:rsidRDefault="00C95BA5" w:rsidP="00C95BA5">
      <w:pPr>
        <w:tabs>
          <w:tab w:val="left" w:pos="818"/>
        </w:tabs>
        <w:rPr>
          <w:rFonts w:ascii="Times New Roman" w:hAnsi="Times New Roman" w:cs="Times New Roman"/>
          <w:color w:val="767171"/>
          <w:sz w:val="24"/>
          <w:szCs w:val="24"/>
          <w:lang w:val="es-419"/>
        </w:rPr>
      </w:pPr>
      <w:r w:rsidRPr="00C95BA5">
        <w:rPr>
          <w:rFonts w:ascii="Times New Roman" w:hAnsi="Times New Roman" w:cs="Times New Roman"/>
          <w:noProof/>
          <w:color w:val="767171"/>
          <w:sz w:val="24"/>
          <w:szCs w:val="24"/>
          <w:lang w:val="es-419"/>
        </w:rPr>
        <w:lastRenderedPageBreak/>
        <w:drawing>
          <wp:inline distT="0" distB="0" distL="0" distR="0" wp14:anchorId="7EF79492" wp14:editId="7B0BA264">
            <wp:extent cx="5029200" cy="2695575"/>
            <wp:effectExtent l="0" t="0" r="0" b="9525"/>
            <wp:docPr id="1284940373" name="Picture 1"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40373" name="Picture 1" descr="A table with numbers and tex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29200" cy="2695575"/>
                    </a:xfrm>
                    <a:prstGeom prst="rect">
                      <a:avLst/>
                    </a:prstGeom>
                    <a:noFill/>
                    <a:ln>
                      <a:noFill/>
                    </a:ln>
                  </pic:spPr>
                </pic:pic>
              </a:graphicData>
            </a:graphic>
          </wp:inline>
        </w:drawing>
      </w:r>
    </w:p>
    <w:p w14:paraId="1EE55F17" w14:textId="1566A92B" w:rsidR="00C95BA5" w:rsidRPr="00582715" w:rsidRDefault="00760FAF" w:rsidP="00C95BA5">
      <w:pPr>
        <w:tabs>
          <w:tab w:val="left" w:pos="818"/>
        </w:tabs>
        <w:rPr>
          <w:rFonts w:ascii="Times New Roman" w:hAnsi="Times New Roman" w:cs="Times New Roman"/>
          <w:b/>
          <w:color w:val="4C4747"/>
          <w:lang w:val="es-419"/>
        </w:rPr>
      </w:pPr>
      <w:r w:rsidRPr="005D08D4">
        <w:rPr>
          <w:rFonts w:ascii="Times New Roman" w:hAnsi="Times New Roman" w:cs="Times New Roman"/>
          <w:color w:val="4C4747"/>
          <w:lang w:val="es-419"/>
        </w:rPr>
        <w:t xml:space="preserve">                             </w:t>
      </w:r>
      <w:r w:rsidR="00B64DD3">
        <w:rPr>
          <w:rFonts w:ascii="Times New Roman" w:hAnsi="Times New Roman" w:cs="Times New Roman"/>
          <w:color w:val="4C4747"/>
          <w:lang w:val="es-419"/>
        </w:rPr>
        <w:t xml:space="preserve">     </w:t>
      </w:r>
      <w:r w:rsidRPr="005D08D4">
        <w:rPr>
          <w:rFonts w:ascii="Times New Roman" w:hAnsi="Times New Roman" w:cs="Times New Roman"/>
          <w:color w:val="4C4747"/>
          <w:lang w:val="es-419"/>
        </w:rPr>
        <w:t xml:space="preserve">  </w:t>
      </w:r>
      <w:r w:rsidRPr="00582715">
        <w:rPr>
          <w:rFonts w:ascii="Times New Roman" w:hAnsi="Times New Roman" w:cs="Times New Roman"/>
          <w:b/>
          <w:color w:val="4C4747"/>
          <w:lang w:val="es-419"/>
        </w:rPr>
        <w:t>Fuente: Depto. Compras y Contrataciones</w:t>
      </w:r>
    </w:p>
    <w:p w14:paraId="4F9D66BB" w14:textId="1E74A081" w:rsidR="00C95BA5" w:rsidRPr="00B843D6" w:rsidRDefault="00C95BA5" w:rsidP="00760FAF">
      <w:pPr>
        <w:tabs>
          <w:tab w:val="left" w:pos="818"/>
        </w:tabs>
        <w:spacing w:line="360" w:lineRule="auto"/>
        <w:jc w:val="both"/>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t>Es importante destacar que este documento se enfoca únicamente en los valores consignados para fines de adquisiciones de bienes y servicios, en el presupuesto aprobado de la Institución para el período de referencia; por lo que las siguientes partidas han sido excluidas del análisis realizado para este trabajo:</w:t>
      </w:r>
    </w:p>
    <w:p w14:paraId="647AFC88" w14:textId="77777777" w:rsidR="00C95BA5" w:rsidRPr="00B843D6" w:rsidRDefault="00C95BA5" w:rsidP="00760FAF">
      <w:pPr>
        <w:tabs>
          <w:tab w:val="left" w:pos="818"/>
        </w:tabs>
        <w:spacing w:line="360" w:lineRule="auto"/>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t xml:space="preserve"> 1. Plan Complementario de Salud- Personal Activo;</w:t>
      </w:r>
    </w:p>
    <w:p w14:paraId="5D36DD1F" w14:textId="77777777" w:rsidR="00C95BA5" w:rsidRPr="00B843D6" w:rsidRDefault="00C95BA5" w:rsidP="00760FAF">
      <w:pPr>
        <w:tabs>
          <w:tab w:val="left" w:pos="818"/>
        </w:tabs>
        <w:spacing w:line="360" w:lineRule="auto"/>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t xml:space="preserve"> 2. Indemnizaciones;</w:t>
      </w:r>
    </w:p>
    <w:p w14:paraId="1CCDE7CC" w14:textId="77777777" w:rsidR="00C95BA5" w:rsidRPr="00B843D6" w:rsidRDefault="00C95BA5" w:rsidP="00760FAF">
      <w:pPr>
        <w:tabs>
          <w:tab w:val="left" w:pos="818"/>
        </w:tabs>
        <w:spacing w:line="360" w:lineRule="auto"/>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t xml:space="preserve"> 3. Impuestos, Derechos y Tasas;</w:t>
      </w:r>
    </w:p>
    <w:p w14:paraId="2242486A" w14:textId="77777777" w:rsidR="00C95BA5" w:rsidRPr="00B843D6" w:rsidRDefault="00C95BA5" w:rsidP="00760FAF">
      <w:pPr>
        <w:tabs>
          <w:tab w:val="left" w:pos="818"/>
        </w:tabs>
        <w:spacing w:line="360" w:lineRule="auto"/>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t xml:space="preserve"> 4. Servicios Personales; </w:t>
      </w:r>
    </w:p>
    <w:p w14:paraId="63E0D309" w14:textId="77777777" w:rsidR="00C95BA5" w:rsidRPr="00B843D6" w:rsidRDefault="00C95BA5" w:rsidP="00760FAF">
      <w:pPr>
        <w:tabs>
          <w:tab w:val="left" w:pos="818"/>
        </w:tabs>
        <w:spacing w:line="360" w:lineRule="auto"/>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t xml:space="preserve">5. Aportes corrientes; </w:t>
      </w:r>
    </w:p>
    <w:p w14:paraId="430CF9E1" w14:textId="77777777" w:rsidR="00C95BA5" w:rsidRPr="00B843D6" w:rsidRDefault="00C95BA5" w:rsidP="00760FAF">
      <w:pPr>
        <w:tabs>
          <w:tab w:val="left" w:pos="818"/>
        </w:tabs>
        <w:spacing w:line="360" w:lineRule="auto"/>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t xml:space="preserve">6. Depreciaciones y Amortizaciones; </w:t>
      </w:r>
    </w:p>
    <w:p w14:paraId="63DAFF02" w14:textId="77777777" w:rsidR="00C95BA5" w:rsidRPr="00B843D6" w:rsidRDefault="00C95BA5" w:rsidP="00760FAF">
      <w:pPr>
        <w:tabs>
          <w:tab w:val="left" w:pos="818"/>
        </w:tabs>
        <w:spacing w:line="360" w:lineRule="auto"/>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t>7. Imprevistos;</w:t>
      </w:r>
    </w:p>
    <w:p w14:paraId="3B4C341F" w14:textId="13C96503" w:rsidR="00C95BA5" w:rsidRPr="00B843D6" w:rsidRDefault="00C95BA5" w:rsidP="00760FAF">
      <w:pPr>
        <w:tabs>
          <w:tab w:val="left" w:pos="818"/>
        </w:tabs>
        <w:spacing w:line="360" w:lineRule="auto"/>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t xml:space="preserve"> 8. Otros. </w:t>
      </w:r>
    </w:p>
    <w:p w14:paraId="24D54142" w14:textId="29C2496D" w:rsidR="00C95BA5" w:rsidRPr="00B843D6" w:rsidRDefault="00C95BA5" w:rsidP="00760FAF">
      <w:pPr>
        <w:tabs>
          <w:tab w:val="left" w:pos="818"/>
        </w:tabs>
        <w:spacing w:line="360" w:lineRule="auto"/>
        <w:jc w:val="both"/>
        <w:rPr>
          <w:rFonts w:ascii="Times New Roman" w:hAnsi="Times New Roman" w:cs="Times New Roman"/>
          <w:color w:val="4C4747"/>
          <w:sz w:val="24"/>
          <w:szCs w:val="24"/>
          <w:lang w:val="es-419"/>
        </w:rPr>
      </w:pPr>
      <w:r w:rsidRPr="00B843D6">
        <w:rPr>
          <w:rFonts w:ascii="Times New Roman" w:hAnsi="Times New Roman" w:cs="Times New Roman"/>
          <w:color w:val="4C4747"/>
          <w:sz w:val="24"/>
          <w:szCs w:val="24"/>
          <w:lang w:val="es-419"/>
        </w:rPr>
        <w:lastRenderedPageBreak/>
        <w:t>Asimismo, están excluidos del Plan de Compras 2023, los valores consignados en el presupuesto aprobado, correspondientes a compromisos contraídos por la Institución en períodos anteriores, y cuyo desembolso se ha estimado para el año 2023.</w:t>
      </w:r>
    </w:p>
    <w:p w14:paraId="2D48DCD7" w14:textId="06D29A28" w:rsidR="00C95BA5" w:rsidRPr="00B843D6" w:rsidRDefault="00C95BA5" w:rsidP="00760FAF">
      <w:pPr>
        <w:tabs>
          <w:tab w:val="left" w:pos="818"/>
        </w:tabs>
        <w:spacing w:line="360" w:lineRule="auto"/>
        <w:jc w:val="both"/>
        <w:rPr>
          <w:rFonts w:ascii="Times New Roman" w:hAnsi="Times New Roman" w:cs="Times New Roman"/>
          <w:b/>
          <w:bCs/>
          <w:color w:val="4C4747"/>
          <w:sz w:val="24"/>
          <w:szCs w:val="24"/>
        </w:rPr>
      </w:pPr>
      <w:r w:rsidRPr="00B843D6">
        <w:rPr>
          <w:rFonts w:ascii="Times New Roman" w:hAnsi="Times New Roman" w:cs="Times New Roman"/>
          <w:bCs/>
          <w:color w:val="4C4747"/>
          <w:sz w:val="24"/>
          <w:szCs w:val="24"/>
        </w:rPr>
        <w:t xml:space="preserve">El monto presupuestado en el Plan de Compras 2023 para las compras y contrataciones de bienes y servicios asciende al monto de </w:t>
      </w:r>
      <w:r w:rsidRPr="00B843D6">
        <w:rPr>
          <w:rFonts w:ascii="Times New Roman" w:hAnsi="Times New Roman" w:cs="Times New Roman"/>
          <w:b/>
          <w:color w:val="4C4747"/>
          <w:sz w:val="24"/>
          <w:szCs w:val="24"/>
        </w:rPr>
        <w:t>RD$</w:t>
      </w:r>
      <w:r w:rsidRPr="00B843D6">
        <w:rPr>
          <w:rFonts w:ascii="Times New Roman" w:hAnsi="Times New Roman" w:cs="Times New Roman"/>
          <w:b/>
          <w:bCs/>
          <w:color w:val="4C4747"/>
          <w:sz w:val="24"/>
          <w:szCs w:val="24"/>
          <w:u w:val="single"/>
        </w:rPr>
        <w:t>466,558,964.35.</w:t>
      </w:r>
    </w:p>
    <w:p w14:paraId="5F4CFE18" w14:textId="77777777" w:rsidR="00C95BA5" w:rsidRPr="00B843D6" w:rsidRDefault="00C95BA5" w:rsidP="00760FAF">
      <w:pPr>
        <w:tabs>
          <w:tab w:val="left" w:pos="818"/>
        </w:tabs>
        <w:spacing w:line="360" w:lineRule="auto"/>
        <w:jc w:val="both"/>
        <w:rPr>
          <w:rFonts w:ascii="Times New Roman" w:hAnsi="Times New Roman" w:cs="Times New Roman"/>
          <w:bCs/>
          <w:color w:val="4C4747"/>
          <w:sz w:val="24"/>
          <w:szCs w:val="24"/>
          <w:lang w:val="es-419"/>
        </w:rPr>
      </w:pPr>
      <w:r w:rsidRPr="00B843D6">
        <w:rPr>
          <w:rFonts w:ascii="Times New Roman" w:hAnsi="Times New Roman" w:cs="Times New Roman"/>
          <w:bCs/>
          <w:color w:val="4C4747"/>
          <w:sz w:val="24"/>
          <w:szCs w:val="24"/>
          <w:lang w:val="es-419"/>
        </w:rPr>
        <w:t>A continuación, indicamos la ejecución del referido plan durante el semestre enero-noviembre 2023, clasificado según los diferentes procesos de selección contemplados en el mismo. A saber:</w:t>
      </w:r>
    </w:p>
    <w:tbl>
      <w:tblPr>
        <w:tblpPr w:leftFromText="141" w:rightFromText="141" w:vertAnchor="text" w:horzAnchor="margin" w:tblpXSpec="center" w:tblpY="110"/>
        <w:tblW w:w="719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142F62"/>
        <w:tblCellMar>
          <w:left w:w="70" w:type="dxa"/>
          <w:right w:w="70" w:type="dxa"/>
        </w:tblCellMar>
        <w:tblLook w:val="04A0" w:firstRow="1" w:lastRow="0" w:firstColumn="1" w:lastColumn="0" w:noHBand="0" w:noVBand="1"/>
      </w:tblPr>
      <w:tblGrid>
        <w:gridCol w:w="2425"/>
        <w:gridCol w:w="2454"/>
        <w:gridCol w:w="2316"/>
      </w:tblGrid>
      <w:tr w:rsidR="00760FAF" w:rsidRPr="00760FAF" w14:paraId="5362B3A0" w14:textId="77777777" w:rsidTr="00582715">
        <w:trPr>
          <w:trHeight w:val="300"/>
          <w:tblHeader/>
        </w:trPr>
        <w:tc>
          <w:tcPr>
            <w:tcW w:w="7195" w:type="dxa"/>
            <w:gridSpan w:val="3"/>
            <w:shd w:val="clear" w:color="auto" w:fill="142F62"/>
            <w:noWrap/>
            <w:vAlign w:val="bottom"/>
            <w:hideMark/>
          </w:tcPr>
          <w:p w14:paraId="21123AB3" w14:textId="77777777" w:rsidR="00D65277" w:rsidRPr="00760FAF" w:rsidRDefault="00D65277" w:rsidP="00D65277">
            <w:pPr>
              <w:tabs>
                <w:tab w:val="left" w:pos="818"/>
              </w:tabs>
              <w:jc w:val="center"/>
              <w:rPr>
                <w:rFonts w:ascii="Times New Roman" w:hAnsi="Times New Roman" w:cs="Times New Roman"/>
                <w:b/>
                <w:bCs/>
                <w:color w:val="FFFFFF" w:themeColor="background1"/>
                <w:lang w:val="es-419"/>
              </w:rPr>
            </w:pPr>
            <w:r w:rsidRPr="00760FAF">
              <w:rPr>
                <w:rFonts w:ascii="Times New Roman" w:hAnsi="Times New Roman" w:cs="Times New Roman"/>
                <w:b/>
                <w:bCs/>
                <w:color w:val="FFFFFF" w:themeColor="background1"/>
                <w:lang w:val="es-419"/>
              </w:rPr>
              <w:t>ENERO - NOVIEMBRE 2023</w:t>
            </w:r>
          </w:p>
        </w:tc>
      </w:tr>
      <w:tr w:rsidR="00760FAF" w:rsidRPr="00760FAF" w14:paraId="273F4298" w14:textId="77777777" w:rsidTr="00582715">
        <w:trPr>
          <w:trHeight w:val="300"/>
          <w:tblHeader/>
        </w:trPr>
        <w:tc>
          <w:tcPr>
            <w:tcW w:w="2425" w:type="dxa"/>
            <w:shd w:val="clear" w:color="auto" w:fill="142F62"/>
            <w:noWrap/>
            <w:vAlign w:val="center"/>
            <w:hideMark/>
          </w:tcPr>
          <w:p w14:paraId="0C91EFB9" w14:textId="6AD4E1A4" w:rsidR="00D65277" w:rsidRPr="00582715" w:rsidRDefault="00582715" w:rsidP="00760FAF">
            <w:pPr>
              <w:tabs>
                <w:tab w:val="left" w:pos="818"/>
              </w:tabs>
              <w:jc w:val="center"/>
              <w:rPr>
                <w:rFonts w:ascii="Times New Roman" w:hAnsi="Times New Roman" w:cs="Times New Roman"/>
                <w:b/>
                <w:bCs/>
                <w:color w:val="FFFFFF" w:themeColor="background1"/>
                <w:sz w:val="24"/>
                <w:szCs w:val="24"/>
                <w:lang w:val="es-419"/>
              </w:rPr>
            </w:pPr>
            <w:r w:rsidRPr="00582715">
              <w:rPr>
                <w:rFonts w:ascii="Times New Roman" w:hAnsi="Times New Roman" w:cs="Times New Roman"/>
                <w:b/>
                <w:bCs/>
                <w:color w:val="FFFFFF" w:themeColor="background1"/>
                <w:sz w:val="24"/>
                <w:szCs w:val="24"/>
                <w:lang w:val="es-419"/>
              </w:rPr>
              <w:t>Proceso De Selección</w:t>
            </w:r>
          </w:p>
        </w:tc>
        <w:tc>
          <w:tcPr>
            <w:tcW w:w="2454" w:type="dxa"/>
            <w:shd w:val="clear" w:color="auto" w:fill="142F62"/>
            <w:noWrap/>
            <w:vAlign w:val="center"/>
            <w:hideMark/>
          </w:tcPr>
          <w:p w14:paraId="55A64394" w14:textId="73021BB6" w:rsidR="00D65277" w:rsidRPr="00582715" w:rsidRDefault="00582715" w:rsidP="00760FAF">
            <w:pPr>
              <w:tabs>
                <w:tab w:val="left" w:pos="818"/>
              </w:tabs>
              <w:jc w:val="center"/>
              <w:rPr>
                <w:rFonts w:ascii="Times New Roman" w:hAnsi="Times New Roman" w:cs="Times New Roman"/>
                <w:b/>
                <w:bCs/>
                <w:color w:val="FFFFFF" w:themeColor="background1"/>
                <w:sz w:val="24"/>
                <w:szCs w:val="24"/>
                <w:lang w:val="es-419"/>
              </w:rPr>
            </w:pPr>
            <w:r w:rsidRPr="00582715">
              <w:rPr>
                <w:rFonts w:ascii="Times New Roman" w:hAnsi="Times New Roman" w:cs="Times New Roman"/>
                <w:b/>
                <w:bCs/>
                <w:color w:val="FFFFFF" w:themeColor="background1"/>
                <w:sz w:val="24"/>
                <w:szCs w:val="24"/>
                <w:lang w:val="es-419"/>
              </w:rPr>
              <w:t>Cantidad De Procesos</w:t>
            </w:r>
          </w:p>
        </w:tc>
        <w:tc>
          <w:tcPr>
            <w:tcW w:w="2316" w:type="dxa"/>
            <w:shd w:val="clear" w:color="auto" w:fill="142F62"/>
            <w:noWrap/>
            <w:vAlign w:val="center"/>
            <w:hideMark/>
          </w:tcPr>
          <w:p w14:paraId="667B6785" w14:textId="72785F53" w:rsidR="00D65277" w:rsidRPr="00582715" w:rsidRDefault="00582715" w:rsidP="00760FAF">
            <w:pPr>
              <w:tabs>
                <w:tab w:val="left" w:pos="818"/>
              </w:tabs>
              <w:jc w:val="center"/>
              <w:rPr>
                <w:rFonts w:ascii="Times New Roman" w:hAnsi="Times New Roman" w:cs="Times New Roman"/>
                <w:b/>
                <w:bCs/>
                <w:color w:val="FFFFFF" w:themeColor="background1"/>
                <w:sz w:val="24"/>
                <w:szCs w:val="24"/>
                <w:lang w:val="es-419"/>
              </w:rPr>
            </w:pPr>
            <w:r w:rsidRPr="00582715">
              <w:rPr>
                <w:rFonts w:ascii="Times New Roman" w:hAnsi="Times New Roman" w:cs="Times New Roman"/>
                <w:b/>
                <w:bCs/>
                <w:color w:val="FFFFFF" w:themeColor="background1"/>
                <w:sz w:val="24"/>
                <w:szCs w:val="24"/>
                <w:lang w:val="es-419"/>
              </w:rPr>
              <w:t>Monto Ejecutado</w:t>
            </w:r>
          </w:p>
        </w:tc>
      </w:tr>
      <w:tr w:rsidR="00760FAF" w:rsidRPr="00760FAF" w14:paraId="4BEF4781" w14:textId="77777777" w:rsidTr="00582715">
        <w:trPr>
          <w:trHeight w:val="300"/>
          <w:tblHeader/>
        </w:trPr>
        <w:tc>
          <w:tcPr>
            <w:tcW w:w="2425" w:type="dxa"/>
            <w:shd w:val="clear" w:color="auto" w:fill="FFFFFF" w:themeFill="background1"/>
            <w:noWrap/>
            <w:vAlign w:val="bottom"/>
            <w:hideMark/>
          </w:tcPr>
          <w:p w14:paraId="40EA7C90"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Compra Directa</w:t>
            </w:r>
          </w:p>
        </w:tc>
        <w:tc>
          <w:tcPr>
            <w:tcW w:w="2454" w:type="dxa"/>
            <w:shd w:val="clear" w:color="auto" w:fill="FFFFFF" w:themeFill="background1"/>
            <w:noWrap/>
            <w:vAlign w:val="bottom"/>
          </w:tcPr>
          <w:p w14:paraId="7EB974C1"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729</w:t>
            </w:r>
          </w:p>
        </w:tc>
        <w:tc>
          <w:tcPr>
            <w:tcW w:w="2316" w:type="dxa"/>
            <w:shd w:val="clear" w:color="auto" w:fill="FFFFFF" w:themeFill="background1"/>
            <w:noWrap/>
            <w:vAlign w:val="bottom"/>
            <w:hideMark/>
          </w:tcPr>
          <w:p w14:paraId="2BC10527"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DOP 35,099,559.21</w:t>
            </w:r>
          </w:p>
          <w:p w14:paraId="26EF7885"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p>
        </w:tc>
      </w:tr>
      <w:tr w:rsidR="00760FAF" w:rsidRPr="00760FAF" w14:paraId="42BD1F08" w14:textId="77777777" w:rsidTr="00582715">
        <w:trPr>
          <w:trHeight w:val="300"/>
          <w:tblHeader/>
        </w:trPr>
        <w:tc>
          <w:tcPr>
            <w:tcW w:w="2425" w:type="dxa"/>
            <w:shd w:val="clear" w:color="auto" w:fill="FFFFFF" w:themeFill="background1"/>
            <w:noWrap/>
            <w:vAlign w:val="bottom"/>
            <w:hideMark/>
          </w:tcPr>
          <w:p w14:paraId="3596FAC1"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Compra Menor</w:t>
            </w:r>
          </w:p>
        </w:tc>
        <w:tc>
          <w:tcPr>
            <w:tcW w:w="2454" w:type="dxa"/>
            <w:shd w:val="clear" w:color="auto" w:fill="FFFFFF" w:themeFill="background1"/>
            <w:noWrap/>
            <w:vAlign w:val="bottom"/>
          </w:tcPr>
          <w:p w14:paraId="7C1E7E40"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770</w:t>
            </w:r>
          </w:p>
        </w:tc>
        <w:tc>
          <w:tcPr>
            <w:tcW w:w="2316" w:type="dxa"/>
            <w:shd w:val="clear" w:color="auto" w:fill="FFFFFF" w:themeFill="background1"/>
            <w:noWrap/>
            <w:vAlign w:val="bottom"/>
            <w:hideMark/>
          </w:tcPr>
          <w:p w14:paraId="38DE49AC"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DOP 99,813,546.99</w:t>
            </w:r>
          </w:p>
        </w:tc>
      </w:tr>
      <w:tr w:rsidR="00760FAF" w:rsidRPr="00760FAF" w14:paraId="25E06156" w14:textId="77777777" w:rsidTr="00582715">
        <w:trPr>
          <w:trHeight w:val="300"/>
          <w:tblHeader/>
        </w:trPr>
        <w:tc>
          <w:tcPr>
            <w:tcW w:w="2425" w:type="dxa"/>
            <w:shd w:val="clear" w:color="auto" w:fill="FFFFFF" w:themeFill="background1"/>
            <w:noWrap/>
            <w:vAlign w:val="bottom"/>
            <w:hideMark/>
          </w:tcPr>
          <w:p w14:paraId="6C5C3DAF"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Comparación de Precios</w:t>
            </w:r>
          </w:p>
        </w:tc>
        <w:tc>
          <w:tcPr>
            <w:tcW w:w="2454" w:type="dxa"/>
            <w:shd w:val="clear" w:color="auto" w:fill="FFFFFF" w:themeFill="background1"/>
            <w:noWrap/>
            <w:vAlign w:val="bottom"/>
          </w:tcPr>
          <w:p w14:paraId="29B7633A"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102</w:t>
            </w:r>
          </w:p>
        </w:tc>
        <w:tc>
          <w:tcPr>
            <w:tcW w:w="2316" w:type="dxa"/>
            <w:shd w:val="clear" w:color="auto" w:fill="FFFFFF" w:themeFill="background1"/>
            <w:noWrap/>
            <w:vAlign w:val="bottom"/>
            <w:hideMark/>
          </w:tcPr>
          <w:p w14:paraId="7B667D43"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DOP 58,101,833.93</w:t>
            </w:r>
          </w:p>
        </w:tc>
      </w:tr>
      <w:tr w:rsidR="00760FAF" w:rsidRPr="00760FAF" w14:paraId="4F432183" w14:textId="77777777" w:rsidTr="00582715">
        <w:trPr>
          <w:trHeight w:val="300"/>
          <w:tblHeader/>
        </w:trPr>
        <w:tc>
          <w:tcPr>
            <w:tcW w:w="2425" w:type="dxa"/>
            <w:shd w:val="clear" w:color="auto" w:fill="FFFFFF" w:themeFill="background1"/>
            <w:noWrap/>
            <w:vAlign w:val="bottom"/>
            <w:hideMark/>
          </w:tcPr>
          <w:p w14:paraId="2C02EC98"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Casos de Excepción</w:t>
            </w:r>
          </w:p>
        </w:tc>
        <w:tc>
          <w:tcPr>
            <w:tcW w:w="2454" w:type="dxa"/>
            <w:shd w:val="clear" w:color="auto" w:fill="FFFFFF" w:themeFill="background1"/>
            <w:noWrap/>
            <w:vAlign w:val="bottom"/>
          </w:tcPr>
          <w:p w14:paraId="073B6095"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99</w:t>
            </w:r>
          </w:p>
        </w:tc>
        <w:tc>
          <w:tcPr>
            <w:tcW w:w="2316" w:type="dxa"/>
            <w:shd w:val="clear" w:color="auto" w:fill="FFFFFF" w:themeFill="background1"/>
            <w:noWrap/>
            <w:vAlign w:val="bottom"/>
            <w:hideMark/>
          </w:tcPr>
          <w:p w14:paraId="0BF4F40C"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DOP 211,511,481.73</w:t>
            </w:r>
          </w:p>
        </w:tc>
      </w:tr>
      <w:tr w:rsidR="00760FAF" w:rsidRPr="00760FAF" w14:paraId="01D595F9" w14:textId="77777777" w:rsidTr="00582715">
        <w:trPr>
          <w:trHeight w:val="300"/>
          <w:tblHeader/>
        </w:trPr>
        <w:tc>
          <w:tcPr>
            <w:tcW w:w="2425" w:type="dxa"/>
            <w:shd w:val="clear" w:color="auto" w:fill="FFFFFF" w:themeFill="background1"/>
            <w:noWrap/>
            <w:vAlign w:val="bottom"/>
            <w:hideMark/>
          </w:tcPr>
          <w:p w14:paraId="5D697E6C" w14:textId="03772014"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Licitación Pública</w:t>
            </w:r>
          </w:p>
        </w:tc>
        <w:tc>
          <w:tcPr>
            <w:tcW w:w="2454" w:type="dxa"/>
            <w:shd w:val="clear" w:color="auto" w:fill="FFFFFF" w:themeFill="background1"/>
            <w:noWrap/>
            <w:vAlign w:val="bottom"/>
          </w:tcPr>
          <w:p w14:paraId="3323DB4A"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2</w:t>
            </w:r>
          </w:p>
        </w:tc>
        <w:tc>
          <w:tcPr>
            <w:tcW w:w="2316" w:type="dxa"/>
            <w:shd w:val="clear" w:color="auto" w:fill="FFFFFF" w:themeFill="background1"/>
            <w:noWrap/>
            <w:vAlign w:val="bottom"/>
            <w:hideMark/>
          </w:tcPr>
          <w:p w14:paraId="01A06880" w14:textId="77777777" w:rsidR="00D65277" w:rsidRPr="00582715" w:rsidRDefault="00D65277" w:rsidP="00760FAF">
            <w:pPr>
              <w:tabs>
                <w:tab w:val="left" w:pos="818"/>
              </w:tabs>
              <w:jc w:val="center"/>
              <w:rPr>
                <w:rFonts w:ascii="Times New Roman" w:hAnsi="Times New Roman" w:cs="Times New Roman"/>
                <w:color w:val="4C4747"/>
                <w:sz w:val="24"/>
                <w:szCs w:val="24"/>
                <w:lang w:val="es-419"/>
              </w:rPr>
            </w:pPr>
            <w:r w:rsidRPr="00582715">
              <w:rPr>
                <w:rFonts w:ascii="Times New Roman" w:hAnsi="Times New Roman" w:cs="Times New Roman"/>
                <w:color w:val="4C4747"/>
                <w:sz w:val="24"/>
                <w:szCs w:val="24"/>
                <w:lang w:val="es-419"/>
              </w:rPr>
              <w:t>DOP 20,911,896.33</w:t>
            </w:r>
          </w:p>
        </w:tc>
      </w:tr>
      <w:tr w:rsidR="00760FAF" w:rsidRPr="00760FAF" w14:paraId="75716000" w14:textId="77777777" w:rsidTr="00582715">
        <w:trPr>
          <w:trHeight w:val="85"/>
          <w:tblHeader/>
        </w:trPr>
        <w:tc>
          <w:tcPr>
            <w:tcW w:w="2425" w:type="dxa"/>
            <w:shd w:val="clear" w:color="auto" w:fill="142F62"/>
            <w:noWrap/>
            <w:vAlign w:val="bottom"/>
            <w:hideMark/>
          </w:tcPr>
          <w:p w14:paraId="79E73005" w14:textId="77777777" w:rsidR="00D65277" w:rsidRPr="00760FAF" w:rsidRDefault="00D65277" w:rsidP="00760FAF">
            <w:pPr>
              <w:tabs>
                <w:tab w:val="left" w:pos="818"/>
              </w:tabs>
              <w:jc w:val="center"/>
              <w:rPr>
                <w:rFonts w:ascii="Times New Roman" w:hAnsi="Times New Roman" w:cs="Times New Roman"/>
                <w:b/>
                <w:bCs/>
                <w:color w:val="FFFFFF" w:themeColor="background1"/>
                <w:lang w:val="es-419"/>
              </w:rPr>
            </w:pPr>
            <w:r w:rsidRPr="00760FAF">
              <w:rPr>
                <w:rFonts w:ascii="Times New Roman" w:hAnsi="Times New Roman" w:cs="Times New Roman"/>
                <w:b/>
                <w:bCs/>
                <w:color w:val="FFFFFF" w:themeColor="background1"/>
                <w:lang w:val="es-419"/>
              </w:rPr>
              <w:t>TOTAL</w:t>
            </w:r>
          </w:p>
        </w:tc>
        <w:tc>
          <w:tcPr>
            <w:tcW w:w="2454" w:type="dxa"/>
            <w:shd w:val="clear" w:color="auto" w:fill="142F62"/>
            <w:noWrap/>
            <w:vAlign w:val="bottom"/>
            <w:hideMark/>
          </w:tcPr>
          <w:p w14:paraId="352A2EDB" w14:textId="77777777" w:rsidR="00D65277" w:rsidRPr="00760FAF" w:rsidRDefault="00D65277" w:rsidP="00760FAF">
            <w:pPr>
              <w:tabs>
                <w:tab w:val="left" w:pos="818"/>
              </w:tabs>
              <w:jc w:val="center"/>
              <w:rPr>
                <w:rFonts w:ascii="Times New Roman" w:hAnsi="Times New Roman" w:cs="Times New Roman"/>
                <w:b/>
                <w:bCs/>
                <w:color w:val="FFFFFF" w:themeColor="background1"/>
                <w:lang w:val="es-419"/>
              </w:rPr>
            </w:pPr>
            <w:r w:rsidRPr="00760FAF">
              <w:rPr>
                <w:rFonts w:ascii="Times New Roman" w:hAnsi="Times New Roman" w:cs="Times New Roman"/>
                <w:b/>
                <w:bCs/>
                <w:color w:val="FFFFFF" w:themeColor="background1"/>
                <w:lang w:val="es-419"/>
              </w:rPr>
              <w:t>1,702</w:t>
            </w:r>
          </w:p>
        </w:tc>
        <w:tc>
          <w:tcPr>
            <w:tcW w:w="2316" w:type="dxa"/>
            <w:shd w:val="clear" w:color="auto" w:fill="142F62"/>
            <w:noWrap/>
            <w:vAlign w:val="bottom"/>
            <w:hideMark/>
          </w:tcPr>
          <w:p w14:paraId="2E545C9B" w14:textId="0C166181" w:rsidR="00D65277" w:rsidRPr="00760FAF" w:rsidRDefault="00D65277" w:rsidP="00760FAF">
            <w:pPr>
              <w:tabs>
                <w:tab w:val="left" w:pos="818"/>
              </w:tabs>
              <w:jc w:val="center"/>
              <w:rPr>
                <w:rFonts w:ascii="Times New Roman" w:hAnsi="Times New Roman" w:cs="Times New Roman"/>
                <w:b/>
                <w:bCs/>
                <w:color w:val="FFFFFF" w:themeColor="background1"/>
                <w:lang w:val="es-419"/>
              </w:rPr>
            </w:pPr>
            <w:r w:rsidRPr="00760FAF">
              <w:rPr>
                <w:rFonts w:ascii="Times New Roman" w:hAnsi="Times New Roman" w:cs="Times New Roman"/>
                <w:b/>
                <w:bCs/>
                <w:color w:val="FFFFFF" w:themeColor="background1"/>
                <w:lang w:val="es-419"/>
              </w:rPr>
              <w:t>DOP 425,438,318.18</w:t>
            </w:r>
          </w:p>
        </w:tc>
      </w:tr>
    </w:tbl>
    <w:p w14:paraId="52AF2AD4" w14:textId="66F22808" w:rsidR="00760FAF" w:rsidRPr="00582715" w:rsidRDefault="00760FAF" w:rsidP="00760FAF">
      <w:pPr>
        <w:tabs>
          <w:tab w:val="left" w:pos="818"/>
        </w:tabs>
        <w:spacing w:line="360" w:lineRule="auto"/>
        <w:jc w:val="both"/>
        <w:rPr>
          <w:rFonts w:ascii="Times New Roman" w:hAnsi="Times New Roman" w:cs="Times New Roman"/>
          <w:b/>
          <w:color w:val="4C4747"/>
          <w:lang w:val="es-419"/>
        </w:rPr>
      </w:pPr>
      <w:r w:rsidRPr="00B843D6">
        <w:rPr>
          <w:rFonts w:ascii="Times New Roman" w:hAnsi="Times New Roman" w:cs="Times New Roman"/>
          <w:color w:val="4C4747"/>
          <w:sz w:val="24"/>
          <w:szCs w:val="24"/>
          <w:lang w:val="es-419"/>
        </w:rPr>
        <w:t xml:space="preserve">                      </w:t>
      </w:r>
      <w:r w:rsidR="00B843D6" w:rsidRPr="00B843D6">
        <w:rPr>
          <w:rFonts w:ascii="Times New Roman" w:hAnsi="Times New Roman" w:cs="Times New Roman"/>
          <w:color w:val="4C4747"/>
          <w:sz w:val="24"/>
          <w:szCs w:val="24"/>
          <w:lang w:val="es-419"/>
        </w:rPr>
        <w:t xml:space="preserve">   </w:t>
      </w:r>
      <w:r w:rsidR="00B843D6">
        <w:rPr>
          <w:rFonts w:ascii="Times New Roman" w:hAnsi="Times New Roman" w:cs="Times New Roman"/>
          <w:color w:val="4C4747"/>
          <w:sz w:val="24"/>
          <w:szCs w:val="24"/>
          <w:lang w:val="es-419"/>
        </w:rPr>
        <w:t xml:space="preserve">  </w:t>
      </w:r>
      <w:r w:rsidR="00B843D6" w:rsidRPr="00B843D6">
        <w:rPr>
          <w:rFonts w:ascii="Times New Roman" w:hAnsi="Times New Roman" w:cs="Times New Roman"/>
          <w:color w:val="4C4747"/>
          <w:sz w:val="24"/>
          <w:szCs w:val="24"/>
          <w:lang w:val="es-419"/>
        </w:rPr>
        <w:t xml:space="preserve"> </w:t>
      </w:r>
      <w:r w:rsidRPr="00B843D6">
        <w:rPr>
          <w:rFonts w:ascii="Times New Roman" w:hAnsi="Times New Roman" w:cs="Times New Roman"/>
          <w:color w:val="4C4747"/>
          <w:sz w:val="24"/>
          <w:szCs w:val="24"/>
          <w:lang w:val="es-419"/>
        </w:rPr>
        <w:t xml:space="preserve">  </w:t>
      </w:r>
      <w:r w:rsidRPr="00582715">
        <w:rPr>
          <w:rFonts w:ascii="Times New Roman" w:hAnsi="Times New Roman" w:cs="Times New Roman"/>
          <w:b/>
          <w:color w:val="4C4747"/>
          <w:lang w:val="es-419"/>
        </w:rPr>
        <w:t>Fuente: Depto. Compras y Contrataciones</w:t>
      </w:r>
    </w:p>
    <w:p w14:paraId="2E89307D" w14:textId="49464A5C" w:rsidR="00760FAF" w:rsidRPr="005D08D4" w:rsidRDefault="00C95BA5" w:rsidP="005D08D4">
      <w:pPr>
        <w:tabs>
          <w:tab w:val="left" w:pos="818"/>
        </w:tabs>
        <w:spacing w:line="360" w:lineRule="auto"/>
        <w:jc w:val="both"/>
        <w:rPr>
          <w:rFonts w:ascii="Times New Roman" w:hAnsi="Times New Roman" w:cs="Times New Roman"/>
          <w:bCs/>
          <w:color w:val="4C4747"/>
          <w:sz w:val="24"/>
          <w:szCs w:val="24"/>
          <w:u w:val="single"/>
        </w:rPr>
      </w:pPr>
      <w:r w:rsidRPr="005D08D4">
        <w:rPr>
          <w:rFonts w:ascii="Times New Roman" w:hAnsi="Times New Roman" w:cs="Times New Roman"/>
          <w:bCs/>
          <w:color w:val="4C4747"/>
          <w:sz w:val="24"/>
          <w:szCs w:val="24"/>
        </w:rPr>
        <w:t xml:space="preserve">El reporte detallado de los procesos indicados en cuadro precedente está disponible en la página web del Banco Central de la República Dominicana, a través siguiente enlace: </w:t>
      </w:r>
      <w:hyperlink r:id="rId61" w:history="1">
        <w:r w:rsidRPr="005D08D4">
          <w:rPr>
            <w:rStyle w:val="Hyperlink"/>
            <w:rFonts w:ascii="Times New Roman" w:hAnsi="Times New Roman" w:cs="Times New Roman"/>
            <w:bCs/>
            <w:color w:val="4C4747"/>
            <w:sz w:val="24"/>
            <w:szCs w:val="24"/>
          </w:rPr>
          <w:t>https://www.bancentral.gov.do/a/d/4987-resumen-de-compras-y-contrataciones</w:t>
        </w:r>
      </w:hyperlink>
      <w:r w:rsidR="00760FAF" w:rsidRPr="005D08D4">
        <w:rPr>
          <w:rStyle w:val="Hyperlink"/>
          <w:rFonts w:ascii="Times New Roman" w:hAnsi="Times New Roman" w:cs="Times New Roman"/>
          <w:bCs/>
          <w:color w:val="4C4747"/>
          <w:sz w:val="24"/>
          <w:szCs w:val="24"/>
        </w:rPr>
        <w:t>.</w:t>
      </w:r>
    </w:p>
    <w:p w14:paraId="4F554EA4" w14:textId="77777777" w:rsidR="00C95BA5" w:rsidRPr="005D08D4" w:rsidRDefault="00C95BA5" w:rsidP="005D08D4">
      <w:pPr>
        <w:tabs>
          <w:tab w:val="left" w:pos="818"/>
        </w:tabs>
        <w:spacing w:line="360" w:lineRule="auto"/>
        <w:rPr>
          <w:rFonts w:ascii="Times New Roman" w:hAnsi="Times New Roman" w:cs="Times New Roman"/>
          <w:b/>
          <w:bCs/>
          <w:color w:val="4C4747"/>
          <w:sz w:val="24"/>
          <w:szCs w:val="24"/>
        </w:rPr>
      </w:pPr>
    </w:p>
    <w:p w14:paraId="7DA1CCFF" w14:textId="13D5259D" w:rsidR="00D00D50" w:rsidRPr="005D08D4" w:rsidRDefault="00D00D50" w:rsidP="005D08D4">
      <w:pPr>
        <w:spacing w:line="360" w:lineRule="auto"/>
        <w:rPr>
          <w:rFonts w:ascii="Times New Roman" w:hAnsi="Times New Roman" w:cs="Times New Roman"/>
          <w:b/>
          <w:bCs/>
          <w:sz w:val="24"/>
          <w:szCs w:val="24"/>
        </w:rPr>
      </w:pPr>
    </w:p>
    <w:sectPr w:rsidR="00D00D50" w:rsidRPr="005D08D4" w:rsidSect="00957E6E">
      <w:type w:val="continuous"/>
      <w:pgSz w:w="12240" w:h="15840" w:code="1"/>
      <w:pgMar w:top="1440" w:right="2160" w:bottom="1440" w:left="2160" w:header="216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C3B0B" w14:textId="77777777" w:rsidR="009B384A" w:rsidRDefault="009B384A" w:rsidP="00D92922">
      <w:pPr>
        <w:spacing w:after="0" w:line="240" w:lineRule="auto"/>
      </w:pPr>
      <w:r>
        <w:separator/>
      </w:r>
    </w:p>
  </w:endnote>
  <w:endnote w:type="continuationSeparator" w:id="0">
    <w:p w14:paraId="754A80BA" w14:textId="77777777" w:rsidR="009B384A" w:rsidRDefault="009B384A" w:rsidP="00D92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tifex CF Extra Light">
    <w:altName w:val="Courier New"/>
    <w:panose1 w:val="00000300000000000000"/>
    <w:charset w:val="00"/>
    <w:family w:val="modern"/>
    <w:notTrueType/>
    <w:pitch w:val="variable"/>
    <w:sig w:usb0="00000007" w:usb1="00000000" w:usb2="00000000" w:usb3="00000000" w:csb0="00000093" w:csb1="00000000"/>
  </w:font>
  <w:font w:name="Artifex CF">
    <w:panose1 w:val="000005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otham Light">
    <w:panose1 w:val="00000000000000000000"/>
    <w:charset w:val="00"/>
    <w:family w:val="modern"/>
    <w:notTrueType/>
    <w:pitch w:val="variable"/>
    <w:sig w:usb0="A10000FF" w:usb1="4000005B" w:usb2="00000000" w:usb3="00000000" w:csb0="0000009B" w:csb1="00000000"/>
  </w:font>
  <w:font w:name="Gotham Book">
    <w:panose1 w:val="00000000000000000000"/>
    <w:charset w:val="00"/>
    <w:family w:val="modern"/>
    <w:notTrueType/>
    <w:pitch w:val="variable"/>
    <w:sig w:usb0="A10000FF" w:usb1="4000005B" w:usb2="00000000" w:usb3="00000000" w:csb0="0000009B"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A787B" w14:textId="77777777" w:rsidR="009B384A" w:rsidRDefault="009B384A">
    <w:pPr>
      <w:pStyle w:val="Footer"/>
    </w:pPr>
    <w:r w:rsidRPr="008C4315">
      <w:rPr>
        <w:rFonts w:ascii="Arial" w:eastAsia="Calibri" w:hAnsi="Arial" w:cs="Arial"/>
        <w:noProof/>
        <w:color w:val="003876"/>
        <w:sz w:val="18"/>
        <w:lang w:val="es-ES"/>
      </w:rPr>
      <w:drawing>
        <wp:anchor distT="0" distB="0" distL="114300" distR="114300" simplePos="0" relativeHeight="251658240" behindDoc="0" locked="0" layoutInCell="1" allowOverlap="1" wp14:anchorId="4255FA00" wp14:editId="7764AD56">
          <wp:simplePos x="0" y="0"/>
          <wp:positionH relativeFrom="column">
            <wp:posOffset>1162050</wp:posOffset>
          </wp:positionH>
          <wp:positionV relativeFrom="paragraph">
            <wp:posOffset>-383540</wp:posOffset>
          </wp:positionV>
          <wp:extent cx="3000375" cy="400050"/>
          <wp:effectExtent l="0" t="0" r="9525" b="0"/>
          <wp:wrapNone/>
          <wp:docPr id="12" name="Picture 12"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5936E" w14:textId="5D744892" w:rsidR="009B384A" w:rsidRDefault="009B384A" w:rsidP="003D5AD2">
    <w:pPr>
      <w:pStyle w:val="Footer"/>
    </w:pPr>
  </w:p>
  <w:p w14:paraId="6F660480" w14:textId="77777777" w:rsidR="009B384A" w:rsidRDefault="009B38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9643F" w14:textId="4C6AB15A" w:rsidR="009B384A" w:rsidRPr="007208B2" w:rsidRDefault="009B384A">
    <w:pPr>
      <w:pStyle w:val="Footer"/>
      <w:jc w:val="center"/>
      <w:rPr>
        <w:rFonts w:asciiTheme="majorHAnsi" w:hAnsiTheme="majorHAnsi" w:cstheme="majorHAnsi"/>
        <w:sz w:val="16"/>
        <w:szCs w:val="16"/>
      </w:rPr>
    </w:pPr>
    <w:r w:rsidRPr="00213B6D">
      <w:rPr>
        <w:rFonts w:ascii="Gotham Light" w:hAnsi="Gotham Light"/>
        <w:noProof/>
        <w:sz w:val="15"/>
        <w:szCs w:val="15"/>
        <w:lang w:eastAsia="es-DO"/>
      </w:rPr>
      <w:drawing>
        <wp:anchor distT="0" distB="0" distL="114300" distR="114300" simplePos="0" relativeHeight="251666432" behindDoc="1" locked="0" layoutInCell="1" allowOverlap="1" wp14:anchorId="40E01E2D" wp14:editId="25EB84D9">
          <wp:simplePos x="0" y="0"/>
          <wp:positionH relativeFrom="margin">
            <wp:align>center</wp:align>
          </wp:positionH>
          <wp:positionV relativeFrom="paragraph">
            <wp:posOffset>-301625</wp:posOffset>
          </wp:positionV>
          <wp:extent cx="2413000" cy="292100"/>
          <wp:effectExtent l="0" t="0" r="6350" b="0"/>
          <wp:wrapNone/>
          <wp:docPr id="16"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t>-</w:t>
    </w:r>
    <w:sdt>
      <w:sdtPr>
        <w:id w:val="1927767676"/>
        <w:docPartObj>
          <w:docPartGallery w:val="Page Numbers (Bottom of Page)"/>
          <w:docPartUnique/>
        </w:docPartObj>
      </w:sdtPr>
      <w:sdtEndPr>
        <w:rPr>
          <w:rFonts w:asciiTheme="majorHAnsi" w:hAnsiTheme="majorHAnsi" w:cstheme="majorHAnsi"/>
          <w:noProof/>
          <w:sz w:val="16"/>
          <w:szCs w:val="16"/>
        </w:rPr>
      </w:sdtEndPr>
      <w:sdtContent>
        <w:r w:rsidRPr="007208B2">
          <w:rPr>
            <w:rFonts w:asciiTheme="majorHAnsi" w:hAnsiTheme="majorHAnsi" w:cstheme="majorHAnsi"/>
            <w:sz w:val="16"/>
            <w:szCs w:val="16"/>
          </w:rPr>
          <w:fldChar w:fldCharType="begin"/>
        </w:r>
        <w:r w:rsidRPr="007208B2">
          <w:rPr>
            <w:rFonts w:asciiTheme="majorHAnsi" w:hAnsiTheme="majorHAnsi" w:cstheme="majorHAnsi"/>
            <w:sz w:val="16"/>
            <w:szCs w:val="16"/>
          </w:rPr>
          <w:instrText xml:space="preserve"> PAGE   \* MERGEFORMAT </w:instrText>
        </w:r>
        <w:r w:rsidRPr="007208B2">
          <w:rPr>
            <w:rFonts w:asciiTheme="majorHAnsi" w:hAnsiTheme="majorHAnsi" w:cstheme="majorHAnsi"/>
            <w:sz w:val="16"/>
            <w:szCs w:val="16"/>
          </w:rPr>
          <w:fldChar w:fldCharType="separate"/>
        </w:r>
        <w:r w:rsidRPr="007208B2">
          <w:rPr>
            <w:rFonts w:asciiTheme="majorHAnsi" w:hAnsiTheme="majorHAnsi" w:cstheme="majorHAnsi"/>
            <w:noProof/>
            <w:sz w:val="16"/>
            <w:szCs w:val="16"/>
          </w:rPr>
          <w:t>2</w:t>
        </w:r>
        <w:r w:rsidRPr="007208B2">
          <w:rPr>
            <w:rFonts w:asciiTheme="majorHAnsi" w:hAnsiTheme="majorHAnsi" w:cstheme="majorHAnsi"/>
            <w:noProof/>
            <w:sz w:val="16"/>
            <w:szCs w:val="16"/>
          </w:rPr>
          <w:fldChar w:fldCharType="end"/>
        </w:r>
        <w:r>
          <w:rPr>
            <w:rFonts w:asciiTheme="majorHAnsi" w:hAnsiTheme="majorHAnsi" w:cstheme="majorHAnsi"/>
            <w:noProof/>
            <w:sz w:val="16"/>
            <w:szCs w:val="16"/>
          </w:rPr>
          <w:t>-</w:t>
        </w:r>
      </w:sdtContent>
    </w:sdt>
  </w:p>
  <w:p w14:paraId="3280A8A7" w14:textId="49166BBF" w:rsidR="009B384A" w:rsidRDefault="009B38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92F56" w14:textId="644DFD86" w:rsidR="009B384A" w:rsidRDefault="009B384A" w:rsidP="003D5AD2">
    <w:pPr>
      <w:pStyle w:val="Footer"/>
    </w:pPr>
  </w:p>
  <w:p w14:paraId="42E9DCAB" w14:textId="77777777" w:rsidR="009B384A" w:rsidRDefault="009B384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BB6C7" w14:textId="6E281A59" w:rsidR="009B384A" w:rsidRPr="007208B2" w:rsidRDefault="009B384A">
    <w:pPr>
      <w:pStyle w:val="Footer"/>
      <w:jc w:val="center"/>
      <w:rPr>
        <w:rFonts w:asciiTheme="majorHAnsi" w:hAnsiTheme="majorHAnsi" w:cstheme="majorHAnsi"/>
        <w:color w:val="4A4747"/>
        <w:sz w:val="16"/>
        <w:szCs w:val="16"/>
      </w:rPr>
    </w:pPr>
  </w:p>
  <w:p w14:paraId="7EE2B7B6" w14:textId="41DD207A" w:rsidR="009B384A" w:rsidRDefault="009B384A">
    <w:pPr>
      <w:pStyle w:val="Footer"/>
    </w:pPr>
  </w:p>
  <w:p w14:paraId="43785BDA" w14:textId="5B33C8AD" w:rsidR="009B384A" w:rsidRDefault="009B384A">
    <w:r w:rsidRPr="00213B6D">
      <w:rPr>
        <w:rFonts w:ascii="Gotham Light" w:hAnsi="Gotham Light"/>
        <w:noProof/>
        <w:sz w:val="15"/>
        <w:szCs w:val="15"/>
        <w:lang w:eastAsia="es-DO"/>
      </w:rPr>
      <w:drawing>
        <wp:anchor distT="0" distB="0" distL="114300" distR="114300" simplePos="0" relativeHeight="251664384" behindDoc="1" locked="0" layoutInCell="1" allowOverlap="1" wp14:anchorId="362028B0" wp14:editId="29C3CA1C">
          <wp:simplePos x="0" y="0"/>
          <wp:positionH relativeFrom="margin">
            <wp:align>center</wp:align>
          </wp:positionH>
          <wp:positionV relativeFrom="paragraph">
            <wp:posOffset>130810</wp:posOffset>
          </wp:positionV>
          <wp:extent cx="2413000" cy="292100"/>
          <wp:effectExtent l="0" t="0" r="6350" b="0"/>
          <wp:wrapThrough wrapText="bothSides">
            <wp:wrapPolygon edited="0">
              <wp:start x="10402" y="0"/>
              <wp:lineTo x="0" y="15496"/>
              <wp:lineTo x="0" y="19722"/>
              <wp:lineTo x="9038" y="19722"/>
              <wp:lineTo x="12448" y="19722"/>
              <wp:lineTo x="21486" y="19722"/>
              <wp:lineTo x="21486" y="15496"/>
              <wp:lineTo x="11084" y="0"/>
              <wp:lineTo x="10402" y="0"/>
            </wp:wrapPolygon>
          </wp:wrapThrough>
          <wp:docPr id="35"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sdt>
    <w:sdtPr>
      <w:id w:val="807827794"/>
      <w:docPartObj>
        <w:docPartGallery w:val="Page Numbers (Bottom of Page)"/>
        <w:docPartUnique/>
      </w:docPartObj>
    </w:sdtPr>
    <w:sdtEndPr>
      <w:rPr>
        <w:rFonts w:ascii="Times New Roman" w:hAnsi="Times New Roman" w:cs="Times New Roman"/>
        <w:b/>
        <w:noProof/>
        <w:color w:val="4C4747"/>
        <w:sz w:val="16"/>
        <w:szCs w:val="16"/>
      </w:rPr>
    </w:sdtEndPr>
    <w:sdtContent>
      <w:p w14:paraId="44E98B5F" w14:textId="77777777" w:rsidR="009B384A" w:rsidRDefault="009B384A" w:rsidP="00A9357E">
        <w:pPr>
          <w:pStyle w:val="Footer"/>
        </w:pPr>
      </w:p>
      <w:p w14:paraId="4492B346" w14:textId="0A5EDE85" w:rsidR="009B384A" w:rsidRPr="00AD0E8C" w:rsidRDefault="009B384A" w:rsidP="00A9357E">
        <w:pPr>
          <w:pStyle w:val="Footer"/>
          <w:jc w:val="center"/>
          <w:rPr>
            <w:rFonts w:ascii="Times New Roman" w:hAnsi="Times New Roman" w:cs="Times New Roman"/>
            <w:b/>
            <w:color w:val="4C4747"/>
            <w:sz w:val="16"/>
            <w:szCs w:val="16"/>
          </w:rPr>
        </w:pPr>
        <w:r w:rsidRPr="00AD0E8C">
          <w:rPr>
            <w:rFonts w:ascii="Times New Roman" w:hAnsi="Times New Roman" w:cs="Times New Roman"/>
            <w:b/>
            <w:color w:val="4C4747"/>
            <w:sz w:val="16"/>
            <w:szCs w:val="16"/>
          </w:rPr>
          <w:fldChar w:fldCharType="begin"/>
        </w:r>
        <w:r w:rsidRPr="00AD0E8C">
          <w:rPr>
            <w:rFonts w:ascii="Times New Roman" w:hAnsi="Times New Roman" w:cs="Times New Roman"/>
            <w:b/>
            <w:color w:val="4C4747"/>
            <w:sz w:val="16"/>
            <w:szCs w:val="16"/>
          </w:rPr>
          <w:instrText xml:space="preserve"> PAGE   \* MERGEFORMAT </w:instrText>
        </w:r>
        <w:r w:rsidRPr="00AD0E8C">
          <w:rPr>
            <w:rFonts w:ascii="Times New Roman" w:hAnsi="Times New Roman" w:cs="Times New Roman"/>
            <w:b/>
            <w:color w:val="4C4747"/>
            <w:sz w:val="16"/>
            <w:szCs w:val="16"/>
          </w:rPr>
          <w:fldChar w:fldCharType="separate"/>
        </w:r>
        <w:r w:rsidRPr="00AD0E8C">
          <w:rPr>
            <w:rFonts w:ascii="Times New Roman" w:hAnsi="Times New Roman" w:cs="Times New Roman"/>
            <w:b/>
            <w:color w:val="4C4747"/>
            <w:sz w:val="16"/>
            <w:szCs w:val="16"/>
          </w:rPr>
          <w:t>4</w:t>
        </w:r>
        <w:r w:rsidRPr="00AD0E8C">
          <w:rPr>
            <w:rFonts w:ascii="Times New Roman" w:hAnsi="Times New Roman" w:cs="Times New Roman"/>
            <w:b/>
            <w:noProof/>
            <w:color w:val="4C4747"/>
            <w:sz w:val="16"/>
            <w:szCs w:val="16"/>
          </w:rPr>
          <w:fldChar w:fldCharType="end"/>
        </w:r>
      </w:p>
    </w:sdtContent>
  </w:sdt>
  <w:p w14:paraId="36FF1E39" w14:textId="77777777" w:rsidR="009B384A" w:rsidRDefault="009B384A"/>
  <w:p w14:paraId="4FB8A5DD" w14:textId="77777777" w:rsidR="009B384A" w:rsidRDefault="009B384A"/>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ECC92" w14:textId="17606578" w:rsidR="009B384A" w:rsidRPr="00F73DB6" w:rsidRDefault="009B384A">
    <w:pPr>
      <w:pStyle w:val="Footer"/>
      <w:jc w:val="center"/>
      <w:rPr>
        <w:rFonts w:cs="Times New Roman"/>
        <w:sz w:val="16"/>
        <w:szCs w:val="16"/>
      </w:rPr>
    </w:pPr>
    <w:r w:rsidRPr="00213B6D">
      <w:rPr>
        <w:rFonts w:ascii="Gotham Light" w:hAnsi="Gotham Light"/>
        <w:noProof/>
        <w:sz w:val="15"/>
        <w:szCs w:val="15"/>
        <w:lang w:eastAsia="es-DO"/>
      </w:rPr>
      <w:drawing>
        <wp:anchor distT="0" distB="0" distL="114300" distR="114300" simplePos="0" relativeHeight="251660288" behindDoc="1" locked="0" layoutInCell="1" allowOverlap="1" wp14:anchorId="1F8EA7E1" wp14:editId="3E181C4E">
          <wp:simplePos x="0" y="0"/>
          <wp:positionH relativeFrom="margin">
            <wp:align>center</wp:align>
          </wp:positionH>
          <wp:positionV relativeFrom="paragraph">
            <wp:posOffset>-400685</wp:posOffset>
          </wp:positionV>
          <wp:extent cx="2411846" cy="370205"/>
          <wp:effectExtent l="0" t="0" r="7620" b="0"/>
          <wp:wrapNone/>
          <wp:docPr id="36"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1846" cy="370205"/>
                  </a:xfrm>
                  <a:prstGeom prst="rect">
                    <a:avLst/>
                  </a:prstGeom>
                </pic:spPr>
              </pic:pic>
            </a:graphicData>
          </a:graphic>
          <wp14:sizeRelH relativeFrom="page">
            <wp14:pctWidth>0</wp14:pctWidth>
          </wp14:sizeRelH>
          <wp14:sizeRelV relativeFrom="page">
            <wp14:pctHeight>0</wp14:pctHeight>
          </wp14:sizeRelV>
        </wp:anchor>
      </w:drawing>
    </w:r>
    <w:r w:rsidRPr="00F73DB6">
      <w:rPr>
        <w:rFonts w:cs="Times New Roman"/>
        <w:sz w:val="16"/>
        <w:szCs w:val="16"/>
      </w:rPr>
      <w:t>-</w:t>
    </w:r>
    <w:sdt>
      <w:sdtPr>
        <w:rPr>
          <w:rFonts w:cs="Times New Roman"/>
          <w:sz w:val="16"/>
          <w:szCs w:val="16"/>
        </w:rPr>
        <w:id w:val="951985431"/>
        <w:docPartObj>
          <w:docPartGallery w:val="Page Numbers (Bottom of Page)"/>
          <w:docPartUnique/>
        </w:docPartObj>
      </w:sdtPr>
      <w:sdtEndPr>
        <w:rPr>
          <w:noProof/>
        </w:rPr>
      </w:sdtEndPr>
      <w:sdtContent>
        <w:r w:rsidRPr="00F73DB6">
          <w:rPr>
            <w:rFonts w:cs="Times New Roman"/>
            <w:sz w:val="16"/>
            <w:szCs w:val="16"/>
          </w:rPr>
          <w:fldChar w:fldCharType="begin"/>
        </w:r>
        <w:r w:rsidRPr="00F73DB6">
          <w:rPr>
            <w:rFonts w:cs="Times New Roman"/>
            <w:sz w:val="16"/>
            <w:szCs w:val="16"/>
          </w:rPr>
          <w:instrText xml:space="preserve"> PAGE   \* MERGEFORMAT </w:instrText>
        </w:r>
        <w:r w:rsidRPr="00F73DB6">
          <w:rPr>
            <w:rFonts w:cs="Times New Roman"/>
            <w:sz w:val="16"/>
            <w:szCs w:val="16"/>
          </w:rPr>
          <w:fldChar w:fldCharType="separate"/>
        </w:r>
        <w:r w:rsidRPr="00F73DB6">
          <w:rPr>
            <w:rFonts w:cs="Times New Roman"/>
            <w:noProof/>
            <w:sz w:val="16"/>
            <w:szCs w:val="16"/>
          </w:rPr>
          <w:t>2</w:t>
        </w:r>
        <w:r w:rsidRPr="00F73DB6">
          <w:rPr>
            <w:rFonts w:cs="Times New Roman"/>
            <w:noProof/>
            <w:sz w:val="16"/>
            <w:szCs w:val="16"/>
          </w:rPr>
          <w:fldChar w:fldCharType="end"/>
        </w:r>
        <w:r w:rsidRPr="00F73DB6">
          <w:rPr>
            <w:rFonts w:cs="Times New Roman"/>
            <w:noProof/>
            <w:sz w:val="16"/>
            <w:szCs w:val="16"/>
          </w:rPr>
          <w:t>-</w:t>
        </w:r>
      </w:sdtContent>
    </w:sdt>
  </w:p>
  <w:p w14:paraId="68045A73" w14:textId="3D8318BC" w:rsidR="009B384A" w:rsidRDefault="009B38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87CF78" w14:textId="77777777" w:rsidR="009B384A" w:rsidRDefault="009B384A" w:rsidP="00D92922">
      <w:pPr>
        <w:spacing w:after="0" w:line="240" w:lineRule="auto"/>
      </w:pPr>
      <w:r>
        <w:separator/>
      </w:r>
    </w:p>
  </w:footnote>
  <w:footnote w:type="continuationSeparator" w:id="0">
    <w:p w14:paraId="0C8DA082" w14:textId="77777777" w:rsidR="009B384A" w:rsidRDefault="009B384A" w:rsidP="00D92922">
      <w:pPr>
        <w:spacing w:after="0" w:line="240" w:lineRule="auto"/>
      </w:pPr>
      <w:r>
        <w:continuationSeparator/>
      </w:r>
    </w:p>
  </w:footnote>
  <w:footnote w:id="1">
    <w:p w14:paraId="340F68F3" w14:textId="77777777" w:rsidR="009B384A" w:rsidRPr="00B46D33" w:rsidRDefault="009B384A" w:rsidP="002E7B17">
      <w:pPr>
        <w:pStyle w:val="FootnoteText"/>
        <w:jc w:val="both"/>
        <w:rPr>
          <w:rFonts w:ascii="Times New Roman" w:hAnsi="Times New Roman"/>
          <w:sz w:val="16"/>
          <w:szCs w:val="16"/>
          <w:lang w:val="es-DO"/>
        </w:rPr>
      </w:pPr>
      <w:r w:rsidRPr="00B46D33">
        <w:rPr>
          <w:rStyle w:val="FootnoteReference"/>
          <w:rFonts w:ascii="Times New Roman" w:hAnsi="Times New Roman"/>
          <w:sz w:val="16"/>
          <w:szCs w:val="16"/>
        </w:rPr>
        <w:footnoteRef/>
      </w:r>
      <w:r w:rsidRPr="00B46D33">
        <w:rPr>
          <w:rFonts w:ascii="Times New Roman" w:hAnsi="Times New Roman"/>
          <w:sz w:val="16"/>
          <w:szCs w:val="16"/>
          <w:lang w:val="es-DO"/>
        </w:rPr>
        <w:t xml:space="preserve"> La distribución en los niveles de logros para el Plan Estratégico Institucional (PEI) 2022-2025 atribuye un 25 % de avance a cada año del referido Plan Estratégico. En este sentido, el nivel de logro acumulado esperado a diciembre del 2023 representa, hasta esta fecha, un 50.00 % del PEI 2022-2025.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F3FA2" w14:textId="275F81A8" w:rsidR="009B384A" w:rsidRPr="004F7482" w:rsidRDefault="009B384A" w:rsidP="004F7482">
    <w:pPr>
      <w:pStyle w:val="Header"/>
    </w:pPr>
    <w:r>
      <w:ptab w:relativeTo="indent" w:alignment="center" w:leader="none"/>
    </w:r>
    <w:r>
      <w:ptab w:relativeTo="margin" w:alignment="center" w:leader="none"/>
    </w:r>
    <w:r>
      <w:ptab w:relativeTo="indent" w:alignment="center" w:leader="none"/>
    </w:r>
    <w:r>
      <w:ptab w:relativeTo="indent" w:alignment="center" w:leader="none"/>
    </w:r>
    <w:r>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043AF"/>
    <w:multiLevelType w:val="hybridMultilevel"/>
    <w:tmpl w:val="A48E789A"/>
    <w:lvl w:ilvl="0" w:tplc="186A1BAC">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87DE5"/>
    <w:multiLevelType w:val="hybridMultilevel"/>
    <w:tmpl w:val="8572F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35FDE"/>
    <w:multiLevelType w:val="hybridMultilevel"/>
    <w:tmpl w:val="ED58C8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79C2E79"/>
    <w:multiLevelType w:val="hybridMultilevel"/>
    <w:tmpl w:val="240A07C2"/>
    <w:lvl w:ilvl="0" w:tplc="1784922A">
      <w:start w:val="1"/>
      <w:numFmt w:val="bullet"/>
      <w:lvlText w:val=""/>
      <w:lvlJc w:val="left"/>
      <w:pPr>
        <w:ind w:left="1260" w:hanging="360"/>
      </w:pPr>
      <w:rPr>
        <w:rFonts w:ascii="Wingdings" w:hAnsi="Wingdings" w:hint="default"/>
        <w:b/>
        <w:bCs/>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15:restartNumberingAfterBreak="0">
    <w:nsid w:val="0AFB7A97"/>
    <w:multiLevelType w:val="hybridMultilevel"/>
    <w:tmpl w:val="90DA6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B696292"/>
    <w:multiLevelType w:val="hybridMultilevel"/>
    <w:tmpl w:val="97A04432"/>
    <w:lvl w:ilvl="0" w:tplc="0409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6" w15:restartNumberingAfterBreak="0">
    <w:nsid w:val="0DD8553A"/>
    <w:multiLevelType w:val="hybridMultilevel"/>
    <w:tmpl w:val="B4B4E89A"/>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0F032488"/>
    <w:multiLevelType w:val="multilevel"/>
    <w:tmpl w:val="E4FC4F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F060D6A"/>
    <w:multiLevelType w:val="hybridMultilevel"/>
    <w:tmpl w:val="B7F01698"/>
    <w:lvl w:ilvl="0" w:tplc="1C0A0001">
      <w:start w:val="1"/>
      <w:numFmt w:val="bullet"/>
      <w:lvlText w:val=""/>
      <w:lvlJc w:val="left"/>
      <w:pPr>
        <w:ind w:left="1077" w:hanging="360"/>
      </w:pPr>
      <w:rPr>
        <w:rFonts w:ascii="Symbol" w:hAnsi="Symbol" w:hint="default"/>
      </w:rPr>
    </w:lvl>
    <w:lvl w:ilvl="1" w:tplc="1C0A0019">
      <w:start w:val="1"/>
      <w:numFmt w:val="lowerLetter"/>
      <w:lvlText w:val="%2."/>
      <w:lvlJc w:val="left"/>
      <w:pPr>
        <w:ind w:left="1797" w:hanging="360"/>
      </w:pPr>
    </w:lvl>
    <w:lvl w:ilvl="2" w:tplc="1C0A001B" w:tentative="1">
      <w:start w:val="1"/>
      <w:numFmt w:val="lowerRoman"/>
      <w:lvlText w:val="%3."/>
      <w:lvlJc w:val="right"/>
      <w:pPr>
        <w:ind w:left="2517" w:hanging="180"/>
      </w:pPr>
    </w:lvl>
    <w:lvl w:ilvl="3" w:tplc="1C0A000F" w:tentative="1">
      <w:start w:val="1"/>
      <w:numFmt w:val="decimal"/>
      <w:lvlText w:val="%4."/>
      <w:lvlJc w:val="left"/>
      <w:pPr>
        <w:ind w:left="3237" w:hanging="360"/>
      </w:pPr>
    </w:lvl>
    <w:lvl w:ilvl="4" w:tplc="1C0A0019" w:tentative="1">
      <w:start w:val="1"/>
      <w:numFmt w:val="lowerLetter"/>
      <w:lvlText w:val="%5."/>
      <w:lvlJc w:val="left"/>
      <w:pPr>
        <w:ind w:left="3957" w:hanging="360"/>
      </w:pPr>
    </w:lvl>
    <w:lvl w:ilvl="5" w:tplc="1C0A001B" w:tentative="1">
      <w:start w:val="1"/>
      <w:numFmt w:val="lowerRoman"/>
      <w:lvlText w:val="%6."/>
      <w:lvlJc w:val="right"/>
      <w:pPr>
        <w:ind w:left="4677" w:hanging="180"/>
      </w:pPr>
    </w:lvl>
    <w:lvl w:ilvl="6" w:tplc="1C0A000F" w:tentative="1">
      <w:start w:val="1"/>
      <w:numFmt w:val="decimal"/>
      <w:lvlText w:val="%7."/>
      <w:lvlJc w:val="left"/>
      <w:pPr>
        <w:ind w:left="5397" w:hanging="360"/>
      </w:pPr>
    </w:lvl>
    <w:lvl w:ilvl="7" w:tplc="1C0A0019" w:tentative="1">
      <w:start w:val="1"/>
      <w:numFmt w:val="lowerLetter"/>
      <w:lvlText w:val="%8."/>
      <w:lvlJc w:val="left"/>
      <w:pPr>
        <w:ind w:left="6117" w:hanging="360"/>
      </w:pPr>
    </w:lvl>
    <w:lvl w:ilvl="8" w:tplc="1C0A001B" w:tentative="1">
      <w:start w:val="1"/>
      <w:numFmt w:val="lowerRoman"/>
      <w:lvlText w:val="%9."/>
      <w:lvlJc w:val="right"/>
      <w:pPr>
        <w:ind w:left="6837" w:hanging="180"/>
      </w:pPr>
    </w:lvl>
  </w:abstractNum>
  <w:abstractNum w:abstractNumId="9" w15:restartNumberingAfterBreak="0">
    <w:nsid w:val="1679637B"/>
    <w:multiLevelType w:val="hybridMultilevel"/>
    <w:tmpl w:val="7542F8B6"/>
    <w:lvl w:ilvl="0" w:tplc="0409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167F2869"/>
    <w:multiLevelType w:val="multilevel"/>
    <w:tmpl w:val="1338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B8471C"/>
    <w:multiLevelType w:val="hybridMultilevel"/>
    <w:tmpl w:val="92BC997C"/>
    <w:lvl w:ilvl="0" w:tplc="04090001">
      <w:start w:val="1"/>
      <w:numFmt w:val="bullet"/>
      <w:lvlText w:val=""/>
      <w:lvlJc w:val="left"/>
      <w:pPr>
        <w:ind w:left="1080" w:hanging="360"/>
      </w:pPr>
      <w:rPr>
        <w:rFonts w:ascii="Symbol" w:hAnsi="Symbol" w:hint="default"/>
        <w:color w:val="auto"/>
        <w:sz w:val="24"/>
        <w:szCs w:val="16"/>
      </w:rPr>
    </w:lvl>
    <w:lvl w:ilvl="1" w:tplc="1C0A0003">
      <w:start w:val="1"/>
      <w:numFmt w:val="bullet"/>
      <w:lvlText w:val="o"/>
      <w:lvlJc w:val="left"/>
      <w:pPr>
        <w:ind w:left="1800" w:hanging="360"/>
      </w:pPr>
      <w:rPr>
        <w:rFonts w:ascii="Courier New" w:hAnsi="Courier New" w:cs="Courier New" w:hint="default"/>
      </w:rPr>
    </w:lvl>
    <w:lvl w:ilvl="2" w:tplc="1C0A0005">
      <w:start w:val="1"/>
      <w:numFmt w:val="bullet"/>
      <w:lvlText w:val=""/>
      <w:lvlJc w:val="left"/>
      <w:pPr>
        <w:ind w:left="2520" w:hanging="360"/>
      </w:pPr>
      <w:rPr>
        <w:rFonts w:ascii="Wingdings" w:hAnsi="Wingdings" w:hint="default"/>
      </w:rPr>
    </w:lvl>
    <w:lvl w:ilvl="3" w:tplc="1C0A0001">
      <w:start w:val="1"/>
      <w:numFmt w:val="bullet"/>
      <w:lvlText w:val=""/>
      <w:lvlJc w:val="left"/>
      <w:pPr>
        <w:ind w:left="3240" w:hanging="360"/>
      </w:pPr>
      <w:rPr>
        <w:rFonts w:ascii="Symbol" w:hAnsi="Symbol" w:hint="default"/>
      </w:rPr>
    </w:lvl>
    <w:lvl w:ilvl="4" w:tplc="1C0A0003">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2" w15:restartNumberingAfterBreak="0">
    <w:nsid w:val="1C0C35A3"/>
    <w:multiLevelType w:val="hybridMultilevel"/>
    <w:tmpl w:val="C720A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F4437AA"/>
    <w:multiLevelType w:val="hybridMultilevel"/>
    <w:tmpl w:val="5082E116"/>
    <w:lvl w:ilvl="0" w:tplc="04090001">
      <w:start w:val="1"/>
      <w:numFmt w:val="bullet"/>
      <w:lvlText w:val=""/>
      <w:lvlJc w:val="left"/>
      <w:pPr>
        <w:ind w:left="720" w:hanging="360"/>
      </w:pPr>
      <w:rPr>
        <w:rFonts w:ascii="Symbol" w:hAnsi="Symbol" w:hint="default"/>
        <w:b/>
        <w:color w:val="404040" w:themeColor="text1" w:themeTint="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8545C2"/>
    <w:multiLevelType w:val="hybridMultilevel"/>
    <w:tmpl w:val="AC8CE6B6"/>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285C042A"/>
    <w:multiLevelType w:val="multilevel"/>
    <w:tmpl w:val="730E39A4"/>
    <w:lvl w:ilvl="0">
      <w:start w:val="2"/>
      <w:numFmt w:val="decimal"/>
      <w:lvlText w:val="%1"/>
      <w:lvlJc w:val="left"/>
      <w:pPr>
        <w:ind w:left="360" w:hanging="360"/>
      </w:pPr>
      <w:rPr>
        <w:rFonts w:hint="default"/>
      </w:rPr>
    </w:lvl>
    <w:lvl w:ilvl="1">
      <w:start w:val="2"/>
      <w:numFmt w:val="decimal"/>
      <w:lvlText w:val="%1.%2"/>
      <w:lvlJc w:val="left"/>
      <w:pPr>
        <w:ind w:left="1080" w:hanging="720"/>
      </w:pPr>
      <w:rPr>
        <w:rFonts w:hint="default"/>
        <w:color w:val="404040" w:themeColor="text1" w:themeTint="BF"/>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29F27654"/>
    <w:multiLevelType w:val="hybridMultilevel"/>
    <w:tmpl w:val="72221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245EA"/>
    <w:multiLevelType w:val="multilevel"/>
    <w:tmpl w:val="CF8E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E037F7"/>
    <w:multiLevelType w:val="hybridMultilevel"/>
    <w:tmpl w:val="5D8AE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D3207F6"/>
    <w:multiLevelType w:val="multilevel"/>
    <w:tmpl w:val="44F00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0C0A69"/>
    <w:multiLevelType w:val="hybridMultilevel"/>
    <w:tmpl w:val="31A26B30"/>
    <w:lvl w:ilvl="0" w:tplc="90A80490">
      <w:start w:val="1"/>
      <w:numFmt w:val="bullet"/>
      <w:lvlText w:val=""/>
      <w:lvlJc w:val="left"/>
      <w:pPr>
        <w:ind w:left="720" w:hanging="360"/>
      </w:pPr>
      <w:rPr>
        <w:rFonts w:ascii="Wingdings" w:hAnsi="Wingdings" w:hint="default"/>
        <w:b/>
        <w:color w:val="404040" w:themeColor="text1" w:themeTint="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3A6222"/>
    <w:multiLevelType w:val="hybridMultilevel"/>
    <w:tmpl w:val="013A6DDE"/>
    <w:lvl w:ilvl="0" w:tplc="361C23EE">
      <w:numFmt w:val="bullet"/>
      <w:lvlText w:val="-"/>
      <w:lvlJc w:val="left"/>
      <w:pPr>
        <w:ind w:left="720" w:hanging="360"/>
      </w:pPr>
      <w:rPr>
        <w:rFonts w:ascii="Verdana" w:eastAsia="Verdana" w:hAnsi="Verdana" w:cs="Verdana" w:hint="default"/>
        <w:color w:val="737373"/>
        <w:w w:val="84"/>
        <w:sz w:val="21"/>
        <w:szCs w:val="21"/>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D660CF2"/>
    <w:multiLevelType w:val="hybridMultilevel"/>
    <w:tmpl w:val="EDDA477E"/>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DCB1924"/>
    <w:multiLevelType w:val="multilevel"/>
    <w:tmpl w:val="7B8A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247D5E"/>
    <w:multiLevelType w:val="hybridMultilevel"/>
    <w:tmpl w:val="8C84275A"/>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5" w15:restartNumberingAfterBreak="0">
    <w:nsid w:val="4F5A7F24"/>
    <w:multiLevelType w:val="hybridMultilevel"/>
    <w:tmpl w:val="BCE2C7B8"/>
    <w:lvl w:ilvl="0" w:tplc="04090005">
      <w:start w:val="1"/>
      <w:numFmt w:val="bullet"/>
      <w:lvlText w:val=""/>
      <w:lvlJc w:val="left"/>
      <w:pPr>
        <w:ind w:left="720" w:hanging="360"/>
      </w:pPr>
      <w:rPr>
        <w:rFonts w:ascii="Wingdings" w:hAnsi="Wingdings"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62083A"/>
    <w:multiLevelType w:val="hybridMultilevel"/>
    <w:tmpl w:val="7408C728"/>
    <w:lvl w:ilvl="0" w:tplc="6632F3E0">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7" w15:restartNumberingAfterBreak="0">
    <w:nsid w:val="523E5B9D"/>
    <w:multiLevelType w:val="hybridMultilevel"/>
    <w:tmpl w:val="BF747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CE40AF"/>
    <w:multiLevelType w:val="multilevel"/>
    <w:tmpl w:val="918AD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7B2341"/>
    <w:multiLevelType w:val="hybridMultilevel"/>
    <w:tmpl w:val="396421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03A6007"/>
    <w:multiLevelType w:val="multilevel"/>
    <w:tmpl w:val="53CA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931215"/>
    <w:multiLevelType w:val="hybridMultilevel"/>
    <w:tmpl w:val="E49E1B7E"/>
    <w:lvl w:ilvl="0" w:tplc="FD123930">
      <w:start w:val="1"/>
      <w:numFmt w:val="decimal"/>
      <w:lvlText w:val="%1)"/>
      <w:lvlJc w:val="left"/>
      <w:pPr>
        <w:ind w:left="720" w:hanging="360"/>
      </w:pPr>
      <w:rPr>
        <w:rFonts w:hint="default"/>
        <w:color w:val="404040" w:themeColor="text1" w:themeTint="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00C6B"/>
    <w:multiLevelType w:val="hybridMultilevel"/>
    <w:tmpl w:val="476C4A58"/>
    <w:lvl w:ilvl="0" w:tplc="04090001">
      <w:start w:val="1"/>
      <w:numFmt w:val="bullet"/>
      <w:lvlText w:val=""/>
      <w:lvlJc w:val="left"/>
      <w:pPr>
        <w:ind w:left="720" w:hanging="360"/>
      </w:pPr>
      <w:rPr>
        <w:rFonts w:ascii="Symbol" w:hAnsi="Symbol" w:hint="default"/>
        <w:color w:val="404040" w:themeColor="text1" w:themeTint="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91C09"/>
    <w:multiLevelType w:val="hybridMultilevel"/>
    <w:tmpl w:val="6C94FA34"/>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B21149B"/>
    <w:multiLevelType w:val="hybridMultilevel"/>
    <w:tmpl w:val="74044E4C"/>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6DD30A14"/>
    <w:multiLevelType w:val="multilevel"/>
    <w:tmpl w:val="8BE0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C80DC7"/>
    <w:multiLevelType w:val="hybridMultilevel"/>
    <w:tmpl w:val="B5E0E2BA"/>
    <w:lvl w:ilvl="0" w:tplc="04090001">
      <w:start w:val="1"/>
      <w:numFmt w:val="bullet"/>
      <w:lvlText w:val=""/>
      <w:lvlJc w:val="left"/>
      <w:pPr>
        <w:ind w:left="720" w:hanging="360"/>
      </w:pPr>
      <w:rPr>
        <w:rFonts w:ascii="Symbol" w:hAnsi="Symbol" w:hint="default"/>
        <w:b/>
        <w:i w:val="0"/>
      </w:rPr>
    </w:lvl>
    <w:lvl w:ilvl="1" w:tplc="7464B5DC">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E34AA9"/>
    <w:multiLevelType w:val="multilevel"/>
    <w:tmpl w:val="3EE2E7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94B1488"/>
    <w:multiLevelType w:val="hybridMultilevel"/>
    <w:tmpl w:val="B578606A"/>
    <w:lvl w:ilvl="0" w:tplc="0409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A7D515A"/>
    <w:multiLevelType w:val="hybridMultilevel"/>
    <w:tmpl w:val="96F25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2D46CD"/>
    <w:multiLevelType w:val="hybridMultilevel"/>
    <w:tmpl w:val="9078BF14"/>
    <w:lvl w:ilvl="0" w:tplc="08D41FCE">
      <w:start w:val="1"/>
      <w:numFmt w:val="bullet"/>
      <w:lvlText w:val=""/>
      <w:lvlJc w:val="left"/>
      <w:pPr>
        <w:ind w:left="1080" w:hanging="360"/>
      </w:pPr>
      <w:rPr>
        <w:rFonts w:ascii="Wingdings" w:hAnsi="Wingdings" w:hint="default"/>
        <w:color w:val="auto"/>
        <w:sz w:val="24"/>
        <w:szCs w:val="16"/>
      </w:rPr>
    </w:lvl>
    <w:lvl w:ilvl="1" w:tplc="1C0A0003">
      <w:start w:val="1"/>
      <w:numFmt w:val="bullet"/>
      <w:lvlText w:val="o"/>
      <w:lvlJc w:val="left"/>
      <w:pPr>
        <w:ind w:left="1800" w:hanging="360"/>
      </w:pPr>
      <w:rPr>
        <w:rFonts w:ascii="Courier New" w:hAnsi="Courier New" w:cs="Courier New" w:hint="default"/>
      </w:rPr>
    </w:lvl>
    <w:lvl w:ilvl="2" w:tplc="1C0A0005">
      <w:start w:val="1"/>
      <w:numFmt w:val="bullet"/>
      <w:lvlText w:val=""/>
      <w:lvlJc w:val="left"/>
      <w:pPr>
        <w:ind w:left="2520" w:hanging="360"/>
      </w:pPr>
      <w:rPr>
        <w:rFonts w:ascii="Wingdings" w:hAnsi="Wingdings" w:hint="default"/>
      </w:rPr>
    </w:lvl>
    <w:lvl w:ilvl="3" w:tplc="1C0A0001">
      <w:start w:val="1"/>
      <w:numFmt w:val="bullet"/>
      <w:lvlText w:val=""/>
      <w:lvlJc w:val="left"/>
      <w:pPr>
        <w:ind w:left="3240" w:hanging="360"/>
      </w:pPr>
      <w:rPr>
        <w:rFonts w:ascii="Symbol" w:hAnsi="Symbol" w:hint="default"/>
      </w:rPr>
    </w:lvl>
    <w:lvl w:ilvl="4" w:tplc="1C0A0003">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1" w15:restartNumberingAfterBreak="0">
    <w:nsid w:val="7FF07C64"/>
    <w:multiLevelType w:val="hybridMultilevel"/>
    <w:tmpl w:val="CF34A0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0"/>
  </w:num>
  <w:num w:numId="4">
    <w:abstractNumId w:val="19"/>
  </w:num>
  <w:num w:numId="5">
    <w:abstractNumId w:val="35"/>
  </w:num>
  <w:num w:numId="6">
    <w:abstractNumId w:val="17"/>
  </w:num>
  <w:num w:numId="7">
    <w:abstractNumId w:val="28"/>
  </w:num>
  <w:num w:numId="8">
    <w:abstractNumId w:val="30"/>
  </w:num>
  <w:num w:numId="9">
    <w:abstractNumId w:val="8"/>
  </w:num>
  <w:num w:numId="10">
    <w:abstractNumId w:val="6"/>
  </w:num>
  <w:num w:numId="11">
    <w:abstractNumId w:val="36"/>
  </w:num>
  <w:num w:numId="12">
    <w:abstractNumId w:val="22"/>
  </w:num>
  <w:num w:numId="13">
    <w:abstractNumId w:val="5"/>
  </w:num>
  <w:num w:numId="14">
    <w:abstractNumId w:val="18"/>
  </w:num>
  <w:num w:numId="15">
    <w:abstractNumId w:val="12"/>
  </w:num>
  <w:num w:numId="16">
    <w:abstractNumId w:val="29"/>
  </w:num>
  <w:num w:numId="17">
    <w:abstractNumId w:val="2"/>
  </w:num>
  <w:num w:numId="18">
    <w:abstractNumId w:val="23"/>
  </w:num>
  <w:num w:numId="19">
    <w:abstractNumId w:val="39"/>
  </w:num>
  <w:num w:numId="20">
    <w:abstractNumId w:val="27"/>
  </w:num>
  <w:num w:numId="21">
    <w:abstractNumId w:val="16"/>
  </w:num>
  <w:num w:numId="22">
    <w:abstractNumId w:val="40"/>
  </w:num>
  <w:num w:numId="23">
    <w:abstractNumId w:val="15"/>
  </w:num>
  <w:num w:numId="24">
    <w:abstractNumId w:val="9"/>
  </w:num>
  <w:num w:numId="25">
    <w:abstractNumId w:val="4"/>
  </w:num>
  <w:num w:numId="26">
    <w:abstractNumId w:val="33"/>
  </w:num>
  <w:num w:numId="27">
    <w:abstractNumId w:val="25"/>
  </w:num>
  <w:num w:numId="28">
    <w:abstractNumId w:val="3"/>
  </w:num>
  <w:num w:numId="29">
    <w:abstractNumId w:val="41"/>
  </w:num>
  <w:num w:numId="30">
    <w:abstractNumId w:val="0"/>
  </w:num>
  <w:num w:numId="31">
    <w:abstractNumId w:val="34"/>
  </w:num>
  <w:num w:numId="32">
    <w:abstractNumId w:val="24"/>
  </w:num>
  <w:num w:numId="33">
    <w:abstractNumId w:val="20"/>
  </w:num>
  <w:num w:numId="34">
    <w:abstractNumId w:val="31"/>
  </w:num>
  <w:num w:numId="35">
    <w:abstractNumId w:val="11"/>
  </w:num>
  <w:num w:numId="36">
    <w:abstractNumId w:val="13"/>
  </w:num>
  <w:num w:numId="37">
    <w:abstractNumId w:val="32"/>
  </w:num>
  <w:num w:numId="38">
    <w:abstractNumId w:val="37"/>
  </w:num>
  <w:num w:numId="39">
    <w:abstractNumId w:val="26"/>
  </w:num>
  <w:num w:numId="40">
    <w:abstractNumId w:val="38"/>
  </w:num>
  <w:num w:numId="41">
    <w:abstractNumId w:val="1"/>
  </w:num>
  <w:num w:numId="42">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4C"/>
    <w:rsid w:val="00002A43"/>
    <w:rsid w:val="00007AB0"/>
    <w:rsid w:val="00007FC9"/>
    <w:rsid w:val="00021421"/>
    <w:rsid w:val="000332DB"/>
    <w:rsid w:val="00044896"/>
    <w:rsid w:val="00053D9C"/>
    <w:rsid w:val="00065C6F"/>
    <w:rsid w:val="00072286"/>
    <w:rsid w:val="00090C4C"/>
    <w:rsid w:val="000944CE"/>
    <w:rsid w:val="0009663A"/>
    <w:rsid w:val="000B3D4B"/>
    <w:rsid w:val="000B5169"/>
    <w:rsid w:val="000C1A03"/>
    <w:rsid w:val="000D23EE"/>
    <w:rsid w:val="000D3ACF"/>
    <w:rsid w:val="000D4C08"/>
    <w:rsid w:val="000E0E75"/>
    <w:rsid w:val="000E2AF9"/>
    <w:rsid w:val="000F7FB4"/>
    <w:rsid w:val="0010086D"/>
    <w:rsid w:val="00110E08"/>
    <w:rsid w:val="00134563"/>
    <w:rsid w:val="0013656E"/>
    <w:rsid w:val="00171152"/>
    <w:rsid w:val="00185616"/>
    <w:rsid w:val="0019179A"/>
    <w:rsid w:val="001A3233"/>
    <w:rsid w:val="001A57D2"/>
    <w:rsid w:val="001E5C18"/>
    <w:rsid w:val="00226F1A"/>
    <w:rsid w:val="00266684"/>
    <w:rsid w:val="00266F57"/>
    <w:rsid w:val="00281ADB"/>
    <w:rsid w:val="0028711C"/>
    <w:rsid w:val="002A4F72"/>
    <w:rsid w:val="002B1D64"/>
    <w:rsid w:val="002B7448"/>
    <w:rsid w:val="002C55ED"/>
    <w:rsid w:val="002C6722"/>
    <w:rsid w:val="002C6B7C"/>
    <w:rsid w:val="002D2034"/>
    <w:rsid w:val="002D2552"/>
    <w:rsid w:val="002E7B17"/>
    <w:rsid w:val="00300831"/>
    <w:rsid w:val="00305350"/>
    <w:rsid w:val="00305C3E"/>
    <w:rsid w:val="0032596C"/>
    <w:rsid w:val="00332E05"/>
    <w:rsid w:val="00335F6B"/>
    <w:rsid w:val="0036166D"/>
    <w:rsid w:val="003B4711"/>
    <w:rsid w:val="003B6C58"/>
    <w:rsid w:val="003C3630"/>
    <w:rsid w:val="003C599A"/>
    <w:rsid w:val="003D5AD2"/>
    <w:rsid w:val="003E38E1"/>
    <w:rsid w:val="003E63DA"/>
    <w:rsid w:val="003E6DED"/>
    <w:rsid w:val="003F1CD3"/>
    <w:rsid w:val="004157E6"/>
    <w:rsid w:val="00416AF6"/>
    <w:rsid w:val="0042353A"/>
    <w:rsid w:val="00430773"/>
    <w:rsid w:val="0043452D"/>
    <w:rsid w:val="00434624"/>
    <w:rsid w:val="00462712"/>
    <w:rsid w:val="0047534E"/>
    <w:rsid w:val="00491DE0"/>
    <w:rsid w:val="004A5373"/>
    <w:rsid w:val="004A583A"/>
    <w:rsid w:val="004A604D"/>
    <w:rsid w:val="004D24E4"/>
    <w:rsid w:val="004D4341"/>
    <w:rsid w:val="004E2591"/>
    <w:rsid w:val="004F7482"/>
    <w:rsid w:val="00500181"/>
    <w:rsid w:val="00503E94"/>
    <w:rsid w:val="00504444"/>
    <w:rsid w:val="0050723D"/>
    <w:rsid w:val="0053018D"/>
    <w:rsid w:val="00543A92"/>
    <w:rsid w:val="005659AA"/>
    <w:rsid w:val="005678E9"/>
    <w:rsid w:val="0057038A"/>
    <w:rsid w:val="00582715"/>
    <w:rsid w:val="00584C3A"/>
    <w:rsid w:val="00585344"/>
    <w:rsid w:val="00587B38"/>
    <w:rsid w:val="00594AC4"/>
    <w:rsid w:val="005A3B36"/>
    <w:rsid w:val="005B0424"/>
    <w:rsid w:val="005B272F"/>
    <w:rsid w:val="005D08D4"/>
    <w:rsid w:val="005E4A01"/>
    <w:rsid w:val="005E7B85"/>
    <w:rsid w:val="005F3103"/>
    <w:rsid w:val="005F4547"/>
    <w:rsid w:val="006017D7"/>
    <w:rsid w:val="00611609"/>
    <w:rsid w:val="00611EF0"/>
    <w:rsid w:val="00616A32"/>
    <w:rsid w:val="00640B85"/>
    <w:rsid w:val="00664CDA"/>
    <w:rsid w:val="006763D9"/>
    <w:rsid w:val="00683C48"/>
    <w:rsid w:val="00684C83"/>
    <w:rsid w:val="00692ABB"/>
    <w:rsid w:val="006C1725"/>
    <w:rsid w:val="006D14D1"/>
    <w:rsid w:val="006D1A8C"/>
    <w:rsid w:val="006D4C43"/>
    <w:rsid w:val="006F5E8B"/>
    <w:rsid w:val="0070202A"/>
    <w:rsid w:val="007120EC"/>
    <w:rsid w:val="00712869"/>
    <w:rsid w:val="00713524"/>
    <w:rsid w:val="007208B2"/>
    <w:rsid w:val="0073287A"/>
    <w:rsid w:val="00742EB6"/>
    <w:rsid w:val="0075197C"/>
    <w:rsid w:val="00752AA6"/>
    <w:rsid w:val="00753E6B"/>
    <w:rsid w:val="00760FAF"/>
    <w:rsid w:val="00776E7D"/>
    <w:rsid w:val="007918B1"/>
    <w:rsid w:val="00792E94"/>
    <w:rsid w:val="007A2CFD"/>
    <w:rsid w:val="00822617"/>
    <w:rsid w:val="00824709"/>
    <w:rsid w:val="00856E87"/>
    <w:rsid w:val="008623D0"/>
    <w:rsid w:val="0087558E"/>
    <w:rsid w:val="00886C18"/>
    <w:rsid w:val="008B7A98"/>
    <w:rsid w:val="008C104F"/>
    <w:rsid w:val="008C5022"/>
    <w:rsid w:val="008C67FD"/>
    <w:rsid w:val="008D21CF"/>
    <w:rsid w:val="008F2149"/>
    <w:rsid w:val="009013C6"/>
    <w:rsid w:val="00924409"/>
    <w:rsid w:val="0092786C"/>
    <w:rsid w:val="0093056E"/>
    <w:rsid w:val="00942E9E"/>
    <w:rsid w:val="00945CBB"/>
    <w:rsid w:val="00957E6E"/>
    <w:rsid w:val="00971B47"/>
    <w:rsid w:val="00975A54"/>
    <w:rsid w:val="00994DD2"/>
    <w:rsid w:val="0099583E"/>
    <w:rsid w:val="009A02D9"/>
    <w:rsid w:val="009A437F"/>
    <w:rsid w:val="009B384A"/>
    <w:rsid w:val="009B4BC3"/>
    <w:rsid w:val="009C1882"/>
    <w:rsid w:val="009E756B"/>
    <w:rsid w:val="009F3279"/>
    <w:rsid w:val="009F58F0"/>
    <w:rsid w:val="00A02F4B"/>
    <w:rsid w:val="00A210DB"/>
    <w:rsid w:val="00A24C6D"/>
    <w:rsid w:val="00A319C9"/>
    <w:rsid w:val="00A321FF"/>
    <w:rsid w:val="00A47BAD"/>
    <w:rsid w:val="00A53258"/>
    <w:rsid w:val="00A56B79"/>
    <w:rsid w:val="00A77A44"/>
    <w:rsid w:val="00A80B53"/>
    <w:rsid w:val="00A82C02"/>
    <w:rsid w:val="00A86972"/>
    <w:rsid w:val="00A9357E"/>
    <w:rsid w:val="00A949A8"/>
    <w:rsid w:val="00A975D6"/>
    <w:rsid w:val="00AA0A4A"/>
    <w:rsid w:val="00AA3FEA"/>
    <w:rsid w:val="00AA4144"/>
    <w:rsid w:val="00AA582F"/>
    <w:rsid w:val="00AA5B4B"/>
    <w:rsid w:val="00AA5E90"/>
    <w:rsid w:val="00AC22DF"/>
    <w:rsid w:val="00AC4C05"/>
    <w:rsid w:val="00AD0E8C"/>
    <w:rsid w:val="00AE0CCA"/>
    <w:rsid w:val="00AE30D6"/>
    <w:rsid w:val="00AE4609"/>
    <w:rsid w:val="00AF1992"/>
    <w:rsid w:val="00AF4594"/>
    <w:rsid w:val="00AF78D3"/>
    <w:rsid w:val="00B34B08"/>
    <w:rsid w:val="00B46D33"/>
    <w:rsid w:val="00B64DD3"/>
    <w:rsid w:val="00B71572"/>
    <w:rsid w:val="00B843D6"/>
    <w:rsid w:val="00B87C5A"/>
    <w:rsid w:val="00B87F12"/>
    <w:rsid w:val="00B94442"/>
    <w:rsid w:val="00BA22F9"/>
    <w:rsid w:val="00BA7408"/>
    <w:rsid w:val="00BB311A"/>
    <w:rsid w:val="00BC4F78"/>
    <w:rsid w:val="00BD284F"/>
    <w:rsid w:val="00BF19C4"/>
    <w:rsid w:val="00C00EFC"/>
    <w:rsid w:val="00C24C06"/>
    <w:rsid w:val="00C47BE5"/>
    <w:rsid w:val="00C55C8E"/>
    <w:rsid w:val="00C87A84"/>
    <w:rsid w:val="00C90B50"/>
    <w:rsid w:val="00C92B6B"/>
    <w:rsid w:val="00C95BA5"/>
    <w:rsid w:val="00CA3896"/>
    <w:rsid w:val="00CA411F"/>
    <w:rsid w:val="00CA4F6D"/>
    <w:rsid w:val="00CC2AC2"/>
    <w:rsid w:val="00CE0874"/>
    <w:rsid w:val="00CF5E9F"/>
    <w:rsid w:val="00D00226"/>
    <w:rsid w:val="00D00D50"/>
    <w:rsid w:val="00D270CA"/>
    <w:rsid w:val="00D33AF9"/>
    <w:rsid w:val="00D505DA"/>
    <w:rsid w:val="00D54541"/>
    <w:rsid w:val="00D574B9"/>
    <w:rsid w:val="00D65277"/>
    <w:rsid w:val="00D66552"/>
    <w:rsid w:val="00D8254D"/>
    <w:rsid w:val="00D833DD"/>
    <w:rsid w:val="00D92922"/>
    <w:rsid w:val="00DA54E0"/>
    <w:rsid w:val="00DA664C"/>
    <w:rsid w:val="00DB4B23"/>
    <w:rsid w:val="00DC572A"/>
    <w:rsid w:val="00DE292B"/>
    <w:rsid w:val="00DF394F"/>
    <w:rsid w:val="00E11754"/>
    <w:rsid w:val="00E222C9"/>
    <w:rsid w:val="00E34B4E"/>
    <w:rsid w:val="00E50010"/>
    <w:rsid w:val="00E50E90"/>
    <w:rsid w:val="00E656FF"/>
    <w:rsid w:val="00E954A9"/>
    <w:rsid w:val="00EB6B48"/>
    <w:rsid w:val="00EC5185"/>
    <w:rsid w:val="00EC6B6D"/>
    <w:rsid w:val="00ED1CCC"/>
    <w:rsid w:val="00ED3488"/>
    <w:rsid w:val="00ED6894"/>
    <w:rsid w:val="00EE25AA"/>
    <w:rsid w:val="00EE3086"/>
    <w:rsid w:val="00EF69EF"/>
    <w:rsid w:val="00F03662"/>
    <w:rsid w:val="00F0634E"/>
    <w:rsid w:val="00F4476E"/>
    <w:rsid w:val="00F73DB6"/>
    <w:rsid w:val="00F74FEA"/>
    <w:rsid w:val="00F94B59"/>
    <w:rsid w:val="00FB3B1E"/>
    <w:rsid w:val="00FC6705"/>
    <w:rsid w:val="00FC6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6967A99"/>
  <w15:chartTrackingRefBased/>
  <w15:docId w15:val="{5FEC5C8A-4847-4B96-9FDF-3BC5D4BFB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83C48"/>
    <w:rPr>
      <w:lang w:val="es-DO"/>
    </w:rPr>
  </w:style>
  <w:style w:type="paragraph" w:styleId="Heading1">
    <w:name w:val="heading 1"/>
    <w:basedOn w:val="Normal"/>
    <w:next w:val="Normal"/>
    <w:link w:val="Heading1Char"/>
    <w:uiPriority w:val="9"/>
    <w:qFormat/>
    <w:rsid w:val="00ED34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D34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D34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C363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C363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A664C"/>
    <w:pPr>
      <w:spacing w:after="0" w:line="240" w:lineRule="auto"/>
    </w:pPr>
    <w:rPr>
      <w:rFonts w:eastAsiaTheme="minorEastAsia"/>
      <w:lang w:val="es-DO" w:eastAsia="es-DO"/>
    </w:rPr>
  </w:style>
  <w:style w:type="character" w:customStyle="1" w:styleId="NoSpacingChar">
    <w:name w:val="No Spacing Char"/>
    <w:basedOn w:val="DefaultParagraphFont"/>
    <w:link w:val="NoSpacing"/>
    <w:uiPriority w:val="1"/>
    <w:rsid w:val="00DA664C"/>
    <w:rPr>
      <w:rFonts w:eastAsiaTheme="minorEastAsia"/>
      <w:lang w:val="es-DO" w:eastAsia="es-DO"/>
    </w:rPr>
  </w:style>
  <w:style w:type="character" w:customStyle="1" w:styleId="Heading1Char">
    <w:name w:val="Heading 1 Char"/>
    <w:basedOn w:val="DefaultParagraphFont"/>
    <w:link w:val="Heading1"/>
    <w:uiPriority w:val="9"/>
    <w:rsid w:val="00ED3488"/>
    <w:rPr>
      <w:rFonts w:asciiTheme="majorHAnsi" w:eastAsiaTheme="majorEastAsia" w:hAnsiTheme="majorHAnsi" w:cstheme="majorBidi"/>
      <w:color w:val="2F5496" w:themeColor="accent1" w:themeShade="BF"/>
      <w:sz w:val="32"/>
      <w:szCs w:val="32"/>
      <w:lang w:val="es-DO"/>
    </w:rPr>
  </w:style>
  <w:style w:type="paragraph" w:styleId="TOCHeading">
    <w:name w:val="TOC Heading"/>
    <w:basedOn w:val="Heading1"/>
    <w:next w:val="Normal"/>
    <w:uiPriority w:val="39"/>
    <w:unhideWhenUsed/>
    <w:qFormat/>
    <w:rsid w:val="00ED3488"/>
    <w:pPr>
      <w:outlineLvl w:val="9"/>
    </w:pPr>
    <w:rPr>
      <w:lang w:val="en-US"/>
    </w:rPr>
  </w:style>
  <w:style w:type="character" w:customStyle="1" w:styleId="Heading2Char">
    <w:name w:val="Heading 2 Char"/>
    <w:basedOn w:val="DefaultParagraphFont"/>
    <w:link w:val="Heading2"/>
    <w:uiPriority w:val="9"/>
    <w:rsid w:val="00ED3488"/>
    <w:rPr>
      <w:rFonts w:asciiTheme="majorHAnsi" w:eastAsiaTheme="majorEastAsia" w:hAnsiTheme="majorHAnsi" w:cstheme="majorBidi"/>
      <w:color w:val="2F5496" w:themeColor="accent1" w:themeShade="BF"/>
      <w:sz w:val="26"/>
      <w:szCs w:val="26"/>
      <w:lang w:val="es-DO"/>
    </w:rPr>
  </w:style>
  <w:style w:type="character" w:customStyle="1" w:styleId="Heading3Char">
    <w:name w:val="Heading 3 Char"/>
    <w:basedOn w:val="DefaultParagraphFont"/>
    <w:link w:val="Heading3"/>
    <w:uiPriority w:val="9"/>
    <w:rsid w:val="00ED3488"/>
    <w:rPr>
      <w:rFonts w:asciiTheme="majorHAnsi" w:eastAsiaTheme="majorEastAsia" w:hAnsiTheme="majorHAnsi" w:cstheme="majorBidi"/>
      <w:color w:val="1F3763" w:themeColor="accent1" w:themeShade="7F"/>
      <w:sz w:val="24"/>
      <w:szCs w:val="24"/>
      <w:lang w:val="es-DO"/>
    </w:rPr>
  </w:style>
  <w:style w:type="paragraph" w:styleId="TOC1">
    <w:name w:val="toc 1"/>
    <w:basedOn w:val="Normal"/>
    <w:next w:val="Normal"/>
    <w:autoRedefine/>
    <w:uiPriority w:val="39"/>
    <w:unhideWhenUsed/>
    <w:rsid w:val="00EE25AA"/>
    <w:pPr>
      <w:tabs>
        <w:tab w:val="right" w:leader="dot" w:pos="7910"/>
      </w:tabs>
      <w:spacing w:after="100"/>
    </w:pPr>
    <w:rPr>
      <w:rFonts w:ascii="Times New Roman" w:hAnsi="Times New Roman" w:cs="Times New Roman"/>
      <w:b/>
      <w:noProof/>
      <w:color w:val="767171"/>
      <w:sz w:val="24"/>
      <w:szCs w:val="24"/>
    </w:rPr>
  </w:style>
  <w:style w:type="paragraph" w:styleId="TOC2">
    <w:name w:val="toc 2"/>
    <w:basedOn w:val="Normal"/>
    <w:next w:val="Normal"/>
    <w:autoRedefine/>
    <w:uiPriority w:val="39"/>
    <w:unhideWhenUsed/>
    <w:rsid w:val="000B3D4B"/>
    <w:pPr>
      <w:tabs>
        <w:tab w:val="right" w:leader="dot" w:pos="7910"/>
      </w:tabs>
      <w:spacing w:after="100"/>
      <w:ind w:left="220"/>
    </w:pPr>
    <w:rPr>
      <w:rFonts w:ascii="Times New Roman" w:hAnsi="Times New Roman" w:cs="Times New Roman"/>
      <w:noProof/>
      <w:color w:val="4C4747"/>
      <w:sz w:val="24"/>
      <w:szCs w:val="24"/>
    </w:rPr>
  </w:style>
  <w:style w:type="paragraph" w:styleId="TOC3">
    <w:name w:val="toc 3"/>
    <w:basedOn w:val="Normal"/>
    <w:next w:val="Normal"/>
    <w:autoRedefine/>
    <w:uiPriority w:val="39"/>
    <w:unhideWhenUsed/>
    <w:rsid w:val="00D92922"/>
    <w:pPr>
      <w:spacing w:after="100"/>
      <w:ind w:left="440"/>
    </w:pPr>
  </w:style>
  <w:style w:type="character" w:styleId="Hyperlink">
    <w:name w:val="Hyperlink"/>
    <w:basedOn w:val="DefaultParagraphFont"/>
    <w:uiPriority w:val="99"/>
    <w:unhideWhenUsed/>
    <w:rsid w:val="00D92922"/>
    <w:rPr>
      <w:color w:val="0563C1" w:themeColor="hyperlink"/>
      <w:u w:val="single"/>
    </w:rPr>
  </w:style>
  <w:style w:type="paragraph" w:styleId="Header">
    <w:name w:val="header"/>
    <w:basedOn w:val="Normal"/>
    <w:link w:val="HeaderChar"/>
    <w:uiPriority w:val="99"/>
    <w:unhideWhenUsed/>
    <w:rsid w:val="00D929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2922"/>
    <w:rPr>
      <w:lang w:val="es-DO"/>
    </w:rPr>
  </w:style>
  <w:style w:type="paragraph" w:styleId="Footer">
    <w:name w:val="footer"/>
    <w:basedOn w:val="Normal"/>
    <w:link w:val="FooterChar"/>
    <w:uiPriority w:val="99"/>
    <w:unhideWhenUsed/>
    <w:rsid w:val="00D929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2922"/>
    <w:rPr>
      <w:lang w:val="es-DO"/>
    </w:rPr>
  </w:style>
  <w:style w:type="paragraph" w:styleId="ListParagraph">
    <w:name w:val="List Paragraph"/>
    <w:aliases w:val="List Paragraph-Level1"/>
    <w:basedOn w:val="Normal"/>
    <w:uiPriority w:val="34"/>
    <w:qFormat/>
    <w:rsid w:val="00E656FF"/>
    <w:pPr>
      <w:ind w:left="720"/>
      <w:contextualSpacing/>
    </w:pPr>
  </w:style>
  <w:style w:type="paragraph" w:styleId="NormalWeb">
    <w:name w:val="Normal (Web)"/>
    <w:basedOn w:val="Normal"/>
    <w:uiPriority w:val="99"/>
    <w:unhideWhenUsed/>
    <w:rsid w:val="006C1725"/>
    <w:pPr>
      <w:spacing w:before="100" w:beforeAutospacing="1" w:after="100" w:afterAutospacing="1" w:line="240" w:lineRule="auto"/>
    </w:pPr>
    <w:rPr>
      <w:rFonts w:ascii="Times New Roman" w:eastAsia="Times New Roman" w:hAnsi="Times New Roman" w:cs="Times New Roman"/>
      <w:sz w:val="24"/>
      <w:szCs w:val="24"/>
      <w:lang w:eastAsia="es-DO"/>
    </w:rPr>
  </w:style>
  <w:style w:type="table" w:styleId="TableGridLight">
    <w:name w:val="Grid Table Light"/>
    <w:basedOn w:val="TableNormal"/>
    <w:uiPriority w:val="40"/>
    <w:rsid w:val="005E4A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994DD2"/>
    <w:rPr>
      <w:color w:val="605E5C"/>
      <w:shd w:val="clear" w:color="auto" w:fill="E1DFDD"/>
    </w:rPr>
  </w:style>
  <w:style w:type="paragraph" w:styleId="BodyText">
    <w:name w:val="Body Text"/>
    <w:basedOn w:val="Normal"/>
    <w:link w:val="BodyTextChar"/>
    <w:rsid w:val="00A02F4B"/>
    <w:pPr>
      <w:spacing w:after="0" w:line="240" w:lineRule="auto"/>
      <w:jc w:val="both"/>
    </w:pPr>
    <w:rPr>
      <w:rFonts w:ascii="Times New Roman" w:eastAsia="Times New Roman" w:hAnsi="Times New Roman" w:cs="Times New Roman"/>
      <w:sz w:val="24"/>
      <w:szCs w:val="24"/>
      <w:lang w:val="es-ES_tradnl"/>
    </w:rPr>
  </w:style>
  <w:style w:type="character" w:customStyle="1" w:styleId="BodyTextChar">
    <w:name w:val="Body Text Char"/>
    <w:basedOn w:val="DefaultParagraphFont"/>
    <w:link w:val="BodyText"/>
    <w:rsid w:val="00A02F4B"/>
    <w:rPr>
      <w:rFonts w:ascii="Times New Roman" w:eastAsia="Times New Roman" w:hAnsi="Times New Roman" w:cs="Times New Roman"/>
      <w:sz w:val="24"/>
      <w:szCs w:val="24"/>
      <w:lang w:val="es-ES_tradnl"/>
    </w:rPr>
  </w:style>
  <w:style w:type="character" w:styleId="FootnoteReference">
    <w:name w:val="footnote reference"/>
    <w:uiPriority w:val="99"/>
    <w:semiHidden/>
    <w:unhideWhenUsed/>
    <w:rsid w:val="00BD284F"/>
    <w:rPr>
      <w:vertAlign w:val="superscript"/>
    </w:rPr>
  </w:style>
  <w:style w:type="paragraph" w:styleId="FootnoteText">
    <w:name w:val="footnote text"/>
    <w:basedOn w:val="Normal"/>
    <w:link w:val="FootnoteTextChar"/>
    <w:uiPriority w:val="99"/>
    <w:semiHidden/>
    <w:unhideWhenUsed/>
    <w:rsid w:val="00BD284F"/>
    <w:pPr>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BD284F"/>
    <w:rPr>
      <w:rFonts w:ascii="Calibri" w:eastAsia="Calibri" w:hAnsi="Calibri" w:cs="Times New Roman"/>
      <w:sz w:val="20"/>
      <w:szCs w:val="20"/>
    </w:rPr>
  </w:style>
  <w:style w:type="character" w:styleId="LineNumber">
    <w:name w:val="line number"/>
    <w:basedOn w:val="DefaultParagraphFont"/>
    <w:uiPriority w:val="99"/>
    <w:semiHidden/>
    <w:unhideWhenUsed/>
    <w:rsid w:val="00A24C6D"/>
  </w:style>
  <w:style w:type="table" w:styleId="TableGrid">
    <w:name w:val="Table Grid"/>
    <w:basedOn w:val="TableNormal"/>
    <w:uiPriority w:val="39"/>
    <w:rsid w:val="005B04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iPriority w:val="99"/>
    <w:unhideWhenUsed/>
    <w:rsid w:val="00FC6705"/>
    <w:pPr>
      <w:spacing w:line="456" w:lineRule="auto"/>
      <w:ind w:left="720" w:hanging="360"/>
      <w:contextualSpacing/>
      <w:jc w:val="both"/>
    </w:pPr>
    <w:rPr>
      <w:rFonts w:ascii="Artifex CF Extra Light" w:eastAsia="Artifex CF Extra Light" w:hAnsi="Artifex CF Extra Light" w:cs="Artifex CF Extra Light"/>
      <w:color w:val="1F3864" w:themeColor="accent1" w:themeShade="80"/>
      <w:sz w:val="18"/>
      <w:szCs w:val="18"/>
    </w:rPr>
  </w:style>
  <w:style w:type="paragraph" w:styleId="List3">
    <w:name w:val="List 3"/>
    <w:basedOn w:val="Normal"/>
    <w:uiPriority w:val="99"/>
    <w:semiHidden/>
    <w:unhideWhenUsed/>
    <w:rsid w:val="00C90B50"/>
    <w:pPr>
      <w:ind w:left="849" w:hanging="283"/>
      <w:contextualSpacing/>
    </w:pPr>
  </w:style>
  <w:style w:type="paragraph" w:styleId="EndnoteText">
    <w:name w:val="endnote text"/>
    <w:basedOn w:val="Normal"/>
    <w:link w:val="EndnoteTextChar"/>
    <w:uiPriority w:val="99"/>
    <w:semiHidden/>
    <w:unhideWhenUsed/>
    <w:rsid w:val="005659AA"/>
    <w:pPr>
      <w:spacing w:after="200" w:line="276" w:lineRule="auto"/>
    </w:pPr>
    <w:rPr>
      <w:rFonts w:ascii="Calibri" w:eastAsia="Calibri" w:hAnsi="Calibri" w:cs="Times New Roman"/>
      <w:sz w:val="20"/>
      <w:szCs w:val="20"/>
      <w:lang w:val="en-US"/>
    </w:rPr>
  </w:style>
  <w:style w:type="character" w:customStyle="1" w:styleId="EndnoteTextChar">
    <w:name w:val="Endnote Text Char"/>
    <w:basedOn w:val="DefaultParagraphFont"/>
    <w:link w:val="EndnoteText"/>
    <w:uiPriority w:val="99"/>
    <w:semiHidden/>
    <w:rsid w:val="005659AA"/>
    <w:rPr>
      <w:rFonts w:ascii="Calibri" w:eastAsia="Calibri" w:hAnsi="Calibri" w:cs="Times New Roman"/>
      <w:sz w:val="20"/>
      <w:szCs w:val="20"/>
    </w:rPr>
  </w:style>
  <w:style w:type="character" w:styleId="EndnoteReference">
    <w:name w:val="endnote reference"/>
    <w:uiPriority w:val="99"/>
    <w:semiHidden/>
    <w:unhideWhenUsed/>
    <w:rsid w:val="005659AA"/>
    <w:rPr>
      <w:vertAlign w:val="superscript"/>
    </w:rPr>
  </w:style>
  <w:style w:type="table" w:customStyle="1" w:styleId="TableGridLight1">
    <w:name w:val="Table Grid Light1"/>
    <w:basedOn w:val="TableNormal"/>
    <w:next w:val="TableGridLight"/>
    <w:uiPriority w:val="40"/>
    <w:rsid w:val="005301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5301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3C3630"/>
    <w:rPr>
      <w:rFonts w:asciiTheme="majorHAnsi" w:eastAsiaTheme="majorEastAsia" w:hAnsiTheme="majorHAnsi" w:cstheme="majorBidi"/>
      <w:i/>
      <w:iCs/>
      <w:color w:val="2F5496" w:themeColor="accent1" w:themeShade="BF"/>
      <w:lang w:val="es-DO"/>
    </w:rPr>
  </w:style>
  <w:style w:type="character" w:customStyle="1" w:styleId="Heading5Char">
    <w:name w:val="Heading 5 Char"/>
    <w:basedOn w:val="DefaultParagraphFont"/>
    <w:link w:val="Heading5"/>
    <w:uiPriority w:val="9"/>
    <w:semiHidden/>
    <w:rsid w:val="003C3630"/>
    <w:rPr>
      <w:rFonts w:asciiTheme="majorHAnsi" w:eastAsiaTheme="majorEastAsia" w:hAnsiTheme="majorHAnsi" w:cstheme="majorBidi"/>
      <w:color w:val="2F5496" w:themeColor="accent1" w:themeShade="BF"/>
      <w:lang w:val="es-DO"/>
    </w:rPr>
  </w:style>
  <w:style w:type="paragraph" w:customStyle="1" w:styleId="Default">
    <w:name w:val="Default"/>
    <w:rsid w:val="00A47BAD"/>
    <w:pPr>
      <w:autoSpaceDE w:val="0"/>
      <w:autoSpaceDN w:val="0"/>
      <w:adjustRightInd w:val="0"/>
      <w:spacing w:after="0" w:line="240" w:lineRule="auto"/>
    </w:pPr>
    <w:rPr>
      <w:rFonts w:ascii="Times New Roman" w:hAnsi="Times New Roman" w:cs="Times New Roman"/>
      <w:color w:val="000000"/>
      <w:sz w:val="24"/>
      <w:szCs w:val="24"/>
      <w:lang w:val="es-DO"/>
    </w:rPr>
  </w:style>
  <w:style w:type="paragraph" w:customStyle="1" w:styleId="paragraph">
    <w:name w:val="paragraph"/>
    <w:basedOn w:val="Normal"/>
    <w:rsid w:val="00DE292B"/>
    <w:pPr>
      <w:spacing w:before="100" w:beforeAutospacing="1" w:after="100" w:afterAutospacing="1" w:line="240" w:lineRule="auto"/>
    </w:pPr>
    <w:rPr>
      <w:rFonts w:ascii="Calibri" w:eastAsia="Calibri" w:hAnsi="Calibri" w:cs="Calibri"/>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035991">
      <w:bodyDiv w:val="1"/>
      <w:marLeft w:val="0"/>
      <w:marRight w:val="0"/>
      <w:marTop w:val="0"/>
      <w:marBottom w:val="0"/>
      <w:divBdr>
        <w:top w:val="none" w:sz="0" w:space="0" w:color="auto"/>
        <w:left w:val="none" w:sz="0" w:space="0" w:color="auto"/>
        <w:bottom w:val="none" w:sz="0" w:space="0" w:color="auto"/>
        <w:right w:val="none" w:sz="0" w:space="0" w:color="auto"/>
      </w:divBdr>
    </w:div>
    <w:div w:id="547185730">
      <w:bodyDiv w:val="1"/>
      <w:marLeft w:val="0"/>
      <w:marRight w:val="0"/>
      <w:marTop w:val="0"/>
      <w:marBottom w:val="0"/>
      <w:divBdr>
        <w:top w:val="none" w:sz="0" w:space="0" w:color="auto"/>
        <w:left w:val="none" w:sz="0" w:space="0" w:color="auto"/>
        <w:bottom w:val="none" w:sz="0" w:space="0" w:color="auto"/>
        <w:right w:val="none" w:sz="0" w:space="0" w:color="auto"/>
      </w:divBdr>
    </w:div>
    <w:div w:id="753671162">
      <w:bodyDiv w:val="1"/>
      <w:marLeft w:val="0"/>
      <w:marRight w:val="0"/>
      <w:marTop w:val="0"/>
      <w:marBottom w:val="0"/>
      <w:divBdr>
        <w:top w:val="none" w:sz="0" w:space="0" w:color="auto"/>
        <w:left w:val="none" w:sz="0" w:space="0" w:color="auto"/>
        <w:bottom w:val="none" w:sz="0" w:space="0" w:color="auto"/>
        <w:right w:val="none" w:sz="0" w:space="0" w:color="auto"/>
      </w:divBdr>
    </w:div>
    <w:div w:id="1261453045">
      <w:bodyDiv w:val="1"/>
      <w:marLeft w:val="0"/>
      <w:marRight w:val="0"/>
      <w:marTop w:val="0"/>
      <w:marBottom w:val="0"/>
      <w:divBdr>
        <w:top w:val="none" w:sz="0" w:space="0" w:color="auto"/>
        <w:left w:val="none" w:sz="0" w:space="0" w:color="auto"/>
        <w:bottom w:val="none" w:sz="0" w:space="0" w:color="auto"/>
        <w:right w:val="none" w:sz="0" w:space="0" w:color="auto"/>
      </w:divBdr>
    </w:div>
    <w:div w:id="1348018845">
      <w:bodyDiv w:val="1"/>
      <w:marLeft w:val="0"/>
      <w:marRight w:val="0"/>
      <w:marTop w:val="0"/>
      <w:marBottom w:val="0"/>
      <w:divBdr>
        <w:top w:val="none" w:sz="0" w:space="0" w:color="auto"/>
        <w:left w:val="none" w:sz="0" w:space="0" w:color="auto"/>
        <w:bottom w:val="none" w:sz="0" w:space="0" w:color="auto"/>
        <w:right w:val="none" w:sz="0" w:space="0" w:color="auto"/>
      </w:divBdr>
    </w:div>
    <w:div w:id="1523981784">
      <w:bodyDiv w:val="1"/>
      <w:marLeft w:val="0"/>
      <w:marRight w:val="0"/>
      <w:marTop w:val="0"/>
      <w:marBottom w:val="0"/>
      <w:divBdr>
        <w:top w:val="none" w:sz="0" w:space="0" w:color="auto"/>
        <w:left w:val="none" w:sz="0" w:space="0" w:color="auto"/>
        <w:bottom w:val="none" w:sz="0" w:space="0" w:color="auto"/>
        <w:right w:val="none" w:sz="0" w:space="0" w:color="auto"/>
      </w:divBdr>
    </w:div>
    <w:div w:id="1593854558">
      <w:bodyDiv w:val="1"/>
      <w:marLeft w:val="0"/>
      <w:marRight w:val="0"/>
      <w:marTop w:val="0"/>
      <w:marBottom w:val="0"/>
      <w:divBdr>
        <w:top w:val="none" w:sz="0" w:space="0" w:color="auto"/>
        <w:left w:val="none" w:sz="0" w:space="0" w:color="auto"/>
        <w:bottom w:val="none" w:sz="0" w:space="0" w:color="auto"/>
        <w:right w:val="none" w:sz="0" w:space="0" w:color="auto"/>
      </w:divBdr>
    </w:div>
    <w:div w:id="1747648891">
      <w:bodyDiv w:val="1"/>
      <w:marLeft w:val="0"/>
      <w:marRight w:val="0"/>
      <w:marTop w:val="0"/>
      <w:marBottom w:val="0"/>
      <w:divBdr>
        <w:top w:val="none" w:sz="0" w:space="0" w:color="auto"/>
        <w:left w:val="none" w:sz="0" w:space="0" w:color="auto"/>
        <w:bottom w:val="none" w:sz="0" w:space="0" w:color="auto"/>
        <w:right w:val="none" w:sz="0" w:space="0" w:color="auto"/>
      </w:divBdr>
    </w:div>
    <w:div w:id="1772313572">
      <w:bodyDiv w:val="1"/>
      <w:marLeft w:val="0"/>
      <w:marRight w:val="0"/>
      <w:marTop w:val="0"/>
      <w:marBottom w:val="0"/>
      <w:divBdr>
        <w:top w:val="none" w:sz="0" w:space="0" w:color="auto"/>
        <w:left w:val="none" w:sz="0" w:space="0" w:color="auto"/>
        <w:bottom w:val="none" w:sz="0" w:space="0" w:color="auto"/>
        <w:right w:val="none" w:sz="0" w:space="0" w:color="auto"/>
      </w:divBdr>
    </w:div>
    <w:div w:id="1820876103">
      <w:bodyDiv w:val="1"/>
      <w:marLeft w:val="0"/>
      <w:marRight w:val="0"/>
      <w:marTop w:val="0"/>
      <w:marBottom w:val="0"/>
      <w:divBdr>
        <w:top w:val="none" w:sz="0" w:space="0" w:color="auto"/>
        <w:left w:val="none" w:sz="0" w:space="0" w:color="auto"/>
        <w:bottom w:val="none" w:sz="0" w:space="0" w:color="auto"/>
        <w:right w:val="none" w:sz="0" w:space="0" w:color="auto"/>
      </w:divBdr>
    </w:div>
    <w:div w:id="2126805060">
      <w:bodyDiv w:val="1"/>
      <w:marLeft w:val="0"/>
      <w:marRight w:val="0"/>
      <w:marTop w:val="0"/>
      <w:marBottom w:val="0"/>
      <w:divBdr>
        <w:top w:val="none" w:sz="0" w:space="0" w:color="auto"/>
        <w:left w:val="none" w:sz="0" w:space="0" w:color="auto"/>
        <w:bottom w:val="none" w:sz="0" w:space="0" w:color="auto"/>
        <w:right w:val="none" w:sz="0" w:space="0" w:color="auto"/>
      </w:divBdr>
      <w:divsChild>
        <w:div w:id="273680258">
          <w:marLeft w:val="-225"/>
          <w:marRight w:val="-225"/>
          <w:marTop w:val="0"/>
          <w:marBottom w:val="0"/>
          <w:divBdr>
            <w:top w:val="none" w:sz="0" w:space="0" w:color="auto"/>
            <w:left w:val="none" w:sz="0" w:space="0" w:color="auto"/>
            <w:bottom w:val="none" w:sz="0" w:space="0" w:color="auto"/>
            <w:right w:val="none" w:sz="0" w:space="0" w:color="auto"/>
          </w:divBdr>
          <w:divsChild>
            <w:div w:id="126703032">
              <w:marLeft w:val="0"/>
              <w:marRight w:val="0"/>
              <w:marTop w:val="0"/>
              <w:marBottom w:val="0"/>
              <w:divBdr>
                <w:top w:val="none" w:sz="0" w:space="0" w:color="auto"/>
                <w:left w:val="none" w:sz="0" w:space="0" w:color="auto"/>
                <w:bottom w:val="none" w:sz="0" w:space="0" w:color="auto"/>
                <w:right w:val="none" w:sz="0" w:space="0" w:color="auto"/>
              </w:divBdr>
            </w:div>
          </w:divsChild>
        </w:div>
        <w:div w:id="1520654656">
          <w:marLeft w:val="-225"/>
          <w:marRight w:val="-225"/>
          <w:marTop w:val="0"/>
          <w:marBottom w:val="0"/>
          <w:divBdr>
            <w:top w:val="none" w:sz="0" w:space="0" w:color="auto"/>
            <w:left w:val="none" w:sz="0" w:space="0" w:color="auto"/>
            <w:bottom w:val="none" w:sz="0" w:space="0" w:color="auto"/>
            <w:right w:val="none" w:sz="0" w:space="0" w:color="auto"/>
          </w:divBdr>
          <w:divsChild>
            <w:div w:id="100807459">
              <w:marLeft w:val="0"/>
              <w:marRight w:val="0"/>
              <w:marTop w:val="0"/>
              <w:marBottom w:val="0"/>
              <w:divBdr>
                <w:top w:val="none" w:sz="0" w:space="0" w:color="auto"/>
                <w:left w:val="none" w:sz="0" w:space="0" w:color="auto"/>
                <w:bottom w:val="none" w:sz="0" w:space="0" w:color="auto"/>
                <w:right w:val="none" w:sz="0" w:space="0" w:color="auto"/>
              </w:divBdr>
            </w:div>
          </w:divsChild>
        </w:div>
        <w:div w:id="1725174907">
          <w:marLeft w:val="-225"/>
          <w:marRight w:val="-225"/>
          <w:marTop w:val="0"/>
          <w:marBottom w:val="0"/>
          <w:divBdr>
            <w:top w:val="none" w:sz="0" w:space="0" w:color="auto"/>
            <w:left w:val="none" w:sz="0" w:space="0" w:color="auto"/>
            <w:bottom w:val="none" w:sz="0" w:space="0" w:color="auto"/>
            <w:right w:val="none" w:sz="0" w:space="0" w:color="auto"/>
          </w:divBdr>
          <w:divsChild>
            <w:div w:id="399521218">
              <w:marLeft w:val="0"/>
              <w:marRight w:val="0"/>
              <w:marTop w:val="0"/>
              <w:marBottom w:val="0"/>
              <w:divBdr>
                <w:top w:val="none" w:sz="0" w:space="0" w:color="auto"/>
                <w:left w:val="none" w:sz="0" w:space="0" w:color="auto"/>
                <w:bottom w:val="none" w:sz="0" w:space="0" w:color="auto"/>
                <w:right w:val="none" w:sz="0" w:space="0" w:color="auto"/>
              </w:divBdr>
            </w:div>
          </w:divsChild>
        </w:div>
        <w:div w:id="276105845">
          <w:marLeft w:val="-225"/>
          <w:marRight w:val="-225"/>
          <w:marTop w:val="0"/>
          <w:marBottom w:val="0"/>
          <w:divBdr>
            <w:top w:val="none" w:sz="0" w:space="0" w:color="auto"/>
            <w:left w:val="none" w:sz="0" w:space="0" w:color="auto"/>
            <w:bottom w:val="none" w:sz="0" w:space="0" w:color="auto"/>
            <w:right w:val="none" w:sz="0" w:space="0" w:color="auto"/>
          </w:divBdr>
          <w:divsChild>
            <w:div w:id="947854582">
              <w:marLeft w:val="0"/>
              <w:marRight w:val="0"/>
              <w:marTop w:val="0"/>
              <w:marBottom w:val="0"/>
              <w:divBdr>
                <w:top w:val="none" w:sz="0" w:space="0" w:color="auto"/>
                <w:left w:val="none" w:sz="0" w:space="0" w:color="auto"/>
                <w:bottom w:val="none" w:sz="0" w:space="0" w:color="auto"/>
                <w:right w:val="none" w:sz="0" w:space="0" w:color="auto"/>
              </w:divBdr>
            </w:div>
            <w:div w:id="421071029">
              <w:marLeft w:val="0"/>
              <w:marRight w:val="0"/>
              <w:marTop w:val="0"/>
              <w:marBottom w:val="0"/>
              <w:divBdr>
                <w:top w:val="none" w:sz="0" w:space="0" w:color="auto"/>
                <w:left w:val="none" w:sz="0" w:space="0" w:color="auto"/>
                <w:bottom w:val="none" w:sz="0" w:space="0" w:color="auto"/>
                <w:right w:val="none" w:sz="0" w:space="0" w:color="auto"/>
              </w:divBdr>
            </w:div>
          </w:divsChild>
        </w:div>
        <w:div w:id="876892642">
          <w:marLeft w:val="-225"/>
          <w:marRight w:val="-225"/>
          <w:marTop w:val="0"/>
          <w:marBottom w:val="0"/>
          <w:divBdr>
            <w:top w:val="none" w:sz="0" w:space="0" w:color="auto"/>
            <w:left w:val="none" w:sz="0" w:space="0" w:color="auto"/>
            <w:bottom w:val="none" w:sz="0" w:space="0" w:color="auto"/>
            <w:right w:val="none" w:sz="0" w:space="0" w:color="auto"/>
          </w:divBdr>
          <w:divsChild>
            <w:div w:id="817769451">
              <w:marLeft w:val="0"/>
              <w:marRight w:val="0"/>
              <w:marTop w:val="0"/>
              <w:marBottom w:val="0"/>
              <w:divBdr>
                <w:top w:val="none" w:sz="0" w:space="0" w:color="auto"/>
                <w:left w:val="none" w:sz="0" w:space="0" w:color="auto"/>
                <w:bottom w:val="none" w:sz="0" w:space="0" w:color="auto"/>
                <w:right w:val="none" w:sz="0" w:space="0" w:color="auto"/>
              </w:divBdr>
            </w:div>
            <w:div w:id="1612200385">
              <w:marLeft w:val="0"/>
              <w:marRight w:val="0"/>
              <w:marTop w:val="0"/>
              <w:marBottom w:val="0"/>
              <w:divBdr>
                <w:top w:val="none" w:sz="0" w:space="0" w:color="auto"/>
                <w:left w:val="none" w:sz="0" w:space="0" w:color="auto"/>
                <w:bottom w:val="none" w:sz="0" w:space="0" w:color="auto"/>
                <w:right w:val="none" w:sz="0" w:space="0" w:color="auto"/>
              </w:divBdr>
            </w:div>
          </w:divsChild>
        </w:div>
        <w:div w:id="1825663038">
          <w:marLeft w:val="-225"/>
          <w:marRight w:val="-225"/>
          <w:marTop w:val="0"/>
          <w:marBottom w:val="0"/>
          <w:divBdr>
            <w:top w:val="none" w:sz="0" w:space="0" w:color="auto"/>
            <w:left w:val="none" w:sz="0" w:space="0" w:color="auto"/>
            <w:bottom w:val="none" w:sz="0" w:space="0" w:color="auto"/>
            <w:right w:val="none" w:sz="0" w:space="0" w:color="auto"/>
          </w:divBdr>
          <w:divsChild>
            <w:div w:id="1819882687">
              <w:marLeft w:val="0"/>
              <w:marRight w:val="0"/>
              <w:marTop w:val="0"/>
              <w:marBottom w:val="0"/>
              <w:divBdr>
                <w:top w:val="none" w:sz="0" w:space="0" w:color="auto"/>
                <w:left w:val="none" w:sz="0" w:space="0" w:color="auto"/>
                <w:bottom w:val="none" w:sz="0" w:space="0" w:color="auto"/>
                <w:right w:val="none" w:sz="0" w:space="0" w:color="auto"/>
              </w:divBdr>
            </w:div>
            <w:div w:id="600604670">
              <w:marLeft w:val="0"/>
              <w:marRight w:val="0"/>
              <w:marTop w:val="0"/>
              <w:marBottom w:val="0"/>
              <w:divBdr>
                <w:top w:val="none" w:sz="0" w:space="0" w:color="auto"/>
                <w:left w:val="none" w:sz="0" w:space="0" w:color="auto"/>
                <w:bottom w:val="none" w:sz="0" w:space="0" w:color="auto"/>
                <w:right w:val="none" w:sz="0" w:space="0" w:color="auto"/>
              </w:divBdr>
            </w:div>
          </w:divsChild>
        </w:div>
        <w:div w:id="1284657158">
          <w:marLeft w:val="-225"/>
          <w:marRight w:val="-225"/>
          <w:marTop w:val="0"/>
          <w:marBottom w:val="0"/>
          <w:divBdr>
            <w:top w:val="none" w:sz="0" w:space="0" w:color="auto"/>
            <w:left w:val="none" w:sz="0" w:space="0" w:color="auto"/>
            <w:bottom w:val="none" w:sz="0" w:space="0" w:color="auto"/>
            <w:right w:val="none" w:sz="0" w:space="0" w:color="auto"/>
          </w:divBdr>
          <w:divsChild>
            <w:div w:id="698513804">
              <w:marLeft w:val="0"/>
              <w:marRight w:val="0"/>
              <w:marTop w:val="0"/>
              <w:marBottom w:val="0"/>
              <w:divBdr>
                <w:top w:val="none" w:sz="0" w:space="0" w:color="auto"/>
                <w:left w:val="none" w:sz="0" w:space="0" w:color="auto"/>
                <w:bottom w:val="none" w:sz="0" w:space="0" w:color="auto"/>
                <w:right w:val="none" w:sz="0" w:space="0" w:color="auto"/>
              </w:divBdr>
            </w:div>
            <w:div w:id="256138242">
              <w:marLeft w:val="0"/>
              <w:marRight w:val="0"/>
              <w:marTop w:val="0"/>
              <w:marBottom w:val="0"/>
              <w:divBdr>
                <w:top w:val="none" w:sz="0" w:space="0" w:color="auto"/>
                <w:left w:val="none" w:sz="0" w:space="0" w:color="auto"/>
                <w:bottom w:val="none" w:sz="0" w:space="0" w:color="auto"/>
                <w:right w:val="none" w:sz="0" w:space="0" w:color="auto"/>
              </w:divBdr>
            </w:div>
          </w:divsChild>
        </w:div>
        <w:div w:id="1016081475">
          <w:marLeft w:val="-225"/>
          <w:marRight w:val="-225"/>
          <w:marTop w:val="0"/>
          <w:marBottom w:val="0"/>
          <w:divBdr>
            <w:top w:val="none" w:sz="0" w:space="0" w:color="auto"/>
            <w:left w:val="none" w:sz="0" w:space="0" w:color="auto"/>
            <w:bottom w:val="none" w:sz="0" w:space="0" w:color="auto"/>
            <w:right w:val="none" w:sz="0" w:space="0" w:color="auto"/>
          </w:divBdr>
          <w:divsChild>
            <w:div w:id="84888932">
              <w:marLeft w:val="0"/>
              <w:marRight w:val="0"/>
              <w:marTop w:val="0"/>
              <w:marBottom w:val="0"/>
              <w:divBdr>
                <w:top w:val="none" w:sz="0" w:space="0" w:color="auto"/>
                <w:left w:val="none" w:sz="0" w:space="0" w:color="auto"/>
                <w:bottom w:val="none" w:sz="0" w:space="0" w:color="auto"/>
                <w:right w:val="none" w:sz="0" w:space="0" w:color="auto"/>
              </w:divBdr>
            </w:div>
            <w:div w:id="380637123">
              <w:marLeft w:val="0"/>
              <w:marRight w:val="0"/>
              <w:marTop w:val="0"/>
              <w:marBottom w:val="0"/>
              <w:divBdr>
                <w:top w:val="none" w:sz="0" w:space="0" w:color="auto"/>
                <w:left w:val="none" w:sz="0" w:space="0" w:color="auto"/>
                <w:bottom w:val="none" w:sz="0" w:space="0" w:color="auto"/>
                <w:right w:val="none" w:sz="0" w:space="0" w:color="auto"/>
              </w:divBdr>
            </w:div>
          </w:divsChild>
        </w:div>
        <w:div w:id="385613930">
          <w:marLeft w:val="-225"/>
          <w:marRight w:val="-225"/>
          <w:marTop w:val="0"/>
          <w:marBottom w:val="0"/>
          <w:divBdr>
            <w:top w:val="none" w:sz="0" w:space="0" w:color="auto"/>
            <w:left w:val="none" w:sz="0" w:space="0" w:color="auto"/>
            <w:bottom w:val="none" w:sz="0" w:space="0" w:color="auto"/>
            <w:right w:val="none" w:sz="0" w:space="0" w:color="auto"/>
          </w:divBdr>
          <w:divsChild>
            <w:div w:id="765805356">
              <w:marLeft w:val="0"/>
              <w:marRight w:val="0"/>
              <w:marTop w:val="0"/>
              <w:marBottom w:val="0"/>
              <w:divBdr>
                <w:top w:val="none" w:sz="0" w:space="0" w:color="auto"/>
                <w:left w:val="none" w:sz="0" w:space="0" w:color="auto"/>
                <w:bottom w:val="none" w:sz="0" w:space="0" w:color="auto"/>
                <w:right w:val="none" w:sz="0" w:space="0" w:color="auto"/>
              </w:divBdr>
            </w:div>
          </w:divsChild>
        </w:div>
        <w:div w:id="445200518">
          <w:marLeft w:val="-225"/>
          <w:marRight w:val="-225"/>
          <w:marTop w:val="0"/>
          <w:marBottom w:val="0"/>
          <w:divBdr>
            <w:top w:val="none" w:sz="0" w:space="0" w:color="auto"/>
            <w:left w:val="none" w:sz="0" w:space="0" w:color="auto"/>
            <w:bottom w:val="none" w:sz="0" w:space="0" w:color="auto"/>
            <w:right w:val="none" w:sz="0" w:space="0" w:color="auto"/>
          </w:divBdr>
          <w:divsChild>
            <w:div w:id="1592932437">
              <w:marLeft w:val="0"/>
              <w:marRight w:val="0"/>
              <w:marTop w:val="0"/>
              <w:marBottom w:val="0"/>
              <w:divBdr>
                <w:top w:val="none" w:sz="0" w:space="0" w:color="auto"/>
                <w:left w:val="none" w:sz="0" w:space="0" w:color="auto"/>
                <w:bottom w:val="none" w:sz="0" w:space="0" w:color="auto"/>
                <w:right w:val="none" w:sz="0" w:space="0" w:color="auto"/>
              </w:divBdr>
            </w:div>
            <w:div w:id="515920989">
              <w:marLeft w:val="0"/>
              <w:marRight w:val="0"/>
              <w:marTop w:val="0"/>
              <w:marBottom w:val="0"/>
              <w:divBdr>
                <w:top w:val="none" w:sz="0" w:space="0" w:color="auto"/>
                <w:left w:val="none" w:sz="0" w:space="0" w:color="auto"/>
                <w:bottom w:val="none" w:sz="0" w:space="0" w:color="auto"/>
                <w:right w:val="none" w:sz="0" w:space="0" w:color="auto"/>
              </w:divBdr>
            </w:div>
          </w:divsChild>
        </w:div>
        <w:div w:id="546646018">
          <w:marLeft w:val="-225"/>
          <w:marRight w:val="-225"/>
          <w:marTop w:val="0"/>
          <w:marBottom w:val="0"/>
          <w:divBdr>
            <w:top w:val="none" w:sz="0" w:space="0" w:color="auto"/>
            <w:left w:val="none" w:sz="0" w:space="0" w:color="auto"/>
            <w:bottom w:val="none" w:sz="0" w:space="0" w:color="auto"/>
            <w:right w:val="none" w:sz="0" w:space="0" w:color="auto"/>
          </w:divBdr>
          <w:divsChild>
            <w:div w:id="2132704348">
              <w:marLeft w:val="0"/>
              <w:marRight w:val="0"/>
              <w:marTop w:val="0"/>
              <w:marBottom w:val="0"/>
              <w:divBdr>
                <w:top w:val="none" w:sz="0" w:space="0" w:color="auto"/>
                <w:left w:val="none" w:sz="0" w:space="0" w:color="auto"/>
                <w:bottom w:val="none" w:sz="0" w:space="0" w:color="auto"/>
                <w:right w:val="none" w:sz="0" w:space="0" w:color="auto"/>
              </w:divBdr>
            </w:div>
            <w:div w:id="32079701">
              <w:marLeft w:val="0"/>
              <w:marRight w:val="0"/>
              <w:marTop w:val="0"/>
              <w:marBottom w:val="0"/>
              <w:divBdr>
                <w:top w:val="none" w:sz="0" w:space="0" w:color="auto"/>
                <w:left w:val="none" w:sz="0" w:space="0" w:color="auto"/>
                <w:bottom w:val="none" w:sz="0" w:space="0" w:color="auto"/>
                <w:right w:val="none" w:sz="0" w:space="0" w:color="auto"/>
              </w:divBdr>
            </w:div>
          </w:divsChild>
        </w:div>
        <w:div w:id="593250755">
          <w:marLeft w:val="-225"/>
          <w:marRight w:val="-225"/>
          <w:marTop w:val="0"/>
          <w:marBottom w:val="0"/>
          <w:divBdr>
            <w:top w:val="none" w:sz="0" w:space="0" w:color="auto"/>
            <w:left w:val="none" w:sz="0" w:space="0" w:color="auto"/>
            <w:bottom w:val="none" w:sz="0" w:space="0" w:color="auto"/>
            <w:right w:val="none" w:sz="0" w:space="0" w:color="auto"/>
          </w:divBdr>
          <w:divsChild>
            <w:div w:id="1451901820">
              <w:marLeft w:val="0"/>
              <w:marRight w:val="0"/>
              <w:marTop w:val="0"/>
              <w:marBottom w:val="0"/>
              <w:divBdr>
                <w:top w:val="none" w:sz="0" w:space="0" w:color="auto"/>
                <w:left w:val="none" w:sz="0" w:space="0" w:color="auto"/>
                <w:bottom w:val="none" w:sz="0" w:space="0" w:color="auto"/>
                <w:right w:val="none" w:sz="0" w:space="0" w:color="auto"/>
              </w:divBdr>
            </w:div>
            <w:div w:id="396171053">
              <w:marLeft w:val="0"/>
              <w:marRight w:val="0"/>
              <w:marTop w:val="0"/>
              <w:marBottom w:val="0"/>
              <w:divBdr>
                <w:top w:val="none" w:sz="0" w:space="0" w:color="auto"/>
                <w:left w:val="none" w:sz="0" w:space="0" w:color="auto"/>
                <w:bottom w:val="none" w:sz="0" w:space="0" w:color="auto"/>
                <w:right w:val="none" w:sz="0" w:space="0" w:color="auto"/>
              </w:divBdr>
            </w:div>
          </w:divsChild>
        </w:div>
        <w:div w:id="397363982">
          <w:marLeft w:val="-225"/>
          <w:marRight w:val="-225"/>
          <w:marTop w:val="0"/>
          <w:marBottom w:val="0"/>
          <w:divBdr>
            <w:top w:val="none" w:sz="0" w:space="0" w:color="auto"/>
            <w:left w:val="none" w:sz="0" w:space="0" w:color="auto"/>
            <w:bottom w:val="none" w:sz="0" w:space="0" w:color="auto"/>
            <w:right w:val="none" w:sz="0" w:space="0" w:color="auto"/>
          </w:divBdr>
          <w:divsChild>
            <w:div w:id="1296184597">
              <w:marLeft w:val="0"/>
              <w:marRight w:val="0"/>
              <w:marTop w:val="0"/>
              <w:marBottom w:val="0"/>
              <w:divBdr>
                <w:top w:val="none" w:sz="0" w:space="0" w:color="auto"/>
                <w:left w:val="none" w:sz="0" w:space="0" w:color="auto"/>
                <w:bottom w:val="none" w:sz="0" w:space="0" w:color="auto"/>
                <w:right w:val="none" w:sz="0" w:space="0" w:color="auto"/>
              </w:divBdr>
            </w:div>
            <w:div w:id="31422480">
              <w:marLeft w:val="0"/>
              <w:marRight w:val="0"/>
              <w:marTop w:val="0"/>
              <w:marBottom w:val="0"/>
              <w:divBdr>
                <w:top w:val="none" w:sz="0" w:space="0" w:color="auto"/>
                <w:left w:val="none" w:sz="0" w:space="0" w:color="auto"/>
                <w:bottom w:val="none" w:sz="0" w:space="0" w:color="auto"/>
                <w:right w:val="none" w:sz="0" w:space="0" w:color="auto"/>
              </w:divBdr>
            </w:div>
          </w:divsChild>
        </w:div>
        <w:div w:id="1423407355">
          <w:marLeft w:val="-225"/>
          <w:marRight w:val="-225"/>
          <w:marTop w:val="0"/>
          <w:marBottom w:val="0"/>
          <w:divBdr>
            <w:top w:val="none" w:sz="0" w:space="0" w:color="auto"/>
            <w:left w:val="none" w:sz="0" w:space="0" w:color="auto"/>
            <w:bottom w:val="none" w:sz="0" w:space="0" w:color="auto"/>
            <w:right w:val="none" w:sz="0" w:space="0" w:color="auto"/>
          </w:divBdr>
          <w:divsChild>
            <w:div w:id="5907552">
              <w:marLeft w:val="0"/>
              <w:marRight w:val="0"/>
              <w:marTop w:val="0"/>
              <w:marBottom w:val="0"/>
              <w:divBdr>
                <w:top w:val="none" w:sz="0" w:space="0" w:color="auto"/>
                <w:left w:val="none" w:sz="0" w:space="0" w:color="auto"/>
                <w:bottom w:val="none" w:sz="0" w:space="0" w:color="auto"/>
                <w:right w:val="none" w:sz="0" w:space="0" w:color="auto"/>
              </w:divBdr>
            </w:div>
            <w:div w:id="221912899">
              <w:marLeft w:val="0"/>
              <w:marRight w:val="0"/>
              <w:marTop w:val="0"/>
              <w:marBottom w:val="0"/>
              <w:divBdr>
                <w:top w:val="none" w:sz="0" w:space="0" w:color="auto"/>
                <w:left w:val="none" w:sz="0" w:space="0" w:color="auto"/>
                <w:bottom w:val="none" w:sz="0" w:space="0" w:color="auto"/>
                <w:right w:val="none" w:sz="0" w:space="0" w:color="auto"/>
              </w:divBdr>
            </w:div>
          </w:divsChild>
        </w:div>
        <w:div w:id="8814">
          <w:marLeft w:val="-225"/>
          <w:marRight w:val="-225"/>
          <w:marTop w:val="0"/>
          <w:marBottom w:val="0"/>
          <w:divBdr>
            <w:top w:val="none" w:sz="0" w:space="0" w:color="auto"/>
            <w:left w:val="none" w:sz="0" w:space="0" w:color="auto"/>
            <w:bottom w:val="none" w:sz="0" w:space="0" w:color="auto"/>
            <w:right w:val="none" w:sz="0" w:space="0" w:color="auto"/>
          </w:divBdr>
          <w:divsChild>
            <w:div w:id="1392777384">
              <w:marLeft w:val="0"/>
              <w:marRight w:val="0"/>
              <w:marTop w:val="0"/>
              <w:marBottom w:val="0"/>
              <w:divBdr>
                <w:top w:val="none" w:sz="0" w:space="0" w:color="auto"/>
                <w:left w:val="none" w:sz="0" w:space="0" w:color="auto"/>
                <w:bottom w:val="none" w:sz="0" w:space="0" w:color="auto"/>
                <w:right w:val="none" w:sz="0" w:space="0" w:color="auto"/>
              </w:divBdr>
            </w:div>
            <w:div w:id="51858320">
              <w:marLeft w:val="0"/>
              <w:marRight w:val="0"/>
              <w:marTop w:val="0"/>
              <w:marBottom w:val="0"/>
              <w:divBdr>
                <w:top w:val="none" w:sz="0" w:space="0" w:color="auto"/>
                <w:left w:val="none" w:sz="0" w:space="0" w:color="auto"/>
                <w:bottom w:val="none" w:sz="0" w:space="0" w:color="auto"/>
                <w:right w:val="none" w:sz="0" w:space="0" w:color="auto"/>
              </w:divBdr>
            </w:div>
          </w:divsChild>
        </w:div>
        <w:div w:id="1636988876">
          <w:marLeft w:val="-225"/>
          <w:marRight w:val="-225"/>
          <w:marTop w:val="0"/>
          <w:marBottom w:val="0"/>
          <w:divBdr>
            <w:top w:val="none" w:sz="0" w:space="0" w:color="auto"/>
            <w:left w:val="none" w:sz="0" w:space="0" w:color="auto"/>
            <w:bottom w:val="none" w:sz="0" w:space="0" w:color="auto"/>
            <w:right w:val="none" w:sz="0" w:space="0" w:color="auto"/>
          </w:divBdr>
          <w:divsChild>
            <w:div w:id="1816724185">
              <w:marLeft w:val="0"/>
              <w:marRight w:val="0"/>
              <w:marTop w:val="0"/>
              <w:marBottom w:val="0"/>
              <w:divBdr>
                <w:top w:val="none" w:sz="0" w:space="0" w:color="auto"/>
                <w:left w:val="none" w:sz="0" w:space="0" w:color="auto"/>
                <w:bottom w:val="none" w:sz="0" w:space="0" w:color="auto"/>
                <w:right w:val="none" w:sz="0" w:space="0" w:color="auto"/>
              </w:divBdr>
            </w:div>
            <w:div w:id="1317566865">
              <w:marLeft w:val="0"/>
              <w:marRight w:val="0"/>
              <w:marTop w:val="0"/>
              <w:marBottom w:val="0"/>
              <w:divBdr>
                <w:top w:val="none" w:sz="0" w:space="0" w:color="auto"/>
                <w:left w:val="none" w:sz="0" w:space="0" w:color="auto"/>
                <w:bottom w:val="none" w:sz="0" w:space="0" w:color="auto"/>
                <w:right w:val="none" w:sz="0" w:space="0" w:color="auto"/>
              </w:divBdr>
            </w:div>
          </w:divsChild>
        </w:div>
        <w:div w:id="1507556350">
          <w:marLeft w:val="-225"/>
          <w:marRight w:val="-225"/>
          <w:marTop w:val="0"/>
          <w:marBottom w:val="0"/>
          <w:divBdr>
            <w:top w:val="none" w:sz="0" w:space="0" w:color="auto"/>
            <w:left w:val="none" w:sz="0" w:space="0" w:color="auto"/>
            <w:bottom w:val="none" w:sz="0" w:space="0" w:color="auto"/>
            <w:right w:val="none" w:sz="0" w:space="0" w:color="auto"/>
          </w:divBdr>
          <w:divsChild>
            <w:div w:id="2098792180">
              <w:marLeft w:val="0"/>
              <w:marRight w:val="0"/>
              <w:marTop w:val="0"/>
              <w:marBottom w:val="0"/>
              <w:divBdr>
                <w:top w:val="none" w:sz="0" w:space="0" w:color="auto"/>
                <w:left w:val="none" w:sz="0" w:space="0" w:color="auto"/>
                <w:bottom w:val="none" w:sz="0" w:space="0" w:color="auto"/>
                <w:right w:val="none" w:sz="0" w:space="0" w:color="auto"/>
              </w:divBdr>
            </w:div>
            <w:div w:id="1087922148">
              <w:marLeft w:val="0"/>
              <w:marRight w:val="0"/>
              <w:marTop w:val="0"/>
              <w:marBottom w:val="0"/>
              <w:divBdr>
                <w:top w:val="none" w:sz="0" w:space="0" w:color="auto"/>
                <w:left w:val="none" w:sz="0" w:space="0" w:color="auto"/>
                <w:bottom w:val="none" w:sz="0" w:space="0" w:color="auto"/>
                <w:right w:val="none" w:sz="0" w:space="0" w:color="auto"/>
              </w:divBdr>
            </w:div>
          </w:divsChild>
        </w:div>
        <w:div w:id="582110101">
          <w:marLeft w:val="-225"/>
          <w:marRight w:val="-225"/>
          <w:marTop w:val="0"/>
          <w:marBottom w:val="0"/>
          <w:divBdr>
            <w:top w:val="none" w:sz="0" w:space="0" w:color="auto"/>
            <w:left w:val="none" w:sz="0" w:space="0" w:color="auto"/>
            <w:bottom w:val="none" w:sz="0" w:space="0" w:color="auto"/>
            <w:right w:val="none" w:sz="0" w:space="0" w:color="auto"/>
          </w:divBdr>
          <w:divsChild>
            <w:div w:id="1554274870">
              <w:marLeft w:val="0"/>
              <w:marRight w:val="0"/>
              <w:marTop w:val="0"/>
              <w:marBottom w:val="0"/>
              <w:divBdr>
                <w:top w:val="none" w:sz="0" w:space="0" w:color="auto"/>
                <w:left w:val="none" w:sz="0" w:space="0" w:color="auto"/>
                <w:bottom w:val="none" w:sz="0" w:space="0" w:color="auto"/>
                <w:right w:val="none" w:sz="0" w:space="0" w:color="auto"/>
              </w:divBdr>
            </w:div>
            <w:div w:id="1841583004">
              <w:marLeft w:val="0"/>
              <w:marRight w:val="0"/>
              <w:marTop w:val="0"/>
              <w:marBottom w:val="0"/>
              <w:divBdr>
                <w:top w:val="none" w:sz="0" w:space="0" w:color="auto"/>
                <w:left w:val="none" w:sz="0" w:space="0" w:color="auto"/>
                <w:bottom w:val="none" w:sz="0" w:space="0" w:color="auto"/>
                <w:right w:val="none" w:sz="0" w:space="0" w:color="auto"/>
              </w:divBdr>
            </w:div>
          </w:divsChild>
        </w:div>
        <w:div w:id="1552308709">
          <w:marLeft w:val="-225"/>
          <w:marRight w:val="-225"/>
          <w:marTop w:val="0"/>
          <w:marBottom w:val="0"/>
          <w:divBdr>
            <w:top w:val="none" w:sz="0" w:space="0" w:color="auto"/>
            <w:left w:val="none" w:sz="0" w:space="0" w:color="auto"/>
            <w:bottom w:val="none" w:sz="0" w:space="0" w:color="auto"/>
            <w:right w:val="none" w:sz="0" w:space="0" w:color="auto"/>
          </w:divBdr>
          <w:divsChild>
            <w:div w:id="1135872562">
              <w:marLeft w:val="0"/>
              <w:marRight w:val="0"/>
              <w:marTop w:val="0"/>
              <w:marBottom w:val="0"/>
              <w:divBdr>
                <w:top w:val="none" w:sz="0" w:space="0" w:color="auto"/>
                <w:left w:val="none" w:sz="0" w:space="0" w:color="auto"/>
                <w:bottom w:val="none" w:sz="0" w:space="0" w:color="auto"/>
                <w:right w:val="none" w:sz="0" w:space="0" w:color="auto"/>
              </w:divBdr>
            </w:div>
            <w:div w:id="668484879">
              <w:marLeft w:val="0"/>
              <w:marRight w:val="0"/>
              <w:marTop w:val="0"/>
              <w:marBottom w:val="0"/>
              <w:divBdr>
                <w:top w:val="none" w:sz="0" w:space="0" w:color="auto"/>
                <w:left w:val="none" w:sz="0" w:space="0" w:color="auto"/>
                <w:bottom w:val="none" w:sz="0" w:space="0" w:color="auto"/>
                <w:right w:val="none" w:sz="0" w:space="0" w:color="auto"/>
              </w:divBdr>
            </w:div>
          </w:divsChild>
        </w:div>
        <w:div w:id="1827162824">
          <w:marLeft w:val="-225"/>
          <w:marRight w:val="-225"/>
          <w:marTop w:val="0"/>
          <w:marBottom w:val="0"/>
          <w:divBdr>
            <w:top w:val="none" w:sz="0" w:space="0" w:color="auto"/>
            <w:left w:val="none" w:sz="0" w:space="0" w:color="auto"/>
            <w:bottom w:val="none" w:sz="0" w:space="0" w:color="auto"/>
            <w:right w:val="none" w:sz="0" w:space="0" w:color="auto"/>
          </w:divBdr>
          <w:divsChild>
            <w:div w:id="1276061414">
              <w:marLeft w:val="0"/>
              <w:marRight w:val="0"/>
              <w:marTop w:val="0"/>
              <w:marBottom w:val="0"/>
              <w:divBdr>
                <w:top w:val="none" w:sz="0" w:space="0" w:color="auto"/>
                <w:left w:val="none" w:sz="0" w:space="0" w:color="auto"/>
                <w:bottom w:val="none" w:sz="0" w:space="0" w:color="auto"/>
                <w:right w:val="none" w:sz="0" w:space="0" w:color="auto"/>
              </w:divBdr>
            </w:div>
            <w:div w:id="155916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9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4.xml"/><Relationship Id="rId26" Type="http://schemas.openxmlformats.org/officeDocument/2006/relationships/chart" Target="charts/chart7.xml"/><Relationship Id="rId39" Type="http://schemas.openxmlformats.org/officeDocument/2006/relationships/hyperlink" Target="https://www.bancentral.gov.do/a/d/2562-principales-funcionarios" TargetMode="External"/><Relationship Id="rId21" Type="http://schemas.openxmlformats.org/officeDocument/2006/relationships/chart" Target="charts/chart2.xml"/><Relationship Id="rId34" Type="http://schemas.openxmlformats.org/officeDocument/2006/relationships/hyperlink" Target="http://hp7-181131:8085/bc/funcionarios/roberto_pelliccione.html" TargetMode="External"/><Relationship Id="rId42" Type="http://schemas.openxmlformats.org/officeDocument/2006/relationships/hyperlink" Target="http://hp7-181131:8085/bc/funcionarios/olga_morel.html" TargetMode="External"/><Relationship Id="rId47" Type="http://schemas.openxmlformats.org/officeDocument/2006/relationships/hyperlink" Target="http://hp7-181131:8085/bc/funcionarios/luis_martin_gomez.html" TargetMode="External"/><Relationship Id="rId50" Type="http://schemas.openxmlformats.org/officeDocument/2006/relationships/hyperlink" Target="http://hp7-181131:8085/bc/funcionarios/yamil_espinal.html" TargetMode="External"/><Relationship Id="rId55" Type="http://schemas.openxmlformats.org/officeDocument/2006/relationships/chart" Target="charts/chart11.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hp7-181131:8085/bc/funcionarios/clarissa_de_la_rocha.html" TargetMode="External"/><Relationship Id="rId11" Type="http://schemas.openxmlformats.org/officeDocument/2006/relationships/image" Target="media/image1.png"/><Relationship Id="rId24" Type="http://schemas.openxmlformats.org/officeDocument/2006/relationships/chart" Target="charts/chart5.xml"/><Relationship Id="rId32" Type="http://schemas.openxmlformats.org/officeDocument/2006/relationships/hyperlink" Target="http://hp7-181131:8085/bc/funcionarios/frank_montano.html" TargetMode="External"/><Relationship Id="rId37" Type="http://schemas.openxmlformats.org/officeDocument/2006/relationships/hyperlink" Target="https://www.bancentral.gov.do/a/d/2562-principales-funcionarios" TargetMode="External"/><Relationship Id="rId40" Type="http://schemas.openxmlformats.org/officeDocument/2006/relationships/hyperlink" Target="https://www.bancentral.gov.do/a/d/2562-principales-funcionarios" TargetMode="External"/><Relationship Id="rId45" Type="http://schemas.openxmlformats.org/officeDocument/2006/relationships/hyperlink" Target="https://www.bancentral.gov.do/a/d/2562-principales-funcionarios" TargetMode="External"/><Relationship Id="rId53" Type="http://schemas.openxmlformats.org/officeDocument/2006/relationships/chart" Target="charts/chart9.xml"/><Relationship Id="rId58" Type="http://schemas.openxmlformats.org/officeDocument/2006/relationships/image" Target="media/image10.emf"/><Relationship Id="rId5" Type="http://schemas.openxmlformats.org/officeDocument/2006/relationships/numbering" Target="numbering.xml"/><Relationship Id="rId61" Type="http://schemas.openxmlformats.org/officeDocument/2006/relationships/hyperlink" Target="https://www.bancentral.gov.do/a/d/4987-resumen-de-compras-y-contrataciones" TargetMode="External"/><Relationship Id="rId19" Type="http://schemas.openxmlformats.org/officeDocument/2006/relationships/image" Target="media/image6.png"/><Relationship Id="rId14" Type="http://schemas.openxmlformats.org/officeDocument/2006/relationships/header" Target="header1.xml"/><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hyperlink" Target="http://hp7-181131:8085/bc/funcionarios/ervin_novas_bello.html" TargetMode="External"/><Relationship Id="rId35" Type="http://schemas.openxmlformats.org/officeDocument/2006/relationships/hyperlink" Target="https://www.bancentral.gov.do/a/d/2562-principales-funcionarios" TargetMode="External"/><Relationship Id="rId43" Type="http://schemas.openxmlformats.org/officeDocument/2006/relationships/hyperlink" Target="http://hp7-181131:8085/bc/funcionarios/norma_molina.html" TargetMode="External"/><Relationship Id="rId48" Type="http://schemas.openxmlformats.org/officeDocument/2006/relationships/footer" Target="footer6.xml"/><Relationship Id="rId56" Type="http://schemas.openxmlformats.org/officeDocument/2006/relationships/hyperlink" Target="https://bancentralrd-my.sharepoint.com/personal/w_matos_bancentral_gov_do/Documents/Desktop/Matriz%20Institucional%20enero-diciembre%202022.pdf" TargetMode="External"/><Relationship Id="rId8" Type="http://schemas.openxmlformats.org/officeDocument/2006/relationships/webSettings" Target="web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chart" Target="charts/chart6.xml"/><Relationship Id="rId33" Type="http://schemas.openxmlformats.org/officeDocument/2006/relationships/hyperlink" Target="http://hp7-181131:8085/bc/funcionarios/joel_tejeda.html" TargetMode="External"/><Relationship Id="rId38" Type="http://schemas.openxmlformats.org/officeDocument/2006/relationships/footer" Target="footer5.xml"/><Relationship Id="rId46" Type="http://schemas.openxmlformats.org/officeDocument/2006/relationships/hyperlink" Target="https://www.bancentral.gov.do/a/d/2562-principales-funcionarios" TargetMode="External"/><Relationship Id="rId59" Type="http://schemas.openxmlformats.org/officeDocument/2006/relationships/image" Target="media/image11.emf"/><Relationship Id="rId20" Type="http://schemas.openxmlformats.org/officeDocument/2006/relationships/chart" Target="charts/chart1.xml"/><Relationship Id="rId41" Type="http://schemas.openxmlformats.org/officeDocument/2006/relationships/hyperlink" Target="https://www.bancentral.gov.do/a/d/2562-principales-funcionarios" TargetMode="External"/><Relationship Id="rId54" Type="http://schemas.openxmlformats.org/officeDocument/2006/relationships/chart" Target="charts/chart10.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chart" Target="charts/chart4.xml"/><Relationship Id="rId28" Type="http://schemas.openxmlformats.org/officeDocument/2006/relationships/hyperlink" Target="http://hp7-181131:8085/bc/funcionarios/hector_valdez_albizu.html" TargetMode="External"/><Relationship Id="rId36" Type="http://schemas.openxmlformats.org/officeDocument/2006/relationships/hyperlink" Target="http://hp7-181131:8085/bc/funcionarios/manuel_gomez_copello.html" TargetMode="External"/><Relationship Id="rId49" Type="http://schemas.openxmlformats.org/officeDocument/2006/relationships/hyperlink" Target="http://hp7-181131:8085/bc/funcionarios/nacyra_cury.html" TargetMode="External"/><Relationship Id="rId57" Type="http://schemas.openxmlformats.org/officeDocument/2006/relationships/image" Target="media/image9.png"/><Relationship Id="rId10" Type="http://schemas.openxmlformats.org/officeDocument/2006/relationships/endnotes" Target="endnotes.xml"/><Relationship Id="rId31" Type="http://schemas.openxmlformats.org/officeDocument/2006/relationships/hyperlink" Target="http://hp7-181131:8085/bc/funcionarios/jose_taveras_lay.html" TargetMode="External"/><Relationship Id="rId44" Type="http://schemas.openxmlformats.org/officeDocument/2006/relationships/hyperlink" Target="https://www.bancentral.gov.do/a/d/2562-principales-funcionarios" TargetMode="External"/><Relationship Id="rId52" Type="http://schemas.openxmlformats.org/officeDocument/2006/relationships/image" Target="media/image8.jpeg"/><Relationship Id="rId60"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7.xml"/><Relationship Id="rId1" Type="http://schemas.microsoft.com/office/2011/relationships/chartStyle" Target="style7.xml"/></Relationships>
</file>

<file path=word/charts/_rels/chart11.xml.rels><?xml version="1.0" encoding="UTF-8" standalone="yes"?>
<Relationships xmlns="http://schemas.openxmlformats.org/package/2006/relationships"><Relationship Id="rId3" Type="http://schemas.openxmlformats.org/officeDocument/2006/relationships/oleObject" Target="file:///D:\USERDATA\2018063\AppData\Local\Microsoft\Windows\INetCache\Content.Outlook\XIHJQOZL\Copy%20of%20Preliminar%20Ejec.%20Presup.%20Ene.-%20Dici.%202023%20para%20Informe%20Desempe&#241;o.xlsx" TargetMode="External"/><Relationship Id="rId2" Type="http://schemas.microsoft.com/office/2011/relationships/chartColorStyle" Target="colors8.xml"/><Relationship Id="rId1" Type="http://schemas.microsoft.com/office/2011/relationships/chartStyle" Target="style8.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4.xml.rels><?xml version="1.0" encoding="UTF-8" standalone="yes"?>
<Relationships xmlns="http://schemas.openxmlformats.org/package/2006/relationships"><Relationship Id="rId3" Type="http://schemas.openxmlformats.org/officeDocument/2006/relationships/oleObject" Target="../embeddings/oleObject4.bin"/><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embeddings/oleObject5.bin"/><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6.bin"/><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s-DO" b="1">
                <a:solidFill>
                  <a:srgbClr val="4C4747"/>
                </a:solidFill>
              </a:rPr>
              <a:t>Tasa de Política Monetaria (TPM) </a:t>
            </a:r>
            <a:endParaRPr lang="en-US" b="1">
              <a:solidFill>
                <a:srgbClr val="4C4747"/>
              </a:solidFill>
            </a:endParaRPr>
          </a:p>
          <a:p>
            <a:pPr>
              <a:defRPr/>
            </a:pPr>
            <a:r>
              <a:rPr lang="es-DO">
                <a:solidFill>
                  <a:srgbClr val="4C4747"/>
                </a:solidFill>
              </a:rPr>
              <a:t>Anual (%)</a:t>
            </a:r>
            <a:endParaRPr lang="en-US">
              <a:solidFill>
                <a:srgbClr val="4C4747"/>
              </a:solidFill>
            </a:endParaRPr>
          </a:p>
        </c:rich>
      </c:tx>
      <c:layout>
        <c:manualLayout>
          <c:xMode val="edge"/>
          <c:yMode val="edge"/>
          <c:x val="0.25070245579767647"/>
          <c:y val="3.3333333333333333E-2"/>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0069802666208334"/>
          <c:y val="0.33298177436872117"/>
          <c:w val="0.84801300405631119"/>
          <c:h val="0.40951268591426065"/>
        </c:manualLayout>
      </c:layout>
      <c:lineChart>
        <c:grouping val="standard"/>
        <c:varyColors val="0"/>
        <c:ser>
          <c:idx val="0"/>
          <c:order val="0"/>
          <c:tx>
            <c:v>Facilidad permanente de expansión</c:v>
          </c:tx>
          <c:spPr>
            <a:ln w="28575" cap="rnd">
              <a:solidFill>
                <a:schemeClr val="accent1">
                  <a:shade val="65000"/>
                </a:schemeClr>
              </a:solidFill>
              <a:round/>
            </a:ln>
            <a:effectLst/>
          </c:spPr>
          <c:marker>
            <c:symbol val="none"/>
          </c:marker>
          <c:dLbls>
            <c:dLbl>
              <c:idx val="46"/>
              <c:layout>
                <c:manualLayout>
                  <c:x val="-1.184310177490232E-16"/>
                  <c:y val="-1.11111111111111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E5C-405A-B650-C097857EB7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Mensual!$A$220:$B$266</c:f>
              <c:multiLvlStrCache>
                <c:ptCount val="47"/>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 </c:v>
                  </c:pt>
                  <c:pt idx="39">
                    <c:v>Abr</c:v>
                  </c:pt>
                  <c:pt idx="40">
                    <c:v>May</c:v>
                  </c:pt>
                  <c:pt idx="41">
                    <c:v>Jun</c:v>
                  </c:pt>
                  <c:pt idx="42">
                    <c:v>Jul</c:v>
                  </c:pt>
                  <c:pt idx="43">
                    <c:v>Ago</c:v>
                  </c:pt>
                  <c:pt idx="44">
                    <c:v>Sep</c:v>
                  </c:pt>
                  <c:pt idx="45">
                    <c:v>Oct</c:v>
                  </c:pt>
                  <c:pt idx="46">
                    <c:v>Nov</c:v>
                  </c:pt>
                </c:lvl>
                <c:lvl>
                  <c:pt idx="0">
                    <c:v>2020</c:v>
                  </c:pt>
                  <c:pt idx="12">
                    <c:v>2021</c:v>
                  </c:pt>
                  <c:pt idx="24">
                    <c:v>2022</c:v>
                  </c:pt>
                  <c:pt idx="36">
                    <c:v>2023</c:v>
                  </c:pt>
                </c:lvl>
              </c:multiLvlStrCache>
            </c:multiLvlStrRef>
          </c:cat>
          <c:val>
            <c:numRef>
              <c:f>Mensual!$AS$220:$AS$266</c:f>
              <c:numCache>
                <c:formatCode>0.00</c:formatCode>
                <c:ptCount val="47"/>
                <c:pt idx="0">
                  <c:v>6</c:v>
                </c:pt>
                <c:pt idx="1">
                  <c:v>6</c:v>
                </c:pt>
                <c:pt idx="2">
                  <c:v>4.5</c:v>
                </c:pt>
                <c:pt idx="3">
                  <c:v>4.5</c:v>
                </c:pt>
                <c:pt idx="4">
                  <c:v>4.5</c:v>
                </c:pt>
                <c:pt idx="5">
                  <c:v>4.5</c:v>
                </c:pt>
                <c:pt idx="6">
                  <c:v>4.5</c:v>
                </c:pt>
                <c:pt idx="7">
                  <c:v>3.5000000000000004</c:v>
                </c:pt>
                <c:pt idx="8">
                  <c:v>3.5000000000000004</c:v>
                </c:pt>
                <c:pt idx="9">
                  <c:v>3.5000000000000004</c:v>
                </c:pt>
                <c:pt idx="10">
                  <c:v>3.5000000000000004</c:v>
                </c:pt>
                <c:pt idx="11">
                  <c:v>3.5000000000000004</c:v>
                </c:pt>
                <c:pt idx="12">
                  <c:v>3.5000000000000004</c:v>
                </c:pt>
                <c:pt idx="13">
                  <c:v>3.5000000000000004</c:v>
                </c:pt>
                <c:pt idx="14">
                  <c:v>3.5000000000000004</c:v>
                </c:pt>
                <c:pt idx="15">
                  <c:v>3.5000000000000004</c:v>
                </c:pt>
                <c:pt idx="16">
                  <c:v>3.5000000000000004</c:v>
                </c:pt>
                <c:pt idx="17">
                  <c:v>3.5000000000000004</c:v>
                </c:pt>
                <c:pt idx="18">
                  <c:v>3.5000000000000004</c:v>
                </c:pt>
                <c:pt idx="19">
                  <c:v>3.5000000000000004</c:v>
                </c:pt>
                <c:pt idx="20">
                  <c:v>3.5000000000000004</c:v>
                </c:pt>
                <c:pt idx="21">
                  <c:v>3.5000000000000004</c:v>
                </c:pt>
                <c:pt idx="22">
                  <c:v>4</c:v>
                </c:pt>
                <c:pt idx="23">
                  <c:v>5</c:v>
                </c:pt>
                <c:pt idx="24">
                  <c:v>5.5</c:v>
                </c:pt>
                <c:pt idx="25">
                  <c:v>5.5</c:v>
                </c:pt>
                <c:pt idx="26">
                  <c:v>6</c:v>
                </c:pt>
                <c:pt idx="27">
                  <c:v>6</c:v>
                </c:pt>
                <c:pt idx="28">
                  <c:v>7.0000000000000009</c:v>
                </c:pt>
                <c:pt idx="29">
                  <c:v>7.75</c:v>
                </c:pt>
                <c:pt idx="30">
                  <c:v>8.25</c:v>
                </c:pt>
                <c:pt idx="31">
                  <c:v>8.5</c:v>
                </c:pt>
                <c:pt idx="32">
                  <c:v>8.75</c:v>
                </c:pt>
                <c:pt idx="33">
                  <c:v>9</c:v>
                </c:pt>
                <c:pt idx="34">
                  <c:v>9</c:v>
                </c:pt>
                <c:pt idx="35">
                  <c:v>9</c:v>
                </c:pt>
                <c:pt idx="36">
                  <c:v>9</c:v>
                </c:pt>
                <c:pt idx="37">
                  <c:v>9</c:v>
                </c:pt>
                <c:pt idx="38">
                  <c:v>9</c:v>
                </c:pt>
                <c:pt idx="39">
                  <c:v>9</c:v>
                </c:pt>
                <c:pt idx="40">
                  <c:v>8.5</c:v>
                </c:pt>
                <c:pt idx="41">
                  <c:v>8.25</c:v>
                </c:pt>
                <c:pt idx="42">
                  <c:v>8.25</c:v>
                </c:pt>
                <c:pt idx="43">
                  <c:v>8</c:v>
                </c:pt>
                <c:pt idx="44">
                  <c:v>8</c:v>
                </c:pt>
                <c:pt idx="45">
                  <c:v>7.75</c:v>
                </c:pt>
                <c:pt idx="46">
                  <c:v>7.5</c:v>
                </c:pt>
              </c:numCache>
            </c:numRef>
          </c:val>
          <c:smooth val="0"/>
          <c:extLst>
            <c:ext xmlns:c16="http://schemas.microsoft.com/office/drawing/2014/chart" uri="{C3380CC4-5D6E-409C-BE32-E72D297353CC}">
              <c16:uniqueId val="{00000001-7E5C-405A-B650-C097857EB788}"/>
            </c:ext>
          </c:extLst>
        </c:ser>
        <c:ser>
          <c:idx val="2"/>
          <c:order val="1"/>
          <c:tx>
            <c:v>TPM</c:v>
          </c:tx>
          <c:spPr>
            <a:ln w="28575" cap="rnd">
              <a:solidFill>
                <a:schemeClr val="accent1">
                  <a:tint val="65000"/>
                </a:schemeClr>
              </a:solidFill>
              <a:round/>
            </a:ln>
            <a:effectLst/>
          </c:spPr>
          <c:marker>
            <c:symbol val="none"/>
          </c:marker>
          <c:dLbls>
            <c:dLbl>
              <c:idx val="46"/>
              <c:layout>
                <c:manualLayout>
                  <c:x val="-1.184310177490232E-16"/>
                  <c:y val="2.22222222222221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E5C-405A-B650-C097857EB7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Mensual!$A$220:$B$266</c:f>
              <c:multiLvlStrCache>
                <c:ptCount val="47"/>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 </c:v>
                  </c:pt>
                  <c:pt idx="39">
                    <c:v>Abr</c:v>
                  </c:pt>
                  <c:pt idx="40">
                    <c:v>May</c:v>
                  </c:pt>
                  <c:pt idx="41">
                    <c:v>Jun</c:v>
                  </c:pt>
                  <c:pt idx="42">
                    <c:v>Jul</c:v>
                  </c:pt>
                  <c:pt idx="43">
                    <c:v>Ago</c:v>
                  </c:pt>
                  <c:pt idx="44">
                    <c:v>Sep</c:v>
                  </c:pt>
                  <c:pt idx="45">
                    <c:v>Oct</c:v>
                  </c:pt>
                  <c:pt idx="46">
                    <c:v>Nov</c:v>
                  </c:pt>
                </c:lvl>
                <c:lvl>
                  <c:pt idx="0">
                    <c:v>2020</c:v>
                  </c:pt>
                  <c:pt idx="12">
                    <c:v>2021</c:v>
                  </c:pt>
                  <c:pt idx="24">
                    <c:v>2022</c:v>
                  </c:pt>
                  <c:pt idx="36">
                    <c:v>2023</c:v>
                  </c:pt>
                </c:lvl>
              </c:multiLvlStrCache>
            </c:multiLvlStrRef>
          </c:cat>
          <c:val>
            <c:numRef>
              <c:f>Mensual!$AQ$220:$AQ$266</c:f>
              <c:numCache>
                <c:formatCode>0.00</c:formatCode>
                <c:ptCount val="47"/>
                <c:pt idx="0">
                  <c:v>4.5</c:v>
                </c:pt>
                <c:pt idx="1">
                  <c:v>4.5</c:v>
                </c:pt>
                <c:pt idx="2">
                  <c:v>3.5</c:v>
                </c:pt>
                <c:pt idx="3">
                  <c:v>3.5</c:v>
                </c:pt>
                <c:pt idx="4">
                  <c:v>3.5</c:v>
                </c:pt>
                <c:pt idx="5">
                  <c:v>3.5</c:v>
                </c:pt>
                <c:pt idx="6">
                  <c:v>3.5</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3.5</c:v>
                </c:pt>
                <c:pt idx="23">
                  <c:v>4.5</c:v>
                </c:pt>
                <c:pt idx="24">
                  <c:v>5</c:v>
                </c:pt>
                <c:pt idx="25">
                  <c:v>5</c:v>
                </c:pt>
                <c:pt idx="26">
                  <c:v>5.5</c:v>
                </c:pt>
                <c:pt idx="27">
                  <c:v>5.5</c:v>
                </c:pt>
                <c:pt idx="28">
                  <c:v>6.5</c:v>
                </c:pt>
                <c:pt idx="29">
                  <c:v>7.25</c:v>
                </c:pt>
                <c:pt idx="30">
                  <c:v>7.75</c:v>
                </c:pt>
                <c:pt idx="31">
                  <c:v>8</c:v>
                </c:pt>
                <c:pt idx="32" formatCode="General">
                  <c:v>8.25</c:v>
                </c:pt>
                <c:pt idx="33">
                  <c:v>8.5</c:v>
                </c:pt>
                <c:pt idx="34">
                  <c:v>8.5</c:v>
                </c:pt>
                <c:pt idx="35">
                  <c:v>8.5</c:v>
                </c:pt>
                <c:pt idx="36">
                  <c:v>8.5</c:v>
                </c:pt>
                <c:pt idx="37">
                  <c:v>8.5</c:v>
                </c:pt>
                <c:pt idx="38">
                  <c:v>8.5</c:v>
                </c:pt>
                <c:pt idx="39">
                  <c:v>8.5</c:v>
                </c:pt>
                <c:pt idx="40">
                  <c:v>8</c:v>
                </c:pt>
                <c:pt idx="41">
                  <c:v>7.75</c:v>
                </c:pt>
                <c:pt idx="42">
                  <c:v>7.75</c:v>
                </c:pt>
                <c:pt idx="43">
                  <c:v>7.5</c:v>
                </c:pt>
                <c:pt idx="44">
                  <c:v>7.5</c:v>
                </c:pt>
                <c:pt idx="45">
                  <c:v>7.25</c:v>
                </c:pt>
                <c:pt idx="46">
                  <c:v>7</c:v>
                </c:pt>
              </c:numCache>
            </c:numRef>
          </c:val>
          <c:smooth val="0"/>
          <c:extLst>
            <c:ext xmlns:c16="http://schemas.microsoft.com/office/drawing/2014/chart" uri="{C3380CC4-5D6E-409C-BE32-E72D297353CC}">
              <c16:uniqueId val="{00000003-7E5C-405A-B650-C097857EB788}"/>
            </c:ext>
          </c:extLst>
        </c:ser>
        <c:ser>
          <c:idx val="1"/>
          <c:order val="2"/>
          <c:tx>
            <c:strRef>
              <c:f>Mensual!$AR$2</c:f>
              <c:strCache>
                <c:ptCount val="1"/>
                <c:pt idx="0">
                  <c:v>Facilidad permanente de depósitos</c:v>
                </c:pt>
              </c:strCache>
            </c:strRef>
          </c:tx>
          <c:spPr>
            <a:ln w="28575" cap="rnd">
              <a:solidFill>
                <a:schemeClr val="accent1"/>
              </a:solidFill>
              <a:round/>
            </a:ln>
            <a:effectLst/>
          </c:spPr>
          <c:marker>
            <c:symbol val="none"/>
          </c:marker>
          <c:dLbls>
            <c:dLbl>
              <c:idx val="4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E5C-405A-B650-C097857EB78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Mensual!$A$220:$B$266</c:f>
              <c:multiLvlStrCache>
                <c:ptCount val="47"/>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 </c:v>
                  </c:pt>
                  <c:pt idx="39">
                    <c:v>Abr</c:v>
                  </c:pt>
                  <c:pt idx="40">
                    <c:v>May</c:v>
                  </c:pt>
                  <c:pt idx="41">
                    <c:v>Jun</c:v>
                  </c:pt>
                  <c:pt idx="42">
                    <c:v>Jul</c:v>
                  </c:pt>
                  <c:pt idx="43">
                    <c:v>Ago</c:v>
                  </c:pt>
                  <c:pt idx="44">
                    <c:v>Sep</c:v>
                  </c:pt>
                  <c:pt idx="45">
                    <c:v>Oct</c:v>
                  </c:pt>
                  <c:pt idx="46">
                    <c:v>Nov</c:v>
                  </c:pt>
                </c:lvl>
                <c:lvl>
                  <c:pt idx="0">
                    <c:v>2020</c:v>
                  </c:pt>
                  <c:pt idx="12">
                    <c:v>2021</c:v>
                  </c:pt>
                  <c:pt idx="24">
                    <c:v>2022</c:v>
                  </c:pt>
                  <c:pt idx="36">
                    <c:v>2023</c:v>
                  </c:pt>
                </c:lvl>
              </c:multiLvlStrCache>
            </c:multiLvlStrRef>
          </c:cat>
          <c:val>
            <c:numRef>
              <c:f>Mensual!$AR$220:$AR$266</c:f>
              <c:numCache>
                <c:formatCode>0.00</c:formatCode>
                <c:ptCount val="47"/>
                <c:pt idx="0">
                  <c:v>3</c:v>
                </c:pt>
                <c:pt idx="1">
                  <c:v>3</c:v>
                </c:pt>
                <c:pt idx="2">
                  <c:v>2.5</c:v>
                </c:pt>
                <c:pt idx="3">
                  <c:v>2.5</c:v>
                </c:pt>
                <c:pt idx="4">
                  <c:v>2.5</c:v>
                </c:pt>
                <c:pt idx="5">
                  <c:v>2.5</c:v>
                </c:pt>
                <c:pt idx="6">
                  <c:v>2.5</c:v>
                </c:pt>
                <c:pt idx="7">
                  <c:v>2.5</c:v>
                </c:pt>
                <c:pt idx="8">
                  <c:v>2.5</c:v>
                </c:pt>
                <c:pt idx="9">
                  <c:v>2.5</c:v>
                </c:pt>
                <c:pt idx="10">
                  <c:v>2.5</c:v>
                </c:pt>
                <c:pt idx="11">
                  <c:v>2.5</c:v>
                </c:pt>
                <c:pt idx="12">
                  <c:v>2.5</c:v>
                </c:pt>
                <c:pt idx="13">
                  <c:v>2.5</c:v>
                </c:pt>
                <c:pt idx="14">
                  <c:v>2.5</c:v>
                </c:pt>
                <c:pt idx="15">
                  <c:v>2.5</c:v>
                </c:pt>
                <c:pt idx="16">
                  <c:v>2.5</c:v>
                </c:pt>
                <c:pt idx="17">
                  <c:v>2.5</c:v>
                </c:pt>
                <c:pt idx="18">
                  <c:v>2.5</c:v>
                </c:pt>
                <c:pt idx="19">
                  <c:v>2.5</c:v>
                </c:pt>
                <c:pt idx="20">
                  <c:v>2.5</c:v>
                </c:pt>
                <c:pt idx="21">
                  <c:v>2.5</c:v>
                </c:pt>
                <c:pt idx="22">
                  <c:v>3</c:v>
                </c:pt>
                <c:pt idx="23">
                  <c:v>4</c:v>
                </c:pt>
                <c:pt idx="24">
                  <c:v>4.5</c:v>
                </c:pt>
                <c:pt idx="25">
                  <c:v>4.5</c:v>
                </c:pt>
                <c:pt idx="26">
                  <c:v>5</c:v>
                </c:pt>
                <c:pt idx="27">
                  <c:v>5</c:v>
                </c:pt>
                <c:pt idx="28">
                  <c:v>6</c:v>
                </c:pt>
                <c:pt idx="29">
                  <c:v>6.75</c:v>
                </c:pt>
                <c:pt idx="30">
                  <c:v>7.2499999999999991</c:v>
                </c:pt>
                <c:pt idx="31">
                  <c:v>7.5</c:v>
                </c:pt>
                <c:pt idx="32">
                  <c:v>7.75</c:v>
                </c:pt>
                <c:pt idx="33">
                  <c:v>8</c:v>
                </c:pt>
                <c:pt idx="34">
                  <c:v>8</c:v>
                </c:pt>
                <c:pt idx="35">
                  <c:v>8</c:v>
                </c:pt>
                <c:pt idx="36">
                  <c:v>8</c:v>
                </c:pt>
                <c:pt idx="37">
                  <c:v>8</c:v>
                </c:pt>
                <c:pt idx="38">
                  <c:v>8</c:v>
                </c:pt>
                <c:pt idx="39">
                  <c:v>8</c:v>
                </c:pt>
                <c:pt idx="40">
                  <c:v>7.5</c:v>
                </c:pt>
                <c:pt idx="41">
                  <c:v>6.75</c:v>
                </c:pt>
                <c:pt idx="42">
                  <c:v>6.75</c:v>
                </c:pt>
                <c:pt idx="43">
                  <c:v>6.25</c:v>
                </c:pt>
                <c:pt idx="44">
                  <c:v>6.25</c:v>
                </c:pt>
                <c:pt idx="45">
                  <c:v>6</c:v>
                </c:pt>
                <c:pt idx="46">
                  <c:v>5.5</c:v>
                </c:pt>
              </c:numCache>
            </c:numRef>
          </c:val>
          <c:smooth val="0"/>
          <c:extLst>
            <c:ext xmlns:c16="http://schemas.microsoft.com/office/drawing/2014/chart" uri="{C3380CC4-5D6E-409C-BE32-E72D297353CC}">
              <c16:uniqueId val="{00000005-7E5C-405A-B650-C097857EB788}"/>
            </c:ext>
          </c:extLst>
        </c:ser>
        <c:dLbls>
          <c:showLegendKey val="0"/>
          <c:showVal val="0"/>
          <c:showCatName val="0"/>
          <c:showSerName val="0"/>
          <c:showPercent val="0"/>
          <c:showBubbleSize val="0"/>
        </c:dLbls>
        <c:smooth val="0"/>
        <c:axId val="1604539599"/>
        <c:axId val="1605716319"/>
      </c:lineChart>
      <c:catAx>
        <c:axId val="1604539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1605716319"/>
        <c:crosses val="autoZero"/>
        <c:auto val="1"/>
        <c:lblAlgn val="ctr"/>
        <c:lblOffset val="100"/>
        <c:noMultiLvlLbl val="0"/>
      </c:catAx>
      <c:valAx>
        <c:axId val="1605716319"/>
        <c:scaling>
          <c:orientation val="minMax"/>
          <c:max val="10"/>
          <c:min val="2"/>
        </c:scaling>
        <c:delete val="0"/>
        <c:axPos val="l"/>
        <c:numFmt formatCode="0.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crossAx val="1604539599"/>
        <c:crosses val="autoZero"/>
        <c:crossBetween val="between"/>
        <c:majorUnit val="2"/>
      </c:valAx>
      <c:spPr>
        <a:solidFill>
          <a:schemeClr val="bg1"/>
        </a:solidFill>
        <a:ln w="25400">
          <a:noFill/>
        </a:ln>
        <a:effectLst/>
      </c:spPr>
    </c:plotArea>
    <c:legend>
      <c:legendPos val="t"/>
      <c:layout>
        <c:manualLayout>
          <c:xMode val="edge"/>
          <c:yMode val="edge"/>
          <c:x val="0"/>
          <c:y val="0.205334208223972"/>
          <c:w val="1"/>
          <c:h val="0.17065004374453194"/>
        </c:manualLayout>
      </c:layout>
      <c:overlay val="0"/>
      <c:spPr>
        <a:noFill/>
        <a:ln>
          <a:noFill/>
        </a:ln>
        <a:effectLst>
          <a:outerShdw blurRad="50800" dist="50800" dir="5400000" algn="ctr" rotWithShape="0">
            <a:schemeClr val="tx2">
              <a:lumMod val="60000"/>
              <a:lumOff val="40000"/>
            </a:schemeClr>
          </a:outerShdw>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000" b="0">
                <a:solidFill>
                  <a:srgbClr val="4C4747"/>
                </a:solidFill>
                <a:latin typeface="Times New Roman" panose="02020603050405020304" pitchFamily="18" charset="0"/>
                <a:cs typeface="Times New Roman" panose="02020603050405020304" pitchFamily="18" charset="0"/>
              </a:rPr>
              <a:t>Gastos Generales y Administrativos</a:t>
            </a:r>
          </a:p>
          <a:p>
            <a:pPr>
              <a:defRPr/>
            </a:pPr>
            <a:r>
              <a:rPr lang="es-DO" sz="1000" b="0">
                <a:solidFill>
                  <a:srgbClr val="4C4747"/>
                </a:solidFill>
                <a:latin typeface="Times New Roman" panose="02020603050405020304" pitchFamily="18" charset="0"/>
                <a:cs typeface="Times New Roman" panose="02020603050405020304" pitchFamily="18" charset="0"/>
              </a:rPr>
              <a:t>Presupuesto Vs. Ejecución</a:t>
            </a:r>
          </a:p>
          <a:p>
            <a:pPr>
              <a:defRPr/>
            </a:pPr>
            <a:r>
              <a:rPr lang="es-DO" sz="1000" b="0">
                <a:solidFill>
                  <a:srgbClr val="4C4747"/>
                </a:solidFill>
                <a:latin typeface="Times New Roman" panose="02020603050405020304" pitchFamily="18" charset="0"/>
                <a:cs typeface="Times New Roman" panose="02020603050405020304" pitchFamily="18" charset="0"/>
              </a:rPr>
              <a:t>Enero-Diciembre 2023</a:t>
            </a:r>
          </a:p>
          <a:p>
            <a:pPr>
              <a:defRPr/>
            </a:pPr>
            <a:r>
              <a:rPr lang="es-DO" sz="1000" b="0">
                <a:solidFill>
                  <a:srgbClr val="4C4747"/>
                </a:solidFill>
                <a:latin typeface="Times New Roman" panose="02020603050405020304" pitchFamily="18" charset="0"/>
                <a:cs typeface="Times New Roman" panose="02020603050405020304" pitchFamily="18" charset="0"/>
              </a:rPr>
              <a:t>En millones de RD$</a:t>
            </a:r>
          </a:p>
        </c:rich>
      </c:tx>
      <c:layout>
        <c:manualLayout>
          <c:xMode val="edge"/>
          <c:yMode val="edge"/>
          <c:x val="0.27993309759655405"/>
          <c:y val="7.3159235558280152E-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29333275329534086"/>
          <c:y val="0.12687554166513298"/>
          <c:w val="0.70666724670465919"/>
          <c:h val="0.8060355717139539"/>
        </c:manualLayout>
      </c:layout>
      <c:barChart>
        <c:barDir val="bar"/>
        <c:grouping val="clustered"/>
        <c:varyColors val="0"/>
        <c:ser>
          <c:idx val="0"/>
          <c:order val="0"/>
          <c:tx>
            <c:v>Presupuesto</c:v>
          </c:tx>
          <c:spPr>
            <a:solidFill>
              <a:srgbClr val="002060"/>
            </a:solidFill>
            <a:ln>
              <a:noFill/>
            </a:ln>
            <a:effectLst/>
          </c:spPr>
          <c:invertIfNegative val="0"/>
          <c:dLbls>
            <c:dLbl>
              <c:idx val="0"/>
              <c:layout>
                <c:manualLayout>
                  <c:x val="4.305470048845049E-2"/>
                  <c:y val="1.822852693511542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C06-415D-A099-0F6DF1971E9A}"/>
                </c:ext>
              </c:extLst>
            </c:dLbl>
            <c:dLbl>
              <c:idx val="1"/>
              <c:layout>
                <c:manualLayout>
                  <c:x val="-2.3498713105172802E-3"/>
                  <c:y val="6.54882972634315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06-415D-A099-0F6DF1971E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GGA Func.+Proy '!$B$27:$B$30</c:f>
              <c:strCache>
                <c:ptCount val="4"/>
                <c:pt idx="0">
                  <c:v>Servicios No Personales</c:v>
                </c:pt>
                <c:pt idx="1">
                  <c:v>Servicios Personales</c:v>
                </c:pt>
                <c:pt idx="2">
                  <c:v>Aportes Corrientes</c:v>
                </c:pt>
                <c:pt idx="3">
                  <c:v>Materiales y Suministros</c:v>
                </c:pt>
              </c:strCache>
            </c:strRef>
          </c:cat>
          <c:val>
            <c:numRef>
              <c:f>'Gráfico GGA Func.+Proy '!$C$27:$C$30</c:f>
              <c:numCache>
                <c:formatCode>#,##0.0</c:formatCode>
                <c:ptCount val="4"/>
                <c:pt idx="0">
                  <c:v>1716.6</c:v>
                </c:pt>
                <c:pt idx="1">
                  <c:v>7397</c:v>
                </c:pt>
                <c:pt idx="2">
                  <c:v>1880.2940000000001</c:v>
                </c:pt>
                <c:pt idx="3">
                  <c:v>123.1</c:v>
                </c:pt>
              </c:numCache>
            </c:numRef>
          </c:val>
          <c:extLst>
            <c:ext xmlns:c16="http://schemas.microsoft.com/office/drawing/2014/chart" uri="{C3380CC4-5D6E-409C-BE32-E72D297353CC}">
              <c16:uniqueId val="{00000002-4C06-415D-A099-0F6DF1971E9A}"/>
            </c:ext>
          </c:extLst>
        </c:ser>
        <c:ser>
          <c:idx val="1"/>
          <c:order val="1"/>
          <c:tx>
            <c:v>Ejecución</c:v>
          </c:tx>
          <c:spPr>
            <a:solidFill>
              <a:srgbClr val="436EBE"/>
            </a:solidFill>
            <a:ln>
              <a:noFill/>
            </a:ln>
            <a:effectLst/>
          </c:spPr>
          <c:invertIfNegative val="0"/>
          <c:dLbls>
            <c:dLbl>
              <c:idx val="1"/>
              <c:layout>
                <c:manualLayout>
                  <c:x val="-4.5207435512873019E-2"/>
                  <c:y val="-7.072691552062858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06-415D-A099-0F6DF1971E9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GGA Func.+Proy '!$B$27:$B$30</c:f>
              <c:strCache>
                <c:ptCount val="4"/>
                <c:pt idx="0">
                  <c:v>Servicios No Personales</c:v>
                </c:pt>
                <c:pt idx="1">
                  <c:v>Servicios Personales</c:v>
                </c:pt>
                <c:pt idx="2">
                  <c:v>Aportes Corrientes</c:v>
                </c:pt>
                <c:pt idx="3">
                  <c:v>Materiales y Suministros</c:v>
                </c:pt>
              </c:strCache>
            </c:strRef>
          </c:cat>
          <c:val>
            <c:numRef>
              <c:f>'Gráfico GGA Func.+Proy '!$D$27:$D$30</c:f>
              <c:numCache>
                <c:formatCode>#,##0.0</c:formatCode>
                <c:ptCount val="4"/>
                <c:pt idx="0">
                  <c:v>1552.0239999999999</c:v>
                </c:pt>
                <c:pt idx="1">
                  <c:v>7337.4111836800002</c:v>
                </c:pt>
                <c:pt idx="2">
                  <c:v>1839.2180000000001</c:v>
                </c:pt>
                <c:pt idx="3">
                  <c:v>113.047</c:v>
                </c:pt>
              </c:numCache>
            </c:numRef>
          </c:val>
          <c:extLst>
            <c:ext xmlns:c16="http://schemas.microsoft.com/office/drawing/2014/chart" uri="{C3380CC4-5D6E-409C-BE32-E72D297353CC}">
              <c16:uniqueId val="{00000004-4C06-415D-A099-0F6DF1971E9A}"/>
            </c:ext>
          </c:extLst>
        </c:ser>
        <c:dLbls>
          <c:showLegendKey val="0"/>
          <c:showVal val="0"/>
          <c:showCatName val="0"/>
          <c:showSerName val="0"/>
          <c:showPercent val="0"/>
          <c:showBubbleSize val="0"/>
        </c:dLbls>
        <c:gapWidth val="105"/>
        <c:overlap val="-11"/>
        <c:axId val="969300415"/>
        <c:axId val="967682767"/>
      </c:barChart>
      <c:catAx>
        <c:axId val="969300415"/>
        <c:scaling>
          <c:orientation val="maxMin"/>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otham Book" pitchFamily="50" charset="0"/>
                <a:ea typeface="+mn-ea"/>
                <a:cs typeface="Gotham Book" pitchFamily="50" charset="0"/>
              </a:defRPr>
            </a:pPr>
            <a:endParaRPr lang="es-DO"/>
          </a:p>
        </c:txPr>
        <c:crossAx val="967682767"/>
        <c:crosses val="autoZero"/>
        <c:auto val="1"/>
        <c:lblAlgn val="ctr"/>
        <c:lblOffset val="100"/>
        <c:noMultiLvlLbl val="0"/>
      </c:catAx>
      <c:valAx>
        <c:axId val="967682767"/>
        <c:scaling>
          <c:orientation val="minMax"/>
        </c:scaling>
        <c:delete val="1"/>
        <c:axPos val="t"/>
        <c:numFmt formatCode="#,##0.0" sourceLinked="1"/>
        <c:majorTickMark val="none"/>
        <c:minorTickMark val="none"/>
        <c:tickLblPos val="nextTo"/>
        <c:crossAx val="9693004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Gotham Book" pitchFamily="50" charset="0"/>
              <a:ea typeface="+mn-ea"/>
              <a:cs typeface="Gotham Book" pitchFamily="50"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000" b="0">
                <a:solidFill>
                  <a:sysClr val="windowText" lastClr="000000"/>
                </a:solidFill>
                <a:latin typeface="Times New Roman" panose="02020603050405020304" pitchFamily="18" charset="0"/>
                <a:cs typeface="Times New Roman" panose="02020603050405020304" pitchFamily="18" charset="0"/>
              </a:rPr>
              <a:t>Resultado Operacional </a:t>
            </a:r>
          </a:p>
          <a:p>
            <a:pPr>
              <a:defRPr/>
            </a:pPr>
            <a:r>
              <a:rPr lang="es-DO" sz="1000" b="0">
                <a:solidFill>
                  <a:sysClr val="windowText" lastClr="000000"/>
                </a:solidFill>
                <a:latin typeface="Times New Roman" panose="02020603050405020304" pitchFamily="18" charset="0"/>
                <a:cs typeface="Times New Roman" panose="02020603050405020304" pitchFamily="18" charset="0"/>
              </a:rPr>
              <a:t>Enero-Diciembre 2023</a:t>
            </a:r>
          </a:p>
          <a:p>
            <a:pPr>
              <a:defRPr/>
            </a:pPr>
            <a:r>
              <a:rPr lang="es-DO" sz="1000" b="0">
                <a:solidFill>
                  <a:sysClr val="windowText" lastClr="000000"/>
                </a:solidFill>
                <a:latin typeface="Times New Roman" panose="02020603050405020304" pitchFamily="18" charset="0"/>
                <a:cs typeface="Times New Roman" panose="02020603050405020304" pitchFamily="18" charset="0"/>
              </a:rPr>
              <a:t>En millones de RD$</a:t>
            </a:r>
          </a:p>
        </c:rich>
      </c:tx>
      <c:layout>
        <c:manualLayout>
          <c:xMode val="edge"/>
          <c:yMode val="edge"/>
          <c:x val="0.25416040748707291"/>
          <c:y val="1.2293430780757432E-2"/>
        </c:manualLayout>
      </c:layout>
      <c:overlay val="0"/>
      <c:spPr>
        <a:solidFill>
          <a:schemeClr val="bg1"/>
        </a:solid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0.10007158196134575"/>
          <c:y val="0.18560578708149286"/>
          <c:w val="0.81793198310104287"/>
          <c:h val="0.71046232635554707"/>
        </c:manualLayout>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011C50"/>
              </a:solidFill>
              <a:ln>
                <a:noFill/>
              </a:ln>
              <a:effectLst/>
            </c:spPr>
            <c:extLst>
              <c:ext xmlns:c16="http://schemas.microsoft.com/office/drawing/2014/chart" uri="{C3380CC4-5D6E-409C-BE32-E72D297353CC}">
                <c16:uniqueId val="{00000001-89DF-4CF4-BF32-D58E06A65BF4}"/>
              </c:ext>
            </c:extLst>
          </c:dPt>
          <c:dPt>
            <c:idx val="1"/>
            <c:invertIfNegative val="0"/>
            <c:bubble3D val="0"/>
            <c:spPr>
              <a:solidFill>
                <a:srgbClr val="011C50"/>
              </a:solidFill>
              <a:ln>
                <a:noFill/>
              </a:ln>
              <a:effectLst/>
            </c:spPr>
            <c:extLst>
              <c:ext xmlns:c16="http://schemas.microsoft.com/office/drawing/2014/chart" uri="{C3380CC4-5D6E-409C-BE32-E72D297353CC}">
                <c16:uniqueId val="{00000003-89DF-4CF4-BF32-D58E06A65BF4}"/>
              </c:ext>
            </c:extLst>
          </c:dPt>
          <c:dLbls>
            <c:dLbl>
              <c:idx val="0"/>
              <c:layout>
                <c:manualLayout>
                  <c:x val="0"/>
                  <c:y val="4.93730473995957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0.26370769985286907"/>
                      <c:h val="0.15888689407540396"/>
                    </c:manualLayout>
                  </c15:layout>
                </c:ext>
                <c:ext xmlns:c16="http://schemas.microsoft.com/office/drawing/2014/chart" uri="{C3380CC4-5D6E-409C-BE32-E72D297353CC}">
                  <c16:uniqueId val="{00000001-89DF-4CF4-BF32-D58E06A65BF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Result. Adm. y Oper.'!$C$62:$D$62</c:f>
              <c:strCache>
                <c:ptCount val="2"/>
                <c:pt idx="0">
                  <c:v>Presupuesto</c:v>
                </c:pt>
                <c:pt idx="1">
                  <c:v>Ejecución</c:v>
                </c:pt>
              </c:strCache>
            </c:strRef>
          </c:cat>
          <c:val>
            <c:numRef>
              <c:f>'Gráfico Result. Adm. y Oper.'!$C$63:$D$63</c:f>
              <c:numCache>
                <c:formatCode>#,##0.0</c:formatCode>
                <c:ptCount val="2"/>
                <c:pt idx="0">
                  <c:v>-82604.896408999979</c:v>
                </c:pt>
                <c:pt idx="1">
                  <c:v>-61610.985466000006</c:v>
                </c:pt>
              </c:numCache>
            </c:numRef>
          </c:val>
          <c:extLst>
            <c:ext xmlns:c16="http://schemas.microsoft.com/office/drawing/2014/chart" uri="{C3380CC4-5D6E-409C-BE32-E72D297353CC}">
              <c16:uniqueId val="{00000004-89DF-4CF4-BF32-D58E06A65BF4}"/>
            </c:ext>
          </c:extLst>
        </c:ser>
        <c:dLbls>
          <c:showLegendKey val="0"/>
          <c:showVal val="0"/>
          <c:showCatName val="0"/>
          <c:showSerName val="0"/>
          <c:showPercent val="0"/>
          <c:showBubbleSize val="0"/>
        </c:dLbls>
        <c:gapWidth val="215"/>
        <c:overlap val="5"/>
        <c:axId val="1313757200"/>
        <c:axId val="1255117088"/>
      </c:barChart>
      <c:catAx>
        <c:axId val="1313757200"/>
        <c:scaling>
          <c:orientation val="minMax"/>
        </c:scaling>
        <c:delete val="1"/>
        <c:axPos val="b"/>
        <c:numFmt formatCode="General" sourceLinked="1"/>
        <c:majorTickMark val="out"/>
        <c:minorTickMark val="none"/>
        <c:tickLblPos val="nextTo"/>
        <c:crossAx val="1255117088"/>
        <c:crosses val="autoZero"/>
        <c:auto val="0"/>
        <c:lblAlgn val="ctr"/>
        <c:lblOffset val="100"/>
        <c:noMultiLvlLbl val="0"/>
      </c:catAx>
      <c:valAx>
        <c:axId val="1255117088"/>
        <c:scaling>
          <c:orientation val="minMax"/>
        </c:scaling>
        <c:delete val="1"/>
        <c:axPos val="l"/>
        <c:numFmt formatCode="#,##0.0" sourceLinked="1"/>
        <c:majorTickMark val="out"/>
        <c:minorTickMark val="none"/>
        <c:tickLblPos val="nextTo"/>
        <c:crossAx val="1313757200"/>
        <c:crosses val="autoZero"/>
        <c:crossBetween val="between"/>
      </c:valAx>
      <c:spPr>
        <a:noFill/>
        <a:ln>
          <a:noFill/>
        </a:ln>
        <a:effectLst/>
      </c:spPr>
    </c:plotArea>
    <c:legend>
      <c:legendPos val="b"/>
      <c:layout>
        <c:manualLayout>
          <c:xMode val="edge"/>
          <c:yMode val="edge"/>
          <c:x val="0.18999432329418853"/>
          <c:y val="0.93041320912085268"/>
          <c:w val="0.62001135341162295"/>
          <c:h val="6.9586790879147292E-2"/>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Gotham Book" pitchFamily="50" charset="0"/>
              <a:ea typeface="+mn-ea"/>
              <a:cs typeface="Gotham Book" pitchFamily="50"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8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s-DO">
                <a:solidFill>
                  <a:srgbClr val="4C4747"/>
                </a:solidFill>
              </a:rPr>
              <a:t>Inflación interanual </a:t>
            </a:r>
          </a:p>
          <a:p>
            <a:pPr>
              <a:defRPr/>
            </a:pPr>
            <a:r>
              <a:rPr lang="es-DO" b="0"/>
              <a:t>(%)</a:t>
            </a:r>
          </a:p>
        </c:rich>
      </c:tx>
      <c:layout>
        <c:manualLayout>
          <c:xMode val="edge"/>
          <c:yMode val="edge"/>
          <c:x val="0.34156162892429143"/>
          <c:y val="3.3333333333333333E-2"/>
        </c:manualLayout>
      </c:layout>
      <c:overlay val="0"/>
      <c:spPr>
        <a:noFill/>
        <a:ln>
          <a:noFill/>
        </a:ln>
        <a:effectLst/>
      </c:spPr>
      <c:txPr>
        <a:bodyPr rot="0" spcFirstLastPara="1" vertOverflow="ellipsis" vert="horz" wrap="square" anchor="ctr" anchorCtr="1"/>
        <a:lstStyle/>
        <a:p>
          <a:pPr>
            <a:defRPr sz="108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4.7066009796903729E-2"/>
          <c:y val="0.29476657630910891"/>
          <c:w val="0.8663459582087123"/>
          <c:h val="0.47143539434619852"/>
        </c:manualLayout>
      </c:layout>
      <c:areaChart>
        <c:grouping val="stacked"/>
        <c:varyColors val="0"/>
        <c:ser>
          <c:idx val="2"/>
          <c:order val="2"/>
          <c:tx>
            <c:strRef>
              <c:f>Mensual!$GK$4</c:f>
              <c:strCache>
                <c:ptCount val="1"/>
              </c:strCache>
            </c:strRef>
          </c:tx>
          <c:spPr>
            <a:gradFill rotWithShape="1">
              <a:gsLst>
                <a:gs pos="0">
                  <a:schemeClr val="accent1">
                    <a:tint val="86000"/>
                    <a:satMod val="103000"/>
                    <a:lumMod val="102000"/>
                    <a:tint val="94000"/>
                  </a:schemeClr>
                </a:gs>
                <a:gs pos="50000">
                  <a:schemeClr val="accent1">
                    <a:tint val="86000"/>
                    <a:satMod val="110000"/>
                    <a:lumMod val="100000"/>
                    <a:shade val="100000"/>
                  </a:schemeClr>
                </a:gs>
                <a:gs pos="100000">
                  <a:schemeClr val="accent1">
                    <a:tint val="86000"/>
                    <a:lumMod val="99000"/>
                    <a:satMod val="120000"/>
                    <a:shade val="78000"/>
                  </a:schemeClr>
                </a:gs>
              </a:gsLst>
              <a:lin ang="5400000" scaled="0"/>
            </a:gradFill>
            <a:ln>
              <a:noFill/>
            </a:ln>
            <a:effectLst/>
          </c:spPr>
          <c:cat>
            <c:multiLvlStrRef>
              <c:f>Mensual!$A$244:$B$265</c:f>
              <c:multiLvlStrCache>
                <c:ptCount val="2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lvl>
                <c:lvl>
                  <c:pt idx="0">
                    <c:v>2022</c:v>
                  </c:pt>
                  <c:pt idx="12">
                    <c:v>2023</c:v>
                  </c:pt>
                </c:lvl>
              </c:multiLvlStrCache>
            </c:multiLvlStrRef>
          </c:cat>
          <c:val>
            <c:numRef>
              <c:f>Mensual!$K$220:$K$266</c:f>
              <c:numCache>
                <c:formatCode>0.00</c:formatCode>
                <c:ptCount val="47"/>
                <c:pt idx="0">
                  <c:v>5</c:v>
                </c:pt>
                <c:pt idx="1">
                  <c:v>5</c:v>
                </c:pt>
                <c:pt idx="2">
                  <c:v>5</c:v>
                </c:pt>
                <c:pt idx="3">
                  <c:v>5</c:v>
                </c:pt>
                <c:pt idx="4">
                  <c:v>5</c:v>
                </c:pt>
                <c:pt idx="5">
                  <c:v>5</c:v>
                </c:pt>
                <c:pt idx="6">
                  <c:v>5</c:v>
                </c:pt>
                <c:pt idx="7">
                  <c:v>5</c:v>
                </c:pt>
                <c:pt idx="8">
                  <c:v>5</c:v>
                </c:pt>
                <c:pt idx="9">
                  <c:v>5</c:v>
                </c:pt>
                <c:pt idx="10">
                  <c:v>5</c:v>
                </c:pt>
                <c:pt idx="11">
                  <c:v>5</c:v>
                </c:pt>
                <c:pt idx="12">
                  <c:v>5</c:v>
                </c:pt>
                <c:pt idx="13">
                  <c:v>5</c:v>
                </c:pt>
                <c:pt idx="14">
                  <c:v>5</c:v>
                </c:pt>
                <c:pt idx="15">
                  <c:v>5</c:v>
                </c:pt>
                <c:pt idx="16">
                  <c:v>5</c:v>
                </c:pt>
                <c:pt idx="17">
                  <c:v>5</c:v>
                </c:pt>
                <c:pt idx="18">
                  <c:v>5</c:v>
                </c:pt>
                <c:pt idx="19">
                  <c:v>5</c:v>
                </c:pt>
                <c:pt idx="20">
                  <c:v>5</c:v>
                </c:pt>
                <c:pt idx="21">
                  <c:v>5</c:v>
                </c:pt>
                <c:pt idx="22">
                  <c:v>5</c:v>
                </c:pt>
                <c:pt idx="23">
                  <c:v>5</c:v>
                </c:pt>
                <c:pt idx="24">
                  <c:v>5</c:v>
                </c:pt>
                <c:pt idx="25">
                  <c:v>5</c:v>
                </c:pt>
                <c:pt idx="26">
                  <c:v>5</c:v>
                </c:pt>
                <c:pt idx="27">
                  <c:v>5</c:v>
                </c:pt>
                <c:pt idx="28">
                  <c:v>5</c:v>
                </c:pt>
                <c:pt idx="29">
                  <c:v>5</c:v>
                </c:pt>
                <c:pt idx="30">
                  <c:v>5</c:v>
                </c:pt>
                <c:pt idx="31">
                  <c:v>5</c:v>
                </c:pt>
                <c:pt idx="32">
                  <c:v>5</c:v>
                </c:pt>
                <c:pt idx="33">
                  <c:v>5</c:v>
                </c:pt>
                <c:pt idx="34">
                  <c:v>5</c:v>
                </c:pt>
                <c:pt idx="35">
                  <c:v>5</c:v>
                </c:pt>
                <c:pt idx="36">
                  <c:v>5</c:v>
                </c:pt>
                <c:pt idx="37">
                  <c:v>5</c:v>
                </c:pt>
                <c:pt idx="38">
                  <c:v>5</c:v>
                </c:pt>
                <c:pt idx="39">
                  <c:v>5</c:v>
                </c:pt>
                <c:pt idx="40">
                  <c:v>5</c:v>
                </c:pt>
                <c:pt idx="41">
                  <c:v>5</c:v>
                </c:pt>
                <c:pt idx="42">
                  <c:v>5</c:v>
                </c:pt>
                <c:pt idx="43">
                  <c:v>5</c:v>
                </c:pt>
                <c:pt idx="44">
                  <c:v>5</c:v>
                </c:pt>
                <c:pt idx="45">
                  <c:v>5</c:v>
                </c:pt>
                <c:pt idx="46">
                  <c:v>5</c:v>
                </c:pt>
              </c:numCache>
            </c:numRef>
          </c:val>
          <c:extLst>
            <c:ext xmlns:c16="http://schemas.microsoft.com/office/drawing/2014/chart" uri="{C3380CC4-5D6E-409C-BE32-E72D297353CC}">
              <c16:uniqueId val="{00000000-1B91-49BA-BFBD-B37AB86EE313}"/>
            </c:ext>
          </c:extLst>
        </c:ser>
        <c:dLbls>
          <c:showLegendKey val="0"/>
          <c:showVal val="0"/>
          <c:showCatName val="0"/>
          <c:showSerName val="0"/>
          <c:showPercent val="0"/>
          <c:showBubbleSize val="0"/>
        </c:dLbls>
        <c:axId val="202284032"/>
        <c:axId val="202306304"/>
      </c:areaChart>
      <c:areaChart>
        <c:grouping val="stacked"/>
        <c:varyColors val="0"/>
        <c:ser>
          <c:idx val="3"/>
          <c:order val="1"/>
          <c:tx>
            <c:strRef>
              <c:f>Mensual!$GL$4</c:f>
              <c:strCache>
                <c:ptCount val="1"/>
              </c:strCache>
            </c:strRef>
          </c:tx>
          <c:spPr>
            <a:gradFill rotWithShape="1">
              <a:gsLst>
                <a:gs pos="0">
                  <a:schemeClr val="accent1">
                    <a:tint val="58000"/>
                    <a:satMod val="103000"/>
                    <a:lumMod val="102000"/>
                    <a:tint val="94000"/>
                  </a:schemeClr>
                </a:gs>
                <a:gs pos="50000">
                  <a:schemeClr val="accent1">
                    <a:tint val="58000"/>
                    <a:satMod val="110000"/>
                    <a:lumMod val="100000"/>
                    <a:shade val="100000"/>
                  </a:schemeClr>
                </a:gs>
                <a:gs pos="100000">
                  <a:schemeClr val="accent1">
                    <a:tint val="58000"/>
                    <a:lumMod val="99000"/>
                    <a:satMod val="120000"/>
                    <a:shade val="78000"/>
                  </a:schemeClr>
                </a:gs>
              </a:gsLst>
              <a:lin ang="5400000" scaled="0"/>
            </a:gradFill>
            <a:ln>
              <a:noFill/>
            </a:ln>
            <a:effectLst/>
          </c:spPr>
          <c:cat>
            <c:multiLvlStrRef>
              <c:f>Mensual!$A$244:$B$265</c:f>
              <c:multiLvlStrCache>
                <c:ptCount val="2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lvl>
                <c:lvl>
                  <c:pt idx="0">
                    <c:v>2022</c:v>
                  </c:pt>
                  <c:pt idx="12">
                    <c:v>2023</c:v>
                  </c:pt>
                </c:lvl>
              </c:multiLvlStrCache>
            </c:multiLvlStrRef>
          </c:cat>
          <c:val>
            <c:numRef>
              <c:f>Mensual!$L$220:$L$266</c:f>
              <c:numCache>
                <c:formatCode>0.00</c:formatCode>
                <c:ptCount val="47"/>
                <c:pt idx="0">
                  <c:v>3</c:v>
                </c:pt>
                <c:pt idx="1">
                  <c:v>3</c:v>
                </c:pt>
                <c:pt idx="2">
                  <c:v>3</c:v>
                </c:pt>
                <c:pt idx="3">
                  <c:v>3</c:v>
                </c:pt>
                <c:pt idx="4">
                  <c:v>3</c:v>
                </c:pt>
                <c:pt idx="5">
                  <c:v>3</c:v>
                </c:pt>
                <c:pt idx="6">
                  <c:v>3</c:v>
                </c:pt>
                <c:pt idx="7">
                  <c:v>3</c:v>
                </c:pt>
                <c:pt idx="8">
                  <c:v>3</c:v>
                </c:pt>
                <c:pt idx="9">
                  <c:v>3</c:v>
                </c:pt>
                <c:pt idx="10">
                  <c:v>3</c:v>
                </c:pt>
                <c:pt idx="11">
                  <c:v>3</c:v>
                </c:pt>
                <c:pt idx="12">
                  <c:v>3</c:v>
                </c:pt>
                <c:pt idx="13">
                  <c:v>3</c:v>
                </c:pt>
                <c:pt idx="14">
                  <c:v>3</c:v>
                </c:pt>
                <c:pt idx="15">
                  <c:v>3</c:v>
                </c:pt>
                <c:pt idx="16">
                  <c:v>3</c:v>
                </c:pt>
                <c:pt idx="17">
                  <c:v>3</c:v>
                </c:pt>
                <c:pt idx="18">
                  <c:v>3</c:v>
                </c:pt>
                <c:pt idx="19">
                  <c:v>3</c:v>
                </c:pt>
                <c:pt idx="20">
                  <c:v>3</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pt idx="36">
                  <c:v>3</c:v>
                </c:pt>
                <c:pt idx="37">
                  <c:v>3</c:v>
                </c:pt>
                <c:pt idx="38">
                  <c:v>3</c:v>
                </c:pt>
                <c:pt idx="39">
                  <c:v>3</c:v>
                </c:pt>
                <c:pt idx="40">
                  <c:v>3</c:v>
                </c:pt>
                <c:pt idx="41">
                  <c:v>3</c:v>
                </c:pt>
                <c:pt idx="42">
                  <c:v>3</c:v>
                </c:pt>
                <c:pt idx="43">
                  <c:v>3</c:v>
                </c:pt>
                <c:pt idx="44">
                  <c:v>3</c:v>
                </c:pt>
                <c:pt idx="45">
                  <c:v>3</c:v>
                </c:pt>
                <c:pt idx="46">
                  <c:v>3</c:v>
                </c:pt>
              </c:numCache>
            </c:numRef>
          </c:val>
          <c:extLst>
            <c:ext xmlns:c16="http://schemas.microsoft.com/office/drawing/2014/chart" uri="{C3380CC4-5D6E-409C-BE32-E72D297353CC}">
              <c16:uniqueId val="{00000001-1B91-49BA-BFBD-B37AB86EE313}"/>
            </c:ext>
          </c:extLst>
        </c:ser>
        <c:dLbls>
          <c:showLegendKey val="0"/>
          <c:showVal val="0"/>
          <c:showCatName val="0"/>
          <c:showSerName val="0"/>
          <c:showPercent val="0"/>
          <c:showBubbleSize val="0"/>
        </c:dLbls>
        <c:axId val="929278392"/>
        <c:axId val="934907040"/>
      </c:areaChart>
      <c:barChart>
        <c:barDir val="col"/>
        <c:grouping val="clustered"/>
        <c:varyColors val="0"/>
        <c:ser>
          <c:idx val="0"/>
          <c:order val="3"/>
          <c:tx>
            <c:v>Inflación Interanual</c:v>
          </c:tx>
          <c:spPr>
            <a:solidFill>
              <a:srgbClr val="142F62"/>
            </a:solidFill>
            <a:ln>
              <a:noFill/>
            </a:ln>
            <a:effectLst/>
          </c:spPr>
          <c:invertIfNegative val="0"/>
          <c:dLbls>
            <c:dLbl>
              <c:idx val="46"/>
              <c:layout>
                <c:manualLayout>
                  <c:x val="2.9069767441860465E-2"/>
                  <c:y val="2.22222222222222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B91-49BA-BFBD-B37AB86EE313}"/>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multiLvlStrRef>
              <c:f>Mensual!$A$220:$B$266</c:f>
              <c:multiLvlStrCache>
                <c:ptCount val="47"/>
                <c:lvl>
                  <c:pt idx="0">
                    <c:v>Ene</c:v>
                  </c:pt>
                  <c:pt idx="1">
                    <c:v>Feb</c:v>
                  </c:pt>
                  <c:pt idx="2">
                    <c:v>Mar</c:v>
                  </c:pt>
                  <c:pt idx="3">
                    <c:v>Abr</c:v>
                  </c:pt>
                  <c:pt idx="4">
                    <c:v>May</c:v>
                  </c:pt>
                  <c:pt idx="5">
                    <c:v>Jun</c:v>
                  </c:pt>
                  <c:pt idx="6">
                    <c:v>Jul</c:v>
                  </c:pt>
                  <c:pt idx="7">
                    <c:v>Ago</c:v>
                  </c:pt>
                  <c:pt idx="8">
                    <c:v>Sep</c:v>
                  </c:pt>
                  <c:pt idx="9">
                    <c:v>Oct</c:v>
                  </c:pt>
                  <c:pt idx="10">
                    <c:v>Nov</c:v>
                  </c:pt>
                  <c:pt idx="11">
                    <c:v>Dic</c:v>
                  </c:pt>
                  <c:pt idx="12">
                    <c:v>Ene </c:v>
                  </c:pt>
                  <c:pt idx="13">
                    <c:v>Feb </c:v>
                  </c:pt>
                  <c:pt idx="14">
                    <c:v>Mar </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lvl>
                <c:lvl>
                  <c:pt idx="0">
                    <c:v>2020</c:v>
                  </c:pt>
                  <c:pt idx="12">
                    <c:v>2021</c:v>
                  </c:pt>
                  <c:pt idx="24">
                    <c:v>2022</c:v>
                  </c:pt>
                  <c:pt idx="36">
                    <c:v>2023</c:v>
                  </c:pt>
                </c:lvl>
              </c:multiLvlStrCache>
            </c:multiLvlStrRef>
          </c:cat>
          <c:val>
            <c:numRef>
              <c:f>Mensual!$G$220:$G$266</c:f>
              <c:numCache>
                <c:formatCode>0.00</c:formatCode>
                <c:ptCount val="47"/>
                <c:pt idx="0">
                  <c:v>4.1724617524339536</c:v>
                </c:pt>
                <c:pt idx="1">
                  <c:v>3.6566589684372541</c:v>
                </c:pt>
                <c:pt idx="2">
                  <c:v>2.4474187380497003</c:v>
                </c:pt>
                <c:pt idx="3">
                  <c:v>1.0727328058429686</c:v>
                </c:pt>
                <c:pt idx="4">
                  <c:v>0.98934550989342451</c:v>
                </c:pt>
                <c:pt idx="5">
                  <c:v>2.8972247636474435</c:v>
                </c:pt>
                <c:pt idx="6">
                  <c:v>4.3484859983303981</c:v>
                </c:pt>
                <c:pt idx="7">
                  <c:v>4.8026017243987251</c:v>
                </c:pt>
                <c:pt idx="8">
                  <c:v>5.0331525015069323</c:v>
                </c:pt>
                <c:pt idx="9">
                  <c:v>5.0250240673017421</c:v>
                </c:pt>
                <c:pt idx="10">
                  <c:v>5.2585709374322498</c:v>
                </c:pt>
                <c:pt idx="11">
                  <c:v>5.5536478118097365</c:v>
                </c:pt>
                <c:pt idx="12">
                  <c:v>6.2270483901758489</c:v>
                </c:pt>
                <c:pt idx="13">
                  <c:v>7.0877017403547349</c:v>
                </c:pt>
                <c:pt idx="14">
                  <c:v>8.2965106026717805</c:v>
                </c:pt>
                <c:pt idx="15">
                  <c:v>9.6452641918615569</c:v>
                </c:pt>
                <c:pt idx="16">
                  <c:v>10.480820683305559</c:v>
                </c:pt>
                <c:pt idx="17">
                  <c:v>9.3193676739859335</c:v>
                </c:pt>
                <c:pt idx="18">
                  <c:v>7.8760412420828096</c:v>
                </c:pt>
                <c:pt idx="19">
                  <c:v>7.8970977155353506</c:v>
                </c:pt>
                <c:pt idx="20">
                  <c:v>7.7381184451635443</c:v>
                </c:pt>
                <c:pt idx="21">
                  <c:v>7.7152484604361193</c:v>
                </c:pt>
                <c:pt idx="22">
                  <c:v>8.2325084461898346</c:v>
                </c:pt>
                <c:pt idx="23">
                  <c:v>8.4956989865317958</c:v>
                </c:pt>
                <c:pt idx="24">
                  <c:v>8.7264240446282884</c:v>
                </c:pt>
                <c:pt idx="25">
                  <c:v>8.9838302363273179</c:v>
                </c:pt>
                <c:pt idx="26">
                  <c:v>9.0545502229215877</c:v>
                </c:pt>
                <c:pt idx="27">
                  <c:v>9.6431169897207134</c:v>
                </c:pt>
                <c:pt idx="28">
                  <c:v>9.4725720799621946</c:v>
                </c:pt>
                <c:pt idx="29">
                  <c:v>9.478288898098274</c:v>
                </c:pt>
                <c:pt idx="30">
                  <c:v>9.4349992671845193</c:v>
                </c:pt>
                <c:pt idx="31">
                  <c:v>8.7959723370804923</c:v>
                </c:pt>
                <c:pt idx="32">
                  <c:v>8.626226986927211</c:v>
                </c:pt>
                <c:pt idx="33">
                  <c:v>8.2350508791485311</c:v>
                </c:pt>
                <c:pt idx="34">
                  <c:v>7.5769702790672744</c:v>
                </c:pt>
                <c:pt idx="35">
                  <c:v>7.8269161155893663</c:v>
                </c:pt>
                <c:pt idx="36">
                  <c:v>7.2433290867524036</c:v>
                </c:pt>
                <c:pt idx="37">
                  <c:v>6.3782877103183422</c:v>
                </c:pt>
                <c:pt idx="38">
                  <c:v>5.8987726636376969</c:v>
                </c:pt>
                <c:pt idx="39">
                  <c:v>5.152113251208057</c:v>
                </c:pt>
                <c:pt idx="40">
                  <c:v>4.4310120045376822</c:v>
                </c:pt>
                <c:pt idx="41">
                  <c:v>3.9957266754712784</c:v>
                </c:pt>
                <c:pt idx="42">
                  <c:v>3.951183580540385</c:v>
                </c:pt>
                <c:pt idx="43">
                  <c:v>4.2685310479626981</c:v>
                </c:pt>
                <c:pt idx="44">
                  <c:v>4.4102606812692624</c:v>
                </c:pt>
                <c:pt idx="45">
                  <c:v>4.3458328142518932</c:v>
                </c:pt>
                <c:pt idx="46" formatCode="General">
                  <c:v>4</c:v>
                </c:pt>
              </c:numCache>
            </c:numRef>
          </c:val>
          <c:extLst>
            <c:ext xmlns:c16="http://schemas.microsoft.com/office/drawing/2014/chart" uri="{C3380CC4-5D6E-409C-BE32-E72D297353CC}">
              <c16:uniqueId val="{00000003-1B91-49BA-BFBD-B37AB86EE313}"/>
            </c:ext>
          </c:extLst>
        </c:ser>
        <c:dLbls>
          <c:showLegendKey val="0"/>
          <c:showVal val="0"/>
          <c:showCatName val="0"/>
          <c:showSerName val="0"/>
          <c:showPercent val="0"/>
          <c:showBubbleSize val="0"/>
        </c:dLbls>
        <c:gapWidth val="54"/>
        <c:axId val="202284032"/>
        <c:axId val="202306304"/>
      </c:barChart>
      <c:lineChart>
        <c:grouping val="standard"/>
        <c:varyColors val="0"/>
        <c:ser>
          <c:idx val="1"/>
          <c:order val="0"/>
          <c:tx>
            <c:v>Valor Central Meta</c:v>
          </c:tx>
          <c:spPr>
            <a:ln w="31750" cap="rnd" cmpd="sng" algn="ctr">
              <a:solidFill>
                <a:schemeClr val="accent1">
                  <a:shade val="86000"/>
                </a:schemeClr>
              </a:solidFill>
              <a:prstDash val="solid"/>
              <a:round/>
            </a:ln>
            <a:effectLst/>
          </c:spPr>
          <c:marker>
            <c:symbol val="none"/>
          </c:marker>
          <c:cat>
            <c:multiLvlStrRef>
              <c:f>Mensual!$A$244:$B$265</c:f>
              <c:multiLvlStrCache>
                <c:ptCount val="22"/>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lvl>
                <c:lvl>
                  <c:pt idx="0">
                    <c:v>2022</c:v>
                  </c:pt>
                  <c:pt idx="12">
                    <c:v>2023</c:v>
                  </c:pt>
                </c:lvl>
              </c:multiLvlStrCache>
            </c:multiLvlStrRef>
          </c:cat>
          <c:val>
            <c:numRef>
              <c:f>Mensual!$J$220:$J$266</c:f>
              <c:numCache>
                <c:formatCode>0.00</c:formatCode>
                <c:ptCount val="47"/>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pt idx="24">
                  <c:v>4</c:v>
                </c:pt>
                <c:pt idx="25">
                  <c:v>4</c:v>
                </c:pt>
                <c:pt idx="26">
                  <c:v>4</c:v>
                </c:pt>
                <c:pt idx="27">
                  <c:v>4</c:v>
                </c:pt>
                <c:pt idx="28">
                  <c:v>4</c:v>
                </c:pt>
                <c:pt idx="29">
                  <c:v>4</c:v>
                </c:pt>
                <c:pt idx="30">
                  <c:v>4</c:v>
                </c:pt>
                <c:pt idx="31">
                  <c:v>4</c:v>
                </c:pt>
                <c:pt idx="32">
                  <c:v>4</c:v>
                </c:pt>
                <c:pt idx="33">
                  <c:v>4</c:v>
                </c:pt>
                <c:pt idx="34">
                  <c:v>4</c:v>
                </c:pt>
                <c:pt idx="35">
                  <c:v>4</c:v>
                </c:pt>
                <c:pt idx="36">
                  <c:v>4</c:v>
                </c:pt>
                <c:pt idx="37">
                  <c:v>4</c:v>
                </c:pt>
                <c:pt idx="38">
                  <c:v>4</c:v>
                </c:pt>
                <c:pt idx="39">
                  <c:v>4</c:v>
                </c:pt>
                <c:pt idx="40">
                  <c:v>4</c:v>
                </c:pt>
                <c:pt idx="41">
                  <c:v>4</c:v>
                </c:pt>
                <c:pt idx="42">
                  <c:v>4</c:v>
                </c:pt>
                <c:pt idx="43">
                  <c:v>4</c:v>
                </c:pt>
                <c:pt idx="44">
                  <c:v>4</c:v>
                </c:pt>
                <c:pt idx="45">
                  <c:v>4</c:v>
                </c:pt>
                <c:pt idx="46">
                  <c:v>4</c:v>
                </c:pt>
              </c:numCache>
            </c:numRef>
          </c:val>
          <c:smooth val="0"/>
          <c:extLst>
            <c:ext xmlns:c16="http://schemas.microsoft.com/office/drawing/2014/chart" uri="{C3380CC4-5D6E-409C-BE32-E72D297353CC}">
              <c16:uniqueId val="{00000004-1B91-49BA-BFBD-B37AB86EE313}"/>
            </c:ext>
          </c:extLst>
        </c:ser>
        <c:dLbls>
          <c:showLegendKey val="0"/>
          <c:showVal val="0"/>
          <c:showCatName val="0"/>
          <c:showSerName val="0"/>
          <c:showPercent val="0"/>
          <c:showBubbleSize val="0"/>
        </c:dLbls>
        <c:marker val="1"/>
        <c:smooth val="0"/>
        <c:axId val="202284032"/>
        <c:axId val="202306304"/>
      </c:lineChart>
      <c:catAx>
        <c:axId val="202284032"/>
        <c:scaling>
          <c:orientation val="minMax"/>
        </c:scaling>
        <c:delete val="0"/>
        <c:axPos val="b"/>
        <c:numFmt formatCode="General" sourceLinked="0"/>
        <c:majorTickMark val="none"/>
        <c:minorTickMark val="none"/>
        <c:tickLblPos val="low"/>
        <c:spPr>
          <a:noFill/>
          <a:ln w="6350" cap="flat" cmpd="sng" algn="ctr">
            <a:solidFill>
              <a:schemeClr val="tx1">
                <a:tint val="75000"/>
              </a:schemeClr>
            </a:solidFill>
            <a:prstDash val="solid"/>
            <a:round/>
          </a:ln>
          <a:effectLst/>
        </c:spPr>
        <c:txPr>
          <a:bodyPr rot="-5400000" spcFirstLastPara="1" vertOverflow="ellipsis"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202306304"/>
        <c:crosses val="autoZero"/>
        <c:auto val="1"/>
        <c:lblAlgn val="ctr"/>
        <c:lblOffset val="100"/>
        <c:noMultiLvlLbl val="0"/>
      </c:catAx>
      <c:valAx>
        <c:axId val="202306304"/>
        <c:scaling>
          <c:orientation val="minMax"/>
          <c:max val="11"/>
          <c:min val="0"/>
        </c:scaling>
        <c:delete val="0"/>
        <c:axPos val="l"/>
        <c:numFmt formatCode="#,##0.0"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202284032"/>
        <c:crosses val="autoZero"/>
        <c:crossBetween val="between"/>
      </c:valAx>
      <c:valAx>
        <c:axId val="934907040"/>
        <c:scaling>
          <c:orientation val="minMax"/>
          <c:max val="6.0000000000000012E-2"/>
          <c:min val="-1.0000000000000002E-2"/>
        </c:scaling>
        <c:delete val="1"/>
        <c:axPos val="r"/>
        <c:numFmt formatCode="0.00" sourceLinked="1"/>
        <c:majorTickMark val="out"/>
        <c:minorTickMark val="none"/>
        <c:tickLblPos val="nextTo"/>
        <c:crossAx val="929278392"/>
        <c:crosses val="max"/>
        <c:crossBetween val="between"/>
      </c:valAx>
      <c:catAx>
        <c:axId val="929278392"/>
        <c:scaling>
          <c:orientation val="minMax"/>
        </c:scaling>
        <c:delete val="1"/>
        <c:axPos val="b"/>
        <c:numFmt formatCode="General" sourceLinked="1"/>
        <c:majorTickMark val="out"/>
        <c:minorTickMark val="none"/>
        <c:tickLblPos val="nextTo"/>
        <c:crossAx val="934907040"/>
        <c:crosses val="autoZero"/>
        <c:auto val="1"/>
        <c:lblAlgn val="ctr"/>
        <c:lblOffset val="100"/>
        <c:noMultiLvlLbl val="0"/>
      </c:catAx>
      <c:spPr>
        <a:solidFill>
          <a:schemeClr val="bg1"/>
        </a:solidFill>
        <a:ln>
          <a:noFill/>
        </a:ln>
        <a:effectLst/>
      </c:spPr>
    </c:plotArea>
    <c:legend>
      <c:legendPos val="r"/>
      <c:legendEntry>
        <c:idx val="0"/>
        <c:delete val="1"/>
      </c:legendEntry>
      <c:legendEntry>
        <c:idx val="1"/>
        <c:delete val="1"/>
      </c:legendEntry>
      <c:layout>
        <c:manualLayout>
          <c:xMode val="edge"/>
          <c:yMode val="edge"/>
          <c:x val="0.14767634906880661"/>
          <c:y val="0.16843767479884686"/>
          <c:w val="0.71941553956473148"/>
          <c:h val="0.198643776085366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6350" cap="flat" cmpd="sng" algn="ctr">
      <a:noFill/>
      <a:prstDash val="solid"/>
      <a:round/>
    </a:ln>
    <a:effectLst/>
  </c:spPr>
  <c:txPr>
    <a:bodyPr/>
    <a:lstStyle/>
    <a:p>
      <a:pPr>
        <a:defRPr sz="900">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S">
                <a:solidFill>
                  <a:srgbClr val="4C4747"/>
                </a:solidFill>
              </a:rPr>
              <a:t>Indicador mensual de actividad económica</a:t>
            </a:r>
          </a:p>
          <a:p>
            <a:pPr>
              <a:defRPr/>
            </a:pPr>
            <a:r>
              <a:rPr lang="es-ES" b="0">
                <a:solidFill>
                  <a:srgbClr val="4C4747"/>
                </a:solidFill>
              </a:rPr>
              <a:t>Variación interanual (%) </a:t>
            </a:r>
          </a:p>
        </c:rich>
      </c:tx>
      <c:layout>
        <c:manualLayout>
          <c:xMode val="edge"/>
          <c:yMode val="edge"/>
          <c:x val="0.22541023215121367"/>
          <c:y val="0"/>
        </c:manualLayout>
      </c:layout>
      <c:overlay val="0"/>
    </c:title>
    <c:autoTitleDeleted val="0"/>
    <c:plotArea>
      <c:layout>
        <c:manualLayout>
          <c:layoutTarget val="inner"/>
          <c:xMode val="edge"/>
          <c:yMode val="edge"/>
          <c:x val="5.8086592110912529E-2"/>
          <c:y val="0.23563577629719362"/>
          <c:w val="0.94191340788908751"/>
          <c:h val="0.54691197254189383"/>
        </c:manualLayout>
      </c:layout>
      <c:barChart>
        <c:barDir val="col"/>
        <c:grouping val="clustered"/>
        <c:varyColors val="0"/>
        <c:ser>
          <c:idx val="0"/>
          <c:order val="0"/>
          <c:tx>
            <c:v>Serie Original</c:v>
          </c:tx>
          <c:spPr>
            <a:solidFill>
              <a:srgbClr val="142F62"/>
            </a:solidFill>
          </c:spPr>
          <c:invertIfNegative val="0"/>
          <c:dPt>
            <c:idx val="36"/>
            <c:invertIfNegative val="0"/>
            <c:bubble3D val="0"/>
            <c:spPr>
              <a:solidFill>
                <a:srgbClr val="142F62"/>
              </a:solidFill>
              <a:ln w="41275" cmpd="thickThin">
                <a:noFill/>
                <a:tailEnd type="oval"/>
              </a:ln>
            </c:spPr>
            <c:extLst>
              <c:ext xmlns:c16="http://schemas.microsoft.com/office/drawing/2014/chart" uri="{C3380CC4-5D6E-409C-BE32-E72D297353CC}">
                <c16:uniqueId val="{00000001-2C89-47B4-B9E3-BD2F47BC65D5}"/>
              </c:ext>
            </c:extLst>
          </c:dPt>
          <c:dLbls>
            <c:dLbl>
              <c:idx val="45"/>
              <c:layout>
                <c:manualLayout>
                  <c:x val="-2.3686203549804639E-16"/>
                  <c:y val="1.11111111111111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C89-47B4-B9E3-BD2F47BC65D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Mensual!$A$160:$B$205</c:f>
              <c:multiLvlStrCache>
                <c:ptCount val="46"/>
                <c:lvl>
                  <c:pt idx="0">
                    <c:v>Ene </c:v>
                  </c:pt>
                  <c:pt idx="1">
                    <c:v>Feb</c:v>
                  </c:pt>
                  <c:pt idx="2">
                    <c:v>Mar</c:v>
                  </c:pt>
                  <c:pt idx="3">
                    <c:v>Abr</c:v>
                  </c:pt>
                  <c:pt idx="4">
                    <c:v>May</c:v>
                  </c:pt>
                  <c:pt idx="5">
                    <c:v>Jun</c:v>
                  </c:pt>
                  <c:pt idx="6">
                    <c:v>Jul</c:v>
                  </c:pt>
                  <c:pt idx="7">
                    <c:v>Ago </c:v>
                  </c:pt>
                  <c:pt idx="8">
                    <c:v>Sep </c:v>
                  </c:pt>
                  <c:pt idx="9">
                    <c:v>Oct</c:v>
                  </c:pt>
                  <c:pt idx="10">
                    <c:v>Nov </c:v>
                  </c:pt>
                  <c:pt idx="11">
                    <c:v>Dic </c:v>
                  </c:pt>
                  <c:pt idx="12">
                    <c:v>Ene </c:v>
                  </c:pt>
                  <c:pt idx="13">
                    <c:v>Feb</c:v>
                  </c:pt>
                  <c:pt idx="14">
                    <c:v>Mar</c:v>
                  </c:pt>
                  <c:pt idx="15">
                    <c:v>Abr</c:v>
                  </c:pt>
                  <c:pt idx="16">
                    <c:v>May</c:v>
                  </c:pt>
                  <c:pt idx="17">
                    <c:v>Jun</c:v>
                  </c:pt>
                  <c:pt idx="18">
                    <c:v>Jul</c:v>
                  </c:pt>
                  <c:pt idx="19">
                    <c:v>Ago </c:v>
                  </c:pt>
                  <c:pt idx="20">
                    <c:v>Sep </c:v>
                  </c:pt>
                  <c:pt idx="21">
                    <c:v>Oct</c:v>
                  </c:pt>
                  <c:pt idx="22">
                    <c:v>Nov </c:v>
                  </c:pt>
                  <c:pt idx="23">
                    <c:v>Dic </c:v>
                  </c:pt>
                  <c:pt idx="24">
                    <c:v>Ene </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lvl>
                <c:lvl>
                  <c:pt idx="0">
                    <c:v>2020</c:v>
                  </c:pt>
                  <c:pt idx="12">
                    <c:v>2021</c:v>
                  </c:pt>
                  <c:pt idx="24">
                    <c:v>2022</c:v>
                  </c:pt>
                  <c:pt idx="36">
                    <c:v>2023</c:v>
                  </c:pt>
                </c:lvl>
              </c:multiLvlStrCache>
            </c:multiLvlStrRef>
          </c:cat>
          <c:val>
            <c:numRef>
              <c:f>Mensual!$CY$160:$CY$205</c:f>
              <c:numCache>
                <c:formatCode>0.0</c:formatCode>
                <c:ptCount val="46"/>
                <c:pt idx="0">
                  <c:v>4.6922235823179337</c:v>
                </c:pt>
                <c:pt idx="1">
                  <c:v>5.252092822419252</c:v>
                </c:pt>
                <c:pt idx="2">
                  <c:v>-9.4120957175441546</c:v>
                </c:pt>
                <c:pt idx="3">
                  <c:v>-29.80752919387999</c:v>
                </c:pt>
                <c:pt idx="4">
                  <c:v>-13.573166644691327</c:v>
                </c:pt>
                <c:pt idx="5">
                  <c:v>-7.0695902616169315</c:v>
                </c:pt>
                <c:pt idx="6">
                  <c:v>-8.8075310718422237</c:v>
                </c:pt>
                <c:pt idx="7">
                  <c:v>-7.2054920852351767</c:v>
                </c:pt>
                <c:pt idx="8">
                  <c:v>-5.5722621607584895</c:v>
                </c:pt>
                <c:pt idx="9">
                  <c:v>-4.349252493094613</c:v>
                </c:pt>
                <c:pt idx="10">
                  <c:v>-3.4411363140978257</c:v>
                </c:pt>
                <c:pt idx="11">
                  <c:v>-1.0099272241163249</c:v>
                </c:pt>
                <c:pt idx="12">
                  <c:v>-1.7530312632852985</c:v>
                </c:pt>
                <c:pt idx="13">
                  <c:v>1.1490546917925615</c:v>
                </c:pt>
                <c:pt idx="14">
                  <c:v>10.628756711597621</c:v>
                </c:pt>
                <c:pt idx="15">
                  <c:v>47.133244801876259</c:v>
                </c:pt>
                <c:pt idx="16">
                  <c:v>21.236460770009312</c:v>
                </c:pt>
                <c:pt idx="17">
                  <c:v>12.696366531502679</c:v>
                </c:pt>
                <c:pt idx="18">
                  <c:v>12.070450656660125</c:v>
                </c:pt>
                <c:pt idx="19">
                  <c:v>11.673962702206552</c:v>
                </c:pt>
                <c:pt idx="20">
                  <c:v>10.583701280308301</c:v>
                </c:pt>
                <c:pt idx="21">
                  <c:v>9.6864321526091821</c:v>
                </c:pt>
                <c:pt idx="22">
                  <c:v>13.106821359947318</c:v>
                </c:pt>
                <c:pt idx="23">
                  <c:v>10.578343598283602</c:v>
                </c:pt>
                <c:pt idx="24">
                  <c:v>6.2625365047337844</c:v>
                </c:pt>
                <c:pt idx="25">
                  <c:v>5.8159902745281267</c:v>
                </c:pt>
                <c:pt idx="26">
                  <c:v>6.3670981965512796</c:v>
                </c:pt>
                <c:pt idx="27">
                  <c:v>4.7479673311322301</c:v>
                </c:pt>
                <c:pt idx="28">
                  <c:v>4.846991636579423</c:v>
                </c:pt>
                <c:pt idx="29">
                  <c:v>5.7763675109255397</c:v>
                </c:pt>
                <c:pt idx="30">
                  <c:v>4.746668220214767</c:v>
                </c:pt>
                <c:pt idx="31">
                  <c:v>5.4415227943187539</c:v>
                </c:pt>
                <c:pt idx="32">
                  <c:v>4.8341182119541415</c:v>
                </c:pt>
                <c:pt idx="33">
                  <c:v>3.8202976148783652</c:v>
                </c:pt>
                <c:pt idx="34">
                  <c:v>2.9306255079886379</c:v>
                </c:pt>
                <c:pt idx="35">
                  <c:v>3.2755539975320103</c:v>
                </c:pt>
                <c:pt idx="36">
                  <c:v>0.39788731775682873</c:v>
                </c:pt>
                <c:pt idx="37">
                  <c:v>1.7676448112419418</c:v>
                </c:pt>
                <c:pt idx="38">
                  <c:v>2.0809139787947739</c:v>
                </c:pt>
                <c:pt idx="39">
                  <c:v>0.33774839954301417</c:v>
                </c:pt>
                <c:pt idx="40">
                  <c:v>2.4469576993877418</c:v>
                </c:pt>
                <c:pt idx="41">
                  <c:v>0.14774863626885182</c:v>
                </c:pt>
                <c:pt idx="42">
                  <c:v>2.916884737510772</c:v>
                </c:pt>
                <c:pt idx="43">
                  <c:v>1.9523701759183831</c:v>
                </c:pt>
                <c:pt idx="44">
                  <c:v>3.063365284391395</c:v>
                </c:pt>
                <c:pt idx="45">
                  <c:v>3.5709000768310517</c:v>
                </c:pt>
              </c:numCache>
            </c:numRef>
          </c:val>
          <c:extLst>
            <c:ext xmlns:c16="http://schemas.microsoft.com/office/drawing/2014/chart" uri="{C3380CC4-5D6E-409C-BE32-E72D297353CC}">
              <c16:uniqueId val="{00000003-2C89-47B4-B9E3-BD2F47BC65D5}"/>
            </c:ext>
          </c:extLst>
        </c:ser>
        <c:dLbls>
          <c:showLegendKey val="0"/>
          <c:showVal val="0"/>
          <c:showCatName val="0"/>
          <c:showSerName val="0"/>
          <c:showPercent val="0"/>
          <c:showBubbleSize val="0"/>
        </c:dLbls>
        <c:gapWidth val="30"/>
        <c:axId val="202146176"/>
        <c:axId val="202147712"/>
      </c:barChart>
      <c:catAx>
        <c:axId val="202146176"/>
        <c:scaling>
          <c:orientation val="minMax"/>
        </c:scaling>
        <c:delete val="0"/>
        <c:axPos val="b"/>
        <c:numFmt formatCode="General" sourceLinked="0"/>
        <c:majorTickMark val="none"/>
        <c:minorTickMark val="none"/>
        <c:tickLblPos val="low"/>
        <c:txPr>
          <a:bodyPr rot="-5400000" vert="horz"/>
          <a:lstStyle/>
          <a:p>
            <a:pPr>
              <a:defRPr/>
            </a:pPr>
            <a:endParaRPr lang="es-DO"/>
          </a:p>
        </c:txPr>
        <c:crossAx val="202147712"/>
        <c:crosses val="autoZero"/>
        <c:auto val="1"/>
        <c:lblAlgn val="ctr"/>
        <c:lblOffset val="100"/>
        <c:noMultiLvlLbl val="0"/>
      </c:catAx>
      <c:valAx>
        <c:axId val="202147712"/>
        <c:scaling>
          <c:orientation val="minMax"/>
          <c:max val="35"/>
          <c:min val="-30"/>
        </c:scaling>
        <c:delete val="0"/>
        <c:axPos val="l"/>
        <c:numFmt formatCode="#,##0.0" sourceLinked="0"/>
        <c:majorTickMark val="out"/>
        <c:minorTickMark val="none"/>
        <c:tickLblPos val="nextTo"/>
        <c:crossAx val="202146176"/>
        <c:crosses val="autoZero"/>
        <c:crossBetween val="between"/>
      </c:valAx>
    </c:plotArea>
    <c:plotVisOnly val="1"/>
    <c:dispBlanksAs val="gap"/>
    <c:showDLblsOverMax val="0"/>
  </c:chart>
  <c:spPr>
    <a:ln>
      <a:noFill/>
    </a:ln>
  </c:spPr>
  <c:txPr>
    <a:bodyPr/>
    <a:lstStyle/>
    <a:p>
      <a:pPr>
        <a:defRPr sz="900">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8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b="1">
                <a:solidFill>
                  <a:srgbClr val="4C4747"/>
                </a:solidFill>
              </a:rPr>
              <a:t>Tasa de desempleo abierto</a:t>
            </a:r>
          </a:p>
          <a:p>
            <a:pPr>
              <a:defRPr/>
            </a:pPr>
            <a:r>
              <a:rPr lang="en-US">
                <a:solidFill>
                  <a:srgbClr val="4C4747"/>
                </a:solidFill>
              </a:rPr>
              <a:t>(%)</a:t>
            </a:r>
          </a:p>
        </c:rich>
      </c:tx>
      <c:overlay val="0"/>
      <c:spPr>
        <a:noFill/>
        <a:ln>
          <a:noFill/>
        </a:ln>
        <a:effectLst/>
      </c:spPr>
      <c:txPr>
        <a:bodyPr rot="0" spcFirstLastPara="1" vertOverflow="ellipsis" vert="horz" wrap="square" anchor="ctr" anchorCtr="1"/>
        <a:lstStyle/>
        <a:p>
          <a:pPr>
            <a:defRPr lang="en-US" sz="108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7.5555555555555556E-2"/>
          <c:y val="0.1657744993825111"/>
          <c:w val="0.90361111111111114"/>
          <c:h val="0.6446740514252044"/>
        </c:manualLayout>
      </c:layout>
      <c:barChart>
        <c:barDir val="col"/>
        <c:grouping val="clustered"/>
        <c:varyColors val="0"/>
        <c:ser>
          <c:idx val="0"/>
          <c:order val="0"/>
          <c:spPr>
            <a:solidFill>
              <a:srgbClr val="142F62"/>
            </a:solidFill>
            <a:ln>
              <a:noFill/>
            </a:ln>
            <a:effectLst/>
          </c:spPr>
          <c:invertIfNegative val="0"/>
          <c:dLbls>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C4E-42B3-8921-6F4D41E7D301}"/>
                </c:ext>
              </c:extLst>
            </c:dLbl>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Trimestral!$A$57:$B$71</c:f>
              <c:multiLvlStrCache>
                <c:ptCount val="15"/>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lvl>
                <c:lvl>
                  <c:pt idx="0">
                    <c:v>2020</c:v>
                  </c:pt>
                  <c:pt idx="4">
                    <c:v>2021</c:v>
                  </c:pt>
                  <c:pt idx="8">
                    <c:v>2022</c:v>
                  </c:pt>
                  <c:pt idx="12">
                    <c:v>2023</c:v>
                  </c:pt>
                </c:lvl>
              </c:multiLvlStrCache>
            </c:multiLvlStrRef>
          </c:cat>
          <c:val>
            <c:numRef>
              <c:f>Trimestral!$GD$57:$GD$71</c:f>
              <c:numCache>
                <c:formatCode>0.0</c:formatCode>
                <c:ptCount val="15"/>
                <c:pt idx="0">
                  <c:v>5.6808031377520347</c:v>
                </c:pt>
                <c:pt idx="1">
                  <c:v>3.17309669130006</c:v>
                </c:pt>
                <c:pt idx="2">
                  <c:v>7.1021260057649389</c:v>
                </c:pt>
                <c:pt idx="3">
                  <c:v>7.3598228831755108</c:v>
                </c:pt>
                <c:pt idx="4">
                  <c:v>8.0191303369956142</c:v>
                </c:pt>
                <c:pt idx="5">
                  <c:v>7.6212634040009481</c:v>
                </c:pt>
                <c:pt idx="6">
                  <c:v>6.794269419188649</c:v>
                </c:pt>
                <c:pt idx="7">
                  <c:v>7.1011013754626511</c:v>
                </c:pt>
                <c:pt idx="8">
                  <c:v>6.4285904661309363</c:v>
                </c:pt>
                <c:pt idx="9">
                  <c:v>5.1686925738878955</c:v>
                </c:pt>
                <c:pt idx="10">
                  <c:v>4.7938336772939554</c:v>
                </c:pt>
                <c:pt idx="11">
                  <c:v>4.7816706337447012</c:v>
                </c:pt>
                <c:pt idx="12">
                  <c:v>5.226851455846897</c:v>
                </c:pt>
                <c:pt idx="13">
                  <c:v>5.6491119842193394</c:v>
                </c:pt>
                <c:pt idx="14">
                  <c:v>5.4</c:v>
                </c:pt>
              </c:numCache>
            </c:numRef>
          </c:val>
          <c:extLst>
            <c:ext xmlns:c16="http://schemas.microsoft.com/office/drawing/2014/chart" uri="{C3380CC4-5D6E-409C-BE32-E72D297353CC}">
              <c16:uniqueId val="{00000001-1C4E-42B3-8921-6F4D41E7D301}"/>
            </c:ext>
          </c:extLst>
        </c:ser>
        <c:dLbls>
          <c:showLegendKey val="0"/>
          <c:showVal val="0"/>
          <c:showCatName val="0"/>
          <c:showSerName val="0"/>
          <c:showPercent val="0"/>
          <c:showBubbleSize val="0"/>
        </c:dLbls>
        <c:gapWidth val="70"/>
        <c:axId val="83217344"/>
        <c:axId val="278390544"/>
      </c:barChart>
      <c:catAx>
        <c:axId val="8321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278390544"/>
        <c:crosses val="autoZero"/>
        <c:auto val="1"/>
        <c:lblAlgn val="ctr"/>
        <c:lblOffset val="100"/>
        <c:noMultiLvlLbl val="0"/>
      </c:catAx>
      <c:valAx>
        <c:axId val="278390544"/>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832173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8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en-US" b="1">
                <a:solidFill>
                  <a:srgbClr val="4C4747"/>
                </a:solidFill>
              </a:rPr>
              <a:t>Remesas familiares</a:t>
            </a:r>
            <a:br>
              <a:rPr lang="es-DO">
                <a:solidFill>
                  <a:srgbClr val="4C4747"/>
                </a:solidFill>
              </a:rPr>
            </a:br>
            <a:r>
              <a:rPr lang="en-US">
                <a:solidFill>
                  <a:srgbClr val="4C4747"/>
                </a:solidFill>
              </a:rPr>
              <a:t>Enero-octubre</a:t>
            </a:r>
            <a:r>
              <a:rPr lang="es-DO">
                <a:solidFill>
                  <a:srgbClr val="4C4747"/>
                </a:solidFill>
              </a:rPr>
              <a:t> </a:t>
            </a:r>
            <a:r>
              <a:rPr lang="en-US">
                <a:solidFill>
                  <a:srgbClr val="4C4747"/>
                </a:solidFill>
              </a:rPr>
              <a:t>(US$ millones</a:t>
            </a:r>
            <a:r>
              <a:rPr lang="en-US"/>
              <a:t>)</a:t>
            </a:r>
          </a:p>
        </c:rich>
      </c:tx>
      <c:layout>
        <c:manualLayout>
          <c:xMode val="edge"/>
          <c:yMode val="edge"/>
          <c:x val="0.26004273504273506"/>
          <c:y val="0"/>
        </c:manualLayout>
      </c:layout>
      <c:overlay val="0"/>
      <c:spPr>
        <a:noFill/>
        <a:ln>
          <a:noFill/>
        </a:ln>
        <a:effectLst/>
      </c:spPr>
      <c:txPr>
        <a:bodyPr rot="0" spcFirstLastPara="1" vertOverflow="ellipsis" vert="horz" wrap="square" anchor="ctr" anchorCtr="1"/>
        <a:lstStyle/>
        <a:p>
          <a:pPr>
            <a:defRPr lang="en-US" sz="1080" b="0" i="0" u="none" strike="noStrike" kern="1200" spc="0" baseline="0">
              <a:solidFill>
                <a:schemeClr val="tx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4.8416804004150646E-2"/>
          <c:y val="0.17127690288713912"/>
          <c:w val="0.9483858858858859"/>
          <c:h val="0.6449331131995597"/>
        </c:manualLayout>
      </c:layout>
      <c:barChart>
        <c:barDir val="col"/>
        <c:grouping val="clustered"/>
        <c:varyColors val="0"/>
        <c:ser>
          <c:idx val="0"/>
          <c:order val="0"/>
          <c:tx>
            <c:strRef>
              <c:f>Sheet1!$B$1</c:f>
              <c:strCache>
                <c:ptCount val="1"/>
                <c:pt idx="0">
                  <c:v>Remesas</c:v>
                </c:pt>
              </c:strCache>
            </c:strRef>
          </c:tx>
          <c:spPr>
            <a:solidFill>
              <a:srgbClr val="142F62"/>
            </a:solidFill>
            <a:ln>
              <a:noFill/>
            </a:ln>
            <a:effectLst/>
          </c:spPr>
          <c:invertIfNegative val="0"/>
          <c:dPt>
            <c:idx val="2"/>
            <c:invertIfNegative val="0"/>
            <c:bubble3D val="0"/>
            <c:spPr>
              <a:solidFill>
                <a:srgbClr val="142F62"/>
              </a:solidFill>
              <a:ln>
                <a:noFill/>
              </a:ln>
              <a:effectLst/>
            </c:spPr>
            <c:extLst>
              <c:ext xmlns:c16="http://schemas.microsoft.com/office/drawing/2014/chart" uri="{C3380CC4-5D6E-409C-BE32-E72D297353CC}">
                <c16:uniqueId val="{00000001-C9D5-40A4-98B2-5A5CC2B81327}"/>
              </c:ext>
            </c:extLst>
          </c:dPt>
          <c:dLbls>
            <c:numFmt formatCode="#,##0.0" sourceLinked="0"/>
            <c:spPr>
              <a:noFill/>
              <a:ln>
                <a:noFill/>
              </a:ln>
              <a:effectLst/>
            </c:spPr>
            <c:txPr>
              <a:bodyPr rot="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Sheet1!$A$2:$A$7</c:f>
              <c:numCache>
                <c:formatCode>General</c:formatCode>
                <c:ptCount val="6"/>
                <c:pt idx="0">
                  <c:v>2018</c:v>
                </c:pt>
                <c:pt idx="1">
                  <c:v>2019</c:v>
                </c:pt>
                <c:pt idx="2">
                  <c:v>2020</c:v>
                </c:pt>
                <c:pt idx="3">
                  <c:v>2021</c:v>
                </c:pt>
                <c:pt idx="4">
                  <c:v>2022</c:v>
                </c:pt>
                <c:pt idx="5">
                  <c:v>2023</c:v>
                </c:pt>
              </c:numCache>
            </c:numRef>
          </c:cat>
          <c:val>
            <c:numRef>
              <c:f>Sheet1!$B$2:$B$7</c:f>
              <c:numCache>
                <c:formatCode>_(* #,##0.00_);_(* \(#,##0.00\);_(* "-"??_);_(@_)</c:formatCode>
                <c:ptCount val="6"/>
                <c:pt idx="0">
                  <c:v>5391.992993190067</c:v>
                </c:pt>
                <c:pt idx="1">
                  <c:v>5873.2484138657301</c:v>
                </c:pt>
                <c:pt idx="2">
                  <c:v>6639.4390165279501</c:v>
                </c:pt>
                <c:pt idx="3">
                  <c:v>8675.1028775060913</c:v>
                </c:pt>
                <c:pt idx="4">
                  <c:v>8125.3063672773314</c:v>
                </c:pt>
                <c:pt idx="5">
                  <c:v>8424.1837873787463</c:v>
                </c:pt>
              </c:numCache>
            </c:numRef>
          </c:val>
          <c:extLst>
            <c:ext xmlns:c16="http://schemas.microsoft.com/office/drawing/2014/chart" uri="{C3380CC4-5D6E-409C-BE32-E72D297353CC}">
              <c16:uniqueId val="{00000002-C9D5-40A4-98B2-5A5CC2B81327}"/>
            </c:ext>
          </c:extLst>
        </c:ser>
        <c:dLbls>
          <c:showLegendKey val="0"/>
          <c:showVal val="0"/>
          <c:showCatName val="0"/>
          <c:showSerName val="0"/>
          <c:showPercent val="0"/>
          <c:showBubbleSize val="0"/>
        </c:dLbls>
        <c:gapWidth val="80"/>
        <c:axId val="1700394271"/>
        <c:axId val="1700411071"/>
      </c:barChart>
      <c:catAx>
        <c:axId val="1700394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crossAx val="1700411071"/>
        <c:crosses val="autoZero"/>
        <c:auto val="1"/>
        <c:lblAlgn val="ctr"/>
        <c:lblOffset val="100"/>
        <c:noMultiLvlLbl val="0"/>
      </c:catAx>
      <c:valAx>
        <c:axId val="1700411071"/>
        <c:scaling>
          <c:orientation val="minMax"/>
        </c:scaling>
        <c:delete val="1"/>
        <c:axPos val="l"/>
        <c:numFmt formatCode="_(* #,##0.00_);_(* \(#,##0.00\);_(* &quot;-&quot;??_);_(@_)" sourceLinked="1"/>
        <c:majorTickMark val="none"/>
        <c:minorTickMark val="none"/>
        <c:tickLblPos val="nextTo"/>
        <c:crossAx val="1700394271"/>
        <c:crosses val="autoZero"/>
        <c:crossBetween val="between"/>
      </c:valAx>
      <c:spPr>
        <a:solidFill>
          <a:schemeClr val="bg1"/>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n-US"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80" b="0" i="0" u="none" strike="noStrike" kern="1200" spc="0" baseline="0">
                <a:solidFill>
                  <a:schemeClr val="tx1">
                    <a:lumMod val="75000"/>
                  </a:schemeClr>
                </a:solidFill>
                <a:latin typeface="Times New Roman" panose="02020603050405020304" pitchFamily="18" charset="0"/>
                <a:ea typeface="+mn-ea"/>
                <a:cs typeface="Times New Roman" panose="02020603050405020304" pitchFamily="18" charset="0"/>
              </a:defRPr>
            </a:pPr>
            <a:r>
              <a:rPr lang="en-US" b="1">
                <a:solidFill>
                  <a:srgbClr val="4C4747"/>
                </a:solidFill>
              </a:rPr>
              <a:t>Reservas internacionales brutas</a:t>
            </a:r>
          </a:p>
          <a:p>
            <a:pPr>
              <a:defRPr/>
            </a:pPr>
            <a:r>
              <a:rPr lang="en-US">
                <a:solidFill>
                  <a:srgbClr val="4C4747"/>
                </a:solidFill>
              </a:rPr>
              <a:t>(US$ millones)</a:t>
            </a:r>
          </a:p>
        </c:rich>
      </c:tx>
      <c:layout>
        <c:manualLayout>
          <c:xMode val="edge"/>
          <c:yMode val="edge"/>
          <c:x val="0.25291486093308102"/>
          <c:y val="3.3333333333333333E-2"/>
        </c:manualLayout>
      </c:layout>
      <c:overlay val="0"/>
      <c:spPr>
        <a:noFill/>
        <a:ln>
          <a:noFill/>
        </a:ln>
        <a:effectLst/>
      </c:spPr>
      <c:txPr>
        <a:bodyPr rot="0" spcFirstLastPara="1" vertOverflow="ellipsis" vert="horz" wrap="square" anchor="ctr" anchorCtr="1"/>
        <a:lstStyle/>
        <a:p>
          <a:pPr>
            <a:defRPr lang="en-US" sz="1080" b="0" i="0" u="none" strike="noStrike" kern="1200" spc="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3855351414406533"/>
          <c:y val="0.2767195767195767"/>
          <c:w val="0.82227269668214553"/>
          <c:h val="0.54367266591676044"/>
        </c:manualLayout>
      </c:layout>
      <c:barChart>
        <c:barDir val="col"/>
        <c:grouping val="clustered"/>
        <c:varyColors val="0"/>
        <c:ser>
          <c:idx val="0"/>
          <c:order val="0"/>
          <c:spPr>
            <a:solidFill>
              <a:srgbClr val="002060"/>
            </a:solidFill>
            <a:ln>
              <a:noFill/>
            </a:ln>
            <a:effectLst/>
          </c:spPr>
          <c:invertIfNegative val="0"/>
          <c:dLbls>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3C3-42DB-9C35-5021FF9D2E17}"/>
                </c:ext>
              </c:extLst>
            </c:dLbl>
            <c:numFmt formatCode="#,##0" sourceLinked="0"/>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Sheet1!$A$8:$A$13</c:f>
              <c:strCache>
                <c:ptCount val="6"/>
                <c:pt idx="0">
                  <c:v>2018</c:v>
                </c:pt>
                <c:pt idx="1">
                  <c:v>2019</c:v>
                </c:pt>
                <c:pt idx="2">
                  <c:v>2020</c:v>
                </c:pt>
                <c:pt idx="3">
                  <c:v>2021</c:v>
                </c:pt>
                <c:pt idx="4">
                  <c:v>2022</c:v>
                </c:pt>
                <c:pt idx="5">
                  <c:v>Nov. 2023</c:v>
                </c:pt>
              </c:strCache>
            </c:strRef>
          </c:cat>
          <c:val>
            <c:numRef>
              <c:f>Sheet1!$B$8:$B$13</c:f>
              <c:numCache>
                <c:formatCode>_(* #,##0.0_);_(* \(#,##0.0\);_(* "-"??_);_(@_)</c:formatCode>
                <c:ptCount val="6"/>
                <c:pt idx="0">
                  <c:v>7627.1078836426968</c:v>
                </c:pt>
                <c:pt idx="1">
                  <c:v>8781.4011717457761</c:v>
                </c:pt>
                <c:pt idx="2">
                  <c:v>10751.616906224601</c:v>
                </c:pt>
                <c:pt idx="3">
                  <c:v>13033.917427885361</c:v>
                </c:pt>
                <c:pt idx="4">
                  <c:v>14436.533514557741</c:v>
                </c:pt>
                <c:pt idx="5">
                  <c:v>15050.7</c:v>
                </c:pt>
              </c:numCache>
            </c:numRef>
          </c:val>
          <c:extLst>
            <c:ext xmlns:c16="http://schemas.microsoft.com/office/drawing/2014/chart" uri="{C3380CC4-5D6E-409C-BE32-E72D297353CC}">
              <c16:uniqueId val="{00000001-73C3-42DB-9C35-5021FF9D2E17}"/>
            </c:ext>
          </c:extLst>
        </c:ser>
        <c:dLbls>
          <c:showLegendKey val="0"/>
          <c:showVal val="0"/>
          <c:showCatName val="0"/>
          <c:showSerName val="0"/>
          <c:showPercent val="0"/>
          <c:showBubbleSize val="0"/>
        </c:dLbls>
        <c:gapWidth val="69"/>
        <c:overlap val="-27"/>
        <c:axId val="991911455"/>
        <c:axId val="991910495"/>
      </c:barChart>
      <c:catAx>
        <c:axId val="9919114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crossAx val="991910495"/>
        <c:crosses val="autoZero"/>
        <c:auto val="1"/>
        <c:lblAlgn val="ctr"/>
        <c:lblOffset val="100"/>
        <c:noMultiLvlLbl val="0"/>
      </c:catAx>
      <c:valAx>
        <c:axId val="991910495"/>
        <c:scaling>
          <c:orientation val="minMax"/>
          <c:max val="15500"/>
          <c:min val="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crossAx val="991911455"/>
        <c:crosses val="autoZero"/>
        <c:crossBetween val="between"/>
        <c:majorUnit val="200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en-US" sz="900" b="0" i="0" u="none" strike="noStrike" kern="120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080" b="0" i="0" u="none" strike="noStrike" kern="1200" spc="0" baseline="0">
                <a:solidFill>
                  <a:schemeClr val="tx1">
                    <a:lumMod val="75000"/>
                  </a:schemeClr>
                </a:solidFill>
                <a:latin typeface="Times New Roman" panose="02020603050405020304" pitchFamily="18" charset="0"/>
                <a:ea typeface="+mn-ea"/>
                <a:cs typeface="Times New Roman" panose="02020603050405020304" pitchFamily="18" charset="0"/>
              </a:defRPr>
            </a:pPr>
            <a:r>
              <a:rPr lang="en-US" b="1">
                <a:solidFill>
                  <a:srgbClr val="4C4747"/>
                </a:solidFill>
              </a:rPr>
              <a:t>Crédito al sector privado en MN </a:t>
            </a:r>
            <a:br>
              <a:rPr lang="en-US" b="1">
                <a:solidFill>
                  <a:srgbClr val="4C4747"/>
                </a:solidFill>
              </a:rPr>
            </a:br>
            <a:r>
              <a:rPr lang="en-US">
                <a:solidFill>
                  <a:srgbClr val="4C4747"/>
                </a:solidFill>
              </a:rPr>
              <a:t>Variación interanual (%)</a:t>
            </a:r>
          </a:p>
        </c:rich>
      </c:tx>
      <c:layout>
        <c:manualLayout>
          <c:xMode val="edge"/>
          <c:yMode val="edge"/>
          <c:x val="0.29020491476799537"/>
          <c:y val="3.3076074972436607E-2"/>
        </c:manualLayout>
      </c:layout>
      <c:overlay val="0"/>
      <c:spPr>
        <a:noFill/>
        <a:ln>
          <a:noFill/>
        </a:ln>
        <a:effectLst/>
      </c:spPr>
      <c:txPr>
        <a:bodyPr rot="0" spcFirstLastPara="1" vertOverflow="ellipsis" vert="horz" wrap="square" anchor="ctr" anchorCtr="1"/>
        <a:lstStyle/>
        <a:p>
          <a:pPr>
            <a:defRPr lang="en-US" sz="1080" b="0" i="0" u="none" strike="noStrike" kern="1200" spc="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7.3330250352525411E-2"/>
          <c:y val="0.23458446553056281"/>
          <c:w val="0.85993114044824004"/>
          <c:h val="0.42387167636654116"/>
        </c:manualLayout>
      </c:layout>
      <c:barChart>
        <c:barDir val="col"/>
        <c:grouping val="clustered"/>
        <c:varyColors val="0"/>
        <c:ser>
          <c:idx val="1"/>
          <c:order val="0"/>
          <c:tx>
            <c:v>Crédito privado en MN</c:v>
          </c:tx>
          <c:spPr>
            <a:solidFill>
              <a:srgbClr val="142F62"/>
            </a:solidFill>
            <a:ln>
              <a:noFill/>
            </a:ln>
            <a:effectLst/>
          </c:spPr>
          <c:invertIfNegative val="0"/>
          <c:dPt>
            <c:idx val="41"/>
            <c:invertIfNegative val="0"/>
            <c:bubble3D val="0"/>
            <c:spPr>
              <a:solidFill>
                <a:srgbClr val="142F62"/>
              </a:solidFill>
              <a:ln w="28575" cap="rnd">
                <a:noFill/>
                <a:round/>
              </a:ln>
              <a:effectLst/>
            </c:spPr>
            <c:extLst>
              <c:ext xmlns:c16="http://schemas.microsoft.com/office/drawing/2014/chart" uri="{C3380CC4-5D6E-409C-BE32-E72D297353CC}">
                <c16:uniqueId val="{00000001-4EA6-4339-BF00-7526FB28AB35}"/>
              </c:ext>
            </c:extLst>
          </c:dPt>
          <c:dPt>
            <c:idx val="42"/>
            <c:invertIfNegative val="0"/>
            <c:bubble3D val="0"/>
            <c:spPr>
              <a:solidFill>
                <a:srgbClr val="142F62"/>
              </a:solidFill>
              <a:ln w="28575" cap="rnd">
                <a:noFill/>
                <a:round/>
              </a:ln>
              <a:effectLst/>
            </c:spPr>
            <c:extLst>
              <c:ext xmlns:c16="http://schemas.microsoft.com/office/drawing/2014/chart" uri="{C3380CC4-5D6E-409C-BE32-E72D297353CC}">
                <c16:uniqueId val="{00000003-4EA6-4339-BF00-7526FB28AB35}"/>
              </c:ext>
            </c:extLst>
          </c:dPt>
          <c:dPt>
            <c:idx val="43"/>
            <c:invertIfNegative val="0"/>
            <c:bubble3D val="0"/>
            <c:spPr>
              <a:solidFill>
                <a:srgbClr val="142F62"/>
              </a:solidFill>
              <a:ln w="28575" cap="rnd">
                <a:noFill/>
                <a:round/>
              </a:ln>
              <a:effectLst/>
            </c:spPr>
            <c:extLst>
              <c:ext xmlns:c16="http://schemas.microsoft.com/office/drawing/2014/chart" uri="{C3380CC4-5D6E-409C-BE32-E72D297353CC}">
                <c16:uniqueId val="{00000005-4EA6-4339-BF00-7526FB28AB35}"/>
              </c:ext>
            </c:extLst>
          </c:dPt>
          <c:dPt>
            <c:idx val="44"/>
            <c:invertIfNegative val="0"/>
            <c:bubble3D val="0"/>
            <c:spPr>
              <a:solidFill>
                <a:srgbClr val="142F62"/>
              </a:solidFill>
              <a:ln>
                <a:noFill/>
              </a:ln>
              <a:effectLst/>
            </c:spPr>
            <c:extLst>
              <c:ext xmlns:c16="http://schemas.microsoft.com/office/drawing/2014/chart" uri="{C3380CC4-5D6E-409C-BE32-E72D297353CC}">
                <c16:uniqueId val="{00000007-4EA6-4339-BF00-7526FB28AB35}"/>
              </c:ext>
            </c:extLst>
          </c:dPt>
          <c:dPt>
            <c:idx val="45"/>
            <c:invertIfNegative val="0"/>
            <c:bubble3D val="0"/>
            <c:spPr>
              <a:solidFill>
                <a:srgbClr val="142F62"/>
              </a:solidFill>
              <a:ln>
                <a:noFill/>
              </a:ln>
              <a:effectLst/>
            </c:spPr>
            <c:extLst>
              <c:ext xmlns:c16="http://schemas.microsoft.com/office/drawing/2014/chart" uri="{C3380CC4-5D6E-409C-BE32-E72D297353CC}">
                <c16:uniqueId val="{00000009-4EA6-4339-BF00-7526FB28AB35}"/>
              </c:ext>
            </c:extLst>
          </c:dPt>
          <c:dPt>
            <c:idx val="46"/>
            <c:invertIfNegative val="0"/>
            <c:bubble3D val="0"/>
            <c:spPr>
              <a:solidFill>
                <a:srgbClr val="142F62"/>
              </a:solidFill>
              <a:ln>
                <a:noFill/>
              </a:ln>
              <a:effectLst/>
            </c:spPr>
            <c:extLst>
              <c:ext xmlns:c16="http://schemas.microsoft.com/office/drawing/2014/chart" uri="{C3380CC4-5D6E-409C-BE32-E72D297353CC}">
                <c16:uniqueId val="{0000000B-4EA6-4339-BF00-7526FB28AB35}"/>
              </c:ext>
            </c:extLst>
          </c:dPt>
          <c:dLbls>
            <c:dLbl>
              <c:idx val="46"/>
              <c:layout>
                <c:manualLayout>
                  <c:x val="2.6533996683250252E-2"/>
                  <c:y val="1.83318056828597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EA6-4339-BF00-7526FB28AB35}"/>
                </c:ext>
              </c:extLst>
            </c:dLbl>
            <c:numFmt formatCode="#,##0.0" sourceLinked="0"/>
            <c:spPr>
              <a:noFill/>
              <a:ln>
                <a:noFill/>
              </a:ln>
              <a:effectLst/>
            </c:spPr>
            <c:txPr>
              <a:bodyPr rot="0" spcFirstLastPara="1" vertOverflow="ellipsis" vert="horz" wrap="square" anchor="ctr" anchorCtr="1"/>
              <a:lstStyle/>
              <a:p>
                <a:pPr>
                  <a:defRPr lang="en-US" sz="900" b="0" i="0" u="none" strike="noStrike" kern="120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Data_prestamos!$A$291:$B$337</c:f>
              <c:multiLvlStrCache>
                <c:ptCount val="47"/>
                <c:lvl>
                  <c:pt idx="0">
                    <c:v>Ene</c:v>
                  </c:pt>
                  <c:pt idx="1">
                    <c:v>Feb</c:v>
                  </c:pt>
                  <c:pt idx="2">
                    <c:v>Mar</c:v>
                  </c:pt>
                  <c:pt idx="3">
                    <c:v>Abr</c:v>
                  </c:pt>
                  <c:pt idx="4">
                    <c:v>May</c:v>
                  </c:pt>
                  <c:pt idx="5">
                    <c:v>Jun</c:v>
                  </c:pt>
                  <c:pt idx="6">
                    <c:v>Jul</c:v>
                  </c:pt>
                  <c:pt idx="7">
                    <c:v>Ago</c:v>
                  </c:pt>
                  <c:pt idx="8">
                    <c:v>Sep</c:v>
                  </c:pt>
                  <c:pt idx="9">
                    <c:v>Oct</c:v>
                  </c:pt>
                  <c:pt idx="10">
                    <c:v>Nov</c:v>
                  </c:pt>
                  <c:pt idx="11">
                    <c:v>Dic</c:v>
                  </c:pt>
                  <c:pt idx="12">
                    <c:v>Ene</c:v>
                  </c:pt>
                  <c:pt idx="13">
                    <c:v>Feb</c:v>
                  </c:pt>
                  <c:pt idx="14">
                    <c:v>Mar</c:v>
                  </c:pt>
                  <c:pt idx="15">
                    <c:v>Abr</c:v>
                  </c:pt>
                  <c:pt idx="16">
                    <c:v>May</c:v>
                  </c:pt>
                  <c:pt idx="17">
                    <c:v>Jun</c:v>
                  </c:pt>
                  <c:pt idx="18">
                    <c:v>Jul</c:v>
                  </c:pt>
                  <c:pt idx="19">
                    <c:v>Ago</c:v>
                  </c:pt>
                  <c:pt idx="20">
                    <c:v>Sep</c:v>
                  </c:pt>
                  <c:pt idx="21">
                    <c:v>Oct</c:v>
                  </c:pt>
                  <c:pt idx="22">
                    <c:v>Nov</c:v>
                  </c:pt>
                  <c:pt idx="23">
                    <c:v>Dic</c:v>
                  </c:pt>
                  <c:pt idx="24">
                    <c:v>Ene</c:v>
                  </c:pt>
                  <c:pt idx="25">
                    <c:v>Feb</c:v>
                  </c:pt>
                  <c:pt idx="26">
                    <c:v>Mar</c:v>
                  </c:pt>
                  <c:pt idx="27">
                    <c:v>Abr</c:v>
                  </c:pt>
                  <c:pt idx="28">
                    <c:v>May</c:v>
                  </c:pt>
                  <c:pt idx="29">
                    <c:v>Jun</c:v>
                  </c:pt>
                  <c:pt idx="30">
                    <c:v>Jul</c:v>
                  </c:pt>
                  <c:pt idx="31">
                    <c:v>Ago</c:v>
                  </c:pt>
                  <c:pt idx="32">
                    <c:v>Sep</c:v>
                  </c:pt>
                  <c:pt idx="33">
                    <c:v>Oct</c:v>
                  </c:pt>
                  <c:pt idx="34">
                    <c:v>Nov</c:v>
                  </c:pt>
                  <c:pt idx="35">
                    <c:v>Dic</c:v>
                  </c:pt>
                  <c:pt idx="36">
                    <c:v>Ene</c:v>
                  </c:pt>
                  <c:pt idx="37">
                    <c:v>Feb</c:v>
                  </c:pt>
                  <c:pt idx="38">
                    <c:v>Mar</c:v>
                  </c:pt>
                  <c:pt idx="39">
                    <c:v>Abr</c:v>
                  </c:pt>
                  <c:pt idx="40">
                    <c:v>May</c:v>
                  </c:pt>
                  <c:pt idx="41">
                    <c:v>Jun</c:v>
                  </c:pt>
                  <c:pt idx="42">
                    <c:v>Jul</c:v>
                  </c:pt>
                  <c:pt idx="43">
                    <c:v>Ago</c:v>
                  </c:pt>
                  <c:pt idx="44">
                    <c:v>Sep</c:v>
                  </c:pt>
                  <c:pt idx="45">
                    <c:v>Oct</c:v>
                  </c:pt>
                  <c:pt idx="46">
                    <c:v>Nov</c:v>
                  </c:pt>
                </c:lvl>
                <c:lvl>
                  <c:pt idx="0">
                    <c:v>2020</c:v>
                  </c:pt>
                  <c:pt idx="12">
                    <c:v>2021</c:v>
                  </c:pt>
                  <c:pt idx="24">
                    <c:v>2022</c:v>
                  </c:pt>
                  <c:pt idx="36">
                    <c:v>2023</c:v>
                  </c:pt>
                </c:lvl>
              </c:multiLvlStrCache>
            </c:multiLvlStrRef>
          </c:cat>
          <c:val>
            <c:numRef>
              <c:f>Data_prestamos!$BB$291:$BB$337</c:f>
              <c:numCache>
                <c:formatCode>0.00</c:formatCode>
                <c:ptCount val="47"/>
                <c:pt idx="0">
                  <c:v>12.832655077223375</c:v>
                </c:pt>
                <c:pt idx="1">
                  <c:v>12.8602999584283</c:v>
                </c:pt>
                <c:pt idx="2">
                  <c:v>12.115500413571013</c:v>
                </c:pt>
                <c:pt idx="3">
                  <c:v>13.224742960314128</c:v>
                </c:pt>
                <c:pt idx="4">
                  <c:v>14.108793222742166</c:v>
                </c:pt>
                <c:pt idx="5">
                  <c:v>14.479084257092921</c:v>
                </c:pt>
                <c:pt idx="6">
                  <c:v>11.412795363371519</c:v>
                </c:pt>
                <c:pt idx="7">
                  <c:v>10.560518000854625</c:v>
                </c:pt>
                <c:pt idx="8">
                  <c:v>10.500787873765315</c:v>
                </c:pt>
                <c:pt idx="9">
                  <c:v>9.5475883722892174</c:v>
                </c:pt>
                <c:pt idx="10">
                  <c:v>8.8486759523050971</c:v>
                </c:pt>
                <c:pt idx="11">
                  <c:v>8.976070126504343</c:v>
                </c:pt>
                <c:pt idx="12">
                  <c:v>7.9527624659223806</c:v>
                </c:pt>
                <c:pt idx="13">
                  <c:v>8.4729489185704665</c:v>
                </c:pt>
                <c:pt idx="14">
                  <c:v>9.8731554321262358</c:v>
                </c:pt>
                <c:pt idx="15">
                  <c:v>9.5845353783432063</c:v>
                </c:pt>
                <c:pt idx="16">
                  <c:v>9.1570657680937195</c:v>
                </c:pt>
                <c:pt idx="17">
                  <c:v>8.2931854803783178</c:v>
                </c:pt>
                <c:pt idx="18">
                  <c:v>10.030833185206189</c:v>
                </c:pt>
                <c:pt idx="19">
                  <c:v>10.653786418689126</c:v>
                </c:pt>
                <c:pt idx="20">
                  <c:v>10.555341034195909</c:v>
                </c:pt>
                <c:pt idx="21">
                  <c:v>10.553113022644789</c:v>
                </c:pt>
                <c:pt idx="22">
                  <c:v>11.322734343172659</c:v>
                </c:pt>
                <c:pt idx="23">
                  <c:v>10.899581271547621</c:v>
                </c:pt>
                <c:pt idx="24">
                  <c:v>12.68666755841188</c:v>
                </c:pt>
                <c:pt idx="25" formatCode="0.0">
                  <c:v>13.264117426255172</c:v>
                </c:pt>
                <c:pt idx="26" formatCode="0.0">
                  <c:v>13.39981289761678</c:v>
                </c:pt>
                <c:pt idx="27" formatCode="0.0">
                  <c:v>13.269467018329406</c:v>
                </c:pt>
                <c:pt idx="28" formatCode="0.0">
                  <c:v>13.543724165308891</c:v>
                </c:pt>
                <c:pt idx="29" formatCode="0.0">
                  <c:v>13.467542883650442</c:v>
                </c:pt>
                <c:pt idx="30" formatCode="0.0">
                  <c:v>14.569799018808327</c:v>
                </c:pt>
                <c:pt idx="31" formatCode="0.0">
                  <c:v>14.499388543726743</c:v>
                </c:pt>
                <c:pt idx="32" formatCode="0.0">
                  <c:v>14.686939559739765</c:v>
                </c:pt>
                <c:pt idx="33" formatCode="0.0">
                  <c:v>14.862945372552128</c:v>
                </c:pt>
                <c:pt idx="34" formatCode="0.0">
                  <c:v>14.659583343918969</c:v>
                </c:pt>
                <c:pt idx="35" formatCode="0.0">
                  <c:v>14.398924333324814</c:v>
                </c:pt>
                <c:pt idx="36" formatCode="0.0">
                  <c:v>13.989683888813742</c:v>
                </c:pt>
                <c:pt idx="37" formatCode="0.0">
                  <c:v>13.685947854433621</c:v>
                </c:pt>
                <c:pt idx="38" formatCode="0.0">
                  <c:v>13.43840335759532</c:v>
                </c:pt>
                <c:pt idx="39" formatCode="0.0">
                  <c:v>13.297189387104581</c:v>
                </c:pt>
                <c:pt idx="40" formatCode="0.0">
                  <c:v>13.610898714873354</c:v>
                </c:pt>
                <c:pt idx="41" formatCode="0.0">
                  <c:v>16.756630373255121</c:v>
                </c:pt>
                <c:pt idx="42" formatCode="0.0">
                  <c:v>17.195989994732997</c:v>
                </c:pt>
                <c:pt idx="43" formatCode="0.0">
                  <c:v>17.627884404945537</c:v>
                </c:pt>
                <c:pt idx="44" formatCode="0.0">
                  <c:v>17.780516682046432</c:v>
                </c:pt>
                <c:pt idx="45">
                  <c:v>19.321353868453816</c:v>
                </c:pt>
                <c:pt idx="46">
                  <c:v>19.566987767918942</c:v>
                </c:pt>
              </c:numCache>
            </c:numRef>
          </c:val>
          <c:extLst>
            <c:ext xmlns:c16="http://schemas.microsoft.com/office/drawing/2014/chart" uri="{C3380CC4-5D6E-409C-BE32-E72D297353CC}">
              <c16:uniqueId val="{0000000C-4EA6-4339-BF00-7526FB28AB35}"/>
            </c:ext>
          </c:extLst>
        </c:ser>
        <c:dLbls>
          <c:showLegendKey val="0"/>
          <c:showVal val="0"/>
          <c:showCatName val="0"/>
          <c:showSerName val="0"/>
          <c:showPercent val="0"/>
          <c:showBubbleSize val="0"/>
        </c:dLbls>
        <c:gapWidth val="80"/>
        <c:axId val="1986257327"/>
        <c:axId val="1986093983"/>
      </c:barChart>
      <c:catAx>
        <c:axId val="1986257327"/>
        <c:scaling>
          <c:orientation val="minMax"/>
        </c:scaling>
        <c:delete val="0"/>
        <c:axPos val="b"/>
        <c:numFmt formatCode="General" sourceLinked="1"/>
        <c:majorTickMark val="none"/>
        <c:minorTickMark val="none"/>
        <c:tickLblPos val="low"/>
        <c:spPr>
          <a:noFill/>
          <a:ln w="9525" cap="flat" cmpd="sng" algn="ctr">
            <a:solidFill>
              <a:schemeClr val="tx1">
                <a:lumMod val="60000"/>
                <a:lumOff val="40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crossAx val="1986093983"/>
        <c:crosses val="autoZero"/>
        <c:auto val="1"/>
        <c:lblAlgn val="ctr"/>
        <c:lblOffset val="100"/>
        <c:tickLblSkip val="2"/>
        <c:noMultiLvlLbl val="0"/>
      </c:catAx>
      <c:valAx>
        <c:axId val="1986093983"/>
        <c:scaling>
          <c:orientation val="minMax"/>
          <c:max val="20"/>
          <c:min val="4"/>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crossAx val="1986257327"/>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lang="en-US" sz="900" b="0" i="0" u="none" strike="noStrike" kern="120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b="1">
                <a:solidFill>
                  <a:srgbClr val="4C4747"/>
                </a:solidFill>
              </a:rPr>
              <a:t>Inversión extranjera directa</a:t>
            </a:r>
          </a:p>
          <a:p>
            <a:pPr>
              <a:defRPr/>
            </a:pPr>
            <a:r>
              <a:rPr lang="en-US">
                <a:solidFill>
                  <a:srgbClr val="4C4747"/>
                </a:solidFill>
              </a:rPr>
              <a:t>(US$ millones) </a:t>
            </a:r>
          </a:p>
          <a:p>
            <a:pPr>
              <a:defRPr/>
            </a:pPr>
            <a:endParaRPr lang="en-US"/>
          </a:p>
        </c:rich>
      </c:tx>
      <c:overlay val="0"/>
    </c:title>
    <c:autoTitleDeleted val="0"/>
    <c:plotArea>
      <c:layout>
        <c:manualLayout>
          <c:layoutTarget val="inner"/>
          <c:xMode val="edge"/>
          <c:yMode val="edge"/>
          <c:x val="0"/>
          <c:y val="0.21296850393700784"/>
          <c:w val="0.99967344706911621"/>
          <c:h val="0.63741513560804897"/>
        </c:manualLayout>
      </c:layout>
      <c:barChart>
        <c:barDir val="col"/>
        <c:grouping val="clustered"/>
        <c:varyColors val="0"/>
        <c:ser>
          <c:idx val="1"/>
          <c:order val="0"/>
          <c:tx>
            <c:strRef>
              <c:f>Anual!$M$2</c:f>
              <c:strCache>
                <c:ptCount val="1"/>
              </c:strCache>
            </c:strRef>
          </c:tx>
          <c:spPr>
            <a:solidFill>
              <a:srgbClr val="C00000"/>
            </a:solidFill>
          </c:spPr>
          <c:invertIfNegative val="0"/>
          <c:dPt>
            <c:idx val="0"/>
            <c:invertIfNegative val="0"/>
            <c:bubble3D val="0"/>
            <c:spPr>
              <a:solidFill>
                <a:srgbClr val="142F62"/>
              </a:solidFill>
            </c:spPr>
            <c:extLst>
              <c:ext xmlns:c16="http://schemas.microsoft.com/office/drawing/2014/chart" uri="{C3380CC4-5D6E-409C-BE32-E72D297353CC}">
                <c16:uniqueId val="{00000001-5BB9-4D08-8315-2D3A835509CD}"/>
              </c:ext>
            </c:extLst>
          </c:dPt>
          <c:dPt>
            <c:idx val="1"/>
            <c:invertIfNegative val="0"/>
            <c:bubble3D val="0"/>
            <c:spPr>
              <a:solidFill>
                <a:srgbClr val="142F62"/>
              </a:solidFill>
            </c:spPr>
            <c:extLst>
              <c:ext xmlns:c16="http://schemas.microsoft.com/office/drawing/2014/chart" uri="{C3380CC4-5D6E-409C-BE32-E72D297353CC}">
                <c16:uniqueId val="{00000003-5BB9-4D08-8315-2D3A835509CD}"/>
              </c:ext>
            </c:extLst>
          </c:dPt>
          <c:dPt>
            <c:idx val="2"/>
            <c:invertIfNegative val="0"/>
            <c:bubble3D val="0"/>
            <c:spPr>
              <a:solidFill>
                <a:srgbClr val="142F62"/>
              </a:solidFill>
            </c:spPr>
            <c:extLst>
              <c:ext xmlns:c16="http://schemas.microsoft.com/office/drawing/2014/chart" uri="{C3380CC4-5D6E-409C-BE32-E72D297353CC}">
                <c16:uniqueId val="{00000005-5BB9-4D08-8315-2D3A835509CD}"/>
              </c:ext>
            </c:extLst>
          </c:dPt>
          <c:dPt>
            <c:idx val="3"/>
            <c:invertIfNegative val="0"/>
            <c:bubble3D val="0"/>
            <c:spPr>
              <a:solidFill>
                <a:srgbClr val="142F62"/>
              </a:solidFill>
            </c:spPr>
            <c:extLst>
              <c:ext xmlns:c16="http://schemas.microsoft.com/office/drawing/2014/chart" uri="{C3380CC4-5D6E-409C-BE32-E72D297353CC}">
                <c16:uniqueId val="{00000007-5BB9-4D08-8315-2D3A835509CD}"/>
              </c:ext>
            </c:extLst>
          </c:dPt>
          <c:dPt>
            <c:idx val="4"/>
            <c:invertIfNegative val="0"/>
            <c:bubble3D val="0"/>
            <c:spPr>
              <a:solidFill>
                <a:srgbClr val="142F62"/>
              </a:solidFill>
            </c:spPr>
            <c:extLst>
              <c:ext xmlns:c16="http://schemas.microsoft.com/office/drawing/2014/chart" uri="{C3380CC4-5D6E-409C-BE32-E72D297353CC}">
                <c16:uniqueId val="{00000009-5BB9-4D08-8315-2D3A835509CD}"/>
              </c:ext>
            </c:extLst>
          </c:dPt>
          <c:dPt>
            <c:idx val="5"/>
            <c:invertIfNegative val="0"/>
            <c:bubble3D val="0"/>
            <c:spPr>
              <a:solidFill>
                <a:srgbClr val="002060"/>
              </a:solidFill>
              <a:ln>
                <a:noFill/>
              </a:ln>
            </c:spPr>
            <c:extLst>
              <c:ext xmlns:c16="http://schemas.microsoft.com/office/drawing/2014/chart" uri="{C3380CC4-5D6E-409C-BE32-E72D297353CC}">
                <c16:uniqueId val="{0000000B-5BB9-4D08-8315-2D3A835509CD}"/>
              </c:ext>
            </c:extLst>
          </c:dPt>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Anumensual!$G$26:$G$31</c:f>
              <c:strCache>
                <c:ptCount val="6"/>
                <c:pt idx="0">
                  <c:v>2018</c:v>
                </c:pt>
                <c:pt idx="1">
                  <c:v>2019</c:v>
                </c:pt>
                <c:pt idx="2">
                  <c:v>2020</c:v>
                </c:pt>
                <c:pt idx="3">
                  <c:v>2021</c:v>
                </c:pt>
                <c:pt idx="4">
                  <c:v>2022</c:v>
                </c:pt>
                <c:pt idx="5">
                  <c:v>Proy. 2023</c:v>
                </c:pt>
              </c:strCache>
            </c:strRef>
          </c:cat>
          <c:val>
            <c:numRef>
              <c:f>Anumensual!$I$26:$I$31</c:f>
              <c:numCache>
                <c:formatCode>General</c:formatCode>
                <c:ptCount val="6"/>
                <c:pt idx="0">
                  <c:v>2535.3000000000002</c:v>
                </c:pt>
                <c:pt idx="1">
                  <c:v>3021</c:v>
                </c:pt>
                <c:pt idx="2">
                  <c:v>2559.6</c:v>
                </c:pt>
                <c:pt idx="3">
                  <c:v>3196.8</c:v>
                </c:pt>
                <c:pt idx="4">
                  <c:v>4010.4</c:v>
                </c:pt>
                <c:pt idx="5" formatCode="0.0">
                  <c:v>4300</c:v>
                </c:pt>
              </c:numCache>
            </c:numRef>
          </c:val>
          <c:extLst>
            <c:ext xmlns:c16="http://schemas.microsoft.com/office/drawing/2014/chart" uri="{C3380CC4-5D6E-409C-BE32-E72D297353CC}">
              <c16:uniqueId val="{0000000C-5BB9-4D08-8315-2D3A835509CD}"/>
            </c:ext>
          </c:extLst>
        </c:ser>
        <c:dLbls>
          <c:showLegendKey val="0"/>
          <c:showVal val="0"/>
          <c:showCatName val="0"/>
          <c:showSerName val="0"/>
          <c:showPercent val="0"/>
          <c:showBubbleSize val="0"/>
        </c:dLbls>
        <c:gapWidth val="80"/>
        <c:overlap val="-27"/>
        <c:axId val="222005888"/>
        <c:axId val="222024064"/>
      </c:barChart>
      <c:catAx>
        <c:axId val="222005888"/>
        <c:scaling>
          <c:orientation val="minMax"/>
        </c:scaling>
        <c:delete val="0"/>
        <c:axPos val="b"/>
        <c:numFmt formatCode="General" sourceLinked="1"/>
        <c:majorTickMark val="none"/>
        <c:minorTickMark val="none"/>
        <c:tickLblPos val="low"/>
        <c:spPr>
          <a:ln>
            <a:solidFill>
              <a:schemeClr val="bg1">
                <a:lumMod val="85000"/>
              </a:schemeClr>
            </a:solidFill>
          </a:ln>
        </c:spPr>
        <c:crossAx val="222024064"/>
        <c:crosses val="autoZero"/>
        <c:auto val="1"/>
        <c:lblAlgn val="ctr"/>
        <c:lblOffset val="100"/>
        <c:noMultiLvlLbl val="0"/>
      </c:catAx>
      <c:valAx>
        <c:axId val="222024064"/>
        <c:scaling>
          <c:orientation val="minMax"/>
        </c:scaling>
        <c:delete val="1"/>
        <c:axPos val="l"/>
        <c:numFmt formatCode="General" sourceLinked="1"/>
        <c:majorTickMark val="out"/>
        <c:minorTickMark val="none"/>
        <c:tickLblPos val="nextTo"/>
        <c:crossAx val="222005888"/>
        <c:crosses val="autoZero"/>
        <c:crossBetween val="between"/>
      </c:valAx>
    </c:plotArea>
    <c:plotVisOnly val="1"/>
    <c:dispBlanksAs val="gap"/>
    <c:showDLblsOverMax val="0"/>
  </c:chart>
  <c:spPr>
    <a:ln>
      <a:noFill/>
    </a:ln>
  </c:spPr>
  <c:txPr>
    <a:bodyPr/>
    <a:lstStyle/>
    <a:p>
      <a:pPr>
        <a:defRPr lang="en-US" sz="900" b="0" i="0" u="none" strike="noStrike" kern="1200" baseline="0">
          <a:solidFill>
            <a:schemeClr val="tx1">
              <a:lumMod val="75000"/>
            </a:schemeClr>
          </a:solidFill>
          <a:latin typeface="Times New Roman" panose="02020603050405020304" pitchFamily="18" charset="0"/>
          <a:ea typeface="+mn-ea"/>
          <a:cs typeface="Times New Roman" panose="02020603050405020304" pitchFamily="18" charset="0"/>
        </a:defRPr>
      </a:pPr>
      <a:endParaRPr lang="es-D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sz="1050"/>
            </a:pPr>
            <a:r>
              <a:rPr lang="es-DO" sz="1050" b="0">
                <a:solidFill>
                  <a:srgbClr val="4C4747"/>
                </a:solidFill>
                <a:latin typeface="Times New Roman" panose="02020603050405020304" pitchFamily="18" charset="0"/>
                <a:cs typeface="Times New Roman" panose="02020603050405020304" pitchFamily="18" charset="0"/>
              </a:rPr>
              <a:t>Resultado Administrativo</a:t>
            </a:r>
          </a:p>
          <a:p>
            <a:pPr algn="ctr">
              <a:defRPr sz="1050"/>
            </a:pPr>
            <a:r>
              <a:rPr lang="es-DO" sz="1050" b="0">
                <a:solidFill>
                  <a:srgbClr val="4C4747"/>
                </a:solidFill>
                <a:latin typeface="Times New Roman" panose="02020603050405020304" pitchFamily="18" charset="0"/>
                <a:cs typeface="Times New Roman" panose="02020603050405020304" pitchFamily="18" charset="0"/>
              </a:rPr>
              <a:t>Enero-Diciembre 2023</a:t>
            </a:r>
          </a:p>
          <a:p>
            <a:pPr algn="ctr">
              <a:defRPr sz="1050"/>
            </a:pPr>
            <a:r>
              <a:rPr lang="es-DO" sz="1050" b="0">
                <a:solidFill>
                  <a:srgbClr val="4C4747"/>
                </a:solidFill>
                <a:latin typeface="Times New Roman" panose="02020603050405020304" pitchFamily="18" charset="0"/>
                <a:cs typeface="Times New Roman" panose="02020603050405020304" pitchFamily="18" charset="0"/>
              </a:rPr>
              <a:t>En millones de RD$</a:t>
            </a:r>
          </a:p>
        </c:rich>
      </c:tx>
      <c:layout>
        <c:manualLayout>
          <c:xMode val="edge"/>
          <c:yMode val="edge"/>
          <c:x val="8.9456727805626954E-2"/>
          <c:y val="2.0920502092050208E-2"/>
        </c:manualLayout>
      </c:layout>
      <c:overlay val="0"/>
    </c:title>
    <c:autoTitleDeleted val="0"/>
    <c:plotArea>
      <c:layout/>
      <c:barChart>
        <c:barDir val="col"/>
        <c:grouping val="clustered"/>
        <c:varyColors val="0"/>
        <c:ser>
          <c:idx val="0"/>
          <c:order val="0"/>
          <c:spPr>
            <a:solidFill>
              <a:srgbClr val="011C50"/>
            </a:solidFill>
            <a:ln>
              <a:noFill/>
            </a:ln>
            <a:effectLst/>
          </c:spPr>
          <c:invertIfNegative val="0"/>
          <c:dPt>
            <c:idx val="0"/>
            <c:invertIfNegative val="0"/>
            <c:bubble3D val="0"/>
            <c:extLst>
              <c:ext xmlns:c16="http://schemas.microsoft.com/office/drawing/2014/chart" uri="{C3380CC4-5D6E-409C-BE32-E72D297353CC}">
                <c16:uniqueId val="{00000000-41ED-4FB3-B0D5-252BEBA1E08E}"/>
              </c:ext>
            </c:extLst>
          </c:dPt>
          <c:dPt>
            <c:idx val="1"/>
            <c:invertIfNegative val="0"/>
            <c:bubble3D val="0"/>
            <c:extLst>
              <c:ext xmlns:c16="http://schemas.microsoft.com/office/drawing/2014/chart" uri="{C3380CC4-5D6E-409C-BE32-E72D297353CC}">
                <c16:uniqueId val="{00000001-41ED-4FB3-B0D5-252BEBA1E08E}"/>
              </c:ext>
            </c:extLst>
          </c:dPt>
          <c:dLbls>
            <c:dLbl>
              <c:idx val="1"/>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endParaRPr lang="es-DO"/>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1-41ED-4FB3-B0D5-252BEBA1E0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Gotham Book" pitchFamily="50" charset="0"/>
                    <a:ea typeface="+mn-ea"/>
                    <a:cs typeface="Gotham Book" pitchFamily="50"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Result. Adm. y Oper.'!$C$26:$D$26</c:f>
              <c:strCache>
                <c:ptCount val="2"/>
                <c:pt idx="0">
                  <c:v>Presupuesto</c:v>
                </c:pt>
                <c:pt idx="1">
                  <c:v>Ejecución</c:v>
                </c:pt>
              </c:strCache>
            </c:strRef>
          </c:cat>
          <c:val>
            <c:numRef>
              <c:f>'Gráfico Result. Adm. y Oper.'!$C$27:$D$27</c:f>
              <c:numCache>
                <c:formatCode>#,##0.0</c:formatCode>
                <c:ptCount val="2"/>
                <c:pt idx="0">
                  <c:v>15298.942000000001</c:v>
                </c:pt>
                <c:pt idx="1">
                  <c:v>31844.271533999996</c:v>
                </c:pt>
              </c:numCache>
            </c:numRef>
          </c:val>
          <c:extLst>
            <c:ext xmlns:c16="http://schemas.microsoft.com/office/drawing/2014/chart" uri="{C3380CC4-5D6E-409C-BE32-E72D297353CC}">
              <c16:uniqueId val="{00000002-41ED-4FB3-B0D5-252BEBA1E08E}"/>
            </c:ext>
          </c:extLst>
        </c:ser>
        <c:dLbls>
          <c:showLegendKey val="0"/>
          <c:showVal val="1"/>
          <c:showCatName val="0"/>
          <c:showSerName val="0"/>
          <c:showPercent val="0"/>
          <c:showBubbleSize val="0"/>
        </c:dLbls>
        <c:gapWidth val="150"/>
        <c:overlap val="-25"/>
        <c:axId val="969288815"/>
        <c:axId val="987932335"/>
      </c:barChart>
      <c:catAx>
        <c:axId val="969288815"/>
        <c:scaling>
          <c:orientation val="minMax"/>
        </c:scaling>
        <c:delete val="0"/>
        <c:axPos val="b"/>
        <c:numFmt formatCode="General" sourceLinked="1"/>
        <c:majorTickMark val="none"/>
        <c:minorTickMark val="none"/>
        <c:tickLblPos val="nextTo"/>
        <c:spPr>
          <a:solidFill>
            <a:schemeClr val="bg1"/>
          </a:solidFill>
        </c:spPr>
        <c:crossAx val="987932335"/>
        <c:crosses val="autoZero"/>
        <c:auto val="1"/>
        <c:lblAlgn val="ctr"/>
        <c:lblOffset val="100"/>
        <c:noMultiLvlLbl val="0"/>
      </c:catAx>
      <c:valAx>
        <c:axId val="987932335"/>
        <c:scaling>
          <c:orientation val="minMax"/>
        </c:scaling>
        <c:delete val="1"/>
        <c:axPos val="l"/>
        <c:numFmt formatCode="#,##0.0" sourceLinked="1"/>
        <c:majorTickMark val="none"/>
        <c:minorTickMark val="none"/>
        <c:tickLblPos val="nextTo"/>
        <c:crossAx val="969288815"/>
        <c:crosses val="autoZero"/>
        <c:crossBetween val="between"/>
      </c:valAx>
      <c:spPr>
        <a:noFill/>
        <a:ln>
          <a:noFill/>
        </a:ln>
        <a:effectLst/>
      </c:spPr>
    </c:plotArea>
    <c:legend>
      <c:legendPos val="t"/>
      <c:layout>
        <c:manualLayout>
          <c:xMode val="edge"/>
          <c:yMode val="edge"/>
          <c:x val="0.15850730992451645"/>
          <c:y val="0.20552114563085472"/>
          <c:w val="0.6014162292213473"/>
          <c:h val="4.644537502627366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18">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3">
      <cs:styleClr val="auto"/>
    </cs:fillRef>
    <cs:effectRef idx="2">
      <a:schemeClr val="dk1"/>
    </cs:effectRef>
    <cs:fontRef idx="minor">
      <a:schemeClr val="tx1"/>
    </cs:fontRef>
  </cs:dataPoint>
  <cs:dataPoint3D>
    <cs:lnRef idx="0"/>
    <cs:fillRef idx="3">
      <cs:styleClr val="auto"/>
    </cs:fillRef>
    <cs:effectRef idx="2">
      <a:schemeClr val="dk1"/>
    </cs:effectRef>
    <cs:fontRef idx="minor">
      <a:schemeClr val="tx1"/>
    </cs:fontRef>
  </cs:dataPoint3D>
  <cs:dataPointLine>
    <cs:lnRef idx="1">
      <cs:styleClr val="auto"/>
    </cs:lnRef>
    <cs:lineWidthScale>5</cs:lineWidthScale>
    <cs:fillRef idx="0"/>
    <cs:effectRef idx="0"/>
    <cs:fontRef idx="minor">
      <a:schemeClr val="tx1"/>
    </cs:fontRef>
    <cs:spPr>
      <a:ln cap="rnd">
        <a:round/>
      </a:ln>
    </cs:spPr>
  </cs:dataPointLine>
  <cs:dataPointMarker>
    <cs:lnRef idx="1">
      <cs:styleClr val="auto"/>
    </cs:lnRef>
    <cs:fillRef idx="3">
      <cs:styleClr val="auto"/>
    </cs:fillRef>
    <cs:effectRef idx="2">
      <a:schemeClr val="dk1"/>
    </cs:effectRef>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0"/>
    <cs:fillRef idx="3">
      <a:schemeClr val="dk1">
        <a:tint val="95000"/>
      </a:schemeClr>
    </cs:fillRef>
    <cs:effectRef idx="2">
      <a:schemeClr val="dk1"/>
    </cs:effectRef>
    <cs:fontRef idx="minor">
      <a:schemeClr val="tx1"/>
    </cs:fontRef>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0"/>
    <cs:fillRef idx="3">
      <a:schemeClr val="dk1">
        <a:tint val="5000"/>
      </a:schemeClr>
    </cs:fillRef>
    <cs:effectRef idx="2">
      <a:schemeClr val="dk1"/>
    </cs:effectRef>
    <cs:fontRef idx="minor">
      <a:schemeClr val="tx1"/>
    </cs:fontRef>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039B06ED2E6044BA227FFBAB2FC131" ma:contentTypeVersion="13" ma:contentTypeDescription="Create a new document." ma:contentTypeScope="" ma:versionID="8a371fda0f2d1ccde4021810f5474176">
  <xsd:schema xmlns:xsd="http://www.w3.org/2001/XMLSchema" xmlns:xs="http://www.w3.org/2001/XMLSchema" xmlns:p="http://schemas.microsoft.com/office/2006/metadata/properties" xmlns:ns3="d653fa03-e0ce-4dc9-8273-1db8e732511b" xmlns:ns4="0e26bc13-c63e-4b72-a06e-5d5440ba74a7" targetNamespace="http://schemas.microsoft.com/office/2006/metadata/properties" ma:root="true" ma:fieldsID="063334286e4b9894ed5a261c1242a673" ns3:_="" ns4:_="">
    <xsd:import namespace="d653fa03-e0ce-4dc9-8273-1db8e732511b"/>
    <xsd:import namespace="0e26bc13-c63e-4b72-a06e-5d5440ba74a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3fa03-e0ce-4dc9-8273-1db8e73251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26bc13-c63e-4b72-a06e-5d5440ba74a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BFC76-504B-4A5D-9EE7-AA48B6CC9B07}">
  <ds:schemaRefs>
    <ds:schemaRef ds:uri="http://schemas.openxmlformats.org/package/2006/metadata/core-properties"/>
    <ds:schemaRef ds:uri="http://purl.org/dc/elements/1.1/"/>
    <ds:schemaRef ds:uri="http://schemas.microsoft.com/office/2006/metadata/properties"/>
    <ds:schemaRef ds:uri="d653fa03-e0ce-4dc9-8273-1db8e732511b"/>
    <ds:schemaRef ds:uri="http://purl.org/dc/dcmitype/"/>
    <ds:schemaRef ds:uri="http://schemas.microsoft.com/office/2006/documentManagement/types"/>
    <ds:schemaRef ds:uri="http://purl.org/dc/terms/"/>
    <ds:schemaRef ds:uri="http://schemas.microsoft.com/office/infopath/2007/PartnerControls"/>
    <ds:schemaRef ds:uri="0e26bc13-c63e-4b72-a06e-5d5440ba74a7"/>
    <ds:schemaRef ds:uri="http://www.w3.org/XML/1998/namespace"/>
  </ds:schemaRefs>
</ds:datastoreItem>
</file>

<file path=customXml/itemProps2.xml><?xml version="1.0" encoding="utf-8"?>
<ds:datastoreItem xmlns:ds="http://schemas.openxmlformats.org/officeDocument/2006/customXml" ds:itemID="{330A36B1-971C-49A4-8911-4CAA8028A009}">
  <ds:schemaRefs>
    <ds:schemaRef ds:uri="http://schemas.microsoft.com/sharepoint/v3/contenttype/forms"/>
  </ds:schemaRefs>
</ds:datastoreItem>
</file>

<file path=customXml/itemProps3.xml><?xml version="1.0" encoding="utf-8"?>
<ds:datastoreItem xmlns:ds="http://schemas.openxmlformats.org/officeDocument/2006/customXml" ds:itemID="{83A1D1A0-82B3-429B-AE69-296420D6A9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3fa03-e0ce-4dc9-8273-1db8e732511b"/>
    <ds:schemaRef ds:uri="0e26bc13-c63e-4b72-a06e-5d5440ba7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859A8D-9DED-4B08-8B8E-B0AAAB138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2137</TotalTime>
  <Pages>100</Pages>
  <Words>17927</Words>
  <Characters>98600</Characters>
  <Application>Microsoft Office Word</Application>
  <DocSecurity>0</DocSecurity>
  <Lines>821</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Wandy Karina Matos Ramirez</dc:creator>
  <cp:keywords/>
  <dc:description/>
  <cp:lastModifiedBy>Wandy Karina Matos Ramirez</cp:lastModifiedBy>
  <cp:revision>111</cp:revision>
  <cp:lastPrinted>2022-02-08T19:05:00Z</cp:lastPrinted>
  <dcterms:created xsi:type="dcterms:W3CDTF">2021-12-09T13:51:00Z</dcterms:created>
  <dcterms:modified xsi:type="dcterms:W3CDTF">2024-01-04T15:51:00Z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0x010100D9039B06ED2E6044BA227FFBAB2FC131</vt:lpwstr>
  </property>
</Properties>
</file>